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D4336">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033</w:t>
      </w:r>
    </w:p>
    <w:p w14:paraId="6858284F">
      <w:pPr>
        <w:spacing w:line="360" w:lineRule="auto"/>
        <w:rPr>
          <w:rFonts w:ascii="宋体" w:hAnsi="宋体" w:cs="宋体"/>
          <w:kern w:val="0"/>
          <w:sz w:val="24"/>
          <w:szCs w:val="24"/>
        </w:rPr>
      </w:pPr>
    </w:p>
    <w:p w14:paraId="190F59A9">
      <w:pPr>
        <w:jc w:val="center"/>
        <w:rPr>
          <w:rFonts w:ascii="宋体" w:hAnsi="宋体" w:cs="宋体"/>
          <w:b/>
          <w:kern w:val="0"/>
          <w:sz w:val="32"/>
          <w:szCs w:val="32"/>
        </w:rPr>
      </w:pPr>
      <w:r>
        <w:rPr>
          <w:rFonts w:hint="eastAsia" w:ascii="宋体" w:hAnsi="宋体" w:cs="宋体"/>
          <w:b/>
          <w:kern w:val="0"/>
          <w:sz w:val="32"/>
          <w:szCs w:val="32"/>
        </w:rPr>
        <w:t>福建广生堂药业股份有限公司</w:t>
      </w:r>
    </w:p>
    <w:p w14:paraId="7CEF5EA4">
      <w:pPr>
        <w:jc w:val="center"/>
        <w:rPr>
          <w:rFonts w:ascii="宋体" w:hAnsi="宋体" w:cs="宋体"/>
          <w:b/>
          <w:sz w:val="32"/>
          <w:szCs w:val="32"/>
        </w:rPr>
      </w:pPr>
      <w:r>
        <w:rPr>
          <w:rFonts w:hint="eastAsia" w:ascii="宋体" w:hAnsi="宋体" w:cs="宋体"/>
          <w:b/>
          <w:sz w:val="32"/>
          <w:szCs w:val="32"/>
        </w:rPr>
        <w:t>关于2024年年度报告披露的提示性公告</w:t>
      </w:r>
    </w:p>
    <w:p w14:paraId="060EA6E7">
      <w:pPr>
        <w:jc w:val="center"/>
        <w:rPr>
          <w:rFonts w:ascii="宋体" w:hAnsi="宋体" w:cs="宋体"/>
          <w:b/>
          <w:sz w:val="24"/>
          <w:szCs w:val="24"/>
        </w:rPr>
      </w:pPr>
    </w:p>
    <w:tbl>
      <w:tblPr>
        <w:tblStyle w:val="6"/>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6D77B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7B259FFD">
            <w:pPr>
              <w:widowControl/>
              <w:ind w:firstLine="600" w:firstLineChars="200"/>
              <w:rPr>
                <w:rFonts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249A9374">
      <w:pPr>
        <w:adjustRightInd w:val="0"/>
        <w:snapToGrid w:val="0"/>
        <w:spacing w:line="384" w:lineRule="auto"/>
        <w:ind w:firstLine="480" w:firstLineChars="200"/>
        <w:jc w:val="left"/>
        <w:rPr>
          <w:rFonts w:ascii="宋体" w:hAnsi="宋体" w:cs="宋体"/>
          <w:kern w:val="0"/>
          <w:sz w:val="24"/>
          <w:szCs w:val="24"/>
        </w:rPr>
      </w:pPr>
    </w:p>
    <w:p w14:paraId="59178203">
      <w:pPr>
        <w:pStyle w:val="5"/>
        <w:spacing w:before="0" w:beforeAutospacing="0" w:after="0" w:afterAutospacing="0" w:line="360" w:lineRule="auto"/>
        <w:ind w:firstLine="480" w:firstLineChars="200"/>
        <w:jc w:val="both"/>
        <w:rPr>
          <w:kern w:val="2"/>
          <w:szCs w:val="21"/>
        </w:rPr>
      </w:pPr>
      <w:r>
        <w:rPr>
          <w:rFonts w:hint="eastAsia"/>
          <w:kern w:val="2"/>
          <w:szCs w:val="21"/>
        </w:rPr>
        <w:t>福建广生堂药业股份有限公司（以下简称“公司”）于2025年4月16日召开了第五届董事会第八次会议和第五届监事会第七次会议，审议通过了《关于&lt;2024年年度报告&gt;及其摘要的议案》。</w:t>
      </w:r>
    </w:p>
    <w:p w14:paraId="75E381C1">
      <w:pPr>
        <w:pStyle w:val="5"/>
        <w:spacing w:before="0" w:beforeAutospacing="0" w:after="0" w:afterAutospacing="0" w:line="360" w:lineRule="auto"/>
        <w:ind w:firstLine="480" w:firstLineChars="200"/>
        <w:jc w:val="both"/>
        <w:rPr>
          <w:kern w:val="2"/>
          <w:szCs w:val="21"/>
        </w:rPr>
      </w:pPr>
      <w:r>
        <w:rPr>
          <w:rFonts w:hint="eastAsia"/>
          <w:kern w:val="2"/>
          <w:szCs w:val="21"/>
        </w:rPr>
        <w:t>为使广大投资者全面了解公司2024年度的经营成果及财务状况，公司《2024年年度报告》、《2024年年度报告摘要》将于2025年4月18日刊登在中国证券监督管理委员会指定创业板信息披露网站巨潮资讯网（www.cninfo.com.cn）上，敬请投资者注意查阅。</w:t>
      </w:r>
    </w:p>
    <w:p w14:paraId="5BC0ABAD">
      <w:pPr>
        <w:pStyle w:val="5"/>
        <w:spacing w:before="0" w:beforeAutospacing="0" w:after="0" w:afterAutospacing="0" w:line="360" w:lineRule="auto"/>
        <w:ind w:firstLine="480" w:firstLineChars="200"/>
        <w:jc w:val="both"/>
        <w:rPr>
          <w:kern w:val="2"/>
          <w:szCs w:val="21"/>
        </w:rPr>
      </w:pPr>
    </w:p>
    <w:p w14:paraId="33F5D30F">
      <w:pPr>
        <w:pStyle w:val="5"/>
        <w:spacing w:before="0" w:beforeAutospacing="0" w:after="0" w:afterAutospacing="0" w:line="360" w:lineRule="auto"/>
        <w:ind w:firstLine="480" w:firstLineChars="200"/>
        <w:rPr>
          <w:kern w:val="2"/>
          <w:szCs w:val="21"/>
        </w:rPr>
      </w:pPr>
      <w:r>
        <w:rPr>
          <w:rFonts w:hint="eastAsia"/>
          <w:kern w:val="2"/>
          <w:szCs w:val="21"/>
        </w:rPr>
        <w:t>特此公告。</w:t>
      </w:r>
    </w:p>
    <w:p w14:paraId="78AEA95B">
      <w:pPr>
        <w:spacing w:before="156" w:beforeLines="50" w:after="156" w:afterLines="50" w:line="360" w:lineRule="auto"/>
        <w:rPr>
          <w:rFonts w:ascii="宋体" w:hAnsi="宋体" w:cs="宋体"/>
          <w:kern w:val="0"/>
          <w:sz w:val="24"/>
          <w:szCs w:val="24"/>
        </w:rPr>
      </w:pPr>
    </w:p>
    <w:p w14:paraId="5FA41020">
      <w:pPr>
        <w:spacing w:line="360" w:lineRule="auto"/>
        <w:rPr>
          <w:rFonts w:ascii="宋体" w:hAnsi="宋体" w:cs="宋体"/>
          <w:sz w:val="24"/>
          <w:szCs w:val="21"/>
        </w:rPr>
      </w:pPr>
    </w:p>
    <w:p w14:paraId="340B966F">
      <w:pPr>
        <w:widowControl/>
        <w:adjustRightInd w:val="0"/>
        <w:snapToGrid w:val="0"/>
        <w:spacing w:line="360" w:lineRule="auto"/>
        <w:jc w:val="right"/>
        <w:rPr>
          <w:rFonts w:ascii="宋体" w:hAnsi="宋体" w:cs="宋体"/>
          <w:sz w:val="24"/>
          <w:szCs w:val="21"/>
        </w:rPr>
      </w:pPr>
      <w:r>
        <w:rPr>
          <w:rFonts w:hint="eastAsia" w:ascii="宋体" w:hAnsi="宋体" w:cs="宋体"/>
          <w:sz w:val="24"/>
          <w:szCs w:val="21"/>
        </w:rPr>
        <w:t>福建广生堂药业股份有限公司董事会</w:t>
      </w:r>
    </w:p>
    <w:p w14:paraId="76DF74D3">
      <w:pPr>
        <w:widowControl/>
        <w:adjustRightInd w:val="0"/>
        <w:snapToGrid w:val="0"/>
        <w:spacing w:line="360" w:lineRule="auto"/>
        <w:jc w:val="center"/>
        <w:rPr>
          <w:rFonts w:ascii="宋体" w:hAnsi="宋体" w:cs="宋体"/>
          <w:sz w:val="24"/>
          <w:szCs w:val="21"/>
        </w:rPr>
      </w:pPr>
      <w:r>
        <w:rPr>
          <w:rFonts w:hint="eastAsia" w:ascii="宋体" w:hAnsi="宋体" w:cs="宋体"/>
          <w:sz w:val="24"/>
          <w:szCs w:val="21"/>
        </w:rPr>
        <w:t xml:space="preserve">                                       2025年4月1</w:t>
      </w:r>
      <w:r>
        <w:rPr>
          <w:rFonts w:hint="eastAsia" w:ascii="宋体" w:hAnsi="宋体" w:cs="宋体"/>
          <w:sz w:val="24"/>
          <w:szCs w:val="21"/>
          <w:lang w:val="en-US" w:eastAsia="zh-CN"/>
        </w:rPr>
        <w:t>7</w:t>
      </w:r>
      <w:bookmarkStart w:id="0" w:name="_GoBack"/>
      <w:bookmarkEnd w:id="0"/>
      <w:r>
        <w:rPr>
          <w:rFonts w:hint="eastAsia" w:ascii="宋体" w:hAnsi="宋体" w:cs="宋体"/>
          <w:sz w:val="24"/>
          <w:szCs w:val="2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7324">
    <w:pPr>
      <w:pStyle w:val="2"/>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0CD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E57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7CB1">
    <w:pPr>
      <w:pStyle w:val="3"/>
      <w:tabs>
        <w:tab w:val="right" w:pos="9214"/>
        <w:tab w:val="clear" w:pos="8306"/>
      </w:tabs>
      <w:ind w:left="-1277" w:leftChars="-608" w:right="-1331" w:rightChars="-634" w:firstLine="1"/>
    </w:pPr>
    <w:r>
      <w:pict>
        <v:shape id="WordPictureWatermark3069298" o:spid="_x0000_s1026"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169D">
    <w:pPr>
      <w:pStyle w:val="3"/>
    </w:pPr>
    <w:r>
      <w:pict>
        <v:shape id="WordPictureWatermark3069297" o:spid="_x0000_s1025"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C11A">
    <w:pPr>
      <w:pStyle w:val="3"/>
    </w:pPr>
    <w:r>
      <w:pict>
        <v:shape id="WordPictureWatermark3069296" o:spid="_x0000_s1027" o:spt="75" type="#_x0000_t75" style="position:absolute;left:0pt;height:841.9pt;width:595.2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 w:name="metasota_documentID" w:val="8598209719895769088"/>
  </w:docVars>
  <w:rsids>
    <w:rsidRoot w:val="00082C74"/>
    <w:rsid w:val="00082C74"/>
    <w:rsid w:val="000E3E2A"/>
    <w:rsid w:val="000F51AB"/>
    <w:rsid w:val="0021331C"/>
    <w:rsid w:val="003225AE"/>
    <w:rsid w:val="00376191"/>
    <w:rsid w:val="003975DD"/>
    <w:rsid w:val="003B12D5"/>
    <w:rsid w:val="003C796A"/>
    <w:rsid w:val="004C65EB"/>
    <w:rsid w:val="004C7FBE"/>
    <w:rsid w:val="00516827"/>
    <w:rsid w:val="00532AA5"/>
    <w:rsid w:val="005471BC"/>
    <w:rsid w:val="00547EA4"/>
    <w:rsid w:val="00605ADA"/>
    <w:rsid w:val="007D07FC"/>
    <w:rsid w:val="0082046E"/>
    <w:rsid w:val="008D4935"/>
    <w:rsid w:val="008D545F"/>
    <w:rsid w:val="008D6421"/>
    <w:rsid w:val="008D666C"/>
    <w:rsid w:val="00912B01"/>
    <w:rsid w:val="009200B6"/>
    <w:rsid w:val="00A344A1"/>
    <w:rsid w:val="00AF1AA1"/>
    <w:rsid w:val="00CD4982"/>
    <w:rsid w:val="00D001AA"/>
    <w:rsid w:val="00DA523A"/>
    <w:rsid w:val="00E4614F"/>
    <w:rsid w:val="00E7234A"/>
    <w:rsid w:val="00FC5C66"/>
    <w:rsid w:val="093208FE"/>
    <w:rsid w:val="0B0225D9"/>
    <w:rsid w:val="0BC41804"/>
    <w:rsid w:val="10AE6DBE"/>
    <w:rsid w:val="141B4B0A"/>
    <w:rsid w:val="14B42A93"/>
    <w:rsid w:val="15E20BAE"/>
    <w:rsid w:val="16B42DD1"/>
    <w:rsid w:val="17286D0C"/>
    <w:rsid w:val="179764FD"/>
    <w:rsid w:val="1AD55213"/>
    <w:rsid w:val="24A94139"/>
    <w:rsid w:val="24D35EFE"/>
    <w:rsid w:val="27C56BA3"/>
    <w:rsid w:val="290E7CC4"/>
    <w:rsid w:val="2A8668B4"/>
    <w:rsid w:val="2DA73BC9"/>
    <w:rsid w:val="2F4260D0"/>
    <w:rsid w:val="35644951"/>
    <w:rsid w:val="36C10BB7"/>
    <w:rsid w:val="3A896735"/>
    <w:rsid w:val="3DFB283E"/>
    <w:rsid w:val="41BE5866"/>
    <w:rsid w:val="428E2D6F"/>
    <w:rsid w:val="43071F86"/>
    <w:rsid w:val="452669A6"/>
    <w:rsid w:val="4CBC5798"/>
    <w:rsid w:val="4FDE1EEA"/>
    <w:rsid w:val="54F25B03"/>
    <w:rsid w:val="55701CD9"/>
    <w:rsid w:val="5CA23B87"/>
    <w:rsid w:val="61BD594B"/>
    <w:rsid w:val="6C1D7DFE"/>
    <w:rsid w:val="6D2A365F"/>
    <w:rsid w:val="70C0732B"/>
    <w:rsid w:val="71237DEA"/>
    <w:rsid w:val="74E51BC9"/>
    <w:rsid w:val="756C2162"/>
    <w:rsid w:val="75BB0D44"/>
    <w:rsid w:val="78EE574A"/>
    <w:rsid w:val="798C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2"/>
    <w:qFormat/>
    <w:uiPriority w:val="99"/>
    <w:rPr>
      <w:sz w:val="18"/>
      <w:szCs w:val="18"/>
    </w:rPr>
  </w:style>
  <w:style w:type="character" w:customStyle="1" w:styleId="10">
    <w:name w:val="页眉 字符"/>
    <w:link w:val="3"/>
    <w:semiHidden/>
    <w:qFormat/>
    <w:uiPriority w:val="99"/>
    <w:rPr>
      <w:sz w:val="18"/>
      <w:szCs w:val="18"/>
    </w:rPr>
  </w:style>
  <w:style w:type="character" w:customStyle="1" w:styleId="11">
    <w:name w:val="HTML 预设格式 字符"/>
    <w:link w:val="4"/>
    <w:qFormat/>
    <w:uiPriority w:val="99"/>
    <w:rPr>
      <w:rFonts w:ascii="宋体" w:hAnsi="宋体" w:cs="宋体"/>
      <w:sz w:val="24"/>
      <w:szCs w:val="24"/>
    </w:rPr>
  </w:style>
  <w:style w:type="table" w:customStyle="1" w:styleId="12">
    <w:name w:val="网格型1"/>
    <w:basedOn w:val="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Pages>
  <Words>307</Words>
  <Characters>359</Characters>
  <Lines>1</Lines>
  <Paragraphs>1</Paragraphs>
  <TotalTime>10</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2024-03-05T02:05:00Z</dcterms:created>
  <dc:creator>王琴</dc:creator>
  <cp:lastModifiedBy>cdq</cp:lastModifiedBy>
  <dcterms:modified xsi:type="dcterms:W3CDTF">2025-04-14T04:22:14Z</dcterms:modified>
  <dc:title>证券代码:300436      证券简称：广生堂     公告编号：20170</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1AAEFA29B54B4BFC8843D4C352608853</vt:lpwstr>
  </property>
  <property fmtid="{D5CDD505-2E9C-101B-9397-08002B2CF9AE}" pid="4" name="KSOTemplateDocerSaveRecord">
    <vt:lpwstr>eyJoZGlkIjoiY2Q4MDAzNjNiM2EwYjNjY2VkN2I2ZWY4OTg5YTA1ZWYiLCJ1c2VySWQiOiIxMzk5OTUwMzQxIn0=</vt:lpwstr>
  </property>
</Properties>
</file>