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8FFAF0">
      <w:pPr>
        <w:spacing w:before="2400" w:line="773" w:lineRule="exact"/>
        <w:jc w:val="center"/>
        <w:rPr>
          <w:rFonts w:ascii="宋体" w:hAnsi="宋体" w:eastAsia="宋体" w:cs="宋体"/>
          <w:b/>
          <w:bCs/>
          <w:sz w:val="36"/>
          <w:szCs w:val="36"/>
        </w:rPr>
      </w:pPr>
      <w:r>
        <w:rPr>
          <w:rFonts w:ascii="Times New Roman" w:hAnsi="Times New Roman" w:eastAsia="宋体" w:cs="Times New Roman"/>
        </w:rPr>
        <w:drawing>
          <wp:inline distT="0" distB="0" distL="0" distR="0">
            <wp:extent cx="4749800" cy="1040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stretch>
                      <a:fillRect/>
                    </a:stretch>
                  </pic:blipFill>
                  <pic:spPr>
                    <a:xfrm>
                      <a:off x="0" y="0"/>
                      <a:ext cx="4955238" cy="1086032"/>
                    </a:xfrm>
                    <a:prstGeom prst="rect">
                      <a:avLst/>
                    </a:prstGeom>
                  </pic:spPr>
                </pic:pic>
              </a:graphicData>
            </a:graphic>
          </wp:inline>
        </w:drawing>
      </w:r>
    </w:p>
    <w:p w14:paraId="5AE20B5A">
      <w:pPr>
        <w:spacing w:before="2400" w:line="773" w:lineRule="exact"/>
        <w:jc w:val="center"/>
        <w:rPr>
          <w:rFonts w:ascii="宋体" w:hAnsi="宋体" w:eastAsia="宋体" w:cs="宋体"/>
          <w:b/>
          <w:bCs/>
          <w:sz w:val="36"/>
          <w:szCs w:val="36"/>
        </w:rPr>
      </w:pPr>
      <w:r>
        <w:rPr>
          <w:rFonts w:ascii="宋体" w:hAnsi="宋体" w:eastAsia="宋体" w:cs="宋体"/>
          <w:b/>
          <w:bCs/>
          <w:sz w:val="36"/>
          <w:szCs w:val="36"/>
        </w:rPr>
        <w:t>福建广生堂药业股份有限公司</w:t>
      </w:r>
    </w:p>
    <w:p w14:paraId="2CDA56F6">
      <w:pPr>
        <w:spacing w:before="1000" w:line="240" w:lineRule="exact"/>
        <w:jc w:val="center"/>
        <w:rPr>
          <w:rFonts w:ascii="宋体" w:hAnsi="宋体" w:eastAsia="宋体" w:cs="宋体"/>
          <w:b/>
          <w:bCs/>
          <w:sz w:val="32"/>
          <w:szCs w:val="32"/>
        </w:rPr>
      </w:pPr>
      <w:r>
        <w:rPr>
          <w:rFonts w:ascii="宋体" w:hAnsi="宋体" w:eastAsia="宋体" w:cs="宋体"/>
          <w:b/>
          <w:bCs/>
          <w:sz w:val="32"/>
          <w:szCs w:val="32"/>
        </w:rPr>
        <w:t>202</w:t>
      </w:r>
      <w:r>
        <w:rPr>
          <w:rFonts w:hint="eastAsia" w:ascii="宋体" w:hAnsi="宋体" w:eastAsia="宋体" w:cs="宋体"/>
          <w:b/>
          <w:bCs/>
          <w:sz w:val="32"/>
          <w:szCs w:val="32"/>
          <w:lang w:val="en-US" w:eastAsia="zh-CN"/>
        </w:rPr>
        <w:t>4</w:t>
      </w:r>
      <w:r>
        <w:rPr>
          <w:rFonts w:ascii="宋体" w:hAnsi="宋体" w:eastAsia="宋体" w:cs="宋体"/>
          <w:b/>
          <w:bCs/>
          <w:sz w:val="32"/>
          <w:szCs w:val="32"/>
        </w:rPr>
        <w:t>年年度报告</w:t>
      </w:r>
    </w:p>
    <w:p w14:paraId="4F46D7FC">
      <w:pPr>
        <w:spacing w:before="1000" w:line="240" w:lineRule="exact"/>
        <w:jc w:val="center"/>
        <w:rPr>
          <w:rFonts w:ascii="宋体" w:hAnsi="宋体" w:eastAsia="宋体" w:cs="宋体"/>
          <w:b/>
          <w:bCs/>
          <w:szCs w:val="21"/>
        </w:rPr>
      </w:pPr>
    </w:p>
    <w:p w14:paraId="6BD8B65C">
      <w:pPr>
        <w:spacing w:before="1000" w:after="1000" w:line="0" w:lineRule="atLeast"/>
        <w:jc w:val="center"/>
        <w:rPr>
          <w:rFonts w:ascii="Times New Roman" w:hAnsi="Times New Roman" w:eastAsia="宋体" w:cs="Times New Roman"/>
        </w:rPr>
      </w:pPr>
    </w:p>
    <w:p w14:paraId="42739DEF">
      <w:pPr>
        <w:spacing w:before="400" w:after="0" w:line="320" w:lineRule="exact"/>
        <w:jc w:val="center"/>
        <w:rPr>
          <w:rFonts w:ascii="宋体" w:hAnsi="宋体" w:eastAsia="宋体" w:cs="宋体"/>
          <w:b/>
          <w:bCs/>
          <w:sz w:val="32"/>
          <w:szCs w:val="32"/>
        </w:rPr>
      </w:pPr>
      <w:r>
        <w:rPr>
          <w:rFonts w:hint="eastAsia" w:ascii="宋体" w:hAnsi="宋体" w:eastAsia="宋体" w:cs="宋体"/>
          <w:b/>
          <w:bCs/>
          <w:sz w:val="32"/>
          <w:szCs w:val="32"/>
        </w:rPr>
        <w:t>202</w:t>
      </w:r>
      <w:r>
        <w:rPr>
          <w:rFonts w:hint="eastAsia" w:ascii="宋体" w:hAnsi="宋体" w:eastAsia="宋体" w:cs="宋体"/>
          <w:b/>
          <w:bCs/>
          <w:sz w:val="32"/>
          <w:szCs w:val="32"/>
          <w:lang w:val="en-US" w:eastAsia="zh-CN"/>
        </w:rPr>
        <w:t>5</w:t>
      </w:r>
      <w:r>
        <w:rPr>
          <w:rFonts w:hint="eastAsia" w:ascii="宋体" w:hAnsi="宋体" w:eastAsia="宋体" w:cs="宋体"/>
          <w:b/>
          <w:bCs/>
          <w:sz w:val="32"/>
          <w:szCs w:val="32"/>
        </w:rPr>
        <w:t>年4月</w:t>
      </w:r>
    </w:p>
    <w:p w14:paraId="33379E9A">
      <w:r>
        <w:br w:type="page"/>
      </w:r>
    </w:p>
    <w:p w14:paraId="6A6C7F77">
      <w:pPr>
        <w:spacing w:before="1000" w:after="40" w:line="440" w:lineRule="exact"/>
        <w:jc w:val="center"/>
        <w:rPr>
          <w:rFonts w:ascii="宋体" w:hAnsi="宋体" w:eastAsia="宋体" w:cs="宋体"/>
          <w:b/>
          <w:bCs/>
          <w:sz w:val="44"/>
          <w:szCs w:val="44"/>
        </w:rPr>
      </w:pPr>
      <w:r>
        <w:rPr>
          <w:rFonts w:ascii="宋体" w:hAnsi="宋体" w:eastAsia="宋体" w:cs="宋体"/>
          <w:b/>
          <w:bCs/>
          <w:sz w:val="44"/>
          <w:szCs w:val="44"/>
        </w:rPr>
        <w:t>2024年年度报告</w:t>
      </w:r>
    </w:p>
    <w:p w14:paraId="0BD35199">
      <w:pPr>
        <w:keepNext/>
        <w:keepLines/>
        <w:spacing w:before="340" w:after="330" w:line="773" w:lineRule="exact"/>
        <w:jc w:val="center"/>
        <w:outlineLvl w:val="0"/>
        <w:rPr>
          <w:rFonts w:ascii="宋体" w:hAnsi="宋体" w:eastAsia="宋体" w:cs="宋体"/>
          <w:b/>
          <w:bCs/>
          <w:sz w:val="32"/>
          <w:szCs w:val="32"/>
        </w:rPr>
      </w:pPr>
      <w:bookmarkStart w:id="0" w:name="_Toc988889"/>
      <w:r>
        <w:rPr>
          <w:rFonts w:ascii="宋体" w:hAnsi="宋体" w:eastAsia="宋体" w:cs="宋体"/>
          <w:b/>
          <w:bCs/>
          <w:sz w:val="32"/>
          <w:szCs w:val="32"/>
        </w:rPr>
        <w:t>第一节 重要提示、目录和释义</w:t>
      </w:r>
      <w:bookmarkEnd w:id="0"/>
    </w:p>
    <w:p w14:paraId="693BB624">
      <w:pPr>
        <w:spacing w:before="40" w:after="40" w:line="560" w:lineRule="exact"/>
        <w:ind w:firstLine="560" w:firstLineChars="200"/>
        <w:jc w:val="left"/>
        <w:rPr>
          <w:rFonts w:ascii="宋体" w:hAnsi="宋体" w:eastAsia="宋体" w:cs="宋体"/>
          <w:b/>
          <w:bCs/>
          <w:sz w:val="28"/>
          <w:szCs w:val="28"/>
        </w:rPr>
      </w:pPr>
      <w:r>
        <w:rPr>
          <w:rFonts w:ascii="宋体" w:hAnsi="宋体" w:eastAsia="宋体" w:cs="宋体"/>
          <w:b/>
          <w:bCs/>
          <w:sz w:val="28"/>
          <w:szCs w:val="28"/>
        </w:rPr>
        <w:t>公司董事会、监事会及董事、监事、高级管理人员保证年度报告内容的真实、准确、完整，不存在虚假记载、误导性陈述或者重大遗漏，并承担个别和连带的法律责任。</w:t>
      </w:r>
    </w:p>
    <w:p w14:paraId="6DDF652A">
      <w:pPr>
        <w:spacing w:before="0" w:after="0" w:line="560" w:lineRule="exact"/>
        <w:ind w:firstLine="560" w:firstLineChars="200"/>
        <w:jc w:val="left"/>
        <w:rPr>
          <w:rFonts w:ascii="宋体" w:hAnsi="宋体" w:eastAsia="宋体" w:cs="宋体"/>
          <w:b/>
          <w:bCs/>
          <w:sz w:val="28"/>
          <w:szCs w:val="28"/>
        </w:rPr>
      </w:pPr>
      <w:r>
        <w:rPr>
          <w:rFonts w:ascii="宋体" w:hAnsi="宋体" w:eastAsia="宋体" w:cs="宋体"/>
          <w:b/>
          <w:bCs/>
          <w:sz w:val="28"/>
          <w:szCs w:val="28"/>
        </w:rPr>
        <w:t>公司负责人李国平、主管会计工作负责人官建辉及会计机构负责人(会计主管人员)林艳虹声明：保证本年度报告中财务报告的真实、准确、完整。</w:t>
      </w:r>
    </w:p>
    <w:p w14:paraId="382918D7">
      <w:pPr>
        <w:spacing w:before="0" w:after="0" w:line="560" w:lineRule="exact"/>
        <w:jc w:val="left"/>
        <w:rPr>
          <w:rFonts w:ascii="宋体" w:hAnsi="宋体" w:eastAsia="宋体" w:cs="宋体"/>
          <w:b/>
          <w:bCs/>
          <w:sz w:val="28"/>
          <w:szCs w:val="28"/>
        </w:rPr>
      </w:pPr>
      <w:r>
        <w:rPr>
          <w:rFonts w:ascii="宋体" w:hAnsi="宋体" w:eastAsia="宋体" w:cs="宋体"/>
          <w:b/>
          <w:bCs/>
          <w:sz w:val="28"/>
          <w:szCs w:val="28"/>
        </w:rPr>
        <w:t>所有董事均已出席了审议本报告的董事会会议。</w:t>
      </w:r>
    </w:p>
    <w:p w14:paraId="7FA0AC97">
      <w:pPr>
        <w:pStyle w:val="2"/>
        <w:keepNext w:val="0"/>
        <w:keepLines w:val="0"/>
        <w:widowControl/>
        <w:suppressLineNumbers w:val="0"/>
        <w:spacing w:before="100" w:beforeAutospacing="0" w:after="100" w:afterAutospacing="0" w:line="560" w:lineRule="atLeast"/>
        <w:ind w:left="0" w:firstLine="567"/>
        <w:rPr>
          <w:rFonts w:hint="eastAsia" w:ascii="宋体" w:hAnsi="宋体" w:eastAsia="宋体" w:cs="宋体"/>
          <w:b/>
          <w:bCs/>
          <w:sz w:val="28"/>
          <w:szCs w:val="28"/>
        </w:rPr>
      </w:pPr>
      <w:r>
        <w:rPr>
          <w:rFonts w:hint="eastAsia" w:ascii="宋体" w:hAnsi="宋体" w:eastAsia="宋体" w:cs="宋体"/>
          <w:b/>
          <w:bCs/>
          <w:sz w:val="28"/>
          <w:szCs w:val="28"/>
        </w:rPr>
        <w:t>报告期内，受集采政策持续影响，乙肝产品毛利率承压，且前期建设项目转固和药品获批上市导致无形资产增加，相应资产折旧及摊销增加，此外市场拓展及团队建设强化相关投入增加，叠加创新药战略投入维持高强度、财务费用增加及资产减值损失计提等综合影响，归属于上市公司股东净利润仍然亏损，但公司经营质量有所改善，营收继续保持增长，综合毛利率提升超过4个百分点，经营活动产生的现金流量净额转正，业绩亏损同比大幅收窄55.16%。公司发生业绩亏损，符合公司实施创新发展战略的实际情况和行业发展状况，公司主营业务、核心竞争力等未发生重大不利变化，持续经营能力不存在重大风险。敬请投资者注意业绩亏损风险。</w:t>
      </w:r>
    </w:p>
    <w:p w14:paraId="04546748">
      <w:pPr>
        <w:pStyle w:val="2"/>
        <w:keepNext w:val="0"/>
        <w:keepLines w:val="0"/>
        <w:widowControl/>
        <w:suppressLineNumbers w:val="0"/>
        <w:spacing w:line="560" w:lineRule="atLeast"/>
        <w:ind w:left="0" w:firstLine="567"/>
        <w:rPr>
          <w:rFonts w:hint="eastAsia" w:ascii="宋体" w:hAnsi="宋体" w:eastAsia="宋体" w:cs="宋体"/>
          <w:b/>
          <w:bCs/>
          <w:sz w:val="28"/>
          <w:szCs w:val="28"/>
        </w:rPr>
      </w:pPr>
      <w:r>
        <w:rPr>
          <w:rFonts w:hint="eastAsia" w:ascii="宋体" w:hAnsi="宋体" w:eastAsia="宋体" w:cs="宋体"/>
          <w:b/>
          <w:bCs/>
          <w:sz w:val="28"/>
          <w:szCs w:val="28"/>
        </w:rPr>
        <w:t>本年度报告中涉及的未来发展战略、经营计划等前瞻性内容属于计划性事项，能否实现取决于市场状况变化等多种因素，存在不确定性，并不代表公司对未来年度的盈利预测，也不构成公司对投资者及相关人士的实质性承诺。投资者及相关人士均应对此保持足够的风险认识，并且应当理解计划、预测与承诺之间的差异。敬请投资者注意投资风险。</w:t>
      </w:r>
    </w:p>
    <w:p w14:paraId="5F31A78F">
      <w:pPr>
        <w:pStyle w:val="2"/>
        <w:keepNext w:val="0"/>
        <w:keepLines w:val="0"/>
        <w:widowControl/>
        <w:suppressLineNumbers w:val="0"/>
        <w:spacing w:before="100" w:beforeAutospacing="0" w:after="100" w:afterAutospacing="0" w:line="560" w:lineRule="atLeast"/>
        <w:ind w:left="0" w:firstLine="567"/>
        <w:rPr>
          <w:rFonts w:hint="eastAsia" w:ascii="宋体" w:hAnsi="宋体" w:eastAsia="宋体" w:cs="宋体"/>
          <w:b/>
          <w:bCs/>
          <w:sz w:val="28"/>
          <w:szCs w:val="28"/>
        </w:rPr>
      </w:pPr>
      <w:r>
        <w:rPr>
          <w:rFonts w:hint="eastAsia" w:ascii="宋体" w:hAnsi="宋体" w:eastAsia="宋体" w:cs="宋体"/>
          <w:b/>
          <w:bCs/>
          <w:sz w:val="28"/>
          <w:szCs w:val="28"/>
        </w:rPr>
        <w:t>公司需遵守《深圳证券交易所上市公司自律监管指引第4号——创业板行业信息披露》中的“药品、生物制品业务”的披露要求。</w:t>
      </w:r>
    </w:p>
    <w:p w14:paraId="6CF32954">
      <w:pPr>
        <w:pStyle w:val="2"/>
        <w:keepNext w:val="0"/>
        <w:keepLines w:val="0"/>
        <w:widowControl/>
        <w:suppressLineNumbers w:val="0"/>
        <w:spacing w:before="100" w:beforeAutospacing="0" w:after="100" w:afterAutospacing="0" w:line="560" w:lineRule="atLeast"/>
        <w:ind w:left="0" w:firstLine="567"/>
        <w:rPr>
          <w:rFonts w:hint="eastAsia" w:ascii="宋体" w:hAnsi="宋体" w:eastAsia="宋体" w:cs="宋体"/>
          <w:b/>
          <w:bCs/>
          <w:sz w:val="28"/>
          <w:szCs w:val="28"/>
        </w:rPr>
      </w:pPr>
      <w:r>
        <w:rPr>
          <w:rFonts w:hint="eastAsia" w:ascii="宋体" w:hAnsi="宋体" w:eastAsia="宋体" w:cs="宋体"/>
          <w:b/>
          <w:bCs/>
          <w:sz w:val="28"/>
          <w:szCs w:val="28"/>
        </w:rPr>
        <w:t>公司在本报告“第三节</w:t>
      </w:r>
      <w:r>
        <w:rPr>
          <w:rFonts w:hint="eastAsia" w:ascii="宋体" w:hAnsi="宋体" w:cs="宋体"/>
          <w:b/>
          <w:bCs/>
          <w:sz w:val="28"/>
          <w:szCs w:val="28"/>
          <w:lang w:val="en-US" w:eastAsia="zh-CN"/>
        </w:rPr>
        <w:t xml:space="preserve"> </w:t>
      </w:r>
      <w:r>
        <w:rPr>
          <w:rFonts w:hint="eastAsia" w:ascii="宋体" w:hAnsi="宋体" w:eastAsia="宋体" w:cs="宋体"/>
          <w:b/>
          <w:bCs/>
          <w:sz w:val="28"/>
          <w:szCs w:val="28"/>
        </w:rPr>
        <w:t>管理层讨论与分析”中“十一、公司未来发展的展望”部分描述了公司可能面对的风险及应对措施，敬请投资者注意并仔细阅读。</w:t>
      </w:r>
    </w:p>
    <w:p w14:paraId="16E50487">
      <w:pPr>
        <w:spacing w:before="0" w:after="0" w:line="560" w:lineRule="exact"/>
        <w:ind w:firstLine="560" w:firstLineChars="200"/>
        <w:jc w:val="left"/>
        <w:rPr>
          <w:rFonts w:ascii="宋体" w:hAnsi="宋体" w:eastAsia="宋体" w:cs="宋体"/>
          <w:b/>
          <w:bCs/>
          <w:sz w:val="28"/>
          <w:szCs w:val="28"/>
        </w:rPr>
      </w:pPr>
      <w:r>
        <w:rPr>
          <w:rFonts w:ascii="宋体" w:hAnsi="宋体" w:eastAsia="宋体" w:cs="宋体"/>
          <w:b/>
          <w:bCs/>
          <w:sz w:val="28"/>
          <w:szCs w:val="28"/>
        </w:rPr>
        <w:t>公司计划不派发现金红利，不送红股，不以公积金转增股本。</w:t>
      </w:r>
    </w:p>
    <w:p w14:paraId="7774C7E0">
      <w:r>
        <w:br w:type="page"/>
      </w:r>
    </w:p>
    <w:p w14:paraId="5CEBAB73">
      <w:pPr>
        <w:keepNext w:val="0"/>
        <w:keepLines w:val="0"/>
        <w:pageBreakBefore w:val="0"/>
        <w:widowControl w:val="0"/>
        <w:kinsoku/>
        <w:wordWrap/>
        <w:overflowPunct/>
        <w:topLinePunct w:val="0"/>
        <w:autoSpaceDE/>
        <w:autoSpaceDN/>
        <w:bidi w:val="0"/>
        <w:adjustRightInd/>
        <w:snapToGrid/>
        <w:spacing w:before="0" w:after="313" w:afterLines="100" w:line="720" w:lineRule="exact"/>
        <w:jc w:val="center"/>
        <w:textAlignment w:val="auto"/>
        <w:rPr>
          <w:rFonts w:ascii="宋体" w:hAnsi="宋体" w:eastAsia="宋体" w:cs="宋体"/>
          <w:b/>
          <w:bCs/>
          <w:sz w:val="36"/>
          <w:szCs w:val="36"/>
        </w:rPr>
      </w:pPr>
      <w:r>
        <w:rPr>
          <w:rFonts w:ascii="宋体" w:hAnsi="宋体" w:eastAsia="宋体" w:cs="宋体"/>
          <w:b/>
          <w:bCs/>
          <w:sz w:val="36"/>
          <w:szCs w:val="36"/>
        </w:rPr>
        <w:t>目录</w:t>
      </w:r>
    </w:p>
    <w:p w14:paraId="742DA8BA">
      <w:pPr>
        <w:keepNext w:val="0"/>
        <w:keepLines w:val="0"/>
        <w:pageBreakBefore w:val="0"/>
        <w:widowControl w:val="0"/>
        <w:tabs>
          <w:tab w:val="left" w:leader="dot" w:pos="9469"/>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TOC \o "1-2" \h \z \u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"_Toc988889"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第一节 重要提示、目录和释义</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_Toc988889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14:paraId="5AEFDC55">
      <w:pPr>
        <w:keepNext w:val="0"/>
        <w:keepLines w:val="0"/>
        <w:pageBreakBefore w:val="0"/>
        <w:widowControl w:val="0"/>
        <w:tabs>
          <w:tab w:val="left" w:leader="dot" w:pos="9469"/>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"_Toc988890"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第二节 公司简介和主要财务指标</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_Toc988890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7</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14:paraId="1659965C">
      <w:pPr>
        <w:keepNext w:val="0"/>
        <w:keepLines w:val="0"/>
        <w:pageBreakBefore w:val="0"/>
        <w:widowControl w:val="0"/>
        <w:tabs>
          <w:tab w:val="left" w:leader="dot" w:pos="9469"/>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"_Toc988901"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第三节 管理层讨论与分析</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_Toc988901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10</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14:paraId="5DEDEAD7">
      <w:pPr>
        <w:keepNext w:val="0"/>
        <w:keepLines w:val="0"/>
        <w:pageBreakBefore w:val="0"/>
        <w:widowControl w:val="0"/>
        <w:tabs>
          <w:tab w:val="left" w:leader="dot" w:pos="9469"/>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"_Toc988944"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第四节 公司治理</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_Toc988944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35</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14:paraId="23D737CA">
      <w:pPr>
        <w:keepNext w:val="0"/>
        <w:keepLines w:val="0"/>
        <w:pageBreakBefore w:val="0"/>
        <w:widowControl w:val="0"/>
        <w:tabs>
          <w:tab w:val="left" w:leader="dot" w:pos="9469"/>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"_Toc988979"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第五节 环境和社会责任</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_Toc988979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50</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14:paraId="174E5C89">
      <w:pPr>
        <w:keepNext w:val="0"/>
        <w:keepLines w:val="0"/>
        <w:pageBreakBefore w:val="0"/>
        <w:widowControl w:val="0"/>
        <w:tabs>
          <w:tab w:val="left" w:leader="dot" w:pos="9469"/>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"_Toc988983"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第六节 重要事项</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_Toc988983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53</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14:paraId="79415984">
      <w:pPr>
        <w:keepNext w:val="0"/>
        <w:keepLines w:val="0"/>
        <w:pageBreakBefore w:val="0"/>
        <w:widowControl w:val="0"/>
        <w:tabs>
          <w:tab w:val="left" w:leader="dot" w:pos="9469"/>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"_Toc989019"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第七节 股份变动及股东情况</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_Toc989019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65</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14:paraId="0FD6BCE4">
      <w:pPr>
        <w:keepNext w:val="0"/>
        <w:keepLines w:val="0"/>
        <w:pageBreakBefore w:val="0"/>
        <w:widowControl w:val="0"/>
        <w:tabs>
          <w:tab w:val="left" w:leader="dot" w:pos="9469"/>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"_Toc989035"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第八节 优先股相关情况</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_Toc989035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70</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14:paraId="1CBF83B0">
      <w:pPr>
        <w:keepNext w:val="0"/>
        <w:keepLines w:val="0"/>
        <w:pageBreakBefore w:val="0"/>
        <w:widowControl w:val="0"/>
        <w:tabs>
          <w:tab w:val="left" w:leader="dot" w:pos="9469"/>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"_Toc989036"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第九节 债券相关情况</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_Toc989036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71</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14:paraId="5FAF7EE9">
      <w:pPr>
        <w:keepNext w:val="0"/>
        <w:keepLines w:val="0"/>
        <w:pageBreakBefore w:val="0"/>
        <w:widowControl w:val="0"/>
        <w:tabs>
          <w:tab w:val="left" w:leader="dot" w:pos="9469"/>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"_Toc989037"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第十节 财务报告</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_Toc989037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72</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14:paraId="744DADCF">
      <w:r>
        <w:br w:type="page"/>
      </w:r>
    </w:p>
    <w:p w14:paraId="4C024E94">
      <w:pPr>
        <w:spacing w:before="0" w:after="0" w:line="640" w:lineRule="exact"/>
        <w:jc w:val="center"/>
        <w:rPr>
          <w:rFonts w:ascii="宋体" w:hAnsi="宋体" w:eastAsia="宋体" w:cs="宋体"/>
          <w:b/>
          <w:bCs/>
          <w:sz w:val="32"/>
          <w:szCs w:val="32"/>
        </w:rPr>
      </w:pPr>
      <w:r>
        <w:rPr>
          <w:rFonts w:ascii="宋体" w:hAnsi="宋体" w:eastAsia="宋体" w:cs="宋体"/>
          <w:b/>
          <w:bCs/>
          <w:sz w:val="32"/>
          <w:szCs w:val="32"/>
        </w:rPr>
        <w:t>备查文件目录</w:t>
      </w:r>
    </w:p>
    <w:p w14:paraId="00692B60">
      <w:pPr>
        <w:pStyle w:val="2"/>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Autospacing="0" w:line="360" w:lineRule="auto"/>
        <w:ind w:left="0" w:firstLine="357"/>
        <w:textAlignment w:val="auto"/>
        <w:rPr>
          <w:rFonts w:hint="eastAsia" w:ascii="宋体" w:hAnsi="宋体" w:eastAsia="宋体" w:cs="宋体"/>
          <w:sz w:val="18"/>
          <w:szCs w:val="18"/>
        </w:rPr>
      </w:pPr>
      <w:r>
        <w:rPr>
          <w:rFonts w:hint="eastAsia" w:ascii="宋体" w:hAnsi="宋体" w:eastAsia="宋体" w:cs="宋体"/>
          <w:sz w:val="18"/>
          <w:szCs w:val="18"/>
        </w:rPr>
        <w:t>一、载有法定代表人签名的2024年年度报告文本；</w:t>
      </w:r>
    </w:p>
    <w:p w14:paraId="49A1BAB2">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357"/>
        <w:textAlignment w:val="auto"/>
        <w:rPr>
          <w:rFonts w:hint="eastAsia" w:ascii="宋体" w:hAnsi="宋体" w:eastAsia="宋体" w:cs="宋体"/>
          <w:sz w:val="18"/>
          <w:szCs w:val="18"/>
        </w:rPr>
      </w:pPr>
      <w:r>
        <w:rPr>
          <w:rFonts w:hint="eastAsia" w:ascii="宋体" w:hAnsi="宋体" w:eastAsia="宋体" w:cs="宋体"/>
          <w:sz w:val="18"/>
          <w:szCs w:val="18"/>
        </w:rPr>
        <w:t>二、载有公司负责人、主管会计工作负责人、会计机构负责人签名并盖章的财务报表文本；</w:t>
      </w:r>
    </w:p>
    <w:p w14:paraId="324CA20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357"/>
        <w:textAlignment w:val="auto"/>
        <w:rPr>
          <w:rFonts w:hint="eastAsia" w:ascii="宋体" w:hAnsi="宋体" w:eastAsia="宋体" w:cs="宋体"/>
          <w:sz w:val="18"/>
          <w:szCs w:val="18"/>
        </w:rPr>
      </w:pPr>
      <w:r>
        <w:rPr>
          <w:rFonts w:hint="eastAsia" w:ascii="宋体" w:hAnsi="宋体" w:eastAsia="宋体" w:cs="宋体"/>
          <w:sz w:val="18"/>
          <w:szCs w:val="18"/>
        </w:rPr>
        <w:t>三、载有会计师事务所盖章、注册会计师签名并盖章的审计报告原件；</w:t>
      </w:r>
    </w:p>
    <w:p w14:paraId="1FC6B07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357"/>
        <w:textAlignment w:val="auto"/>
        <w:rPr>
          <w:rFonts w:hint="eastAsia" w:ascii="宋体" w:hAnsi="宋体" w:eastAsia="宋体" w:cs="宋体"/>
          <w:sz w:val="18"/>
          <w:szCs w:val="18"/>
        </w:rPr>
      </w:pPr>
      <w:r>
        <w:rPr>
          <w:rFonts w:hint="eastAsia" w:ascii="宋体" w:hAnsi="宋体" w:eastAsia="宋体" w:cs="宋体"/>
          <w:sz w:val="18"/>
          <w:szCs w:val="18"/>
        </w:rPr>
        <w:t>四、报告期内在中国证监会指定网站上公开披露过的所有公司文件的正本及公告的原稿；</w:t>
      </w:r>
    </w:p>
    <w:p w14:paraId="1FB6902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357"/>
        <w:textAlignment w:val="auto"/>
        <w:rPr>
          <w:rFonts w:hint="eastAsia" w:ascii="宋体" w:hAnsi="宋体" w:eastAsia="宋体" w:cs="宋体"/>
          <w:sz w:val="18"/>
          <w:szCs w:val="18"/>
        </w:rPr>
      </w:pPr>
      <w:r>
        <w:rPr>
          <w:rFonts w:hint="eastAsia" w:ascii="宋体" w:hAnsi="宋体" w:eastAsia="宋体" w:cs="宋体"/>
          <w:sz w:val="18"/>
          <w:szCs w:val="18"/>
        </w:rPr>
        <w:t>五、其他相关资料；</w:t>
      </w:r>
    </w:p>
    <w:p w14:paraId="3D75E452">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357"/>
        <w:textAlignment w:val="auto"/>
        <w:rPr>
          <w:rFonts w:hint="eastAsia" w:ascii="宋体" w:hAnsi="宋体" w:eastAsia="宋体" w:cs="宋体"/>
          <w:sz w:val="18"/>
          <w:szCs w:val="18"/>
        </w:rPr>
      </w:pPr>
      <w:r>
        <w:rPr>
          <w:rFonts w:hint="eastAsia" w:ascii="宋体" w:hAnsi="宋体" w:eastAsia="宋体" w:cs="宋体"/>
          <w:sz w:val="18"/>
          <w:szCs w:val="18"/>
        </w:rPr>
        <w:t>以上备查文件的备置地点：公司证券投资部。</w:t>
      </w:r>
    </w:p>
    <w:p w14:paraId="3EBF88B9">
      <w:r>
        <w:br w:type="page"/>
      </w:r>
    </w:p>
    <w:p w14:paraId="31317FB6">
      <w:pPr>
        <w:spacing w:before="40" w:after="40" w:line="560" w:lineRule="exact"/>
        <w:jc w:val="center"/>
        <w:rPr>
          <w:rFonts w:ascii="宋体" w:hAnsi="宋体" w:eastAsia="宋体" w:cs="宋体"/>
          <w:b/>
          <w:bCs/>
          <w:sz w:val="32"/>
          <w:szCs w:val="32"/>
        </w:rPr>
      </w:pPr>
      <w:r>
        <w:rPr>
          <w:rFonts w:ascii="宋体" w:hAnsi="宋体" w:eastAsia="宋体" w:cs="宋体"/>
          <w:b/>
          <w:bCs/>
          <w:sz w:val="32"/>
          <w:szCs w:val="32"/>
        </w:rPr>
        <w:t>释义</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587"/>
        <w:gridCol w:w="670"/>
        <w:gridCol w:w="6382"/>
      </w:tblGrid>
      <w:tr w14:paraId="66E720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shd w:val="clear" w:color="auto" w:fill="D3D3D3"/>
            <w:vAlign w:val="center"/>
          </w:tcPr>
          <w:p w14:paraId="1324FD8A">
            <w:pPr>
              <w:spacing w:before="40" w:after="40" w:line="240" w:lineRule="exact"/>
              <w:jc w:val="center"/>
              <w:rPr>
                <w:rFonts w:ascii="宋体" w:hAnsi="宋体" w:eastAsia="宋体" w:cs="宋体"/>
                <w:sz w:val="18"/>
                <w:szCs w:val="18"/>
              </w:rPr>
            </w:pPr>
            <w:r>
              <w:rPr>
                <w:rFonts w:ascii="宋体" w:hAnsi="宋体" w:eastAsia="宋体" w:cs="宋体"/>
                <w:sz w:val="18"/>
                <w:szCs w:val="18"/>
              </w:rPr>
              <w:t>释义项</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6DD39DAD">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shd w:val="clear" w:color="auto" w:fill="D3D3D3"/>
            <w:vAlign w:val="center"/>
          </w:tcPr>
          <w:p w14:paraId="7132989C">
            <w:pPr>
              <w:spacing w:before="40" w:after="40" w:line="240" w:lineRule="exact"/>
              <w:jc w:val="center"/>
              <w:rPr>
                <w:rFonts w:ascii="宋体" w:hAnsi="宋体" w:eastAsia="宋体" w:cs="宋体"/>
                <w:sz w:val="18"/>
                <w:szCs w:val="18"/>
              </w:rPr>
            </w:pPr>
            <w:r>
              <w:rPr>
                <w:rFonts w:ascii="宋体" w:hAnsi="宋体" w:eastAsia="宋体" w:cs="宋体"/>
                <w:sz w:val="18"/>
                <w:szCs w:val="18"/>
              </w:rPr>
              <w:t>释义内容</w:t>
            </w:r>
          </w:p>
        </w:tc>
      </w:tr>
      <w:tr w14:paraId="008AE4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3A95D868">
            <w:pPr>
              <w:spacing w:before="0" w:after="0" w:line="240" w:lineRule="exact"/>
              <w:jc w:val="left"/>
              <w:rPr>
                <w:rFonts w:ascii="宋体" w:hAnsi="宋体" w:eastAsia="宋体" w:cs="宋体"/>
                <w:sz w:val="18"/>
                <w:szCs w:val="18"/>
              </w:rPr>
            </w:pPr>
            <w:r>
              <w:rPr>
                <w:rFonts w:ascii="宋体" w:hAnsi="宋体" w:eastAsia="宋体" w:cs="宋体"/>
                <w:sz w:val="18"/>
                <w:szCs w:val="18"/>
              </w:rPr>
              <w:t>公司、本公司、广生堂</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7DE09003">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298B574C">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福建广生堂药业股份有限公司</w:t>
            </w:r>
          </w:p>
        </w:tc>
      </w:tr>
      <w:tr w14:paraId="015576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7D514C98">
            <w:pPr>
              <w:spacing w:before="0" w:after="0" w:line="240" w:lineRule="exact"/>
              <w:jc w:val="left"/>
              <w:rPr>
                <w:rFonts w:ascii="宋体" w:hAnsi="宋体" w:eastAsia="宋体" w:cs="宋体"/>
                <w:sz w:val="18"/>
                <w:szCs w:val="18"/>
              </w:rPr>
            </w:pPr>
            <w:r>
              <w:rPr>
                <w:rFonts w:ascii="宋体" w:hAnsi="宋体" w:eastAsia="宋体" w:cs="宋体"/>
                <w:sz w:val="18"/>
                <w:szCs w:val="18"/>
              </w:rPr>
              <w:t>奥华集团</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399FD8A0">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68756F71">
            <w:pPr>
              <w:spacing w:before="0" w:after="0" w:line="240" w:lineRule="exact"/>
              <w:jc w:val="left"/>
              <w:rPr>
                <w:rFonts w:ascii="宋体" w:hAnsi="宋体" w:eastAsia="宋体" w:cs="宋体"/>
                <w:sz w:val="18"/>
                <w:szCs w:val="18"/>
              </w:rPr>
            </w:pPr>
            <w:r>
              <w:rPr>
                <w:rFonts w:ascii="宋体" w:hAnsi="宋体" w:eastAsia="宋体" w:cs="宋体"/>
                <w:sz w:val="18"/>
                <w:szCs w:val="18"/>
              </w:rPr>
              <w:t>福建奥华集团有限公司，公司控股股东</w:t>
            </w:r>
          </w:p>
        </w:tc>
      </w:tr>
      <w:tr w14:paraId="04666A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5F4C5563">
            <w:pPr>
              <w:spacing w:before="0" w:after="0" w:line="240" w:lineRule="exact"/>
              <w:jc w:val="left"/>
              <w:rPr>
                <w:rFonts w:ascii="宋体" w:hAnsi="宋体" w:eastAsia="宋体" w:cs="宋体"/>
                <w:sz w:val="18"/>
                <w:szCs w:val="18"/>
              </w:rPr>
            </w:pPr>
            <w:r>
              <w:rPr>
                <w:rFonts w:ascii="宋体" w:hAnsi="宋体" w:eastAsia="宋体" w:cs="宋体"/>
                <w:sz w:val="18"/>
                <w:szCs w:val="18"/>
              </w:rPr>
              <w:t>广生中霖</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034C88EA">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50355518">
            <w:pPr>
              <w:spacing w:before="0" w:after="0" w:line="240" w:lineRule="exact"/>
              <w:jc w:val="left"/>
              <w:rPr>
                <w:rFonts w:ascii="宋体" w:hAnsi="宋体" w:eastAsia="宋体" w:cs="宋体"/>
                <w:sz w:val="18"/>
                <w:szCs w:val="18"/>
              </w:rPr>
            </w:pPr>
            <w:r>
              <w:rPr>
                <w:rFonts w:ascii="宋体" w:hAnsi="宋体" w:eastAsia="宋体" w:cs="宋体"/>
                <w:sz w:val="18"/>
                <w:szCs w:val="18"/>
              </w:rPr>
              <w:t>福建广生中霖生物科技有限公司，本公司控股子公司</w:t>
            </w:r>
          </w:p>
        </w:tc>
      </w:tr>
      <w:tr w14:paraId="38DC6A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07A2633F">
            <w:pPr>
              <w:spacing w:before="0" w:after="0" w:line="240" w:lineRule="exact"/>
              <w:jc w:val="left"/>
              <w:rPr>
                <w:rFonts w:ascii="宋体" w:hAnsi="宋体" w:eastAsia="宋体" w:cs="宋体"/>
                <w:sz w:val="18"/>
                <w:szCs w:val="18"/>
              </w:rPr>
            </w:pPr>
            <w:r>
              <w:rPr>
                <w:rFonts w:ascii="宋体" w:hAnsi="宋体" w:eastAsia="宋体" w:cs="宋体"/>
                <w:sz w:val="18"/>
                <w:szCs w:val="18"/>
              </w:rPr>
              <w:t>金塘药业</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57DD401A">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60C18CA9">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福建广生堂金塘药业有限公司，本公司全资子公司</w:t>
            </w:r>
          </w:p>
        </w:tc>
      </w:tr>
      <w:tr w14:paraId="660935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4FFAF28D">
            <w:pPr>
              <w:spacing w:before="0" w:after="0" w:line="240" w:lineRule="exact"/>
              <w:jc w:val="left"/>
              <w:rPr>
                <w:rFonts w:ascii="宋体" w:hAnsi="宋体" w:eastAsia="宋体" w:cs="宋体"/>
                <w:sz w:val="18"/>
                <w:szCs w:val="18"/>
              </w:rPr>
            </w:pPr>
            <w:r>
              <w:rPr>
                <w:rFonts w:ascii="宋体" w:hAnsi="宋体" w:eastAsia="宋体" w:cs="宋体"/>
                <w:sz w:val="18"/>
                <w:szCs w:val="18"/>
              </w:rPr>
              <w:t>江苏中兴、中兴药业</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1351F711">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6B6E386C">
            <w:pPr>
              <w:spacing w:before="0" w:after="0" w:line="240" w:lineRule="exact"/>
              <w:jc w:val="left"/>
              <w:rPr>
                <w:rFonts w:ascii="宋体" w:hAnsi="宋体" w:eastAsia="宋体" w:cs="宋体"/>
                <w:sz w:val="18"/>
                <w:szCs w:val="18"/>
              </w:rPr>
            </w:pPr>
            <w:r>
              <w:rPr>
                <w:rFonts w:ascii="宋体" w:hAnsi="宋体" w:eastAsia="宋体" w:cs="宋体"/>
                <w:sz w:val="18"/>
                <w:szCs w:val="18"/>
              </w:rPr>
              <w:t>江苏中兴药业有限公司，本公司全资子公司</w:t>
            </w:r>
          </w:p>
        </w:tc>
      </w:tr>
      <w:tr w14:paraId="398199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6A5AF3F1">
            <w:pPr>
              <w:spacing w:before="0" w:after="0" w:line="240" w:lineRule="exact"/>
              <w:jc w:val="left"/>
              <w:rPr>
                <w:rFonts w:ascii="宋体" w:hAnsi="宋体" w:eastAsia="宋体" w:cs="宋体"/>
                <w:sz w:val="18"/>
                <w:szCs w:val="18"/>
              </w:rPr>
            </w:pPr>
            <w:r>
              <w:rPr>
                <w:rFonts w:ascii="宋体" w:hAnsi="宋体" w:eastAsia="宋体" w:cs="宋体"/>
                <w:sz w:val="18"/>
                <w:szCs w:val="18"/>
              </w:rPr>
              <w:t>福建博奥检验、博奥检验</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2437D70D">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38B94DDC">
            <w:pPr>
              <w:spacing w:before="0" w:after="0" w:line="240" w:lineRule="exact"/>
              <w:jc w:val="left"/>
              <w:rPr>
                <w:rFonts w:ascii="宋体" w:hAnsi="宋体" w:eastAsia="宋体" w:cs="宋体"/>
                <w:sz w:val="18"/>
                <w:szCs w:val="18"/>
              </w:rPr>
            </w:pPr>
            <w:r>
              <w:rPr>
                <w:rFonts w:ascii="宋体" w:hAnsi="宋体" w:eastAsia="宋体" w:cs="宋体"/>
                <w:sz w:val="18"/>
                <w:szCs w:val="18"/>
              </w:rPr>
              <w:t>福建博奥医学检验所有限公司，本公司联营公司</w:t>
            </w:r>
          </w:p>
        </w:tc>
      </w:tr>
      <w:tr w14:paraId="4F9776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49EBEE51">
            <w:pPr>
              <w:spacing w:before="0" w:after="0" w:line="240" w:lineRule="exact"/>
              <w:jc w:val="left"/>
              <w:rPr>
                <w:rFonts w:ascii="宋体" w:hAnsi="宋体" w:eastAsia="宋体" w:cs="宋体"/>
                <w:sz w:val="18"/>
                <w:szCs w:val="18"/>
              </w:rPr>
            </w:pPr>
            <w:r>
              <w:rPr>
                <w:rFonts w:ascii="宋体" w:hAnsi="宋体" w:eastAsia="宋体" w:cs="宋体"/>
                <w:sz w:val="18"/>
                <w:szCs w:val="18"/>
              </w:rPr>
              <w:t>瑞泰来</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67296408">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5DA6E5DF">
            <w:pPr>
              <w:spacing w:before="0" w:after="0" w:line="240" w:lineRule="exact"/>
              <w:jc w:val="left"/>
              <w:rPr>
                <w:rFonts w:ascii="宋体" w:hAnsi="宋体" w:eastAsia="宋体" w:cs="宋体"/>
                <w:sz w:val="18"/>
                <w:szCs w:val="18"/>
              </w:rPr>
            </w:pPr>
            <w:r>
              <w:rPr>
                <w:rFonts w:ascii="宋体" w:hAnsi="宋体" w:eastAsia="宋体" w:cs="宋体"/>
                <w:sz w:val="18"/>
                <w:szCs w:val="18"/>
              </w:rPr>
              <w:t>福建瑞泰来医药科技有限公司</w:t>
            </w:r>
          </w:p>
        </w:tc>
      </w:tr>
      <w:tr w14:paraId="513890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31BE798F">
            <w:pPr>
              <w:spacing w:before="0" w:after="0" w:line="240" w:lineRule="exact"/>
              <w:jc w:val="left"/>
              <w:rPr>
                <w:rFonts w:ascii="宋体" w:hAnsi="宋体" w:eastAsia="宋体" w:cs="宋体"/>
                <w:sz w:val="18"/>
                <w:szCs w:val="18"/>
              </w:rPr>
            </w:pPr>
            <w:r>
              <w:rPr>
                <w:rFonts w:ascii="宋体" w:hAnsi="宋体" w:eastAsia="宋体" w:cs="宋体"/>
                <w:sz w:val="18"/>
                <w:szCs w:val="18"/>
              </w:rPr>
              <w:t>股东大会、董事会、监事会</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4EC8070F">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4AD31634">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福建广生堂药业股份有限公司股东大会、董事会、监事会</w:t>
            </w:r>
          </w:p>
        </w:tc>
      </w:tr>
      <w:tr w14:paraId="5857AB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0710C2C5">
            <w:pPr>
              <w:spacing w:before="0" w:after="0" w:line="240" w:lineRule="exact"/>
              <w:jc w:val="left"/>
              <w:rPr>
                <w:rFonts w:ascii="宋体" w:hAnsi="宋体" w:eastAsia="宋体" w:cs="宋体"/>
                <w:sz w:val="18"/>
                <w:szCs w:val="18"/>
              </w:rPr>
            </w:pPr>
            <w:r>
              <w:rPr>
                <w:rFonts w:ascii="宋体" w:hAnsi="宋体" w:eastAsia="宋体" w:cs="宋体"/>
                <w:sz w:val="18"/>
                <w:szCs w:val="18"/>
              </w:rPr>
              <w:t>泰中定</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10FA96EC">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33A8028B">
            <w:pPr>
              <w:spacing w:before="0" w:after="0" w:line="240" w:lineRule="exact"/>
              <w:jc w:val="left"/>
              <w:rPr>
                <w:rFonts w:ascii="宋体" w:hAnsi="宋体" w:eastAsia="宋体" w:cs="宋体"/>
                <w:sz w:val="18"/>
                <w:szCs w:val="18"/>
              </w:rPr>
            </w:pPr>
            <w:r>
              <w:rPr>
                <w:rFonts w:ascii="宋体" w:hAnsi="宋体" w:eastAsia="宋体" w:cs="宋体"/>
                <w:sz w:val="18"/>
                <w:szCs w:val="18"/>
              </w:rPr>
              <w:t>公司创新药阿泰特韦片/利托那韦片组合包装商品名</w:t>
            </w:r>
          </w:p>
        </w:tc>
      </w:tr>
      <w:tr w14:paraId="7F1E97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44FDF501">
            <w:pPr>
              <w:spacing w:before="0" w:after="0" w:line="240" w:lineRule="exact"/>
              <w:jc w:val="left"/>
              <w:rPr>
                <w:rFonts w:ascii="宋体" w:hAnsi="宋体" w:eastAsia="宋体" w:cs="宋体"/>
                <w:sz w:val="18"/>
                <w:szCs w:val="18"/>
              </w:rPr>
            </w:pPr>
            <w:r>
              <w:rPr>
                <w:rFonts w:ascii="宋体" w:hAnsi="宋体" w:eastAsia="宋体" w:cs="宋体"/>
                <w:sz w:val="18"/>
                <w:szCs w:val="18"/>
              </w:rPr>
              <w:t>阿甘定</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510AB785">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5F50D8F7">
            <w:pPr>
              <w:spacing w:before="0" w:after="0" w:line="240" w:lineRule="exact"/>
              <w:jc w:val="left"/>
              <w:rPr>
                <w:rFonts w:ascii="宋体" w:hAnsi="宋体" w:eastAsia="宋体" w:cs="宋体"/>
                <w:sz w:val="18"/>
                <w:szCs w:val="18"/>
              </w:rPr>
            </w:pPr>
            <w:r>
              <w:rPr>
                <w:rFonts w:ascii="宋体" w:hAnsi="宋体" w:eastAsia="宋体" w:cs="宋体"/>
                <w:sz w:val="18"/>
                <w:szCs w:val="18"/>
              </w:rPr>
              <w:t>公司阿德福韦酯片的商品名</w:t>
            </w:r>
          </w:p>
        </w:tc>
      </w:tr>
      <w:tr w14:paraId="4578FD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3AF7D8D2">
            <w:pPr>
              <w:spacing w:before="0" w:after="0" w:line="240" w:lineRule="exact"/>
              <w:jc w:val="left"/>
              <w:rPr>
                <w:rFonts w:ascii="宋体" w:hAnsi="宋体" w:eastAsia="宋体" w:cs="宋体"/>
                <w:sz w:val="18"/>
                <w:szCs w:val="18"/>
              </w:rPr>
            </w:pPr>
            <w:r>
              <w:rPr>
                <w:rFonts w:ascii="宋体" w:hAnsi="宋体" w:eastAsia="宋体" w:cs="宋体"/>
                <w:sz w:val="18"/>
                <w:szCs w:val="18"/>
              </w:rPr>
              <w:t>贺甘定</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2F7EBCAF">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0CB74E3A">
            <w:pPr>
              <w:spacing w:before="0" w:after="0" w:line="240" w:lineRule="exact"/>
              <w:jc w:val="left"/>
              <w:rPr>
                <w:rFonts w:ascii="宋体" w:hAnsi="宋体" w:eastAsia="宋体" w:cs="宋体"/>
                <w:sz w:val="18"/>
                <w:szCs w:val="18"/>
              </w:rPr>
            </w:pPr>
            <w:r>
              <w:rPr>
                <w:rFonts w:ascii="宋体" w:hAnsi="宋体" w:eastAsia="宋体" w:cs="宋体"/>
                <w:sz w:val="18"/>
                <w:szCs w:val="18"/>
              </w:rPr>
              <w:t>公司拉米夫定片的商品名</w:t>
            </w:r>
          </w:p>
        </w:tc>
      </w:tr>
      <w:tr w14:paraId="182119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41ADD7AF">
            <w:pPr>
              <w:spacing w:before="0" w:after="0" w:line="240" w:lineRule="exact"/>
              <w:jc w:val="left"/>
              <w:rPr>
                <w:rFonts w:ascii="宋体" w:hAnsi="宋体" w:eastAsia="宋体" w:cs="宋体"/>
                <w:sz w:val="18"/>
                <w:szCs w:val="18"/>
              </w:rPr>
            </w:pPr>
            <w:r>
              <w:rPr>
                <w:rFonts w:ascii="宋体" w:hAnsi="宋体" w:eastAsia="宋体" w:cs="宋体"/>
                <w:sz w:val="18"/>
                <w:szCs w:val="18"/>
              </w:rPr>
              <w:t>恩甘定</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0439F554">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6BE7AB19">
            <w:pPr>
              <w:spacing w:before="0" w:after="0" w:line="240" w:lineRule="exact"/>
              <w:jc w:val="left"/>
              <w:rPr>
                <w:rFonts w:ascii="宋体" w:hAnsi="宋体" w:eastAsia="宋体" w:cs="宋体"/>
                <w:sz w:val="18"/>
                <w:szCs w:val="18"/>
              </w:rPr>
            </w:pPr>
            <w:r>
              <w:rPr>
                <w:rFonts w:ascii="宋体" w:hAnsi="宋体" w:eastAsia="宋体" w:cs="宋体"/>
                <w:sz w:val="18"/>
                <w:szCs w:val="18"/>
              </w:rPr>
              <w:t>公司恩替卡韦胶囊的商品名</w:t>
            </w:r>
          </w:p>
        </w:tc>
      </w:tr>
      <w:tr w14:paraId="2367A3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0F38663F">
            <w:pPr>
              <w:spacing w:before="0" w:after="0" w:line="240" w:lineRule="exact"/>
              <w:jc w:val="left"/>
              <w:rPr>
                <w:rFonts w:ascii="宋体" w:hAnsi="宋体" w:eastAsia="宋体" w:cs="宋体"/>
                <w:sz w:val="18"/>
                <w:szCs w:val="18"/>
              </w:rPr>
            </w:pPr>
            <w:r>
              <w:rPr>
                <w:rFonts w:ascii="宋体" w:hAnsi="宋体" w:eastAsia="宋体" w:cs="宋体"/>
                <w:sz w:val="18"/>
                <w:szCs w:val="18"/>
              </w:rPr>
              <w:t>甘大夫</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64795D2C">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0C478513">
            <w:pPr>
              <w:spacing w:before="0" w:after="0" w:line="240" w:lineRule="exact"/>
              <w:jc w:val="left"/>
              <w:rPr>
                <w:rFonts w:ascii="宋体" w:hAnsi="宋体" w:eastAsia="宋体" w:cs="宋体"/>
                <w:sz w:val="18"/>
                <w:szCs w:val="18"/>
              </w:rPr>
            </w:pPr>
            <w:r>
              <w:rPr>
                <w:rFonts w:ascii="宋体" w:hAnsi="宋体" w:eastAsia="宋体" w:cs="宋体"/>
                <w:sz w:val="18"/>
                <w:szCs w:val="18"/>
              </w:rPr>
              <w:t>公司恩替卡韦片的商品名</w:t>
            </w:r>
          </w:p>
        </w:tc>
      </w:tr>
      <w:tr w14:paraId="3BA2A4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5908C506">
            <w:pPr>
              <w:spacing w:before="0" w:after="0" w:line="240" w:lineRule="exact"/>
              <w:jc w:val="left"/>
              <w:rPr>
                <w:rFonts w:ascii="宋体" w:hAnsi="宋体" w:eastAsia="宋体" w:cs="宋体"/>
                <w:sz w:val="18"/>
                <w:szCs w:val="18"/>
              </w:rPr>
            </w:pPr>
            <w:r>
              <w:rPr>
                <w:rFonts w:ascii="宋体" w:hAnsi="宋体" w:eastAsia="宋体" w:cs="宋体"/>
                <w:sz w:val="18"/>
                <w:szCs w:val="18"/>
              </w:rPr>
              <w:t>福甘定</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79BCF88D">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58E489B9">
            <w:pPr>
              <w:spacing w:before="0" w:after="0" w:line="240" w:lineRule="exact"/>
              <w:jc w:val="left"/>
              <w:rPr>
                <w:rFonts w:ascii="宋体" w:hAnsi="宋体" w:eastAsia="宋体" w:cs="宋体"/>
                <w:sz w:val="18"/>
                <w:szCs w:val="18"/>
              </w:rPr>
            </w:pPr>
            <w:r>
              <w:rPr>
                <w:rFonts w:ascii="宋体" w:hAnsi="宋体" w:eastAsia="宋体" w:cs="宋体"/>
                <w:sz w:val="18"/>
                <w:szCs w:val="18"/>
              </w:rPr>
              <w:t>公司富马酸替诺福韦二吡呋酯胶囊的商品名</w:t>
            </w:r>
          </w:p>
        </w:tc>
      </w:tr>
      <w:tr w14:paraId="582AD6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77F72AA3">
            <w:pPr>
              <w:spacing w:before="0" w:after="0" w:line="240" w:lineRule="exact"/>
              <w:jc w:val="left"/>
              <w:rPr>
                <w:rFonts w:ascii="宋体" w:hAnsi="宋体" w:eastAsia="宋体" w:cs="宋体"/>
                <w:sz w:val="18"/>
                <w:szCs w:val="18"/>
              </w:rPr>
            </w:pPr>
            <w:r>
              <w:rPr>
                <w:rFonts w:ascii="宋体" w:hAnsi="宋体" w:eastAsia="宋体" w:cs="宋体"/>
                <w:sz w:val="18"/>
                <w:szCs w:val="18"/>
              </w:rPr>
              <w:t>泰甘定</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09AE076E">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3CB4DEFF">
            <w:pPr>
              <w:spacing w:before="0" w:after="0" w:line="240" w:lineRule="exact"/>
              <w:jc w:val="left"/>
              <w:rPr>
                <w:rFonts w:ascii="宋体" w:hAnsi="宋体" w:eastAsia="宋体" w:cs="宋体"/>
                <w:sz w:val="18"/>
                <w:szCs w:val="18"/>
              </w:rPr>
            </w:pPr>
            <w:r>
              <w:rPr>
                <w:rFonts w:ascii="宋体" w:hAnsi="宋体" w:eastAsia="宋体" w:cs="宋体"/>
                <w:sz w:val="18"/>
                <w:szCs w:val="18"/>
              </w:rPr>
              <w:t>公司富马酸丙酚替诺福韦片的商品名</w:t>
            </w:r>
          </w:p>
        </w:tc>
      </w:tr>
      <w:tr w14:paraId="39E44B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44EB90AD">
            <w:pPr>
              <w:spacing w:before="0" w:after="0" w:line="240" w:lineRule="exact"/>
              <w:jc w:val="left"/>
              <w:rPr>
                <w:rFonts w:ascii="宋体" w:hAnsi="宋体" w:eastAsia="宋体" w:cs="宋体"/>
                <w:sz w:val="18"/>
                <w:szCs w:val="18"/>
              </w:rPr>
            </w:pPr>
            <w:r>
              <w:rPr>
                <w:rFonts w:ascii="宋体" w:hAnsi="宋体" w:eastAsia="宋体" w:cs="宋体"/>
                <w:sz w:val="18"/>
                <w:szCs w:val="18"/>
              </w:rPr>
              <w:t>劲哥</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04E960BC">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5A714E13">
            <w:pPr>
              <w:spacing w:before="0" w:after="0" w:line="240" w:lineRule="exact"/>
              <w:jc w:val="left"/>
              <w:rPr>
                <w:rFonts w:ascii="宋体" w:hAnsi="宋体" w:eastAsia="宋体" w:cs="宋体"/>
                <w:sz w:val="18"/>
                <w:szCs w:val="18"/>
              </w:rPr>
            </w:pPr>
            <w:r>
              <w:rPr>
                <w:rFonts w:ascii="宋体" w:hAnsi="宋体" w:eastAsia="宋体" w:cs="宋体"/>
                <w:sz w:val="18"/>
                <w:szCs w:val="18"/>
              </w:rPr>
              <w:t>公司枸橼酸西地那非片的商品名</w:t>
            </w:r>
          </w:p>
        </w:tc>
      </w:tr>
      <w:tr w14:paraId="616D3D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757FFE6F">
            <w:pPr>
              <w:spacing w:before="0" w:after="0" w:line="240" w:lineRule="exact"/>
              <w:jc w:val="left"/>
              <w:rPr>
                <w:rFonts w:ascii="宋体" w:hAnsi="宋体" w:eastAsia="宋体" w:cs="宋体"/>
                <w:sz w:val="18"/>
                <w:szCs w:val="18"/>
              </w:rPr>
            </w:pPr>
            <w:r>
              <w:rPr>
                <w:rFonts w:ascii="宋体" w:hAnsi="宋体" w:eastAsia="宋体" w:cs="宋体"/>
                <w:sz w:val="18"/>
                <w:szCs w:val="18"/>
              </w:rPr>
              <w:t>久哥</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181E296D">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24898FAE">
            <w:pPr>
              <w:spacing w:before="0" w:after="0" w:line="240" w:lineRule="exact"/>
              <w:jc w:val="left"/>
              <w:rPr>
                <w:rFonts w:ascii="宋体" w:hAnsi="宋体" w:eastAsia="宋体" w:cs="宋体"/>
                <w:sz w:val="18"/>
                <w:szCs w:val="18"/>
              </w:rPr>
            </w:pPr>
            <w:r>
              <w:rPr>
                <w:rFonts w:ascii="宋体" w:hAnsi="宋体" w:eastAsia="宋体" w:cs="宋体"/>
                <w:sz w:val="18"/>
                <w:szCs w:val="18"/>
              </w:rPr>
              <w:t>公司他达拉非片的商品名</w:t>
            </w:r>
          </w:p>
        </w:tc>
      </w:tr>
      <w:tr w14:paraId="403202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008974FC">
            <w:pPr>
              <w:spacing w:before="0" w:after="0" w:line="240" w:lineRule="exact"/>
              <w:jc w:val="left"/>
              <w:rPr>
                <w:rFonts w:ascii="宋体" w:hAnsi="宋体" w:eastAsia="宋体" w:cs="宋体"/>
                <w:sz w:val="18"/>
                <w:szCs w:val="18"/>
              </w:rPr>
            </w:pPr>
            <w:r>
              <w:rPr>
                <w:rFonts w:ascii="宋体" w:hAnsi="宋体" w:eastAsia="宋体" w:cs="宋体"/>
                <w:sz w:val="18"/>
                <w:szCs w:val="18"/>
              </w:rPr>
              <w:t>达哥</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761254D2">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101F8599">
            <w:pPr>
              <w:spacing w:before="0" w:after="0" w:line="240" w:lineRule="exact"/>
              <w:jc w:val="left"/>
              <w:rPr>
                <w:rFonts w:ascii="宋体" w:hAnsi="宋体" w:eastAsia="宋体" w:cs="宋体"/>
                <w:sz w:val="18"/>
                <w:szCs w:val="18"/>
              </w:rPr>
            </w:pPr>
            <w:r>
              <w:rPr>
                <w:rFonts w:ascii="宋体" w:hAnsi="宋体" w:eastAsia="宋体" w:cs="宋体"/>
                <w:sz w:val="18"/>
                <w:szCs w:val="18"/>
              </w:rPr>
              <w:t>公司盐酸达泊西汀片的商品名</w:t>
            </w:r>
          </w:p>
        </w:tc>
      </w:tr>
      <w:tr w14:paraId="64A075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0B732863">
            <w:pPr>
              <w:spacing w:before="0" w:after="0" w:line="240" w:lineRule="exact"/>
              <w:jc w:val="left"/>
              <w:rPr>
                <w:rFonts w:ascii="宋体" w:hAnsi="宋体" w:eastAsia="宋体" w:cs="宋体"/>
                <w:sz w:val="18"/>
                <w:szCs w:val="18"/>
              </w:rPr>
            </w:pPr>
            <w:r>
              <w:rPr>
                <w:rFonts w:ascii="宋体" w:hAnsi="宋体" w:eastAsia="宋体" w:cs="宋体"/>
                <w:sz w:val="18"/>
                <w:szCs w:val="18"/>
              </w:rPr>
              <w:t>通诺安</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5DB58A2B">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781394E0">
            <w:pPr>
              <w:spacing w:before="0" w:after="0" w:line="240" w:lineRule="exact"/>
              <w:jc w:val="left"/>
              <w:rPr>
                <w:rFonts w:ascii="宋体" w:hAnsi="宋体" w:eastAsia="宋体" w:cs="宋体"/>
                <w:sz w:val="18"/>
                <w:szCs w:val="18"/>
              </w:rPr>
            </w:pPr>
            <w:r>
              <w:rPr>
                <w:rFonts w:ascii="宋体" w:hAnsi="宋体" w:eastAsia="宋体" w:cs="宋体"/>
                <w:sz w:val="18"/>
                <w:szCs w:val="18"/>
              </w:rPr>
              <w:t>公司利伐沙班片的商品名</w:t>
            </w:r>
          </w:p>
        </w:tc>
      </w:tr>
      <w:tr w14:paraId="273C5F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041035F8">
            <w:pPr>
              <w:spacing w:before="0" w:after="0" w:line="240" w:lineRule="exact"/>
              <w:jc w:val="left"/>
              <w:rPr>
                <w:rFonts w:ascii="宋体" w:hAnsi="宋体" w:eastAsia="宋体" w:cs="宋体"/>
                <w:sz w:val="18"/>
                <w:szCs w:val="18"/>
              </w:rPr>
            </w:pPr>
            <w:r>
              <w:rPr>
                <w:rFonts w:ascii="宋体" w:hAnsi="宋体" w:eastAsia="宋体" w:cs="宋体"/>
                <w:sz w:val="18"/>
                <w:szCs w:val="18"/>
              </w:rPr>
              <w:t>清诺安</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5F7C6D78">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669F05C7">
            <w:pPr>
              <w:spacing w:before="0" w:after="0" w:line="240" w:lineRule="exact"/>
              <w:jc w:val="left"/>
              <w:rPr>
                <w:rFonts w:ascii="宋体" w:hAnsi="宋体" w:eastAsia="宋体" w:cs="宋体"/>
                <w:sz w:val="18"/>
                <w:szCs w:val="18"/>
              </w:rPr>
            </w:pPr>
            <w:r>
              <w:rPr>
                <w:rFonts w:ascii="宋体" w:hAnsi="宋体" w:eastAsia="宋体" w:cs="宋体"/>
                <w:sz w:val="18"/>
                <w:szCs w:val="18"/>
              </w:rPr>
              <w:t>公司匹伐他汀钙片的商品名</w:t>
            </w:r>
          </w:p>
        </w:tc>
      </w:tr>
      <w:tr w14:paraId="71AF4B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6F6FB41A">
            <w:pPr>
              <w:spacing w:before="0" w:after="0" w:line="240" w:lineRule="exact"/>
              <w:jc w:val="left"/>
              <w:rPr>
                <w:rFonts w:ascii="宋体" w:hAnsi="宋体" w:eastAsia="宋体" w:cs="宋体"/>
                <w:sz w:val="18"/>
                <w:szCs w:val="18"/>
              </w:rPr>
            </w:pPr>
            <w:r>
              <w:rPr>
                <w:rFonts w:ascii="宋体" w:hAnsi="宋体" w:eastAsia="宋体" w:cs="宋体"/>
                <w:sz w:val="18"/>
                <w:szCs w:val="18"/>
              </w:rPr>
              <w:t>东区</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1F42C2DC">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5CFFEA33">
            <w:pPr>
              <w:spacing w:before="0" w:after="0" w:line="240" w:lineRule="exact"/>
              <w:jc w:val="left"/>
              <w:rPr>
                <w:rFonts w:ascii="宋体" w:hAnsi="宋体" w:eastAsia="宋体" w:cs="宋体"/>
                <w:sz w:val="18"/>
                <w:szCs w:val="18"/>
              </w:rPr>
            </w:pPr>
            <w:r>
              <w:rPr>
                <w:rFonts w:ascii="宋体" w:hAnsi="宋体" w:eastAsia="宋体" w:cs="宋体"/>
                <w:sz w:val="18"/>
                <w:szCs w:val="18"/>
              </w:rPr>
              <w:t>上海、安徽、江苏、浙江、江西、福建</w:t>
            </w:r>
          </w:p>
        </w:tc>
      </w:tr>
      <w:tr w14:paraId="001B16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77F76BBC">
            <w:pPr>
              <w:spacing w:before="0" w:after="0" w:line="240" w:lineRule="exact"/>
              <w:jc w:val="left"/>
              <w:rPr>
                <w:rFonts w:ascii="宋体" w:hAnsi="宋体" w:eastAsia="宋体" w:cs="宋体"/>
                <w:sz w:val="18"/>
                <w:szCs w:val="18"/>
              </w:rPr>
            </w:pPr>
            <w:r>
              <w:rPr>
                <w:rFonts w:ascii="宋体" w:hAnsi="宋体" w:eastAsia="宋体" w:cs="宋体"/>
                <w:sz w:val="18"/>
                <w:szCs w:val="18"/>
              </w:rPr>
              <w:t>南区</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7C8AE7E9">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55AF803C">
            <w:pPr>
              <w:spacing w:before="0" w:after="0" w:line="240" w:lineRule="exact"/>
              <w:jc w:val="left"/>
              <w:rPr>
                <w:rFonts w:ascii="宋体" w:hAnsi="宋体" w:eastAsia="宋体" w:cs="宋体"/>
                <w:sz w:val="18"/>
                <w:szCs w:val="18"/>
              </w:rPr>
            </w:pPr>
            <w:r>
              <w:rPr>
                <w:rFonts w:ascii="宋体" w:hAnsi="宋体" w:eastAsia="宋体" w:cs="宋体"/>
                <w:sz w:val="18"/>
                <w:szCs w:val="18"/>
              </w:rPr>
              <w:t>广东、广西、海南、湖南、湖北</w:t>
            </w:r>
          </w:p>
        </w:tc>
      </w:tr>
      <w:tr w14:paraId="2B295E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4902F763">
            <w:pPr>
              <w:spacing w:before="0" w:after="0" w:line="240" w:lineRule="exact"/>
              <w:jc w:val="left"/>
              <w:rPr>
                <w:rFonts w:ascii="宋体" w:hAnsi="宋体" w:eastAsia="宋体" w:cs="宋体"/>
                <w:sz w:val="18"/>
                <w:szCs w:val="18"/>
              </w:rPr>
            </w:pPr>
            <w:r>
              <w:rPr>
                <w:rFonts w:ascii="宋体" w:hAnsi="宋体" w:eastAsia="宋体" w:cs="宋体"/>
                <w:sz w:val="18"/>
                <w:szCs w:val="18"/>
              </w:rPr>
              <w:t>北区</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07E5822D">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58657F15">
            <w:pPr>
              <w:spacing w:before="0" w:after="0" w:line="240" w:lineRule="exact"/>
              <w:jc w:val="left"/>
              <w:rPr>
                <w:rFonts w:ascii="宋体" w:hAnsi="宋体" w:eastAsia="宋体" w:cs="宋体"/>
                <w:sz w:val="18"/>
                <w:szCs w:val="18"/>
              </w:rPr>
            </w:pPr>
            <w:r>
              <w:rPr>
                <w:rFonts w:ascii="宋体" w:hAnsi="宋体" w:eastAsia="宋体" w:cs="宋体"/>
                <w:sz w:val="18"/>
                <w:szCs w:val="18"/>
              </w:rPr>
              <w:t>黑龙江、吉林、辽宁、内蒙古、北京、天津、河北、山东</w:t>
            </w:r>
          </w:p>
        </w:tc>
      </w:tr>
      <w:tr w14:paraId="4D9960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1863F24B">
            <w:pPr>
              <w:spacing w:before="0" w:after="0" w:line="240" w:lineRule="exact"/>
              <w:jc w:val="left"/>
              <w:rPr>
                <w:rFonts w:ascii="宋体" w:hAnsi="宋体" w:eastAsia="宋体" w:cs="宋体"/>
                <w:sz w:val="18"/>
                <w:szCs w:val="18"/>
              </w:rPr>
            </w:pPr>
            <w:r>
              <w:rPr>
                <w:rFonts w:ascii="宋体" w:hAnsi="宋体" w:eastAsia="宋体" w:cs="宋体"/>
                <w:sz w:val="18"/>
                <w:szCs w:val="18"/>
              </w:rPr>
              <w:t>西北区</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38EFB5F6">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25BEEF7D">
            <w:pPr>
              <w:spacing w:before="0" w:after="0" w:line="240" w:lineRule="exact"/>
              <w:jc w:val="left"/>
              <w:rPr>
                <w:rFonts w:ascii="宋体" w:hAnsi="宋体" w:eastAsia="宋体" w:cs="宋体"/>
                <w:sz w:val="18"/>
                <w:szCs w:val="18"/>
              </w:rPr>
            </w:pPr>
            <w:r>
              <w:rPr>
                <w:rFonts w:ascii="宋体" w:hAnsi="宋体" w:eastAsia="宋体" w:cs="宋体"/>
                <w:sz w:val="18"/>
                <w:szCs w:val="18"/>
              </w:rPr>
              <w:t>新疆、宁夏、甘肃、青海、陕西、山西、河南</w:t>
            </w:r>
          </w:p>
        </w:tc>
      </w:tr>
      <w:tr w14:paraId="6F3DA3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16E31A23">
            <w:pPr>
              <w:spacing w:before="0" w:after="0" w:line="240" w:lineRule="exact"/>
              <w:jc w:val="left"/>
              <w:rPr>
                <w:rFonts w:ascii="宋体" w:hAnsi="宋体" w:eastAsia="宋体" w:cs="宋体"/>
                <w:sz w:val="18"/>
                <w:szCs w:val="18"/>
              </w:rPr>
            </w:pPr>
            <w:r>
              <w:rPr>
                <w:rFonts w:ascii="宋体" w:hAnsi="宋体" w:eastAsia="宋体" w:cs="宋体"/>
                <w:sz w:val="18"/>
                <w:szCs w:val="18"/>
              </w:rPr>
              <w:t>西南区</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58BC1CC8">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3FF58A06">
            <w:pPr>
              <w:spacing w:before="0" w:after="0" w:line="240" w:lineRule="exact"/>
              <w:jc w:val="left"/>
              <w:rPr>
                <w:rFonts w:ascii="宋体" w:hAnsi="宋体" w:eastAsia="宋体" w:cs="宋体"/>
                <w:sz w:val="18"/>
                <w:szCs w:val="18"/>
              </w:rPr>
            </w:pPr>
            <w:r>
              <w:rPr>
                <w:rFonts w:ascii="宋体" w:hAnsi="宋体" w:eastAsia="宋体" w:cs="宋体"/>
                <w:sz w:val="18"/>
                <w:szCs w:val="18"/>
              </w:rPr>
              <w:t>四川、重庆、贵州、云南、西藏</w:t>
            </w:r>
          </w:p>
        </w:tc>
      </w:tr>
      <w:tr w14:paraId="57FDFB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5702B02C">
            <w:pPr>
              <w:spacing w:before="0" w:after="0" w:line="240" w:lineRule="exact"/>
              <w:jc w:val="left"/>
              <w:rPr>
                <w:rFonts w:ascii="宋体" w:hAnsi="宋体" w:eastAsia="宋体" w:cs="宋体"/>
                <w:sz w:val="18"/>
                <w:szCs w:val="18"/>
              </w:rPr>
            </w:pPr>
            <w:r>
              <w:rPr>
                <w:rFonts w:ascii="宋体" w:hAnsi="宋体" w:eastAsia="宋体" w:cs="宋体"/>
                <w:sz w:val="18"/>
                <w:szCs w:val="18"/>
              </w:rPr>
              <w:t>报告期、本报告期</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43C76AA1">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07057753">
            <w:pPr>
              <w:spacing w:before="0" w:after="0" w:line="240" w:lineRule="exact"/>
              <w:jc w:val="left"/>
              <w:rPr>
                <w:rFonts w:ascii="宋体" w:hAnsi="宋体" w:eastAsia="宋体" w:cs="宋体"/>
                <w:sz w:val="18"/>
                <w:szCs w:val="18"/>
              </w:rPr>
            </w:pPr>
            <w:r>
              <w:rPr>
                <w:rFonts w:ascii="宋体" w:hAnsi="宋体" w:eastAsia="宋体" w:cs="宋体"/>
                <w:sz w:val="18"/>
                <w:szCs w:val="18"/>
              </w:rPr>
              <w:t>2024年1月1日至2024年12月31日</w:t>
            </w:r>
          </w:p>
        </w:tc>
      </w:tr>
      <w:tr w14:paraId="14652F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59523D8A">
            <w:pPr>
              <w:spacing w:before="0" w:after="0" w:line="240" w:lineRule="exact"/>
              <w:jc w:val="left"/>
              <w:rPr>
                <w:rFonts w:ascii="宋体" w:hAnsi="宋体" w:eastAsia="宋体" w:cs="宋体"/>
                <w:sz w:val="18"/>
                <w:szCs w:val="18"/>
              </w:rPr>
            </w:pPr>
            <w:r>
              <w:rPr>
                <w:rFonts w:ascii="宋体" w:hAnsi="宋体" w:eastAsia="宋体" w:cs="宋体"/>
                <w:sz w:val="18"/>
                <w:szCs w:val="18"/>
              </w:rPr>
              <w:t>上年同期、去年同期</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58077673">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4AE9E329">
            <w:pPr>
              <w:spacing w:before="0" w:after="0" w:line="240" w:lineRule="exact"/>
              <w:jc w:val="left"/>
              <w:rPr>
                <w:rFonts w:ascii="宋体" w:hAnsi="宋体" w:eastAsia="宋体" w:cs="宋体"/>
                <w:sz w:val="18"/>
                <w:szCs w:val="18"/>
              </w:rPr>
            </w:pPr>
            <w:r>
              <w:rPr>
                <w:rFonts w:ascii="宋体" w:hAnsi="宋体" w:eastAsia="宋体" w:cs="宋体"/>
                <w:sz w:val="18"/>
                <w:szCs w:val="18"/>
              </w:rPr>
              <w:t>2023年1月1日至2023年12月31日</w:t>
            </w:r>
          </w:p>
        </w:tc>
      </w:tr>
      <w:tr w14:paraId="7A2686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39196ADE">
            <w:pPr>
              <w:spacing w:before="0" w:after="0" w:line="240" w:lineRule="exact"/>
              <w:jc w:val="left"/>
              <w:rPr>
                <w:rFonts w:ascii="宋体" w:hAnsi="宋体" w:eastAsia="宋体" w:cs="宋体"/>
                <w:sz w:val="18"/>
                <w:szCs w:val="18"/>
              </w:rPr>
            </w:pPr>
            <w:r>
              <w:rPr>
                <w:rFonts w:ascii="宋体" w:hAnsi="宋体" w:eastAsia="宋体" w:cs="宋体"/>
                <w:sz w:val="18"/>
                <w:szCs w:val="18"/>
              </w:rPr>
              <w:t>报告期末、本报告期末</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79990A3D">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24276581">
            <w:pPr>
              <w:spacing w:before="0" w:after="0" w:line="240" w:lineRule="exact"/>
              <w:jc w:val="left"/>
              <w:rPr>
                <w:rFonts w:ascii="宋体" w:hAnsi="宋体" w:eastAsia="宋体" w:cs="宋体"/>
                <w:sz w:val="18"/>
                <w:szCs w:val="18"/>
              </w:rPr>
            </w:pPr>
            <w:r>
              <w:rPr>
                <w:rFonts w:ascii="宋体" w:hAnsi="宋体" w:eastAsia="宋体" w:cs="宋体"/>
                <w:sz w:val="18"/>
                <w:szCs w:val="18"/>
              </w:rPr>
              <w:t>2024年12月31日</w:t>
            </w:r>
          </w:p>
        </w:tc>
      </w:tr>
      <w:tr w14:paraId="7A01E3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87" w:type="dxa"/>
            <w:tcBorders>
              <w:top w:val="single" w:color="auto" w:sz="2" w:space="0"/>
              <w:left w:val="single" w:color="auto" w:sz="2" w:space="0"/>
              <w:bottom w:val="single" w:color="auto" w:sz="2" w:space="0"/>
              <w:right w:val="single" w:color="auto" w:sz="2" w:space="0"/>
            </w:tcBorders>
            <w:vAlign w:val="center"/>
          </w:tcPr>
          <w:p w14:paraId="1A6D63D0">
            <w:pPr>
              <w:spacing w:before="0" w:after="0" w:line="240" w:lineRule="exact"/>
              <w:jc w:val="left"/>
              <w:rPr>
                <w:rFonts w:ascii="宋体" w:hAnsi="宋体" w:eastAsia="宋体" w:cs="宋体"/>
                <w:sz w:val="18"/>
                <w:szCs w:val="18"/>
              </w:rPr>
            </w:pPr>
            <w:r>
              <w:rPr>
                <w:rFonts w:ascii="宋体" w:hAnsi="宋体" w:eastAsia="宋体" w:cs="宋体"/>
                <w:sz w:val="18"/>
                <w:szCs w:val="18"/>
              </w:rPr>
              <w:t>元、万元</w:t>
            </w:r>
          </w:p>
        </w:tc>
        <w:tc>
          <w:tcPr>
            <w:tcW w:w="670" w:type="dxa"/>
            <w:tcBorders>
              <w:top w:val="single" w:color="auto" w:sz="2" w:space="0"/>
              <w:left w:val="single" w:color="auto" w:sz="2" w:space="0"/>
              <w:bottom w:val="single" w:color="auto" w:sz="2" w:space="0"/>
              <w:right w:val="single" w:color="auto" w:sz="2" w:space="0"/>
            </w:tcBorders>
            <w:shd w:val="clear" w:color="auto" w:fill="D3D3D3"/>
            <w:vAlign w:val="center"/>
          </w:tcPr>
          <w:p w14:paraId="4253D407">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6382" w:type="dxa"/>
            <w:tcBorders>
              <w:top w:val="single" w:color="auto" w:sz="2" w:space="0"/>
              <w:left w:val="single" w:color="auto" w:sz="2" w:space="0"/>
              <w:bottom w:val="single" w:color="auto" w:sz="2" w:space="0"/>
              <w:right w:val="single" w:color="auto" w:sz="2" w:space="0"/>
            </w:tcBorders>
            <w:vAlign w:val="center"/>
          </w:tcPr>
          <w:p w14:paraId="053525BA">
            <w:pPr>
              <w:spacing w:before="0" w:after="0" w:line="240" w:lineRule="exact"/>
              <w:jc w:val="left"/>
              <w:rPr>
                <w:rFonts w:ascii="宋体" w:hAnsi="宋体" w:eastAsia="宋体" w:cs="宋体"/>
                <w:sz w:val="18"/>
                <w:szCs w:val="18"/>
              </w:rPr>
            </w:pPr>
            <w:r>
              <w:rPr>
                <w:rFonts w:ascii="宋体" w:hAnsi="宋体" w:eastAsia="宋体" w:cs="宋体"/>
                <w:sz w:val="18"/>
                <w:szCs w:val="18"/>
              </w:rPr>
              <w:t>人民币元、人民币万元</w:t>
            </w:r>
          </w:p>
        </w:tc>
      </w:tr>
    </w:tbl>
    <w:p w14:paraId="1D839290">
      <w:r>
        <w:br w:type="page"/>
      </w:r>
    </w:p>
    <w:p w14:paraId="64CE710A">
      <w:pPr>
        <w:keepNext/>
        <w:keepLines/>
        <w:spacing w:before="340" w:after="330" w:line="773" w:lineRule="exact"/>
        <w:jc w:val="center"/>
        <w:outlineLvl w:val="0"/>
        <w:rPr>
          <w:rFonts w:ascii="宋体" w:hAnsi="宋体" w:eastAsia="宋体" w:cs="宋体"/>
          <w:b/>
          <w:bCs/>
          <w:sz w:val="32"/>
          <w:szCs w:val="32"/>
        </w:rPr>
      </w:pPr>
      <w:bookmarkStart w:id="1" w:name="_Toc988890"/>
      <w:r>
        <w:rPr>
          <w:rFonts w:ascii="宋体" w:hAnsi="宋体" w:eastAsia="宋体" w:cs="宋体"/>
          <w:b/>
          <w:bCs/>
          <w:sz w:val="32"/>
          <w:szCs w:val="32"/>
        </w:rPr>
        <w:t>第二节 公司简介和主要财务指标</w:t>
      </w:r>
      <w:bookmarkEnd w:id="1"/>
    </w:p>
    <w:p w14:paraId="0FDCF217">
      <w:pPr>
        <w:keepNext/>
        <w:keepLines/>
        <w:spacing w:before="300" w:after="300" w:line="320" w:lineRule="exact"/>
        <w:jc w:val="left"/>
        <w:outlineLvl w:val="1"/>
        <w:rPr>
          <w:rFonts w:ascii="宋体" w:hAnsi="宋体" w:eastAsia="宋体" w:cs="宋体"/>
          <w:b/>
          <w:bCs/>
          <w:sz w:val="24"/>
          <w:szCs w:val="24"/>
        </w:rPr>
      </w:pPr>
      <w:bookmarkStart w:id="2" w:name="_Toc988891"/>
      <w:r>
        <w:rPr>
          <w:rFonts w:ascii="宋体" w:hAnsi="宋体" w:eastAsia="宋体" w:cs="宋体"/>
          <w:b/>
          <w:bCs/>
          <w:sz w:val="24"/>
          <w:szCs w:val="24"/>
        </w:rPr>
        <w:t>一、公司信息</w:t>
      </w:r>
      <w:bookmarkEnd w:id="2"/>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7E4B97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88E077B">
            <w:pPr>
              <w:spacing w:before="40" w:after="40" w:line="240" w:lineRule="exact"/>
              <w:jc w:val="left"/>
              <w:rPr>
                <w:rFonts w:ascii="宋体" w:hAnsi="宋体" w:eastAsia="宋体" w:cs="宋体"/>
                <w:sz w:val="18"/>
                <w:szCs w:val="18"/>
              </w:rPr>
            </w:pPr>
            <w:r>
              <w:rPr>
                <w:rFonts w:ascii="宋体" w:hAnsi="宋体" w:eastAsia="宋体" w:cs="宋体"/>
                <w:sz w:val="18"/>
                <w:szCs w:val="18"/>
              </w:rPr>
              <w:t>股票简称</w:t>
            </w:r>
          </w:p>
        </w:tc>
        <w:tc>
          <w:tcPr>
            <w:tcW w:w="2410" w:type="dxa"/>
            <w:tcBorders>
              <w:top w:val="single" w:color="auto" w:sz="2" w:space="0"/>
              <w:left w:val="single" w:color="auto" w:sz="2" w:space="0"/>
              <w:bottom w:val="single" w:color="auto" w:sz="2" w:space="0"/>
              <w:right w:val="single" w:color="auto" w:sz="2" w:space="0"/>
            </w:tcBorders>
            <w:vAlign w:val="center"/>
          </w:tcPr>
          <w:p w14:paraId="6E611BE6">
            <w:pPr>
              <w:spacing w:before="0" w:after="0" w:line="240" w:lineRule="exact"/>
              <w:jc w:val="left"/>
              <w:rPr>
                <w:rFonts w:ascii="宋体" w:hAnsi="宋体" w:eastAsia="宋体" w:cs="宋体"/>
                <w:sz w:val="18"/>
                <w:szCs w:val="18"/>
              </w:rPr>
            </w:pPr>
            <w:r>
              <w:rPr>
                <w:rFonts w:ascii="宋体" w:hAnsi="宋体" w:eastAsia="宋体" w:cs="宋体"/>
                <w:sz w:val="18"/>
                <w:szCs w:val="18"/>
              </w:rPr>
              <w:t>广生堂</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E9633AA">
            <w:pPr>
              <w:spacing w:before="40" w:after="40" w:line="240" w:lineRule="exact"/>
              <w:jc w:val="left"/>
              <w:rPr>
                <w:rFonts w:ascii="宋体" w:hAnsi="宋体" w:eastAsia="宋体" w:cs="宋体"/>
                <w:sz w:val="18"/>
                <w:szCs w:val="18"/>
              </w:rPr>
            </w:pPr>
            <w:r>
              <w:rPr>
                <w:rFonts w:ascii="宋体" w:hAnsi="宋体" w:eastAsia="宋体" w:cs="宋体"/>
                <w:sz w:val="18"/>
                <w:szCs w:val="18"/>
              </w:rPr>
              <w:t>股票代码</w:t>
            </w:r>
          </w:p>
        </w:tc>
        <w:tc>
          <w:tcPr>
            <w:tcW w:w="2410" w:type="dxa"/>
            <w:tcBorders>
              <w:top w:val="single" w:color="auto" w:sz="2" w:space="0"/>
              <w:left w:val="single" w:color="auto" w:sz="2" w:space="0"/>
              <w:bottom w:val="single" w:color="auto" w:sz="2" w:space="0"/>
              <w:right w:val="single" w:color="auto" w:sz="2" w:space="0"/>
            </w:tcBorders>
            <w:vAlign w:val="center"/>
          </w:tcPr>
          <w:p w14:paraId="41FACC11">
            <w:pPr>
              <w:spacing w:before="0" w:after="0" w:line="240" w:lineRule="exact"/>
              <w:jc w:val="left"/>
              <w:rPr>
                <w:rFonts w:ascii="宋体" w:hAnsi="宋体" w:eastAsia="宋体" w:cs="宋体"/>
                <w:sz w:val="18"/>
                <w:szCs w:val="18"/>
              </w:rPr>
            </w:pPr>
            <w:r>
              <w:rPr>
                <w:rFonts w:ascii="宋体" w:hAnsi="宋体" w:eastAsia="宋体" w:cs="宋体"/>
                <w:sz w:val="18"/>
                <w:szCs w:val="18"/>
              </w:rPr>
              <w:t>300436</w:t>
            </w:r>
          </w:p>
        </w:tc>
      </w:tr>
      <w:tr w14:paraId="0B06CA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9909942">
            <w:pPr>
              <w:spacing w:before="40" w:after="40" w:line="240" w:lineRule="exact"/>
              <w:jc w:val="left"/>
              <w:rPr>
                <w:rFonts w:ascii="宋体" w:hAnsi="宋体" w:eastAsia="宋体" w:cs="宋体"/>
                <w:sz w:val="18"/>
                <w:szCs w:val="18"/>
              </w:rPr>
            </w:pPr>
            <w:r>
              <w:rPr>
                <w:rFonts w:ascii="宋体" w:hAnsi="宋体" w:eastAsia="宋体" w:cs="宋体"/>
                <w:sz w:val="18"/>
                <w:szCs w:val="18"/>
              </w:rPr>
              <w:t>公司的中文名称</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375A9524">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福建广生堂药业股份有限公司</w:t>
            </w:r>
          </w:p>
        </w:tc>
      </w:tr>
      <w:tr w14:paraId="52A995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454DC77">
            <w:pPr>
              <w:spacing w:before="40" w:after="40" w:line="240" w:lineRule="exact"/>
              <w:jc w:val="left"/>
              <w:rPr>
                <w:rFonts w:ascii="宋体" w:hAnsi="宋体" w:eastAsia="宋体" w:cs="宋体"/>
                <w:sz w:val="18"/>
                <w:szCs w:val="18"/>
              </w:rPr>
            </w:pPr>
            <w:r>
              <w:rPr>
                <w:rFonts w:ascii="宋体" w:hAnsi="宋体" w:eastAsia="宋体" w:cs="宋体"/>
                <w:sz w:val="18"/>
                <w:szCs w:val="18"/>
              </w:rPr>
              <w:t>公司的中文简称</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12AC2A5B">
            <w:pPr>
              <w:spacing w:before="0" w:after="0" w:line="240" w:lineRule="exact"/>
              <w:jc w:val="left"/>
              <w:rPr>
                <w:rFonts w:ascii="宋体" w:hAnsi="宋体" w:eastAsia="宋体" w:cs="宋体"/>
                <w:sz w:val="18"/>
                <w:szCs w:val="18"/>
              </w:rPr>
            </w:pPr>
            <w:r>
              <w:rPr>
                <w:rFonts w:ascii="宋体" w:hAnsi="宋体" w:eastAsia="宋体" w:cs="宋体"/>
                <w:sz w:val="18"/>
                <w:szCs w:val="18"/>
              </w:rPr>
              <w:t>广生堂</w:t>
            </w:r>
          </w:p>
        </w:tc>
      </w:tr>
      <w:tr w14:paraId="3CCBA1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AE75885">
            <w:pPr>
              <w:spacing w:before="40" w:after="40" w:line="240" w:lineRule="exact"/>
              <w:jc w:val="left"/>
              <w:rPr>
                <w:rFonts w:ascii="宋体" w:hAnsi="宋体" w:eastAsia="宋体" w:cs="宋体"/>
                <w:sz w:val="18"/>
                <w:szCs w:val="18"/>
              </w:rPr>
            </w:pPr>
            <w:r>
              <w:rPr>
                <w:rFonts w:ascii="宋体" w:hAnsi="宋体" w:eastAsia="宋体" w:cs="宋体"/>
                <w:sz w:val="18"/>
                <w:szCs w:val="18"/>
              </w:rPr>
              <w:t>公司的外文名称（如有）</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4D12C380">
            <w:pPr>
              <w:spacing w:before="0" w:after="0" w:line="240" w:lineRule="exact"/>
              <w:jc w:val="left"/>
              <w:rPr>
                <w:rFonts w:ascii="宋体" w:hAnsi="宋体" w:eastAsia="宋体" w:cs="宋体"/>
                <w:sz w:val="18"/>
                <w:szCs w:val="18"/>
              </w:rPr>
            </w:pPr>
            <w:r>
              <w:rPr>
                <w:rFonts w:ascii="宋体" w:hAnsi="宋体" w:eastAsia="宋体" w:cs="宋体"/>
                <w:sz w:val="18"/>
                <w:szCs w:val="18"/>
              </w:rPr>
              <w:t>Fujian Cosunter Pharmaceutical Co., Ltd.</w:t>
            </w:r>
          </w:p>
        </w:tc>
      </w:tr>
      <w:tr w14:paraId="4AF4A7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2F9E730">
            <w:pPr>
              <w:spacing w:before="40" w:after="40" w:line="240" w:lineRule="exact"/>
              <w:jc w:val="left"/>
              <w:rPr>
                <w:rFonts w:ascii="宋体" w:hAnsi="宋体" w:eastAsia="宋体" w:cs="宋体"/>
                <w:sz w:val="18"/>
                <w:szCs w:val="18"/>
              </w:rPr>
            </w:pPr>
            <w:r>
              <w:rPr>
                <w:rFonts w:ascii="宋体" w:hAnsi="宋体" w:eastAsia="宋体" w:cs="宋体"/>
                <w:sz w:val="18"/>
                <w:szCs w:val="18"/>
              </w:rPr>
              <w:t>公司的外文名称缩写（如有）</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7BCEA254">
            <w:pPr>
              <w:spacing w:before="0" w:after="0" w:line="240" w:lineRule="exact"/>
              <w:jc w:val="left"/>
              <w:rPr>
                <w:rFonts w:ascii="宋体" w:hAnsi="宋体" w:eastAsia="宋体" w:cs="宋体"/>
                <w:sz w:val="18"/>
                <w:szCs w:val="18"/>
              </w:rPr>
            </w:pPr>
            <w:r>
              <w:rPr>
                <w:rFonts w:ascii="宋体" w:hAnsi="宋体" w:eastAsia="宋体" w:cs="宋体"/>
                <w:sz w:val="18"/>
                <w:szCs w:val="18"/>
              </w:rPr>
              <w:t>Cosunter</w:t>
            </w:r>
          </w:p>
        </w:tc>
      </w:tr>
      <w:tr w14:paraId="2F278C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0C9C08A">
            <w:pPr>
              <w:spacing w:before="40" w:after="40" w:line="240" w:lineRule="exact"/>
              <w:jc w:val="left"/>
              <w:rPr>
                <w:rFonts w:ascii="宋体" w:hAnsi="宋体" w:eastAsia="宋体" w:cs="宋体"/>
                <w:sz w:val="18"/>
                <w:szCs w:val="18"/>
              </w:rPr>
            </w:pPr>
            <w:r>
              <w:rPr>
                <w:rFonts w:ascii="宋体" w:hAnsi="宋体" w:eastAsia="宋体" w:cs="宋体"/>
                <w:sz w:val="18"/>
                <w:szCs w:val="18"/>
              </w:rPr>
              <w:t>公司的法定代表人</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3EC34277">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r>
      <w:tr w14:paraId="2242E2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C0D7678">
            <w:pPr>
              <w:spacing w:before="40" w:after="40" w:line="240" w:lineRule="exact"/>
              <w:jc w:val="left"/>
              <w:rPr>
                <w:rFonts w:ascii="宋体" w:hAnsi="宋体" w:eastAsia="宋体" w:cs="宋体"/>
                <w:sz w:val="18"/>
                <w:szCs w:val="18"/>
              </w:rPr>
            </w:pPr>
            <w:r>
              <w:rPr>
                <w:rFonts w:ascii="宋体" w:hAnsi="宋体" w:eastAsia="宋体" w:cs="宋体"/>
                <w:sz w:val="18"/>
                <w:szCs w:val="18"/>
              </w:rPr>
              <w:t>注册地址</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04D98A03">
            <w:pPr>
              <w:spacing w:before="0" w:after="0" w:line="240" w:lineRule="exact"/>
              <w:jc w:val="left"/>
              <w:rPr>
                <w:rFonts w:ascii="宋体" w:hAnsi="宋体" w:eastAsia="宋体" w:cs="宋体"/>
                <w:sz w:val="18"/>
                <w:szCs w:val="18"/>
              </w:rPr>
            </w:pPr>
            <w:r>
              <w:rPr>
                <w:rFonts w:ascii="宋体" w:hAnsi="宋体" w:eastAsia="宋体" w:cs="宋体"/>
                <w:sz w:val="18"/>
                <w:szCs w:val="18"/>
              </w:rPr>
              <w:t>福建省宁德市柘荣县富源工业园区1-7幢</w:t>
            </w:r>
          </w:p>
        </w:tc>
      </w:tr>
      <w:tr w14:paraId="4946C4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1E68E63">
            <w:pPr>
              <w:spacing w:before="40" w:after="40" w:line="240" w:lineRule="exact"/>
              <w:jc w:val="left"/>
              <w:rPr>
                <w:rFonts w:ascii="宋体" w:hAnsi="宋体" w:eastAsia="宋体" w:cs="宋体"/>
                <w:sz w:val="18"/>
                <w:szCs w:val="18"/>
              </w:rPr>
            </w:pPr>
            <w:r>
              <w:rPr>
                <w:rFonts w:ascii="宋体" w:hAnsi="宋体" w:eastAsia="宋体" w:cs="宋体"/>
                <w:sz w:val="18"/>
                <w:szCs w:val="18"/>
              </w:rPr>
              <w:t>注册地址的邮政编码</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116063D4">
            <w:pPr>
              <w:spacing w:before="0" w:after="0" w:line="240" w:lineRule="exact"/>
              <w:jc w:val="left"/>
              <w:rPr>
                <w:rFonts w:ascii="宋体" w:hAnsi="宋体" w:eastAsia="宋体" w:cs="宋体"/>
                <w:sz w:val="18"/>
                <w:szCs w:val="18"/>
              </w:rPr>
            </w:pPr>
            <w:r>
              <w:rPr>
                <w:rFonts w:ascii="宋体" w:hAnsi="宋体" w:eastAsia="宋体" w:cs="宋体"/>
                <w:sz w:val="18"/>
                <w:szCs w:val="18"/>
              </w:rPr>
              <w:t>355399</w:t>
            </w:r>
          </w:p>
        </w:tc>
      </w:tr>
      <w:tr w14:paraId="1E2493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0AF5634">
            <w:pPr>
              <w:spacing w:before="40" w:after="40" w:line="240" w:lineRule="exact"/>
              <w:jc w:val="left"/>
              <w:rPr>
                <w:rFonts w:ascii="宋体" w:hAnsi="宋体" w:eastAsia="宋体" w:cs="宋体"/>
                <w:sz w:val="18"/>
                <w:szCs w:val="18"/>
              </w:rPr>
            </w:pPr>
            <w:r>
              <w:rPr>
                <w:rFonts w:ascii="宋体" w:hAnsi="宋体" w:eastAsia="宋体" w:cs="宋体"/>
                <w:sz w:val="18"/>
                <w:szCs w:val="18"/>
              </w:rPr>
              <w:t>公司注册地址历史变更情况</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513442E4">
            <w:pPr>
              <w:spacing w:before="0" w:after="0" w:line="240" w:lineRule="exact"/>
              <w:jc w:val="left"/>
              <w:rPr>
                <w:rFonts w:ascii="宋体" w:hAnsi="宋体" w:eastAsia="宋体" w:cs="宋体"/>
                <w:sz w:val="18"/>
                <w:szCs w:val="18"/>
              </w:rPr>
            </w:pPr>
            <w:r>
              <w:rPr>
                <w:rFonts w:ascii="宋体" w:hAnsi="宋体" w:eastAsia="宋体" w:cs="宋体"/>
                <w:sz w:val="18"/>
                <w:szCs w:val="18"/>
              </w:rPr>
              <w:t>由“柘荣县东源乡富源工业区”变更为“福建省宁德市柘荣县富源工业园区 1-7 幢”</w:t>
            </w:r>
          </w:p>
        </w:tc>
      </w:tr>
      <w:tr w14:paraId="366832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3F558E4">
            <w:pPr>
              <w:spacing w:before="40" w:after="40" w:line="240" w:lineRule="exact"/>
              <w:jc w:val="left"/>
              <w:rPr>
                <w:rFonts w:ascii="宋体" w:hAnsi="宋体" w:eastAsia="宋体" w:cs="宋体"/>
                <w:sz w:val="18"/>
                <w:szCs w:val="18"/>
              </w:rPr>
            </w:pPr>
            <w:r>
              <w:rPr>
                <w:rFonts w:ascii="宋体" w:hAnsi="宋体" w:eastAsia="宋体" w:cs="宋体"/>
                <w:sz w:val="18"/>
                <w:szCs w:val="18"/>
              </w:rPr>
              <w:t>办公地址</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63A62C55">
            <w:pPr>
              <w:spacing w:before="0" w:after="0" w:line="240" w:lineRule="exact"/>
              <w:jc w:val="left"/>
              <w:rPr>
                <w:rFonts w:ascii="宋体" w:hAnsi="宋体" w:eastAsia="宋体" w:cs="宋体"/>
                <w:sz w:val="18"/>
                <w:szCs w:val="18"/>
              </w:rPr>
            </w:pPr>
            <w:r>
              <w:rPr>
                <w:rFonts w:ascii="宋体" w:hAnsi="宋体" w:eastAsia="宋体" w:cs="宋体"/>
                <w:sz w:val="18"/>
                <w:szCs w:val="18"/>
              </w:rPr>
              <w:t>福建省福州市闽侯县福州高新区乌龙江中大道7号海西高新技术产业园创新园二期16号楼</w:t>
            </w:r>
          </w:p>
        </w:tc>
      </w:tr>
      <w:tr w14:paraId="1B7A86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9FC10C4">
            <w:pPr>
              <w:spacing w:before="40" w:after="40" w:line="240" w:lineRule="exact"/>
              <w:jc w:val="left"/>
              <w:rPr>
                <w:rFonts w:ascii="宋体" w:hAnsi="宋体" w:eastAsia="宋体" w:cs="宋体"/>
                <w:sz w:val="18"/>
                <w:szCs w:val="18"/>
              </w:rPr>
            </w:pPr>
            <w:r>
              <w:rPr>
                <w:rFonts w:ascii="宋体" w:hAnsi="宋体" w:eastAsia="宋体" w:cs="宋体"/>
                <w:sz w:val="18"/>
                <w:szCs w:val="18"/>
              </w:rPr>
              <w:t>办公地址的邮政编码</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29E4F9AE">
            <w:pPr>
              <w:spacing w:before="0" w:after="0" w:line="240" w:lineRule="exact"/>
              <w:jc w:val="left"/>
              <w:rPr>
                <w:rFonts w:ascii="宋体" w:hAnsi="宋体" w:eastAsia="宋体" w:cs="宋体"/>
                <w:sz w:val="18"/>
                <w:szCs w:val="18"/>
              </w:rPr>
            </w:pPr>
            <w:r>
              <w:rPr>
                <w:rFonts w:ascii="宋体" w:hAnsi="宋体" w:eastAsia="宋体" w:cs="宋体"/>
                <w:sz w:val="18"/>
                <w:szCs w:val="18"/>
              </w:rPr>
              <w:t>350108</w:t>
            </w:r>
          </w:p>
        </w:tc>
      </w:tr>
      <w:tr w14:paraId="5859DB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04D9C6C">
            <w:pPr>
              <w:spacing w:before="40" w:after="40" w:line="240" w:lineRule="exact"/>
              <w:jc w:val="left"/>
              <w:rPr>
                <w:rFonts w:ascii="宋体" w:hAnsi="宋体" w:eastAsia="宋体" w:cs="宋体"/>
                <w:sz w:val="18"/>
                <w:szCs w:val="18"/>
              </w:rPr>
            </w:pPr>
            <w:r>
              <w:rPr>
                <w:rFonts w:ascii="宋体" w:hAnsi="宋体" w:eastAsia="宋体" w:cs="宋体"/>
                <w:sz w:val="18"/>
                <w:szCs w:val="18"/>
              </w:rPr>
              <w:t>公司网址</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786CC9D4">
            <w:pPr>
              <w:spacing w:before="0" w:after="0" w:line="240" w:lineRule="exact"/>
              <w:jc w:val="left"/>
              <w:rPr>
                <w:rFonts w:ascii="宋体" w:hAnsi="宋体" w:eastAsia="宋体" w:cs="宋体"/>
                <w:sz w:val="18"/>
                <w:szCs w:val="18"/>
              </w:rPr>
            </w:pPr>
            <w:r>
              <w:rPr>
                <w:rFonts w:ascii="宋体" w:hAnsi="宋体" w:eastAsia="宋体" w:cs="宋体"/>
                <w:sz w:val="18"/>
                <w:szCs w:val="18"/>
              </w:rPr>
              <w:t>www.cosunter.com</w:t>
            </w:r>
          </w:p>
        </w:tc>
      </w:tr>
      <w:tr w14:paraId="3A6CE6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8E04C8E">
            <w:pPr>
              <w:spacing w:before="40" w:after="40" w:line="240" w:lineRule="exact"/>
              <w:jc w:val="left"/>
              <w:rPr>
                <w:rFonts w:ascii="宋体" w:hAnsi="宋体" w:eastAsia="宋体" w:cs="宋体"/>
                <w:sz w:val="18"/>
                <w:szCs w:val="18"/>
              </w:rPr>
            </w:pPr>
            <w:r>
              <w:rPr>
                <w:rFonts w:ascii="宋体" w:hAnsi="宋体" w:eastAsia="宋体" w:cs="宋体"/>
                <w:sz w:val="18"/>
                <w:szCs w:val="18"/>
              </w:rPr>
              <w:t>电子信箱</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28C0ADFD">
            <w:pPr>
              <w:spacing w:before="0" w:after="0" w:line="240" w:lineRule="exact"/>
              <w:jc w:val="left"/>
              <w:rPr>
                <w:rFonts w:ascii="宋体" w:hAnsi="宋体" w:eastAsia="宋体" w:cs="宋体"/>
                <w:sz w:val="18"/>
                <w:szCs w:val="18"/>
              </w:rPr>
            </w:pPr>
            <w:r>
              <w:rPr>
                <w:rFonts w:ascii="宋体" w:hAnsi="宋体" w:eastAsia="宋体" w:cs="宋体"/>
                <w:sz w:val="18"/>
                <w:szCs w:val="18"/>
              </w:rPr>
              <w:t>zhangqinghe@cosunter.com</w:t>
            </w:r>
          </w:p>
        </w:tc>
      </w:tr>
    </w:tbl>
    <w:p w14:paraId="67452E72">
      <w:pPr>
        <w:keepNext/>
        <w:keepLines/>
        <w:spacing w:before="300" w:after="300" w:line="320" w:lineRule="exact"/>
        <w:jc w:val="left"/>
        <w:outlineLvl w:val="1"/>
        <w:rPr>
          <w:rFonts w:ascii="宋体" w:hAnsi="宋体" w:eastAsia="宋体" w:cs="宋体"/>
          <w:b/>
          <w:bCs/>
          <w:sz w:val="24"/>
          <w:szCs w:val="24"/>
        </w:rPr>
      </w:pPr>
      <w:bookmarkStart w:id="3" w:name="_Toc988892"/>
      <w:r>
        <w:rPr>
          <w:rFonts w:ascii="宋体" w:hAnsi="宋体" w:eastAsia="宋体" w:cs="宋体"/>
          <w:b/>
          <w:bCs/>
          <w:sz w:val="24"/>
          <w:szCs w:val="24"/>
        </w:rPr>
        <w:t>二、联系人和联系方式</w:t>
      </w:r>
      <w:bookmarkEnd w:id="3"/>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707"/>
        <w:gridCol w:w="4030"/>
        <w:gridCol w:w="3902"/>
      </w:tblGrid>
      <w:tr w14:paraId="740209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7" w:type="dxa"/>
            <w:tcBorders>
              <w:top w:val="single" w:color="auto" w:sz="2" w:space="0"/>
              <w:left w:val="single" w:color="auto" w:sz="2" w:space="0"/>
              <w:bottom w:val="single" w:color="auto" w:sz="2" w:space="0"/>
              <w:right w:val="single" w:color="auto" w:sz="2" w:space="0"/>
            </w:tcBorders>
            <w:shd w:val="clear" w:color="auto" w:fill="D3D3D3"/>
            <w:vAlign w:val="center"/>
          </w:tcPr>
          <w:p w14:paraId="5F8A47ED"/>
        </w:tc>
        <w:tc>
          <w:tcPr>
            <w:tcW w:w="4030" w:type="dxa"/>
            <w:tcBorders>
              <w:top w:val="single" w:color="auto" w:sz="2" w:space="0"/>
              <w:left w:val="single" w:color="auto" w:sz="2" w:space="0"/>
              <w:bottom w:val="single" w:color="auto" w:sz="2" w:space="0"/>
              <w:right w:val="single" w:color="auto" w:sz="2" w:space="0"/>
            </w:tcBorders>
            <w:shd w:val="clear" w:color="auto" w:fill="D3D3D3"/>
            <w:vAlign w:val="center"/>
          </w:tcPr>
          <w:p w14:paraId="2CF848E7">
            <w:pPr>
              <w:spacing w:before="40" w:after="40" w:line="240" w:lineRule="exact"/>
              <w:jc w:val="center"/>
              <w:rPr>
                <w:rFonts w:ascii="宋体" w:hAnsi="宋体" w:eastAsia="宋体" w:cs="宋体"/>
                <w:sz w:val="18"/>
                <w:szCs w:val="18"/>
              </w:rPr>
            </w:pPr>
            <w:r>
              <w:rPr>
                <w:rFonts w:ascii="宋体" w:hAnsi="宋体" w:eastAsia="宋体" w:cs="宋体"/>
                <w:sz w:val="18"/>
                <w:szCs w:val="18"/>
              </w:rPr>
              <w:t>董事会秘书</w:t>
            </w:r>
          </w:p>
        </w:tc>
        <w:tc>
          <w:tcPr>
            <w:tcW w:w="3902" w:type="dxa"/>
            <w:tcBorders>
              <w:top w:val="single" w:color="auto" w:sz="2" w:space="0"/>
              <w:left w:val="single" w:color="auto" w:sz="2" w:space="0"/>
              <w:bottom w:val="single" w:color="auto" w:sz="2" w:space="0"/>
              <w:right w:val="single" w:color="auto" w:sz="2" w:space="0"/>
            </w:tcBorders>
            <w:shd w:val="clear" w:color="auto" w:fill="D3D3D3"/>
            <w:vAlign w:val="center"/>
          </w:tcPr>
          <w:p w14:paraId="253920B1">
            <w:pPr>
              <w:spacing w:before="40" w:after="40" w:line="240" w:lineRule="exact"/>
              <w:jc w:val="center"/>
              <w:rPr>
                <w:rFonts w:ascii="宋体" w:hAnsi="宋体" w:eastAsia="宋体" w:cs="宋体"/>
                <w:sz w:val="18"/>
                <w:szCs w:val="18"/>
              </w:rPr>
            </w:pPr>
            <w:r>
              <w:rPr>
                <w:rFonts w:ascii="宋体" w:hAnsi="宋体" w:eastAsia="宋体" w:cs="宋体"/>
                <w:sz w:val="18"/>
                <w:szCs w:val="18"/>
              </w:rPr>
              <w:t>证券事务代表</w:t>
            </w:r>
          </w:p>
        </w:tc>
      </w:tr>
      <w:tr w14:paraId="1A80D2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7" w:type="dxa"/>
            <w:tcBorders>
              <w:top w:val="single" w:color="auto" w:sz="2" w:space="0"/>
              <w:left w:val="single" w:color="auto" w:sz="2" w:space="0"/>
              <w:bottom w:val="single" w:color="auto" w:sz="2" w:space="0"/>
              <w:right w:val="single" w:color="auto" w:sz="2" w:space="0"/>
            </w:tcBorders>
            <w:shd w:val="clear" w:color="auto" w:fill="D3D3D3"/>
            <w:vAlign w:val="center"/>
          </w:tcPr>
          <w:p w14:paraId="235BFBB9">
            <w:pPr>
              <w:spacing w:before="40" w:after="40" w:line="240" w:lineRule="exact"/>
              <w:jc w:val="left"/>
              <w:rPr>
                <w:rFonts w:ascii="宋体" w:hAnsi="宋体" w:eastAsia="宋体" w:cs="宋体"/>
                <w:sz w:val="18"/>
                <w:szCs w:val="18"/>
              </w:rPr>
            </w:pPr>
            <w:r>
              <w:rPr>
                <w:rFonts w:ascii="宋体" w:hAnsi="宋体" w:eastAsia="宋体" w:cs="宋体"/>
                <w:sz w:val="18"/>
                <w:szCs w:val="18"/>
              </w:rPr>
              <w:t>姓名</w:t>
            </w:r>
          </w:p>
        </w:tc>
        <w:tc>
          <w:tcPr>
            <w:tcW w:w="4030" w:type="dxa"/>
            <w:tcBorders>
              <w:top w:val="single" w:color="auto" w:sz="2" w:space="0"/>
              <w:left w:val="single" w:color="auto" w:sz="2" w:space="0"/>
              <w:bottom w:val="single" w:color="auto" w:sz="2" w:space="0"/>
              <w:right w:val="single" w:color="auto" w:sz="2" w:space="0"/>
            </w:tcBorders>
            <w:vAlign w:val="center"/>
          </w:tcPr>
          <w:p w14:paraId="3033B73A">
            <w:pPr>
              <w:spacing w:before="0" w:after="0" w:line="240" w:lineRule="exact"/>
              <w:jc w:val="left"/>
              <w:rPr>
                <w:rFonts w:ascii="宋体" w:hAnsi="宋体" w:eastAsia="宋体" w:cs="宋体"/>
                <w:sz w:val="18"/>
                <w:szCs w:val="18"/>
              </w:rPr>
            </w:pPr>
            <w:r>
              <w:rPr>
                <w:rFonts w:ascii="宋体" w:hAnsi="宋体" w:eastAsia="宋体" w:cs="宋体"/>
                <w:sz w:val="18"/>
                <w:szCs w:val="18"/>
              </w:rPr>
              <w:t>张清河</w:t>
            </w:r>
          </w:p>
        </w:tc>
        <w:tc>
          <w:tcPr>
            <w:tcW w:w="3902" w:type="dxa"/>
            <w:tcBorders>
              <w:top w:val="single" w:color="auto" w:sz="2" w:space="0"/>
              <w:left w:val="single" w:color="auto" w:sz="2" w:space="0"/>
              <w:bottom w:val="single" w:color="auto" w:sz="2" w:space="0"/>
              <w:right w:val="single" w:color="auto" w:sz="2" w:space="0"/>
            </w:tcBorders>
            <w:vAlign w:val="center"/>
          </w:tcPr>
          <w:p w14:paraId="5C3B7D66">
            <w:pPr>
              <w:spacing w:before="0" w:after="0" w:line="240" w:lineRule="exact"/>
              <w:jc w:val="left"/>
              <w:rPr>
                <w:rFonts w:ascii="宋体" w:hAnsi="宋体" w:eastAsia="宋体" w:cs="宋体"/>
                <w:sz w:val="18"/>
                <w:szCs w:val="18"/>
              </w:rPr>
            </w:pPr>
            <w:r>
              <w:rPr>
                <w:rFonts w:ascii="宋体" w:hAnsi="宋体" w:eastAsia="宋体" w:cs="宋体"/>
                <w:sz w:val="18"/>
                <w:szCs w:val="18"/>
              </w:rPr>
              <w:t>陈丹青</w:t>
            </w:r>
          </w:p>
        </w:tc>
      </w:tr>
      <w:tr w14:paraId="7FF5CE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7" w:type="dxa"/>
            <w:tcBorders>
              <w:top w:val="single" w:color="auto" w:sz="2" w:space="0"/>
              <w:left w:val="single" w:color="auto" w:sz="2" w:space="0"/>
              <w:bottom w:val="single" w:color="auto" w:sz="2" w:space="0"/>
              <w:right w:val="single" w:color="auto" w:sz="2" w:space="0"/>
            </w:tcBorders>
            <w:shd w:val="clear" w:color="auto" w:fill="D3D3D3"/>
            <w:vAlign w:val="center"/>
          </w:tcPr>
          <w:p w14:paraId="53BF4892">
            <w:pPr>
              <w:spacing w:before="40" w:after="40" w:line="240" w:lineRule="exact"/>
              <w:jc w:val="left"/>
              <w:rPr>
                <w:rFonts w:ascii="宋体" w:hAnsi="宋体" w:eastAsia="宋体" w:cs="宋体"/>
                <w:sz w:val="18"/>
                <w:szCs w:val="18"/>
              </w:rPr>
            </w:pPr>
            <w:r>
              <w:rPr>
                <w:rFonts w:ascii="宋体" w:hAnsi="宋体" w:eastAsia="宋体" w:cs="宋体"/>
                <w:sz w:val="18"/>
                <w:szCs w:val="18"/>
              </w:rPr>
              <w:t>联系地址</w:t>
            </w:r>
          </w:p>
        </w:tc>
        <w:tc>
          <w:tcPr>
            <w:tcW w:w="4030" w:type="dxa"/>
            <w:tcBorders>
              <w:top w:val="single" w:color="auto" w:sz="2" w:space="0"/>
              <w:left w:val="single" w:color="auto" w:sz="2" w:space="0"/>
              <w:bottom w:val="single" w:color="auto" w:sz="2" w:space="0"/>
              <w:right w:val="single" w:color="auto" w:sz="2" w:space="0"/>
            </w:tcBorders>
            <w:vAlign w:val="center"/>
          </w:tcPr>
          <w:p w14:paraId="4D3212DC">
            <w:pPr>
              <w:spacing w:before="0" w:after="0" w:line="240" w:lineRule="exact"/>
              <w:jc w:val="left"/>
              <w:rPr>
                <w:rFonts w:ascii="宋体" w:hAnsi="宋体" w:eastAsia="宋体" w:cs="宋体"/>
                <w:sz w:val="18"/>
                <w:szCs w:val="18"/>
              </w:rPr>
            </w:pPr>
            <w:r>
              <w:rPr>
                <w:rFonts w:ascii="宋体" w:hAnsi="宋体" w:eastAsia="宋体" w:cs="宋体"/>
                <w:sz w:val="18"/>
                <w:szCs w:val="18"/>
              </w:rPr>
              <w:t>福建省福州市闽侯县福州高新区乌龙江中大道7号海西高新技术产业园创新园二期16号楼</w:t>
            </w:r>
          </w:p>
        </w:tc>
        <w:tc>
          <w:tcPr>
            <w:tcW w:w="3902" w:type="dxa"/>
            <w:tcBorders>
              <w:top w:val="single" w:color="auto" w:sz="2" w:space="0"/>
              <w:left w:val="single" w:color="auto" w:sz="2" w:space="0"/>
              <w:bottom w:val="single" w:color="auto" w:sz="2" w:space="0"/>
              <w:right w:val="single" w:color="auto" w:sz="2" w:space="0"/>
            </w:tcBorders>
            <w:vAlign w:val="center"/>
          </w:tcPr>
          <w:p w14:paraId="2E6F6FF0">
            <w:pPr>
              <w:spacing w:before="0" w:after="0" w:line="240" w:lineRule="exact"/>
              <w:jc w:val="left"/>
              <w:rPr>
                <w:rFonts w:ascii="宋体" w:hAnsi="宋体" w:eastAsia="宋体" w:cs="宋体"/>
                <w:sz w:val="18"/>
                <w:szCs w:val="18"/>
              </w:rPr>
            </w:pPr>
            <w:r>
              <w:rPr>
                <w:rFonts w:ascii="宋体" w:hAnsi="宋体" w:eastAsia="宋体" w:cs="宋体"/>
                <w:sz w:val="18"/>
                <w:szCs w:val="18"/>
              </w:rPr>
              <w:t>福建省福州市闽侯县福州高新区乌龙江中大道7号海西高新技术产业园创新园二期16号楼</w:t>
            </w:r>
          </w:p>
        </w:tc>
      </w:tr>
      <w:tr w14:paraId="7EDA9C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7" w:type="dxa"/>
            <w:tcBorders>
              <w:top w:val="single" w:color="auto" w:sz="2" w:space="0"/>
              <w:left w:val="single" w:color="auto" w:sz="2" w:space="0"/>
              <w:bottom w:val="single" w:color="auto" w:sz="2" w:space="0"/>
              <w:right w:val="single" w:color="auto" w:sz="2" w:space="0"/>
            </w:tcBorders>
            <w:shd w:val="clear" w:color="auto" w:fill="D3D3D3"/>
            <w:vAlign w:val="center"/>
          </w:tcPr>
          <w:p w14:paraId="048A7CB2">
            <w:pPr>
              <w:spacing w:before="40" w:after="40" w:line="240" w:lineRule="exact"/>
              <w:jc w:val="left"/>
              <w:rPr>
                <w:rFonts w:ascii="宋体" w:hAnsi="宋体" w:eastAsia="宋体" w:cs="宋体"/>
                <w:sz w:val="18"/>
                <w:szCs w:val="18"/>
              </w:rPr>
            </w:pPr>
            <w:r>
              <w:rPr>
                <w:rFonts w:ascii="宋体" w:hAnsi="宋体" w:eastAsia="宋体" w:cs="宋体"/>
                <w:sz w:val="18"/>
                <w:szCs w:val="18"/>
              </w:rPr>
              <w:t>电话</w:t>
            </w:r>
          </w:p>
        </w:tc>
        <w:tc>
          <w:tcPr>
            <w:tcW w:w="4030" w:type="dxa"/>
            <w:tcBorders>
              <w:top w:val="single" w:color="auto" w:sz="2" w:space="0"/>
              <w:left w:val="single" w:color="auto" w:sz="2" w:space="0"/>
              <w:bottom w:val="single" w:color="auto" w:sz="2" w:space="0"/>
              <w:right w:val="single" w:color="auto" w:sz="2" w:space="0"/>
            </w:tcBorders>
            <w:vAlign w:val="center"/>
          </w:tcPr>
          <w:p w14:paraId="44CB0FFE">
            <w:pPr>
              <w:spacing w:before="0" w:after="0" w:line="240" w:lineRule="exact"/>
              <w:jc w:val="left"/>
              <w:rPr>
                <w:rFonts w:ascii="宋体" w:hAnsi="宋体" w:eastAsia="宋体" w:cs="宋体"/>
                <w:sz w:val="18"/>
                <w:szCs w:val="18"/>
              </w:rPr>
            </w:pPr>
            <w:r>
              <w:rPr>
                <w:rFonts w:ascii="宋体" w:hAnsi="宋体" w:eastAsia="宋体" w:cs="宋体"/>
                <w:sz w:val="18"/>
                <w:szCs w:val="18"/>
              </w:rPr>
              <w:t>0591-38265188</w:t>
            </w:r>
          </w:p>
        </w:tc>
        <w:tc>
          <w:tcPr>
            <w:tcW w:w="3902" w:type="dxa"/>
            <w:tcBorders>
              <w:top w:val="single" w:color="auto" w:sz="2" w:space="0"/>
              <w:left w:val="single" w:color="auto" w:sz="2" w:space="0"/>
              <w:bottom w:val="single" w:color="auto" w:sz="2" w:space="0"/>
              <w:right w:val="single" w:color="auto" w:sz="2" w:space="0"/>
            </w:tcBorders>
            <w:vAlign w:val="center"/>
          </w:tcPr>
          <w:p w14:paraId="02AB2089">
            <w:pPr>
              <w:spacing w:before="0" w:after="0" w:line="240" w:lineRule="exact"/>
              <w:jc w:val="left"/>
              <w:rPr>
                <w:rFonts w:ascii="宋体" w:hAnsi="宋体" w:eastAsia="宋体" w:cs="宋体"/>
                <w:sz w:val="18"/>
                <w:szCs w:val="18"/>
              </w:rPr>
            </w:pPr>
            <w:r>
              <w:rPr>
                <w:rFonts w:ascii="宋体" w:hAnsi="宋体" w:eastAsia="宋体" w:cs="宋体"/>
                <w:sz w:val="18"/>
                <w:szCs w:val="18"/>
              </w:rPr>
              <w:t>0591-38265188</w:t>
            </w:r>
          </w:p>
        </w:tc>
      </w:tr>
      <w:tr w14:paraId="460819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7" w:type="dxa"/>
            <w:tcBorders>
              <w:top w:val="single" w:color="auto" w:sz="2" w:space="0"/>
              <w:left w:val="single" w:color="auto" w:sz="2" w:space="0"/>
              <w:bottom w:val="single" w:color="auto" w:sz="2" w:space="0"/>
              <w:right w:val="single" w:color="auto" w:sz="2" w:space="0"/>
            </w:tcBorders>
            <w:shd w:val="clear" w:color="auto" w:fill="D3D3D3"/>
            <w:vAlign w:val="center"/>
          </w:tcPr>
          <w:p w14:paraId="1F315D53">
            <w:pPr>
              <w:spacing w:before="40" w:after="40" w:line="240" w:lineRule="exact"/>
              <w:jc w:val="left"/>
              <w:rPr>
                <w:rFonts w:ascii="宋体" w:hAnsi="宋体" w:eastAsia="宋体" w:cs="宋体"/>
                <w:sz w:val="18"/>
                <w:szCs w:val="18"/>
              </w:rPr>
            </w:pPr>
            <w:r>
              <w:rPr>
                <w:rFonts w:ascii="宋体" w:hAnsi="宋体" w:eastAsia="宋体" w:cs="宋体"/>
                <w:sz w:val="18"/>
                <w:szCs w:val="18"/>
              </w:rPr>
              <w:t>传真</w:t>
            </w:r>
          </w:p>
        </w:tc>
        <w:tc>
          <w:tcPr>
            <w:tcW w:w="4030" w:type="dxa"/>
            <w:tcBorders>
              <w:top w:val="single" w:color="auto" w:sz="2" w:space="0"/>
              <w:left w:val="single" w:color="auto" w:sz="2" w:space="0"/>
              <w:bottom w:val="single" w:color="auto" w:sz="2" w:space="0"/>
              <w:right w:val="single" w:color="auto" w:sz="2" w:space="0"/>
            </w:tcBorders>
            <w:vAlign w:val="center"/>
          </w:tcPr>
          <w:p w14:paraId="6E6BC4DA">
            <w:pPr>
              <w:spacing w:before="0" w:after="0" w:line="240" w:lineRule="exact"/>
              <w:jc w:val="left"/>
              <w:rPr>
                <w:rFonts w:ascii="宋体" w:hAnsi="宋体" w:eastAsia="宋体" w:cs="宋体"/>
                <w:sz w:val="18"/>
                <w:szCs w:val="18"/>
              </w:rPr>
            </w:pPr>
            <w:r>
              <w:rPr>
                <w:rFonts w:ascii="宋体" w:hAnsi="宋体" w:eastAsia="宋体" w:cs="宋体"/>
                <w:sz w:val="18"/>
                <w:szCs w:val="18"/>
              </w:rPr>
              <w:t>0591-83052199</w:t>
            </w:r>
          </w:p>
        </w:tc>
        <w:tc>
          <w:tcPr>
            <w:tcW w:w="3902" w:type="dxa"/>
            <w:tcBorders>
              <w:top w:val="single" w:color="auto" w:sz="2" w:space="0"/>
              <w:left w:val="single" w:color="auto" w:sz="2" w:space="0"/>
              <w:bottom w:val="single" w:color="auto" w:sz="2" w:space="0"/>
              <w:right w:val="single" w:color="auto" w:sz="2" w:space="0"/>
            </w:tcBorders>
            <w:vAlign w:val="center"/>
          </w:tcPr>
          <w:p w14:paraId="1C18777B">
            <w:pPr>
              <w:spacing w:before="0" w:after="0" w:line="240" w:lineRule="exact"/>
              <w:jc w:val="left"/>
              <w:rPr>
                <w:rFonts w:ascii="宋体" w:hAnsi="宋体" w:eastAsia="宋体" w:cs="宋体"/>
                <w:sz w:val="18"/>
                <w:szCs w:val="18"/>
              </w:rPr>
            </w:pPr>
            <w:r>
              <w:rPr>
                <w:rFonts w:ascii="宋体" w:hAnsi="宋体" w:eastAsia="宋体" w:cs="宋体"/>
                <w:sz w:val="18"/>
                <w:szCs w:val="18"/>
              </w:rPr>
              <w:t>0591-83052199</w:t>
            </w:r>
          </w:p>
        </w:tc>
      </w:tr>
      <w:tr w14:paraId="38B4C9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7" w:type="dxa"/>
            <w:tcBorders>
              <w:top w:val="single" w:color="auto" w:sz="2" w:space="0"/>
              <w:left w:val="single" w:color="auto" w:sz="2" w:space="0"/>
              <w:bottom w:val="single" w:color="auto" w:sz="2" w:space="0"/>
              <w:right w:val="single" w:color="auto" w:sz="2" w:space="0"/>
            </w:tcBorders>
            <w:shd w:val="clear" w:color="auto" w:fill="D3D3D3"/>
            <w:vAlign w:val="center"/>
          </w:tcPr>
          <w:p w14:paraId="3DC7EB95">
            <w:pPr>
              <w:spacing w:before="40" w:after="40" w:line="240" w:lineRule="exact"/>
              <w:jc w:val="left"/>
              <w:rPr>
                <w:rFonts w:ascii="宋体" w:hAnsi="宋体" w:eastAsia="宋体" w:cs="宋体"/>
                <w:sz w:val="18"/>
                <w:szCs w:val="18"/>
              </w:rPr>
            </w:pPr>
            <w:r>
              <w:rPr>
                <w:rFonts w:ascii="宋体" w:hAnsi="宋体" w:eastAsia="宋体" w:cs="宋体"/>
                <w:sz w:val="18"/>
                <w:szCs w:val="18"/>
              </w:rPr>
              <w:t>电子信箱</w:t>
            </w:r>
          </w:p>
        </w:tc>
        <w:tc>
          <w:tcPr>
            <w:tcW w:w="4030" w:type="dxa"/>
            <w:tcBorders>
              <w:top w:val="single" w:color="auto" w:sz="2" w:space="0"/>
              <w:left w:val="single" w:color="auto" w:sz="2" w:space="0"/>
              <w:bottom w:val="single" w:color="auto" w:sz="2" w:space="0"/>
              <w:right w:val="single" w:color="auto" w:sz="2" w:space="0"/>
            </w:tcBorders>
            <w:vAlign w:val="center"/>
          </w:tcPr>
          <w:p w14:paraId="4BF10104">
            <w:pPr>
              <w:spacing w:before="0" w:after="0" w:line="240" w:lineRule="exact"/>
              <w:jc w:val="left"/>
              <w:rPr>
                <w:rFonts w:ascii="宋体" w:hAnsi="宋体" w:eastAsia="宋体" w:cs="宋体"/>
                <w:sz w:val="18"/>
                <w:szCs w:val="18"/>
              </w:rPr>
            </w:pPr>
            <w:r>
              <w:rPr>
                <w:rFonts w:ascii="宋体" w:hAnsi="宋体" w:eastAsia="宋体" w:cs="宋体"/>
                <w:sz w:val="18"/>
                <w:szCs w:val="18"/>
              </w:rPr>
              <w:t>zhangqinghe@cosunter.com</w:t>
            </w:r>
          </w:p>
        </w:tc>
        <w:tc>
          <w:tcPr>
            <w:tcW w:w="3902" w:type="dxa"/>
            <w:tcBorders>
              <w:top w:val="single" w:color="auto" w:sz="2" w:space="0"/>
              <w:left w:val="single" w:color="auto" w:sz="2" w:space="0"/>
              <w:bottom w:val="single" w:color="auto" w:sz="2" w:space="0"/>
              <w:right w:val="single" w:color="auto" w:sz="2" w:space="0"/>
            </w:tcBorders>
            <w:vAlign w:val="center"/>
          </w:tcPr>
          <w:p w14:paraId="17E1C86E">
            <w:pPr>
              <w:spacing w:before="0" w:after="0" w:line="240" w:lineRule="exact"/>
              <w:jc w:val="left"/>
              <w:rPr>
                <w:rFonts w:ascii="宋体" w:hAnsi="宋体" w:eastAsia="宋体" w:cs="宋体"/>
                <w:sz w:val="18"/>
                <w:szCs w:val="18"/>
              </w:rPr>
            </w:pPr>
            <w:r>
              <w:rPr>
                <w:rFonts w:ascii="宋体" w:hAnsi="宋体" w:eastAsia="宋体" w:cs="宋体"/>
                <w:sz w:val="18"/>
                <w:szCs w:val="18"/>
              </w:rPr>
              <w:t>chendanqing@cosunter.com</w:t>
            </w:r>
          </w:p>
        </w:tc>
      </w:tr>
    </w:tbl>
    <w:p w14:paraId="3CD75189">
      <w:pPr>
        <w:keepNext/>
        <w:keepLines/>
        <w:spacing w:before="300" w:after="300" w:line="320" w:lineRule="exact"/>
        <w:jc w:val="left"/>
        <w:outlineLvl w:val="1"/>
        <w:rPr>
          <w:rFonts w:ascii="宋体" w:hAnsi="宋体" w:eastAsia="宋体" w:cs="宋体"/>
          <w:b/>
          <w:bCs/>
          <w:sz w:val="24"/>
          <w:szCs w:val="24"/>
        </w:rPr>
      </w:pPr>
      <w:bookmarkStart w:id="4" w:name="_Toc988893"/>
      <w:r>
        <w:rPr>
          <w:rFonts w:ascii="宋体" w:hAnsi="宋体" w:eastAsia="宋体" w:cs="宋体"/>
          <w:b/>
          <w:bCs/>
          <w:sz w:val="24"/>
          <w:szCs w:val="24"/>
        </w:rPr>
        <w:t>三、信息披露及备置地点</w:t>
      </w:r>
      <w:bookmarkEnd w:id="4"/>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269836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671E942">
            <w:pPr>
              <w:spacing w:before="40" w:after="40" w:line="240" w:lineRule="exact"/>
              <w:jc w:val="left"/>
              <w:rPr>
                <w:rFonts w:ascii="宋体" w:hAnsi="宋体" w:eastAsia="宋体" w:cs="宋体"/>
                <w:sz w:val="18"/>
                <w:szCs w:val="18"/>
              </w:rPr>
            </w:pPr>
            <w:r>
              <w:rPr>
                <w:rFonts w:ascii="宋体" w:hAnsi="宋体" w:eastAsia="宋体" w:cs="宋体"/>
                <w:sz w:val="18"/>
                <w:szCs w:val="18"/>
              </w:rPr>
              <w:t>公司披露年度报告的证券交易所网站</w:t>
            </w:r>
          </w:p>
        </w:tc>
        <w:tc>
          <w:tcPr>
            <w:tcW w:w="4820" w:type="dxa"/>
            <w:tcBorders>
              <w:top w:val="single" w:color="auto" w:sz="2" w:space="0"/>
              <w:left w:val="single" w:color="auto" w:sz="2" w:space="0"/>
              <w:bottom w:val="single" w:color="auto" w:sz="2" w:space="0"/>
              <w:right w:val="single" w:color="auto" w:sz="2" w:space="0"/>
            </w:tcBorders>
            <w:vAlign w:val="center"/>
          </w:tcPr>
          <w:p w14:paraId="0CD39E6F">
            <w:pPr>
              <w:spacing w:before="0" w:after="0" w:line="240" w:lineRule="exact"/>
              <w:jc w:val="left"/>
              <w:rPr>
                <w:rFonts w:ascii="宋体" w:hAnsi="宋体" w:eastAsia="宋体" w:cs="宋体"/>
                <w:sz w:val="18"/>
                <w:szCs w:val="18"/>
              </w:rPr>
            </w:pPr>
            <w:r>
              <w:rPr>
                <w:rFonts w:ascii="宋体" w:hAnsi="宋体" w:eastAsia="宋体" w:cs="宋体"/>
                <w:sz w:val="18"/>
                <w:szCs w:val="18"/>
              </w:rPr>
              <w:t>http://www.szse.cn</w:t>
            </w:r>
          </w:p>
        </w:tc>
      </w:tr>
      <w:tr w14:paraId="62ED34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520C283">
            <w:pPr>
              <w:spacing w:before="40" w:after="40" w:line="240" w:lineRule="exact"/>
              <w:jc w:val="left"/>
              <w:rPr>
                <w:rFonts w:ascii="宋体" w:hAnsi="宋体" w:eastAsia="宋体" w:cs="宋体"/>
                <w:sz w:val="18"/>
                <w:szCs w:val="18"/>
              </w:rPr>
            </w:pPr>
            <w:r>
              <w:rPr>
                <w:rFonts w:ascii="宋体" w:hAnsi="宋体" w:eastAsia="宋体" w:cs="宋体"/>
                <w:sz w:val="18"/>
                <w:szCs w:val="18"/>
              </w:rPr>
              <w:t>公司披露年度报告的媒体名称及网址</w:t>
            </w:r>
          </w:p>
        </w:tc>
        <w:tc>
          <w:tcPr>
            <w:tcW w:w="4820" w:type="dxa"/>
            <w:tcBorders>
              <w:top w:val="single" w:color="auto" w:sz="2" w:space="0"/>
              <w:left w:val="single" w:color="auto" w:sz="2" w:space="0"/>
              <w:bottom w:val="single" w:color="auto" w:sz="2" w:space="0"/>
              <w:right w:val="single" w:color="auto" w:sz="2" w:space="0"/>
            </w:tcBorders>
            <w:vAlign w:val="center"/>
          </w:tcPr>
          <w:p w14:paraId="49259E28">
            <w:pPr>
              <w:spacing w:before="0" w:after="0" w:line="240" w:lineRule="exact"/>
              <w:jc w:val="left"/>
              <w:rPr>
                <w:rFonts w:ascii="宋体" w:hAnsi="宋体" w:eastAsia="宋体" w:cs="宋体"/>
                <w:sz w:val="18"/>
                <w:szCs w:val="18"/>
              </w:rPr>
            </w:pPr>
            <w:r>
              <w:rPr>
                <w:rFonts w:ascii="宋体" w:hAnsi="宋体" w:eastAsia="宋体" w:cs="宋体"/>
                <w:sz w:val="18"/>
                <w:szCs w:val="18"/>
              </w:rPr>
              <w:t>《中国证券报》《上海证券报》《证券日报》《证券时报》 及巨潮资讯网（www.cninfo.com.cn）</w:t>
            </w:r>
          </w:p>
        </w:tc>
      </w:tr>
      <w:tr w14:paraId="55E377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4820A1D">
            <w:pPr>
              <w:spacing w:before="40" w:after="40" w:line="240" w:lineRule="exact"/>
              <w:jc w:val="left"/>
              <w:rPr>
                <w:rFonts w:ascii="宋体" w:hAnsi="宋体" w:eastAsia="宋体" w:cs="宋体"/>
                <w:sz w:val="18"/>
                <w:szCs w:val="18"/>
              </w:rPr>
            </w:pPr>
            <w:r>
              <w:rPr>
                <w:rFonts w:ascii="宋体" w:hAnsi="宋体" w:eastAsia="宋体" w:cs="宋体"/>
                <w:sz w:val="18"/>
                <w:szCs w:val="18"/>
              </w:rPr>
              <w:t>公司年度报告备置地点</w:t>
            </w:r>
          </w:p>
        </w:tc>
        <w:tc>
          <w:tcPr>
            <w:tcW w:w="4820" w:type="dxa"/>
            <w:tcBorders>
              <w:top w:val="single" w:color="auto" w:sz="2" w:space="0"/>
              <w:left w:val="single" w:color="auto" w:sz="2" w:space="0"/>
              <w:bottom w:val="single" w:color="auto" w:sz="2" w:space="0"/>
              <w:right w:val="single" w:color="auto" w:sz="2" w:space="0"/>
            </w:tcBorders>
            <w:vAlign w:val="center"/>
          </w:tcPr>
          <w:p w14:paraId="467505B8">
            <w:pPr>
              <w:spacing w:before="0" w:after="0" w:line="240" w:lineRule="exact"/>
              <w:jc w:val="left"/>
              <w:rPr>
                <w:rFonts w:ascii="宋体" w:hAnsi="宋体" w:eastAsia="宋体" w:cs="宋体"/>
                <w:sz w:val="18"/>
                <w:szCs w:val="18"/>
              </w:rPr>
            </w:pPr>
            <w:r>
              <w:rPr>
                <w:rFonts w:ascii="宋体" w:hAnsi="宋体" w:eastAsia="宋体" w:cs="宋体"/>
                <w:sz w:val="18"/>
                <w:szCs w:val="18"/>
              </w:rPr>
              <w:t>公司证券投资部</w:t>
            </w:r>
          </w:p>
        </w:tc>
      </w:tr>
    </w:tbl>
    <w:p w14:paraId="6403C472">
      <w:pPr>
        <w:keepNext/>
        <w:keepLines/>
        <w:spacing w:before="300" w:after="300" w:line="320" w:lineRule="exact"/>
        <w:jc w:val="left"/>
        <w:outlineLvl w:val="1"/>
        <w:rPr>
          <w:rFonts w:ascii="宋体" w:hAnsi="宋体" w:eastAsia="宋体" w:cs="宋体"/>
          <w:b/>
          <w:bCs/>
          <w:sz w:val="24"/>
          <w:szCs w:val="24"/>
        </w:rPr>
      </w:pPr>
      <w:bookmarkStart w:id="5" w:name="_Toc988894"/>
      <w:r>
        <w:rPr>
          <w:rFonts w:ascii="宋体" w:hAnsi="宋体" w:eastAsia="宋体" w:cs="宋体"/>
          <w:b/>
          <w:bCs/>
          <w:sz w:val="24"/>
          <w:szCs w:val="24"/>
        </w:rPr>
        <w:t>四、其他有关资料</w:t>
      </w:r>
      <w:bookmarkEnd w:id="5"/>
    </w:p>
    <w:p w14:paraId="045FC1A6">
      <w:pPr>
        <w:spacing w:before="40" w:after="40" w:line="240" w:lineRule="exact"/>
        <w:jc w:val="left"/>
        <w:rPr>
          <w:rFonts w:ascii="宋体" w:hAnsi="宋体" w:eastAsia="宋体" w:cs="宋体"/>
          <w:sz w:val="18"/>
          <w:szCs w:val="18"/>
        </w:rPr>
      </w:pPr>
      <w:r>
        <w:rPr>
          <w:rFonts w:ascii="宋体" w:hAnsi="宋体" w:eastAsia="宋体" w:cs="宋体"/>
          <w:sz w:val="18"/>
          <w:szCs w:val="18"/>
        </w:rPr>
        <w:t>公司聘请的会计师事务所</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2C3CEA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FC8601C">
            <w:pPr>
              <w:spacing w:before="40" w:after="40" w:line="240" w:lineRule="exact"/>
              <w:jc w:val="left"/>
              <w:rPr>
                <w:rFonts w:ascii="宋体" w:hAnsi="宋体" w:eastAsia="宋体" w:cs="宋体"/>
                <w:sz w:val="18"/>
                <w:szCs w:val="18"/>
              </w:rPr>
            </w:pPr>
            <w:r>
              <w:rPr>
                <w:rFonts w:ascii="宋体" w:hAnsi="宋体" w:eastAsia="宋体" w:cs="宋体"/>
                <w:sz w:val="18"/>
                <w:szCs w:val="18"/>
              </w:rPr>
              <w:t>会计师事务所名称</w:t>
            </w:r>
          </w:p>
        </w:tc>
        <w:tc>
          <w:tcPr>
            <w:tcW w:w="4820" w:type="dxa"/>
            <w:tcBorders>
              <w:top w:val="single" w:color="auto" w:sz="2" w:space="0"/>
              <w:left w:val="single" w:color="auto" w:sz="2" w:space="0"/>
              <w:bottom w:val="single" w:color="auto" w:sz="2" w:space="0"/>
              <w:right w:val="single" w:color="auto" w:sz="2" w:space="0"/>
            </w:tcBorders>
            <w:vAlign w:val="center"/>
          </w:tcPr>
          <w:p w14:paraId="52827E51">
            <w:pPr>
              <w:spacing w:before="0" w:after="0" w:line="240" w:lineRule="exact"/>
              <w:jc w:val="left"/>
              <w:rPr>
                <w:rFonts w:ascii="宋体" w:hAnsi="宋体" w:eastAsia="宋体" w:cs="宋体"/>
                <w:sz w:val="18"/>
                <w:szCs w:val="18"/>
              </w:rPr>
            </w:pPr>
            <w:r>
              <w:rPr>
                <w:rFonts w:ascii="宋体" w:hAnsi="宋体" w:eastAsia="宋体" w:cs="宋体"/>
                <w:sz w:val="18"/>
                <w:szCs w:val="18"/>
              </w:rPr>
              <w:t>北京德皓国际会计师事务所（特殊普通合伙）</w:t>
            </w:r>
          </w:p>
        </w:tc>
      </w:tr>
      <w:tr w14:paraId="13DE30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2B63F3A">
            <w:pPr>
              <w:spacing w:before="40" w:after="40" w:line="240" w:lineRule="exact"/>
              <w:jc w:val="left"/>
              <w:rPr>
                <w:rFonts w:ascii="宋体" w:hAnsi="宋体" w:eastAsia="宋体" w:cs="宋体"/>
                <w:sz w:val="18"/>
                <w:szCs w:val="18"/>
              </w:rPr>
            </w:pPr>
            <w:r>
              <w:rPr>
                <w:rFonts w:ascii="宋体" w:hAnsi="宋体" w:eastAsia="宋体" w:cs="宋体"/>
                <w:sz w:val="18"/>
                <w:szCs w:val="18"/>
              </w:rPr>
              <w:t>会计师事务所办公地址</w:t>
            </w:r>
          </w:p>
        </w:tc>
        <w:tc>
          <w:tcPr>
            <w:tcW w:w="4820" w:type="dxa"/>
            <w:tcBorders>
              <w:top w:val="single" w:color="auto" w:sz="2" w:space="0"/>
              <w:left w:val="single" w:color="auto" w:sz="2" w:space="0"/>
              <w:bottom w:val="single" w:color="auto" w:sz="2" w:space="0"/>
              <w:right w:val="single" w:color="auto" w:sz="2" w:space="0"/>
            </w:tcBorders>
            <w:vAlign w:val="center"/>
          </w:tcPr>
          <w:p w14:paraId="3DAEEA22">
            <w:pPr>
              <w:spacing w:before="0" w:after="0" w:line="240" w:lineRule="exact"/>
              <w:jc w:val="left"/>
              <w:rPr>
                <w:rFonts w:ascii="宋体" w:hAnsi="宋体" w:eastAsia="宋体" w:cs="宋体"/>
                <w:sz w:val="18"/>
                <w:szCs w:val="18"/>
              </w:rPr>
            </w:pPr>
            <w:r>
              <w:rPr>
                <w:rFonts w:hint="eastAsia" w:ascii="宋体" w:hAnsi="宋体" w:cs="宋体"/>
                <w:sz w:val="18"/>
                <w:szCs w:val="18"/>
              </w:rPr>
              <w:t>北京市丰台区西四环中路78号院首汇广场10号楼</w:t>
            </w:r>
          </w:p>
        </w:tc>
      </w:tr>
      <w:tr w14:paraId="070BB7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4721A7C">
            <w:pPr>
              <w:spacing w:before="40" w:after="40" w:line="240" w:lineRule="exact"/>
              <w:jc w:val="left"/>
              <w:rPr>
                <w:rFonts w:ascii="宋体" w:hAnsi="宋体" w:eastAsia="宋体" w:cs="宋体"/>
                <w:sz w:val="18"/>
                <w:szCs w:val="18"/>
              </w:rPr>
            </w:pPr>
            <w:r>
              <w:rPr>
                <w:rFonts w:ascii="宋体" w:hAnsi="宋体" w:eastAsia="宋体" w:cs="宋体"/>
                <w:sz w:val="18"/>
                <w:szCs w:val="18"/>
              </w:rPr>
              <w:t>签字会计师姓名</w:t>
            </w:r>
          </w:p>
        </w:tc>
        <w:tc>
          <w:tcPr>
            <w:tcW w:w="4820" w:type="dxa"/>
            <w:tcBorders>
              <w:top w:val="single" w:color="auto" w:sz="2" w:space="0"/>
              <w:left w:val="single" w:color="auto" w:sz="2" w:space="0"/>
              <w:bottom w:val="single" w:color="auto" w:sz="2" w:space="0"/>
              <w:right w:val="single" w:color="auto" w:sz="2" w:space="0"/>
            </w:tcBorders>
            <w:vAlign w:val="center"/>
          </w:tcPr>
          <w:p w14:paraId="3DB2A22F">
            <w:pPr>
              <w:spacing w:before="0" w:after="0" w:line="240" w:lineRule="exact"/>
              <w:jc w:val="left"/>
              <w:rPr>
                <w:rFonts w:ascii="宋体" w:hAnsi="宋体" w:eastAsia="宋体" w:cs="宋体"/>
                <w:sz w:val="18"/>
                <w:szCs w:val="18"/>
              </w:rPr>
            </w:pPr>
            <w:r>
              <w:rPr>
                <w:rFonts w:ascii="宋体" w:hAnsi="宋体" w:eastAsia="宋体" w:cs="宋体"/>
                <w:sz w:val="18"/>
                <w:szCs w:val="18"/>
              </w:rPr>
              <w:t>郑基、赖镇业</w:t>
            </w:r>
          </w:p>
        </w:tc>
      </w:tr>
    </w:tbl>
    <w:p w14:paraId="12EBAEB0">
      <w:pPr>
        <w:spacing w:before="100" w:after="100" w:line="240" w:lineRule="exact"/>
        <w:jc w:val="left"/>
        <w:rPr>
          <w:rFonts w:ascii="宋体" w:hAnsi="宋体" w:eastAsia="宋体" w:cs="宋体"/>
          <w:sz w:val="18"/>
          <w:szCs w:val="18"/>
        </w:rPr>
      </w:pPr>
      <w:r>
        <w:rPr>
          <w:rFonts w:ascii="宋体" w:hAnsi="宋体" w:eastAsia="宋体" w:cs="宋体"/>
          <w:sz w:val="18"/>
          <w:szCs w:val="18"/>
        </w:rPr>
        <w:t>公司聘请的报告期内履行持续督导职责的保荐机构</w:t>
      </w:r>
    </w:p>
    <w:p w14:paraId="7B525E19">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247"/>
        <w:gridCol w:w="2430"/>
        <w:gridCol w:w="1770"/>
        <w:gridCol w:w="3193"/>
      </w:tblGrid>
      <w:tr w14:paraId="282960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47" w:type="dxa"/>
            <w:tcBorders>
              <w:top w:val="single" w:color="auto" w:sz="2" w:space="0"/>
              <w:left w:val="single" w:color="auto" w:sz="2" w:space="0"/>
              <w:bottom w:val="single" w:color="auto" w:sz="2" w:space="0"/>
              <w:right w:val="single" w:color="auto" w:sz="2" w:space="0"/>
            </w:tcBorders>
            <w:shd w:val="clear" w:color="auto" w:fill="D3D3D3"/>
            <w:vAlign w:val="center"/>
          </w:tcPr>
          <w:p w14:paraId="191BA820">
            <w:pPr>
              <w:spacing w:before="40" w:after="40" w:line="240" w:lineRule="exact"/>
              <w:jc w:val="center"/>
              <w:rPr>
                <w:rFonts w:ascii="宋体" w:hAnsi="宋体" w:eastAsia="宋体" w:cs="宋体"/>
                <w:sz w:val="18"/>
                <w:szCs w:val="18"/>
              </w:rPr>
            </w:pPr>
            <w:r>
              <w:rPr>
                <w:rFonts w:ascii="宋体" w:hAnsi="宋体" w:eastAsia="宋体" w:cs="宋体"/>
                <w:sz w:val="18"/>
                <w:szCs w:val="18"/>
              </w:rPr>
              <w:t>保荐机构名称</w:t>
            </w:r>
          </w:p>
        </w:tc>
        <w:tc>
          <w:tcPr>
            <w:tcW w:w="2430" w:type="dxa"/>
            <w:tcBorders>
              <w:top w:val="single" w:color="auto" w:sz="2" w:space="0"/>
              <w:left w:val="single" w:color="auto" w:sz="2" w:space="0"/>
              <w:bottom w:val="single" w:color="auto" w:sz="2" w:space="0"/>
              <w:right w:val="single" w:color="auto" w:sz="2" w:space="0"/>
            </w:tcBorders>
            <w:shd w:val="clear" w:color="auto" w:fill="D3D3D3"/>
            <w:vAlign w:val="center"/>
          </w:tcPr>
          <w:p w14:paraId="4567C5AB">
            <w:pPr>
              <w:spacing w:before="40" w:after="40" w:line="240" w:lineRule="exact"/>
              <w:jc w:val="center"/>
              <w:rPr>
                <w:rFonts w:ascii="宋体" w:hAnsi="宋体" w:eastAsia="宋体" w:cs="宋体"/>
                <w:sz w:val="18"/>
                <w:szCs w:val="18"/>
              </w:rPr>
            </w:pPr>
            <w:r>
              <w:rPr>
                <w:rFonts w:ascii="宋体" w:hAnsi="宋体" w:eastAsia="宋体" w:cs="宋体"/>
                <w:sz w:val="18"/>
                <w:szCs w:val="18"/>
              </w:rPr>
              <w:t>保荐机构办公地址</w:t>
            </w:r>
          </w:p>
        </w:tc>
        <w:tc>
          <w:tcPr>
            <w:tcW w:w="1770" w:type="dxa"/>
            <w:tcBorders>
              <w:top w:val="single" w:color="auto" w:sz="2" w:space="0"/>
              <w:left w:val="single" w:color="auto" w:sz="2" w:space="0"/>
              <w:bottom w:val="single" w:color="auto" w:sz="2" w:space="0"/>
              <w:right w:val="single" w:color="auto" w:sz="2" w:space="0"/>
            </w:tcBorders>
            <w:shd w:val="clear" w:color="auto" w:fill="D3D3D3"/>
            <w:vAlign w:val="center"/>
          </w:tcPr>
          <w:p w14:paraId="5E612C19">
            <w:pPr>
              <w:spacing w:before="40" w:after="40" w:line="240" w:lineRule="exact"/>
              <w:jc w:val="center"/>
              <w:rPr>
                <w:rFonts w:ascii="宋体" w:hAnsi="宋体" w:eastAsia="宋体" w:cs="宋体"/>
                <w:sz w:val="18"/>
                <w:szCs w:val="18"/>
              </w:rPr>
            </w:pPr>
            <w:r>
              <w:rPr>
                <w:rFonts w:ascii="宋体" w:hAnsi="宋体" w:eastAsia="宋体" w:cs="宋体"/>
                <w:sz w:val="18"/>
                <w:szCs w:val="18"/>
              </w:rPr>
              <w:t>保荐代表人姓名</w:t>
            </w:r>
          </w:p>
        </w:tc>
        <w:tc>
          <w:tcPr>
            <w:tcW w:w="3193" w:type="dxa"/>
            <w:tcBorders>
              <w:top w:val="single" w:color="auto" w:sz="2" w:space="0"/>
              <w:left w:val="single" w:color="auto" w:sz="2" w:space="0"/>
              <w:bottom w:val="single" w:color="auto" w:sz="2" w:space="0"/>
              <w:right w:val="single" w:color="auto" w:sz="2" w:space="0"/>
            </w:tcBorders>
            <w:shd w:val="clear" w:color="auto" w:fill="D3D3D3"/>
            <w:vAlign w:val="center"/>
          </w:tcPr>
          <w:p w14:paraId="35153C8D">
            <w:pPr>
              <w:spacing w:before="40" w:after="40" w:line="240" w:lineRule="exact"/>
              <w:jc w:val="center"/>
              <w:rPr>
                <w:rFonts w:ascii="宋体" w:hAnsi="宋体" w:eastAsia="宋体" w:cs="宋体"/>
                <w:sz w:val="18"/>
                <w:szCs w:val="18"/>
              </w:rPr>
            </w:pPr>
            <w:r>
              <w:rPr>
                <w:rFonts w:ascii="宋体" w:hAnsi="宋体" w:eastAsia="宋体" w:cs="宋体"/>
                <w:sz w:val="18"/>
                <w:szCs w:val="18"/>
              </w:rPr>
              <w:t>持续督导期间</w:t>
            </w:r>
          </w:p>
        </w:tc>
      </w:tr>
      <w:tr w14:paraId="486F01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47" w:type="dxa"/>
            <w:tcBorders>
              <w:top w:val="single" w:color="auto" w:sz="2" w:space="0"/>
              <w:left w:val="single" w:color="auto" w:sz="2" w:space="0"/>
              <w:bottom w:val="single" w:color="auto" w:sz="2" w:space="0"/>
              <w:right w:val="single" w:color="auto" w:sz="2" w:space="0"/>
            </w:tcBorders>
            <w:vAlign w:val="center"/>
          </w:tcPr>
          <w:p w14:paraId="632787F4">
            <w:pPr>
              <w:spacing w:before="0" w:after="0" w:line="240" w:lineRule="exact"/>
              <w:jc w:val="left"/>
              <w:rPr>
                <w:rFonts w:ascii="宋体" w:hAnsi="宋体" w:eastAsia="宋体" w:cs="宋体"/>
                <w:sz w:val="18"/>
                <w:szCs w:val="18"/>
              </w:rPr>
            </w:pPr>
            <w:r>
              <w:rPr>
                <w:rFonts w:ascii="宋体" w:hAnsi="宋体" w:eastAsia="宋体" w:cs="宋体"/>
                <w:sz w:val="18"/>
                <w:szCs w:val="18"/>
              </w:rPr>
              <w:t>兴业证券股份有限公司</w:t>
            </w:r>
          </w:p>
        </w:tc>
        <w:tc>
          <w:tcPr>
            <w:tcW w:w="2430" w:type="dxa"/>
            <w:tcBorders>
              <w:top w:val="single" w:color="auto" w:sz="2" w:space="0"/>
              <w:left w:val="single" w:color="auto" w:sz="2" w:space="0"/>
              <w:bottom w:val="single" w:color="auto" w:sz="2" w:space="0"/>
              <w:right w:val="single" w:color="auto" w:sz="2" w:space="0"/>
            </w:tcBorders>
            <w:vAlign w:val="center"/>
          </w:tcPr>
          <w:p w14:paraId="1E20CE58">
            <w:pPr>
              <w:spacing w:before="0" w:after="0" w:line="240" w:lineRule="exact"/>
              <w:jc w:val="left"/>
              <w:rPr>
                <w:rFonts w:ascii="宋体" w:hAnsi="宋体" w:eastAsia="宋体" w:cs="宋体"/>
                <w:sz w:val="18"/>
                <w:szCs w:val="18"/>
              </w:rPr>
            </w:pPr>
            <w:r>
              <w:rPr>
                <w:rFonts w:ascii="宋体" w:hAnsi="宋体" w:eastAsia="宋体" w:cs="宋体"/>
                <w:sz w:val="18"/>
                <w:szCs w:val="18"/>
              </w:rPr>
              <w:t>福建省福州市湖东路268号</w:t>
            </w:r>
          </w:p>
        </w:tc>
        <w:tc>
          <w:tcPr>
            <w:tcW w:w="1770" w:type="dxa"/>
            <w:tcBorders>
              <w:top w:val="single" w:color="auto" w:sz="2" w:space="0"/>
              <w:left w:val="single" w:color="auto" w:sz="2" w:space="0"/>
              <w:bottom w:val="single" w:color="auto" w:sz="2" w:space="0"/>
              <w:right w:val="single" w:color="auto" w:sz="2" w:space="0"/>
            </w:tcBorders>
            <w:vAlign w:val="center"/>
          </w:tcPr>
          <w:p w14:paraId="04BE0F31">
            <w:pPr>
              <w:spacing w:before="0" w:after="0" w:line="240" w:lineRule="exact"/>
              <w:jc w:val="left"/>
              <w:rPr>
                <w:rFonts w:ascii="宋体" w:hAnsi="宋体" w:eastAsia="宋体" w:cs="宋体"/>
                <w:sz w:val="18"/>
                <w:szCs w:val="18"/>
              </w:rPr>
            </w:pPr>
            <w:r>
              <w:rPr>
                <w:rFonts w:ascii="宋体" w:hAnsi="宋体" w:eastAsia="宋体" w:cs="宋体"/>
                <w:sz w:val="18"/>
                <w:szCs w:val="18"/>
              </w:rPr>
              <w:t>吴文杰、周倩</w:t>
            </w:r>
          </w:p>
        </w:tc>
        <w:tc>
          <w:tcPr>
            <w:tcW w:w="3193" w:type="dxa"/>
            <w:tcBorders>
              <w:top w:val="single" w:color="auto" w:sz="2" w:space="0"/>
              <w:left w:val="single" w:color="auto" w:sz="2" w:space="0"/>
              <w:bottom w:val="single" w:color="auto" w:sz="2" w:space="0"/>
              <w:right w:val="single" w:color="auto" w:sz="2" w:space="0"/>
            </w:tcBorders>
            <w:vAlign w:val="center"/>
          </w:tcPr>
          <w:p w14:paraId="26A58EFE">
            <w:pPr>
              <w:spacing w:before="0" w:after="0" w:line="240" w:lineRule="exact"/>
              <w:jc w:val="left"/>
              <w:rPr>
                <w:rFonts w:ascii="宋体" w:hAnsi="宋体" w:eastAsia="宋体" w:cs="宋体"/>
                <w:sz w:val="18"/>
                <w:szCs w:val="18"/>
              </w:rPr>
            </w:pPr>
            <w:r>
              <w:rPr>
                <w:rFonts w:ascii="宋体" w:hAnsi="宋体" w:eastAsia="宋体" w:cs="宋体"/>
                <w:sz w:val="18"/>
                <w:szCs w:val="18"/>
              </w:rPr>
              <w:t>2023年1月30日—2024年8月16日</w:t>
            </w:r>
          </w:p>
        </w:tc>
      </w:tr>
    </w:tbl>
    <w:p w14:paraId="690355D5">
      <w:pPr>
        <w:spacing w:before="100" w:after="100" w:line="240" w:lineRule="exact"/>
        <w:jc w:val="left"/>
        <w:rPr>
          <w:rFonts w:ascii="宋体" w:hAnsi="宋体" w:eastAsia="宋体" w:cs="宋体"/>
          <w:sz w:val="18"/>
          <w:szCs w:val="18"/>
        </w:rPr>
      </w:pPr>
      <w:r>
        <w:rPr>
          <w:rFonts w:ascii="宋体" w:hAnsi="宋体" w:eastAsia="宋体" w:cs="宋体"/>
          <w:sz w:val="18"/>
          <w:szCs w:val="18"/>
        </w:rPr>
        <w:t>公司聘请的报告期内履行持续督导职责的财务顾问</w:t>
      </w:r>
    </w:p>
    <w:p w14:paraId="00500E2A">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2C62974">
      <w:pPr>
        <w:keepNext/>
        <w:keepLines/>
        <w:spacing w:before="300" w:after="300" w:line="320" w:lineRule="exact"/>
        <w:jc w:val="left"/>
        <w:outlineLvl w:val="1"/>
        <w:rPr>
          <w:rFonts w:ascii="宋体" w:hAnsi="宋体" w:eastAsia="宋体" w:cs="宋体"/>
          <w:b/>
          <w:bCs/>
          <w:sz w:val="24"/>
          <w:szCs w:val="24"/>
        </w:rPr>
      </w:pPr>
      <w:bookmarkStart w:id="6" w:name="_Toc988895"/>
      <w:r>
        <w:rPr>
          <w:rFonts w:ascii="宋体" w:hAnsi="宋体" w:eastAsia="宋体" w:cs="宋体"/>
          <w:b/>
          <w:bCs/>
          <w:sz w:val="24"/>
          <w:szCs w:val="24"/>
        </w:rPr>
        <w:t>五、主要会计数据和财务指标</w:t>
      </w:r>
      <w:bookmarkEnd w:id="6"/>
    </w:p>
    <w:p w14:paraId="036D169C">
      <w:pPr>
        <w:spacing w:before="100" w:after="100" w:line="240" w:lineRule="exact"/>
        <w:jc w:val="left"/>
        <w:rPr>
          <w:rFonts w:ascii="宋体" w:hAnsi="宋体" w:eastAsia="宋体" w:cs="宋体"/>
          <w:sz w:val="18"/>
          <w:szCs w:val="18"/>
        </w:rPr>
      </w:pPr>
      <w:r>
        <w:rPr>
          <w:rFonts w:ascii="宋体" w:hAnsi="宋体" w:eastAsia="宋体" w:cs="宋体"/>
          <w:sz w:val="18"/>
          <w:szCs w:val="18"/>
        </w:rPr>
        <w:t>公司是否需追溯调整或重述以前年度会计数据</w:t>
      </w:r>
    </w:p>
    <w:p w14:paraId="4CD91A45">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527"/>
        <w:gridCol w:w="1780"/>
        <w:gridCol w:w="1710"/>
        <w:gridCol w:w="1910"/>
        <w:gridCol w:w="1713"/>
      </w:tblGrid>
      <w:tr w14:paraId="510648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27" w:type="dxa"/>
            <w:tcBorders>
              <w:top w:val="single" w:color="auto" w:sz="2" w:space="0"/>
              <w:left w:val="single" w:color="auto" w:sz="2" w:space="0"/>
              <w:bottom w:val="single" w:color="auto" w:sz="2" w:space="0"/>
              <w:right w:val="single" w:color="auto" w:sz="2" w:space="0"/>
            </w:tcBorders>
            <w:shd w:val="clear" w:color="auto" w:fill="D3D3D3"/>
            <w:vAlign w:val="center"/>
          </w:tcPr>
          <w:p w14:paraId="1CFD479A"/>
        </w:tc>
        <w:tc>
          <w:tcPr>
            <w:tcW w:w="1780" w:type="dxa"/>
            <w:tcBorders>
              <w:top w:val="single" w:color="auto" w:sz="2" w:space="0"/>
              <w:left w:val="single" w:color="auto" w:sz="2" w:space="0"/>
              <w:bottom w:val="single" w:color="auto" w:sz="2" w:space="0"/>
              <w:right w:val="single" w:color="auto" w:sz="2" w:space="0"/>
            </w:tcBorders>
            <w:shd w:val="clear" w:color="auto" w:fill="D3D3D3"/>
            <w:vAlign w:val="center"/>
          </w:tcPr>
          <w:p w14:paraId="0BF098FF">
            <w:pPr>
              <w:spacing w:before="40" w:after="40" w:line="240" w:lineRule="exact"/>
              <w:jc w:val="center"/>
              <w:rPr>
                <w:rFonts w:ascii="宋体" w:hAnsi="宋体" w:eastAsia="宋体" w:cs="宋体"/>
                <w:sz w:val="18"/>
                <w:szCs w:val="18"/>
              </w:rPr>
            </w:pPr>
            <w:r>
              <w:rPr>
                <w:rFonts w:ascii="宋体" w:hAnsi="宋体" w:eastAsia="宋体" w:cs="宋体"/>
                <w:sz w:val="18"/>
                <w:szCs w:val="18"/>
              </w:rPr>
              <w:t>2024年</w:t>
            </w:r>
          </w:p>
        </w:tc>
        <w:tc>
          <w:tcPr>
            <w:tcW w:w="1710" w:type="dxa"/>
            <w:tcBorders>
              <w:top w:val="single" w:color="auto" w:sz="2" w:space="0"/>
              <w:left w:val="single" w:color="auto" w:sz="2" w:space="0"/>
              <w:bottom w:val="single" w:color="auto" w:sz="2" w:space="0"/>
              <w:right w:val="single" w:color="auto" w:sz="2" w:space="0"/>
            </w:tcBorders>
            <w:shd w:val="clear" w:color="auto" w:fill="D3D3D3"/>
            <w:vAlign w:val="center"/>
          </w:tcPr>
          <w:p w14:paraId="493FB052">
            <w:pPr>
              <w:spacing w:before="40" w:after="40" w:line="240" w:lineRule="exact"/>
              <w:jc w:val="center"/>
              <w:rPr>
                <w:rFonts w:ascii="宋体" w:hAnsi="宋体" w:eastAsia="宋体" w:cs="宋体"/>
                <w:sz w:val="18"/>
                <w:szCs w:val="18"/>
              </w:rPr>
            </w:pPr>
            <w:r>
              <w:rPr>
                <w:rFonts w:ascii="宋体" w:hAnsi="宋体" w:eastAsia="宋体" w:cs="宋体"/>
                <w:sz w:val="18"/>
                <w:szCs w:val="18"/>
              </w:rPr>
              <w:t>2023年</w:t>
            </w:r>
          </w:p>
        </w:tc>
        <w:tc>
          <w:tcPr>
            <w:tcW w:w="1910" w:type="dxa"/>
            <w:tcBorders>
              <w:top w:val="single" w:color="auto" w:sz="2" w:space="0"/>
              <w:left w:val="single" w:color="auto" w:sz="2" w:space="0"/>
              <w:bottom w:val="single" w:color="auto" w:sz="2" w:space="0"/>
              <w:right w:val="single" w:color="auto" w:sz="2" w:space="0"/>
            </w:tcBorders>
            <w:shd w:val="clear" w:color="auto" w:fill="D3D3D3"/>
            <w:vAlign w:val="center"/>
          </w:tcPr>
          <w:p w14:paraId="4B413093">
            <w:pPr>
              <w:spacing w:before="40" w:after="40" w:line="240" w:lineRule="exact"/>
              <w:jc w:val="center"/>
              <w:rPr>
                <w:rFonts w:ascii="宋体" w:hAnsi="宋体" w:eastAsia="宋体" w:cs="宋体"/>
                <w:sz w:val="18"/>
                <w:szCs w:val="18"/>
              </w:rPr>
            </w:pPr>
            <w:r>
              <w:rPr>
                <w:rFonts w:ascii="宋体" w:hAnsi="宋体" w:eastAsia="宋体" w:cs="宋体"/>
                <w:sz w:val="18"/>
                <w:szCs w:val="18"/>
              </w:rPr>
              <w:t>本年比上年增减</w:t>
            </w:r>
          </w:p>
        </w:tc>
        <w:tc>
          <w:tcPr>
            <w:tcW w:w="1713" w:type="dxa"/>
            <w:tcBorders>
              <w:top w:val="single" w:color="auto" w:sz="2" w:space="0"/>
              <w:left w:val="single" w:color="auto" w:sz="2" w:space="0"/>
              <w:bottom w:val="single" w:color="auto" w:sz="2" w:space="0"/>
              <w:right w:val="single" w:color="auto" w:sz="2" w:space="0"/>
            </w:tcBorders>
            <w:shd w:val="clear" w:color="auto" w:fill="D3D3D3"/>
            <w:vAlign w:val="center"/>
          </w:tcPr>
          <w:p w14:paraId="3F7BD003">
            <w:pPr>
              <w:spacing w:before="40" w:after="40" w:line="240" w:lineRule="exact"/>
              <w:jc w:val="center"/>
              <w:rPr>
                <w:rFonts w:ascii="宋体" w:hAnsi="宋体" w:eastAsia="宋体" w:cs="宋体"/>
                <w:sz w:val="18"/>
                <w:szCs w:val="18"/>
              </w:rPr>
            </w:pPr>
            <w:r>
              <w:rPr>
                <w:rFonts w:ascii="宋体" w:hAnsi="宋体" w:eastAsia="宋体" w:cs="宋体"/>
                <w:sz w:val="18"/>
                <w:szCs w:val="18"/>
              </w:rPr>
              <w:t>2022年</w:t>
            </w:r>
          </w:p>
        </w:tc>
      </w:tr>
      <w:tr w14:paraId="17F8AF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27" w:type="dxa"/>
            <w:tcBorders>
              <w:top w:val="single" w:color="auto" w:sz="2" w:space="0"/>
              <w:left w:val="single" w:color="auto" w:sz="2" w:space="0"/>
              <w:bottom w:val="single" w:color="auto" w:sz="2" w:space="0"/>
              <w:right w:val="single" w:color="auto" w:sz="2" w:space="0"/>
            </w:tcBorders>
            <w:shd w:val="clear" w:color="auto" w:fill="D3D3D3"/>
            <w:vAlign w:val="center"/>
          </w:tcPr>
          <w:p w14:paraId="3BD0994A">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营业收入（元）</w:t>
            </w:r>
          </w:p>
        </w:tc>
        <w:tc>
          <w:tcPr>
            <w:tcW w:w="1780" w:type="dxa"/>
            <w:tcBorders>
              <w:top w:val="single" w:color="auto" w:sz="2" w:space="0"/>
              <w:left w:val="single" w:color="auto" w:sz="2" w:space="0"/>
              <w:bottom w:val="single" w:color="auto" w:sz="2" w:space="0"/>
              <w:right w:val="single" w:color="auto" w:sz="2" w:space="0"/>
            </w:tcBorders>
            <w:vAlign w:val="center"/>
          </w:tcPr>
          <w:p w14:paraId="02C14553">
            <w:pPr>
              <w:spacing w:before="0" w:after="0" w:line="240" w:lineRule="exact"/>
              <w:jc w:val="right"/>
              <w:rPr>
                <w:rFonts w:ascii="宋体" w:hAnsi="宋体" w:eastAsia="宋体" w:cs="宋体"/>
                <w:sz w:val="18"/>
                <w:szCs w:val="18"/>
              </w:rPr>
            </w:pPr>
            <w:r>
              <w:rPr>
                <w:rFonts w:ascii="宋体" w:hAnsi="宋体" w:eastAsia="宋体" w:cs="宋体"/>
                <w:sz w:val="18"/>
                <w:szCs w:val="18"/>
              </w:rPr>
              <w:t>441,457,673.77</w:t>
            </w:r>
          </w:p>
        </w:tc>
        <w:tc>
          <w:tcPr>
            <w:tcW w:w="1710" w:type="dxa"/>
            <w:tcBorders>
              <w:top w:val="single" w:color="auto" w:sz="2" w:space="0"/>
              <w:left w:val="single" w:color="auto" w:sz="2" w:space="0"/>
              <w:bottom w:val="single" w:color="auto" w:sz="2" w:space="0"/>
              <w:right w:val="single" w:color="auto" w:sz="2" w:space="0"/>
            </w:tcBorders>
            <w:vAlign w:val="center"/>
          </w:tcPr>
          <w:p w14:paraId="3A0456E3">
            <w:pPr>
              <w:spacing w:before="0" w:after="0" w:line="240" w:lineRule="exact"/>
              <w:jc w:val="right"/>
              <w:rPr>
                <w:rFonts w:ascii="宋体" w:hAnsi="宋体" w:eastAsia="宋体" w:cs="宋体"/>
                <w:sz w:val="18"/>
                <w:szCs w:val="18"/>
              </w:rPr>
            </w:pPr>
            <w:r>
              <w:rPr>
                <w:rFonts w:ascii="宋体" w:hAnsi="宋体" w:eastAsia="宋体" w:cs="宋体"/>
                <w:sz w:val="18"/>
                <w:szCs w:val="18"/>
              </w:rPr>
              <w:t>422,714,889.10</w:t>
            </w:r>
          </w:p>
        </w:tc>
        <w:tc>
          <w:tcPr>
            <w:tcW w:w="1910" w:type="dxa"/>
            <w:tcBorders>
              <w:top w:val="single" w:color="auto" w:sz="2" w:space="0"/>
              <w:left w:val="single" w:color="auto" w:sz="2" w:space="0"/>
              <w:bottom w:val="single" w:color="auto" w:sz="2" w:space="0"/>
              <w:right w:val="single" w:color="auto" w:sz="2" w:space="0"/>
            </w:tcBorders>
            <w:vAlign w:val="center"/>
          </w:tcPr>
          <w:p w14:paraId="47C79924">
            <w:pPr>
              <w:spacing w:before="0" w:after="0" w:line="240" w:lineRule="exact"/>
              <w:jc w:val="right"/>
              <w:rPr>
                <w:rFonts w:ascii="宋体" w:hAnsi="宋体" w:eastAsia="宋体" w:cs="宋体"/>
                <w:sz w:val="18"/>
                <w:szCs w:val="18"/>
              </w:rPr>
            </w:pPr>
            <w:r>
              <w:rPr>
                <w:rFonts w:ascii="宋体" w:hAnsi="宋体" w:eastAsia="宋体" w:cs="宋体"/>
                <w:sz w:val="18"/>
                <w:szCs w:val="18"/>
              </w:rPr>
              <w:t>4.43%</w:t>
            </w:r>
          </w:p>
        </w:tc>
        <w:tc>
          <w:tcPr>
            <w:tcW w:w="1713" w:type="dxa"/>
            <w:tcBorders>
              <w:top w:val="single" w:color="auto" w:sz="2" w:space="0"/>
              <w:left w:val="single" w:color="auto" w:sz="2" w:space="0"/>
              <w:bottom w:val="single" w:color="auto" w:sz="2" w:space="0"/>
              <w:right w:val="single" w:color="auto" w:sz="2" w:space="0"/>
            </w:tcBorders>
            <w:vAlign w:val="center"/>
          </w:tcPr>
          <w:p w14:paraId="618EF825">
            <w:pPr>
              <w:spacing w:before="0" w:after="0" w:line="240" w:lineRule="exact"/>
              <w:jc w:val="right"/>
              <w:rPr>
                <w:rFonts w:ascii="宋体" w:hAnsi="宋体" w:eastAsia="宋体" w:cs="宋体"/>
                <w:sz w:val="18"/>
                <w:szCs w:val="18"/>
              </w:rPr>
            </w:pPr>
            <w:r>
              <w:rPr>
                <w:rFonts w:ascii="宋体" w:hAnsi="宋体" w:eastAsia="宋体" w:cs="宋体"/>
                <w:sz w:val="18"/>
                <w:szCs w:val="18"/>
              </w:rPr>
              <w:t>385,765,184.73</w:t>
            </w:r>
          </w:p>
        </w:tc>
      </w:tr>
      <w:tr w14:paraId="2D985D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27" w:type="dxa"/>
            <w:tcBorders>
              <w:top w:val="single" w:color="auto" w:sz="2" w:space="0"/>
              <w:left w:val="single" w:color="auto" w:sz="2" w:space="0"/>
              <w:bottom w:val="single" w:color="auto" w:sz="2" w:space="0"/>
              <w:right w:val="single" w:color="auto" w:sz="2" w:space="0"/>
            </w:tcBorders>
            <w:shd w:val="clear" w:color="auto" w:fill="D3D3D3"/>
            <w:vAlign w:val="center"/>
          </w:tcPr>
          <w:p w14:paraId="343AAE88">
            <w:pPr>
              <w:spacing w:before="40" w:after="40" w:line="240" w:lineRule="exact"/>
              <w:jc w:val="left"/>
              <w:rPr>
                <w:rFonts w:ascii="宋体" w:hAnsi="宋体" w:eastAsia="宋体" w:cs="宋体"/>
                <w:sz w:val="18"/>
                <w:szCs w:val="18"/>
              </w:rPr>
            </w:pPr>
            <w:r>
              <w:rPr>
                <w:rFonts w:ascii="宋体" w:hAnsi="宋体" w:eastAsia="宋体" w:cs="宋体"/>
                <w:sz w:val="18"/>
                <w:szCs w:val="18"/>
              </w:rPr>
              <w:t>归属于上市公司股东的净利润（元）</w:t>
            </w:r>
          </w:p>
        </w:tc>
        <w:tc>
          <w:tcPr>
            <w:tcW w:w="1780" w:type="dxa"/>
            <w:tcBorders>
              <w:top w:val="single" w:color="auto" w:sz="2" w:space="0"/>
              <w:left w:val="single" w:color="auto" w:sz="2" w:space="0"/>
              <w:bottom w:val="single" w:color="auto" w:sz="2" w:space="0"/>
              <w:right w:val="single" w:color="auto" w:sz="2" w:space="0"/>
            </w:tcBorders>
            <w:vAlign w:val="center"/>
          </w:tcPr>
          <w:p w14:paraId="133AACAE">
            <w:pPr>
              <w:spacing w:before="0" w:after="0" w:line="240" w:lineRule="exact"/>
              <w:jc w:val="right"/>
              <w:rPr>
                <w:rFonts w:ascii="宋体" w:hAnsi="宋体" w:eastAsia="宋体" w:cs="宋体"/>
                <w:sz w:val="18"/>
                <w:szCs w:val="18"/>
              </w:rPr>
            </w:pPr>
            <w:r>
              <w:rPr>
                <w:rFonts w:ascii="宋体" w:hAnsi="宋体" w:eastAsia="宋体" w:cs="宋体"/>
                <w:sz w:val="18"/>
                <w:szCs w:val="18"/>
              </w:rPr>
              <w:t>-156,304,356.74</w:t>
            </w:r>
          </w:p>
        </w:tc>
        <w:tc>
          <w:tcPr>
            <w:tcW w:w="1710" w:type="dxa"/>
            <w:tcBorders>
              <w:top w:val="single" w:color="auto" w:sz="2" w:space="0"/>
              <w:left w:val="single" w:color="auto" w:sz="2" w:space="0"/>
              <w:bottom w:val="single" w:color="auto" w:sz="2" w:space="0"/>
              <w:right w:val="single" w:color="auto" w:sz="2" w:space="0"/>
            </w:tcBorders>
            <w:vAlign w:val="center"/>
          </w:tcPr>
          <w:p w14:paraId="59E2152B">
            <w:pPr>
              <w:spacing w:before="0" w:after="0" w:line="240" w:lineRule="exact"/>
              <w:jc w:val="right"/>
              <w:rPr>
                <w:rFonts w:ascii="宋体" w:hAnsi="宋体" w:eastAsia="宋体" w:cs="宋体"/>
                <w:sz w:val="18"/>
                <w:szCs w:val="18"/>
              </w:rPr>
            </w:pPr>
            <w:r>
              <w:rPr>
                <w:rFonts w:ascii="宋体" w:hAnsi="宋体" w:eastAsia="宋体" w:cs="宋体"/>
                <w:sz w:val="18"/>
                <w:szCs w:val="18"/>
              </w:rPr>
              <w:t>-348,589,843.18</w:t>
            </w:r>
          </w:p>
        </w:tc>
        <w:tc>
          <w:tcPr>
            <w:tcW w:w="1910" w:type="dxa"/>
            <w:tcBorders>
              <w:top w:val="single" w:color="auto" w:sz="2" w:space="0"/>
              <w:left w:val="single" w:color="auto" w:sz="2" w:space="0"/>
              <w:bottom w:val="single" w:color="auto" w:sz="2" w:space="0"/>
              <w:right w:val="single" w:color="auto" w:sz="2" w:space="0"/>
            </w:tcBorders>
            <w:vAlign w:val="center"/>
          </w:tcPr>
          <w:p w14:paraId="17F65DB2">
            <w:pPr>
              <w:spacing w:before="0" w:after="0" w:line="240" w:lineRule="exact"/>
              <w:jc w:val="right"/>
              <w:rPr>
                <w:rFonts w:ascii="宋体" w:hAnsi="宋体" w:eastAsia="宋体" w:cs="宋体"/>
                <w:sz w:val="18"/>
                <w:szCs w:val="18"/>
              </w:rPr>
            </w:pPr>
            <w:r>
              <w:rPr>
                <w:rFonts w:ascii="宋体" w:hAnsi="宋体" w:eastAsia="宋体" w:cs="宋体"/>
                <w:sz w:val="18"/>
                <w:szCs w:val="18"/>
              </w:rPr>
              <w:t>55.16%</w:t>
            </w:r>
          </w:p>
        </w:tc>
        <w:tc>
          <w:tcPr>
            <w:tcW w:w="1713" w:type="dxa"/>
            <w:tcBorders>
              <w:top w:val="single" w:color="auto" w:sz="2" w:space="0"/>
              <w:left w:val="single" w:color="auto" w:sz="2" w:space="0"/>
              <w:bottom w:val="single" w:color="auto" w:sz="2" w:space="0"/>
              <w:right w:val="single" w:color="auto" w:sz="2" w:space="0"/>
            </w:tcBorders>
            <w:vAlign w:val="center"/>
          </w:tcPr>
          <w:p w14:paraId="1BF3E095">
            <w:pPr>
              <w:spacing w:before="0" w:after="0" w:line="240" w:lineRule="exact"/>
              <w:jc w:val="right"/>
              <w:rPr>
                <w:rFonts w:ascii="宋体" w:hAnsi="宋体" w:eastAsia="宋体" w:cs="宋体"/>
                <w:sz w:val="18"/>
                <w:szCs w:val="18"/>
              </w:rPr>
            </w:pPr>
            <w:r>
              <w:rPr>
                <w:rFonts w:ascii="宋体" w:hAnsi="宋体" w:eastAsia="宋体" w:cs="宋体"/>
                <w:sz w:val="18"/>
                <w:szCs w:val="18"/>
              </w:rPr>
              <w:t>-127,403,884.79</w:t>
            </w:r>
          </w:p>
        </w:tc>
      </w:tr>
      <w:tr w14:paraId="6A7E40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27" w:type="dxa"/>
            <w:tcBorders>
              <w:top w:val="single" w:color="auto" w:sz="2" w:space="0"/>
              <w:left w:val="single" w:color="auto" w:sz="2" w:space="0"/>
              <w:bottom w:val="single" w:color="auto" w:sz="2" w:space="0"/>
              <w:right w:val="single" w:color="auto" w:sz="2" w:space="0"/>
            </w:tcBorders>
            <w:shd w:val="clear" w:color="auto" w:fill="D3D3D3"/>
            <w:vAlign w:val="center"/>
          </w:tcPr>
          <w:p w14:paraId="0F9D0334">
            <w:pPr>
              <w:spacing w:before="40" w:after="40" w:line="240" w:lineRule="exact"/>
              <w:jc w:val="left"/>
              <w:rPr>
                <w:rFonts w:ascii="宋体" w:hAnsi="宋体" w:eastAsia="宋体" w:cs="宋体"/>
                <w:sz w:val="18"/>
                <w:szCs w:val="18"/>
              </w:rPr>
            </w:pPr>
            <w:r>
              <w:rPr>
                <w:rFonts w:ascii="宋体" w:hAnsi="宋体" w:eastAsia="宋体" w:cs="宋体"/>
                <w:sz w:val="18"/>
                <w:szCs w:val="18"/>
              </w:rPr>
              <w:t>归属于上市公司股东的扣除非经常性损益的净利润（元）</w:t>
            </w:r>
          </w:p>
        </w:tc>
        <w:tc>
          <w:tcPr>
            <w:tcW w:w="1780" w:type="dxa"/>
            <w:tcBorders>
              <w:top w:val="single" w:color="auto" w:sz="2" w:space="0"/>
              <w:left w:val="single" w:color="auto" w:sz="2" w:space="0"/>
              <w:bottom w:val="single" w:color="auto" w:sz="2" w:space="0"/>
              <w:right w:val="single" w:color="auto" w:sz="2" w:space="0"/>
            </w:tcBorders>
            <w:vAlign w:val="center"/>
          </w:tcPr>
          <w:p w14:paraId="2E9428D8">
            <w:pPr>
              <w:spacing w:before="0" w:after="0" w:line="240" w:lineRule="exact"/>
              <w:jc w:val="right"/>
              <w:rPr>
                <w:rFonts w:ascii="宋体" w:hAnsi="宋体" w:eastAsia="宋体" w:cs="宋体"/>
                <w:sz w:val="18"/>
                <w:szCs w:val="18"/>
              </w:rPr>
            </w:pPr>
            <w:r>
              <w:rPr>
                <w:rFonts w:ascii="宋体" w:hAnsi="宋体" w:eastAsia="宋体" w:cs="宋体"/>
                <w:sz w:val="18"/>
                <w:szCs w:val="18"/>
              </w:rPr>
              <w:t>-199,538,896.47</w:t>
            </w:r>
          </w:p>
        </w:tc>
        <w:tc>
          <w:tcPr>
            <w:tcW w:w="1710" w:type="dxa"/>
            <w:tcBorders>
              <w:top w:val="single" w:color="auto" w:sz="2" w:space="0"/>
              <w:left w:val="single" w:color="auto" w:sz="2" w:space="0"/>
              <w:bottom w:val="single" w:color="auto" w:sz="2" w:space="0"/>
              <w:right w:val="single" w:color="auto" w:sz="2" w:space="0"/>
            </w:tcBorders>
            <w:vAlign w:val="center"/>
          </w:tcPr>
          <w:p w14:paraId="27FA83BE">
            <w:pPr>
              <w:spacing w:before="0" w:after="0" w:line="240" w:lineRule="exact"/>
              <w:jc w:val="right"/>
              <w:rPr>
                <w:rFonts w:ascii="宋体" w:hAnsi="宋体" w:eastAsia="宋体" w:cs="宋体"/>
                <w:sz w:val="18"/>
                <w:szCs w:val="18"/>
              </w:rPr>
            </w:pPr>
            <w:r>
              <w:rPr>
                <w:rFonts w:ascii="宋体" w:hAnsi="宋体" w:eastAsia="宋体" w:cs="宋体"/>
                <w:sz w:val="18"/>
                <w:szCs w:val="18"/>
              </w:rPr>
              <w:t>-354,232,828.10</w:t>
            </w:r>
          </w:p>
        </w:tc>
        <w:tc>
          <w:tcPr>
            <w:tcW w:w="1910" w:type="dxa"/>
            <w:tcBorders>
              <w:top w:val="single" w:color="auto" w:sz="2" w:space="0"/>
              <w:left w:val="single" w:color="auto" w:sz="2" w:space="0"/>
              <w:bottom w:val="single" w:color="auto" w:sz="2" w:space="0"/>
              <w:right w:val="single" w:color="auto" w:sz="2" w:space="0"/>
            </w:tcBorders>
            <w:vAlign w:val="center"/>
          </w:tcPr>
          <w:p w14:paraId="6038AB75">
            <w:pPr>
              <w:spacing w:before="0" w:after="0" w:line="240" w:lineRule="exact"/>
              <w:jc w:val="right"/>
              <w:rPr>
                <w:rFonts w:ascii="宋体" w:hAnsi="宋体" w:eastAsia="宋体" w:cs="宋体"/>
                <w:sz w:val="18"/>
                <w:szCs w:val="18"/>
              </w:rPr>
            </w:pPr>
            <w:r>
              <w:rPr>
                <w:rFonts w:ascii="宋体" w:hAnsi="宋体" w:eastAsia="宋体" w:cs="宋体"/>
                <w:sz w:val="18"/>
                <w:szCs w:val="18"/>
              </w:rPr>
              <w:t>43.67%</w:t>
            </w:r>
          </w:p>
        </w:tc>
        <w:tc>
          <w:tcPr>
            <w:tcW w:w="1713" w:type="dxa"/>
            <w:tcBorders>
              <w:top w:val="single" w:color="auto" w:sz="2" w:space="0"/>
              <w:left w:val="single" w:color="auto" w:sz="2" w:space="0"/>
              <w:bottom w:val="single" w:color="auto" w:sz="2" w:space="0"/>
              <w:right w:val="single" w:color="auto" w:sz="2" w:space="0"/>
            </w:tcBorders>
            <w:vAlign w:val="center"/>
          </w:tcPr>
          <w:p w14:paraId="646955DA">
            <w:pPr>
              <w:spacing w:before="0" w:after="0" w:line="240" w:lineRule="exact"/>
              <w:jc w:val="right"/>
              <w:rPr>
                <w:rFonts w:ascii="宋体" w:hAnsi="宋体" w:eastAsia="宋体" w:cs="宋体"/>
                <w:sz w:val="18"/>
                <w:szCs w:val="18"/>
              </w:rPr>
            </w:pPr>
            <w:r>
              <w:rPr>
                <w:rFonts w:ascii="宋体" w:hAnsi="宋体" w:eastAsia="宋体" w:cs="宋体"/>
                <w:sz w:val="18"/>
                <w:szCs w:val="18"/>
              </w:rPr>
              <w:t>-132,180,748.67</w:t>
            </w:r>
          </w:p>
        </w:tc>
      </w:tr>
      <w:tr w14:paraId="4F166F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27" w:type="dxa"/>
            <w:tcBorders>
              <w:top w:val="single" w:color="auto" w:sz="2" w:space="0"/>
              <w:left w:val="single" w:color="auto" w:sz="2" w:space="0"/>
              <w:bottom w:val="single" w:color="auto" w:sz="2" w:space="0"/>
              <w:right w:val="single" w:color="auto" w:sz="2" w:space="0"/>
            </w:tcBorders>
            <w:shd w:val="clear" w:color="auto" w:fill="D3D3D3"/>
            <w:vAlign w:val="center"/>
          </w:tcPr>
          <w:p w14:paraId="06988121">
            <w:pPr>
              <w:spacing w:before="40" w:after="40" w:line="240" w:lineRule="exact"/>
              <w:jc w:val="left"/>
              <w:rPr>
                <w:rFonts w:ascii="宋体" w:hAnsi="宋体" w:eastAsia="宋体" w:cs="宋体"/>
                <w:sz w:val="18"/>
                <w:szCs w:val="18"/>
              </w:rPr>
            </w:pPr>
            <w:r>
              <w:rPr>
                <w:rFonts w:ascii="宋体" w:hAnsi="宋体" w:eastAsia="宋体" w:cs="宋体"/>
                <w:sz w:val="18"/>
                <w:szCs w:val="18"/>
              </w:rPr>
              <w:t>经营活动产生的现金流量净额（元）</w:t>
            </w:r>
          </w:p>
        </w:tc>
        <w:tc>
          <w:tcPr>
            <w:tcW w:w="1780" w:type="dxa"/>
            <w:tcBorders>
              <w:top w:val="single" w:color="auto" w:sz="2" w:space="0"/>
              <w:left w:val="single" w:color="auto" w:sz="2" w:space="0"/>
              <w:bottom w:val="single" w:color="auto" w:sz="2" w:space="0"/>
              <w:right w:val="single" w:color="auto" w:sz="2" w:space="0"/>
            </w:tcBorders>
            <w:vAlign w:val="center"/>
          </w:tcPr>
          <w:p w14:paraId="55D2EE17">
            <w:pPr>
              <w:spacing w:before="0" w:after="0" w:line="240" w:lineRule="exact"/>
              <w:jc w:val="right"/>
              <w:rPr>
                <w:rFonts w:ascii="宋体" w:hAnsi="宋体" w:eastAsia="宋体" w:cs="宋体"/>
                <w:sz w:val="18"/>
                <w:szCs w:val="18"/>
              </w:rPr>
            </w:pPr>
            <w:r>
              <w:rPr>
                <w:rFonts w:ascii="宋体" w:hAnsi="宋体" w:eastAsia="宋体" w:cs="宋体"/>
                <w:sz w:val="18"/>
                <w:szCs w:val="18"/>
              </w:rPr>
              <w:t>20,707,723.30</w:t>
            </w:r>
          </w:p>
        </w:tc>
        <w:tc>
          <w:tcPr>
            <w:tcW w:w="1710" w:type="dxa"/>
            <w:tcBorders>
              <w:top w:val="single" w:color="auto" w:sz="2" w:space="0"/>
              <w:left w:val="single" w:color="auto" w:sz="2" w:space="0"/>
              <w:bottom w:val="single" w:color="auto" w:sz="2" w:space="0"/>
              <w:right w:val="single" w:color="auto" w:sz="2" w:space="0"/>
            </w:tcBorders>
            <w:vAlign w:val="center"/>
          </w:tcPr>
          <w:p w14:paraId="0788956A">
            <w:pPr>
              <w:spacing w:before="0" w:after="0" w:line="240" w:lineRule="exact"/>
              <w:jc w:val="right"/>
              <w:rPr>
                <w:rFonts w:ascii="宋体" w:hAnsi="宋体" w:eastAsia="宋体" w:cs="宋体"/>
                <w:sz w:val="18"/>
                <w:szCs w:val="18"/>
              </w:rPr>
            </w:pPr>
            <w:r>
              <w:rPr>
                <w:rFonts w:ascii="宋体" w:hAnsi="宋体" w:eastAsia="宋体" w:cs="宋体"/>
                <w:sz w:val="18"/>
                <w:szCs w:val="18"/>
              </w:rPr>
              <w:t>-174,595,576.92</w:t>
            </w:r>
          </w:p>
        </w:tc>
        <w:tc>
          <w:tcPr>
            <w:tcW w:w="1910" w:type="dxa"/>
            <w:tcBorders>
              <w:top w:val="single" w:color="auto" w:sz="2" w:space="0"/>
              <w:left w:val="single" w:color="auto" w:sz="2" w:space="0"/>
              <w:bottom w:val="single" w:color="auto" w:sz="2" w:space="0"/>
              <w:right w:val="single" w:color="auto" w:sz="2" w:space="0"/>
            </w:tcBorders>
            <w:vAlign w:val="center"/>
          </w:tcPr>
          <w:p w14:paraId="5F8B7713">
            <w:pPr>
              <w:spacing w:before="0" w:after="0" w:line="240" w:lineRule="exact"/>
              <w:jc w:val="right"/>
              <w:rPr>
                <w:rFonts w:ascii="宋体" w:hAnsi="宋体" w:eastAsia="宋体" w:cs="宋体"/>
                <w:sz w:val="18"/>
                <w:szCs w:val="18"/>
              </w:rPr>
            </w:pPr>
            <w:r>
              <w:rPr>
                <w:rFonts w:ascii="宋体" w:hAnsi="宋体" w:eastAsia="宋体" w:cs="宋体"/>
                <w:sz w:val="18"/>
                <w:szCs w:val="18"/>
              </w:rPr>
              <w:t>111.86%</w:t>
            </w:r>
          </w:p>
        </w:tc>
        <w:tc>
          <w:tcPr>
            <w:tcW w:w="1713" w:type="dxa"/>
            <w:tcBorders>
              <w:top w:val="single" w:color="auto" w:sz="2" w:space="0"/>
              <w:left w:val="single" w:color="auto" w:sz="2" w:space="0"/>
              <w:bottom w:val="single" w:color="auto" w:sz="2" w:space="0"/>
              <w:right w:val="single" w:color="auto" w:sz="2" w:space="0"/>
            </w:tcBorders>
            <w:vAlign w:val="center"/>
          </w:tcPr>
          <w:p w14:paraId="0A2602C9">
            <w:pPr>
              <w:spacing w:before="0" w:after="0" w:line="240" w:lineRule="exact"/>
              <w:jc w:val="right"/>
              <w:rPr>
                <w:rFonts w:ascii="宋体" w:hAnsi="宋体" w:eastAsia="宋体" w:cs="宋体"/>
                <w:sz w:val="18"/>
                <w:szCs w:val="18"/>
              </w:rPr>
            </w:pPr>
            <w:r>
              <w:rPr>
                <w:rFonts w:ascii="宋体" w:hAnsi="宋体" w:eastAsia="宋体" w:cs="宋体"/>
                <w:sz w:val="18"/>
                <w:szCs w:val="18"/>
              </w:rPr>
              <w:t>-119,679,687.02</w:t>
            </w:r>
          </w:p>
        </w:tc>
      </w:tr>
      <w:tr w14:paraId="7567D4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27" w:type="dxa"/>
            <w:tcBorders>
              <w:top w:val="single" w:color="auto" w:sz="2" w:space="0"/>
              <w:left w:val="single" w:color="auto" w:sz="2" w:space="0"/>
              <w:bottom w:val="single" w:color="auto" w:sz="2" w:space="0"/>
              <w:right w:val="single" w:color="auto" w:sz="2" w:space="0"/>
            </w:tcBorders>
            <w:shd w:val="clear" w:color="auto" w:fill="D3D3D3"/>
            <w:vAlign w:val="center"/>
          </w:tcPr>
          <w:p w14:paraId="2A194D53">
            <w:pPr>
              <w:spacing w:before="40" w:after="40" w:line="240" w:lineRule="exact"/>
              <w:jc w:val="left"/>
              <w:rPr>
                <w:rFonts w:ascii="宋体" w:hAnsi="宋体" w:eastAsia="宋体" w:cs="宋体"/>
                <w:sz w:val="18"/>
                <w:szCs w:val="18"/>
              </w:rPr>
            </w:pPr>
            <w:r>
              <w:rPr>
                <w:rFonts w:ascii="宋体" w:hAnsi="宋体" w:eastAsia="宋体" w:cs="宋体"/>
                <w:sz w:val="18"/>
                <w:szCs w:val="18"/>
              </w:rPr>
              <w:t>基本每股收益（元/股）</w:t>
            </w:r>
          </w:p>
        </w:tc>
        <w:tc>
          <w:tcPr>
            <w:tcW w:w="1780" w:type="dxa"/>
            <w:tcBorders>
              <w:top w:val="single" w:color="auto" w:sz="2" w:space="0"/>
              <w:left w:val="single" w:color="auto" w:sz="2" w:space="0"/>
              <w:bottom w:val="single" w:color="auto" w:sz="2" w:space="0"/>
              <w:right w:val="single" w:color="auto" w:sz="2" w:space="0"/>
            </w:tcBorders>
            <w:vAlign w:val="center"/>
          </w:tcPr>
          <w:p w14:paraId="7A3C3666">
            <w:pPr>
              <w:spacing w:before="0" w:after="0" w:line="240" w:lineRule="exact"/>
              <w:jc w:val="right"/>
              <w:rPr>
                <w:rFonts w:ascii="宋体" w:hAnsi="宋体" w:eastAsia="宋体" w:cs="宋体"/>
                <w:sz w:val="18"/>
                <w:szCs w:val="18"/>
              </w:rPr>
            </w:pPr>
            <w:r>
              <w:rPr>
                <w:rFonts w:ascii="宋体" w:hAnsi="宋体" w:eastAsia="宋体" w:cs="宋体"/>
                <w:sz w:val="18"/>
                <w:szCs w:val="18"/>
              </w:rPr>
              <w:t>-0.9814</w:t>
            </w:r>
          </w:p>
        </w:tc>
        <w:tc>
          <w:tcPr>
            <w:tcW w:w="1710" w:type="dxa"/>
            <w:tcBorders>
              <w:top w:val="single" w:color="auto" w:sz="2" w:space="0"/>
              <w:left w:val="single" w:color="auto" w:sz="2" w:space="0"/>
              <w:bottom w:val="single" w:color="auto" w:sz="2" w:space="0"/>
              <w:right w:val="single" w:color="auto" w:sz="2" w:space="0"/>
            </w:tcBorders>
            <w:vAlign w:val="center"/>
          </w:tcPr>
          <w:p w14:paraId="4C94456B">
            <w:pPr>
              <w:spacing w:before="0" w:after="0" w:line="240" w:lineRule="exact"/>
              <w:jc w:val="right"/>
              <w:rPr>
                <w:rFonts w:ascii="宋体" w:hAnsi="宋体" w:eastAsia="宋体" w:cs="宋体"/>
                <w:sz w:val="18"/>
                <w:szCs w:val="18"/>
              </w:rPr>
            </w:pPr>
            <w:r>
              <w:rPr>
                <w:rFonts w:ascii="宋体" w:hAnsi="宋体" w:eastAsia="宋体" w:cs="宋体"/>
                <w:sz w:val="18"/>
                <w:szCs w:val="18"/>
              </w:rPr>
              <w:t>-2.1887</w:t>
            </w:r>
          </w:p>
        </w:tc>
        <w:tc>
          <w:tcPr>
            <w:tcW w:w="1910" w:type="dxa"/>
            <w:tcBorders>
              <w:top w:val="single" w:color="auto" w:sz="2" w:space="0"/>
              <w:left w:val="single" w:color="auto" w:sz="2" w:space="0"/>
              <w:bottom w:val="single" w:color="auto" w:sz="2" w:space="0"/>
              <w:right w:val="single" w:color="auto" w:sz="2" w:space="0"/>
            </w:tcBorders>
            <w:vAlign w:val="center"/>
          </w:tcPr>
          <w:p w14:paraId="63E390CE">
            <w:pPr>
              <w:spacing w:before="0" w:after="0" w:line="240" w:lineRule="exact"/>
              <w:jc w:val="right"/>
              <w:rPr>
                <w:rFonts w:ascii="宋体" w:hAnsi="宋体" w:eastAsia="宋体" w:cs="宋体"/>
                <w:sz w:val="18"/>
                <w:szCs w:val="18"/>
              </w:rPr>
            </w:pPr>
            <w:r>
              <w:rPr>
                <w:rFonts w:ascii="宋体" w:hAnsi="宋体" w:eastAsia="宋体" w:cs="宋体"/>
                <w:sz w:val="18"/>
                <w:szCs w:val="18"/>
              </w:rPr>
              <w:t>55.16%</w:t>
            </w:r>
          </w:p>
        </w:tc>
        <w:tc>
          <w:tcPr>
            <w:tcW w:w="1713" w:type="dxa"/>
            <w:tcBorders>
              <w:top w:val="single" w:color="auto" w:sz="2" w:space="0"/>
              <w:left w:val="single" w:color="auto" w:sz="2" w:space="0"/>
              <w:bottom w:val="single" w:color="auto" w:sz="2" w:space="0"/>
              <w:right w:val="single" w:color="auto" w:sz="2" w:space="0"/>
            </w:tcBorders>
            <w:vAlign w:val="center"/>
          </w:tcPr>
          <w:p w14:paraId="2D1322A7">
            <w:pPr>
              <w:spacing w:before="0" w:after="0" w:line="240" w:lineRule="exact"/>
              <w:jc w:val="right"/>
              <w:rPr>
                <w:rFonts w:ascii="宋体" w:hAnsi="宋体" w:eastAsia="宋体" w:cs="宋体"/>
                <w:sz w:val="18"/>
                <w:szCs w:val="18"/>
              </w:rPr>
            </w:pPr>
            <w:r>
              <w:rPr>
                <w:rFonts w:ascii="宋体" w:hAnsi="宋体" w:eastAsia="宋体" w:cs="宋体"/>
                <w:sz w:val="18"/>
                <w:szCs w:val="18"/>
              </w:rPr>
              <w:t>-0.8004</w:t>
            </w:r>
          </w:p>
        </w:tc>
      </w:tr>
      <w:tr w14:paraId="7A98AB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27" w:type="dxa"/>
            <w:tcBorders>
              <w:top w:val="single" w:color="auto" w:sz="2" w:space="0"/>
              <w:left w:val="single" w:color="auto" w:sz="2" w:space="0"/>
              <w:bottom w:val="single" w:color="auto" w:sz="2" w:space="0"/>
              <w:right w:val="single" w:color="auto" w:sz="2" w:space="0"/>
            </w:tcBorders>
            <w:shd w:val="clear" w:color="auto" w:fill="D3D3D3"/>
            <w:vAlign w:val="center"/>
          </w:tcPr>
          <w:p w14:paraId="3B6CE639">
            <w:pPr>
              <w:spacing w:before="40" w:after="40" w:line="240" w:lineRule="exact"/>
              <w:jc w:val="left"/>
              <w:rPr>
                <w:rFonts w:ascii="宋体" w:hAnsi="宋体" w:eastAsia="宋体" w:cs="宋体"/>
                <w:sz w:val="18"/>
                <w:szCs w:val="18"/>
              </w:rPr>
            </w:pPr>
            <w:r>
              <w:rPr>
                <w:rFonts w:ascii="宋体" w:hAnsi="宋体" w:eastAsia="宋体" w:cs="宋体"/>
                <w:sz w:val="18"/>
                <w:szCs w:val="18"/>
              </w:rPr>
              <w:t>稀释每股收益（元/股）</w:t>
            </w:r>
          </w:p>
        </w:tc>
        <w:tc>
          <w:tcPr>
            <w:tcW w:w="1780" w:type="dxa"/>
            <w:tcBorders>
              <w:top w:val="single" w:color="auto" w:sz="2" w:space="0"/>
              <w:left w:val="single" w:color="auto" w:sz="2" w:space="0"/>
              <w:bottom w:val="single" w:color="auto" w:sz="2" w:space="0"/>
              <w:right w:val="single" w:color="auto" w:sz="2" w:space="0"/>
            </w:tcBorders>
            <w:vAlign w:val="center"/>
          </w:tcPr>
          <w:p w14:paraId="511BCB2D">
            <w:pPr>
              <w:spacing w:before="0" w:after="0" w:line="240" w:lineRule="exact"/>
              <w:jc w:val="right"/>
              <w:rPr>
                <w:rFonts w:ascii="宋体" w:hAnsi="宋体" w:eastAsia="宋体" w:cs="宋体"/>
                <w:sz w:val="18"/>
                <w:szCs w:val="18"/>
              </w:rPr>
            </w:pPr>
            <w:r>
              <w:rPr>
                <w:rFonts w:ascii="宋体" w:hAnsi="宋体" w:eastAsia="宋体" w:cs="宋体"/>
                <w:sz w:val="18"/>
                <w:szCs w:val="18"/>
              </w:rPr>
              <w:t>-0.9814</w:t>
            </w:r>
          </w:p>
        </w:tc>
        <w:tc>
          <w:tcPr>
            <w:tcW w:w="1710" w:type="dxa"/>
            <w:tcBorders>
              <w:top w:val="single" w:color="auto" w:sz="2" w:space="0"/>
              <w:left w:val="single" w:color="auto" w:sz="2" w:space="0"/>
              <w:bottom w:val="single" w:color="auto" w:sz="2" w:space="0"/>
              <w:right w:val="single" w:color="auto" w:sz="2" w:space="0"/>
            </w:tcBorders>
            <w:vAlign w:val="center"/>
          </w:tcPr>
          <w:p w14:paraId="27531C0E">
            <w:pPr>
              <w:spacing w:before="0" w:after="0" w:line="240" w:lineRule="exact"/>
              <w:jc w:val="right"/>
              <w:rPr>
                <w:rFonts w:ascii="宋体" w:hAnsi="宋体" w:eastAsia="宋体" w:cs="宋体"/>
                <w:sz w:val="18"/>
                <w:szCs w:val="18"/>
              </w:rPr>
            </w:pPr>
            <w:r>
              <w:rPr>
                <w:rFonts w:ascii="宋体" w:hAnsi="宋体" w:eastAsia="宋体" w:cs="宋体"/>
                <w:sz w:val="18"/>
                <w:szCs w:val="18"/>
              </w:rPr>
              <w:t>-2.1887</w:t>
            </w:r>
          </w:p>
        </w:tc>
        <w:tc>
          <w:tcPr>
            <w:tcW w:w="1910" w:type="dxa"/>
            <w:tcBorders>
              <w:top w:val="single" w:color="auto" w:sz="2" w:space="0"/>
              <w:left w:val="single" w:color="auto" w:sz="2" w:space="0"/>
              <w:bottom w:val="single" w:color="auto" w:sz="2" w:space="0"/>
              <w:right w:val="single" w:color="auto" w:sz="2" w:space="0"/>
            </w:tcBorders>
            <w:vAlign w:val="center"/>
          </w:tcPr>
          <w:p w14:paraId="451B845D">
            <w:pPr>
              <w:spacing w:before="0" w:after="0" w:line="240" w:lineRule="exact"/>
              <w:jc w:val="right"/>
              <w:rPr>
                <w:rFonts w:ascii="宋体" w:hAnsi="宋体" w:eastAsia="宋体" w:cs="宋体"/>
                <w:sz w:val="18"/>
                <w:szCs w:val="18"/>
              </w:rPr>
            </w:pPr>
            <w:r>
              <w:rPr>
                <w:rFonts w:ascii="宋体" w:hAnsi="宋体" w:eastAsia="宋体" w:cs="宋体"/>
                <w:sz w:val="18"/>
                <w:szCs w:val="18"/>
              </w:rPr>
              <w:t>55.16%</w:t>
            </w:r>
          </w:p>
        </w:tc>
        <w:tc>
          <w:tcPr>
            <w:tcW w:w="1713" w:type="dxa"/>
            <w:tcBorders>
              <w:top w:val="single" w:color="auto" w:sz="2" w:space="0"/>
              <w:left w:val="single" w:color="auto" w:sz="2" w:space="0"/>
              <w:bottom w:val="single" w:color="auto" w:sz="2" w:space="0"/>
              <w:right w:val="single" w:color="auto" w:sz="2" w:space="0"/>
            </w:tcBorders>
            <w:vAlign w:val="center"/>
          </w:tcPr>
          <w:p w14:paraId="124451E8">
            <w:pPr>
              <w:spacing w:before="0" w:after="0" w:line="240" w:lineRule="exact"/>
              <w:jc w:val="right"/>
              <w:rPr>
                <w:rFonts w:ascii="宋体" w:hAnsi="宋体" w:eastAsia="宋体" w:cs="宋体"/>
                <w:sz w:val="18"/>
                <w:szCs w:val="18"/>
              </w:rPr>
            </w:pPr>
            <w:r>
              <w:rPr>
                <w:rFonts w:ascii="宋体" w:hAnsi="宋体" w:eastAsia="宋体" w:cs="宋体"/>
                <w:sz w:val="18"/>
                <w:szCs w:val="18"/>
              </w:rPr>
              <w:t>-0.8004</w:t>
            </w:r>
          </w:p>
        </w:tc>
      </w:tr>
      <w:tr w14:paraId="163B34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27" w:type="dxa"/>
            <w:tcBorders>
              <w:top w:val="single" w:color="auto" w:sz="2" w:space="0"/>
              <w:left w:val="single" w:color="auto" w:sz="2" w:space="0"/>
              <w:bottom w:val="single" w:color="auto" w:sz="2" w:space="0"/>
              <w:right w:val="single" w:color="auto" w:sz="2" w:space="0"/>
            </w:tcBorders>
            <w:shd w:val="clear" w:color="auto" w:fill="D3D3D3"/>
            <w:vAlign w:val="center"/>
          </w:tcPr>
          <w:p w14:paraId="76BE61B3">
            <w:pPr>
              <w:spacing w:before="40" w:after="40" w:line="240" w:lineRule="exact"/>
              <w:jc w:val="left"/>
              <w:rPr>
                <w:rFonts w:ascii="宋体" w:hAnsi="宋体" w:eastAsia="宋体" w:cs="宋体"/>
                <w:sz w:val="18"/>
                <w:szCs w:val="18"/>
              </w:rPr>
            </w:pPr>
            <w:r>
              <w:rPr>
                <w:rFonts w:ascii="宋体" w:hAnsi="宋体" w:eastAsia="宋体" w:cs="宋体"/>
                <w:sz w:val="18"/>
                <w:szCs w:val="18"/>
              </w:rPr>
              <w:t>加权平均净资产收益率</w:t>
            </w:r>
          </w:p>
        </w:tc>
        <w:tc>
          <w:tcPr>
            <w:tcW w:w="1780" w:type="dxa"/>
            <w:tcBorders>
              <w:top w:val="single" w:color="auto" w:sz="2" w:space="0"/>
              <w:left w:val="single" w:color="auto" w:sz="2" w:space="0"/>
              <w:bottom w:val="single" w:color="auto" w:sz="2" w:space="0"/>
              <w:right w:val="single" w:color="auto" w:sz="2" w:space="0"/>
            </w:tcBorders>
            <w:vAlign w:val="center"/>
          </w:tcPr>
          <w:p w14:paraId="1715B587">
            <w:pPr>
              <w:spacing w:before="0" w:after="0" w:line="240" w:lineRule="exact"/>
              <w:jc w:val="right"/>
              <w:rPr>
                <w:rFonts w:ascii="宋体" w:hAnsi="宋体" w:eastAsia="宋体" w:cs="宋体"/>
                <w:sz w:val="18"/>
                <w:szCs w:val="18"/>
              </w:rPr>
            </w:pPr>
            <w:r>
              <w:rPr>
                <w:rFonts w:ascii="宋体" w:hAnsi="宋体" w:eastAsia="宋体" w:cs="宋体"/>
                <w:sz w:val="18"/>
                <w:szCs w:val="18"/>
              </w:rPr>
              <w:t>-35.66%</w:t>
            </w:r>
          </w:p>
        </w:tc>
        <w:tc>
          <w:tcPr>
            <w:tcW w:w="1710" w:type="dxa"/>
            <w:tcBorders>
              <w:top w:val="single" w:color="auto" w:sz="2" w:space="0"/>
              <w:left w:val="single" w:color="auto" w:sz="2" w:space="0"/>
              <w:bottom w:val="single" w:color="auto" w:sz="2" w:space="0"/>
              <w:right w:val="single" w:color="auto" w:sz="2" w:space="0"/>
            </w:tcBorders>
            <w:vAlign w:val="center"/>
          </w:tcPr>
          <w:p w14:paraId="799A7AB3">
            <w:pPr>
              <w:spacing w:before="0" w:after="0" w:line="240" w:lineRule="exact"/>
              <w:jc w:val="right"/>
              <w:rPr>
                <w:rFonts w:ascii="宋体" w:hAnsi="宋体" w:eastAsia="宋体" w:cs="宋体"/>
                <w:sz w:val="18"/>
                <w:szCs w:val="18"/>
              </w:rPr>
            </w:pPr>
            <w:r>
              <w:rPr>
                <w:rFonts w:ascii="宋体" w:hAnsi="宋体" w:eastAsia="宋体" w:cs="宋体"/>
                <w:sz w:val="18"/>
                <w:szCs w:val="18"/>
              </w:rPr>
              <w:t>-49.90%</w:t>
            </w:r>
          </w:p>
        </w:tc>
        <w:tc>
          <w:tcPr>
            <w:tcW w:w="1910" w:type="dxa"/>
            <w:tcBorders>
              <w:top w:val="single" w:color="auto" w:sz="2" w:space="0"/>
              <w:left w:val="single" w:color="auto" w:sz="2" w:space="0"/>
              <w:bottom w:val="single" w:color="auto" w:sz="2" w:space="0"/>
              <w:right w:val="single" w:color="auto" w:sz="2" w:space="0"/>
            </w:tcBorders>
            <w:vAlign w:val="center"/>
          </w:tcPr>
          <w:p w14:paraId="7131FB15">
            <w:pPr>
              <w:spacing w:before="0" w:after="0" w:line="240" w:lineRule="exact"/>
              <w:jc w:val="right"/>
              <w:rPr>
                <w:rFonts w:ascii="宋体" w:hAnsi="宋体" w:eastAsia="宋体" w:cs="宋体"/>
                <w:sz w:val="18"/>
                <w:szCs w:val="18"/>
              </w:rPr>
            </w:pPr>
            <w:r>
              <w:rPr>
                <w:rFonts w:hint="eastAsia" w:ascii="宋体" w:hAnsi="宋体" w:cs="宋体"/>
                <w:sz w:val="18"/>
                <w:szCs w:val="18"/>
                <w:lang w:val="en-US" w:eastAsia="zh-CN"/>
              </w:rPr>
              <w:t>14.24</w:t>
            </w:r>
            <w:r>
              <w:rPr>
                <w:rFonts w:ascii="宋体" w:hAnsi="宋体" w:eastAsia="宋体" w:cs="宋体"/>
                <w:sz w:val="18"/>
                <w:szCs w:val="18"/>
              </w:rPr>
              <w:t>%</w:t>
            </w:r>
          </w:p>
        </w:tc>
        <w:tc>
          <w:tcPr>
            <w:tcW w:w="1713" w:type="dxa"/>
            <w:tcBorders>
              <w:top w:val="single" w:color="auto" w:sz="2" w:space="0"/>
              <w:left w:val="single" w:color="auto" w:sz="2" w:space="0"/>
              <w:bottom w:val="single" w:color="auto" w:sz="2" w:space="0"/>
              <w:right w:val="single" w:color="auto" w:sz="2" w:space="0"/>
            </w:tcBorders>
            <w:vAlign w:val="center"/>
          </w:tcPr>
          <w:p w14:paraId="5BB12125">
            <w:pPr>
              <w:spacing w:before="0" w:after="0" w:line="240" w:lineRule="exact"/>
              <w:jc w:val="right"/>
              <w:rPr>
                <w:rFonts w:ascii="宋体" w:hAnsi="宋体" w:eastAsia="宋体" w:cs="宋体"/>
                <w:sz w:val="18"/>
                <w:szCs w:val="18"/>
              </w:rPr>
            </w:pPr>
            <w:r>
              <w:rPr>
                <w:rFonts w:ascii="宋体" w:hAnsi="宋体" w:eastAsia="宋体" w:cs="宋体"/>
                <w:sz w:val="18"/>
                <w:szCs w:val="18"/>
              </w:rPr>
              <w:t>-12.87%</w:t>
            </w:r>
          </w:p>
        </w:tc>
      </w:tr>
      <w:tr w14:paraId="5BE92B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27" w:type="dxa"/>
            <w:tcBorders>
              <w:top w:val="single" w:color="auto" w:sz="2" w:space="0"/>
              <w:left w:val="single" w:color="auto" w:sz="2" w:space="0"/>
              <w:bottom w:val="single" w:color="auto" w:sz="2" w:space="0"/>
              <w:right w:val="single" w:color="auto" w:sz="2" w:space="0"/>
            </w:tcBorders>
            <w:shd w:val="clear" w:color="auto" w:fill="D3D3D3"/>
            <w:vAlign w:val="center"/>
          </w:tcPr>
          <w:p w14:paraId="5FF648FF"/>
        </w:tc>
        <w:tc>
          <w:tcPr>
            <w:tcW w:w="1780" w:type="dxa"/>
            <w:tcBorders>
              <w:top w:val="single" w:color="auto" w:sz="2" w:space="0"/>
              <w:left w:val="single" w:color="auto" w:sz="2" w:space="0"/>
              <w:bottom w:val="single" w:color="auto" w:sz="2" w:space="0"/>
              <w:right w:val="single" w:color="auto" w:sz="2" w:space="0"/>
            </w:tcBorders>
            <w:shd w:val="clear" w:color="auto" w:fill="D3D3D3"/>
            <w:vAlign w:val="center"/>
          </w:tcPr>
          <w:p w14:paraId="16820C85">
            <w:pPr>
              <w:spacing w:before="40" w:after="40" w:line="240" w:lineRule="exact"/>
              <w:jc w:val="center"/>
              <w:rPr>
                <w:rFonts w:ascii="宋体" w:hAnsi="宋体" w:eastAsia="宋体" w:cs="宋体"/>
                <w:sz w:val="18"/>
                <w:szCs w:val="18"/>
              </w:rPr>
            </w:pPr>
            <w:r>
              <w:rPr>
                <w:rFonts w:ascii="宋体" w:hAnsi="宋体" w:eastAsia="宋体" w:cs="宋体"/>
                <w:sz w:val="18"/>
                <w:szCs w:val="18"/>
              </w:rPr>
              <w:t>2024年末</w:t>
            </w:r>
          </w:p>
        </w:tc>
        <w:tc>
          <w:tcPr>
            <w:tcW w:w="1710" w:type="dxa"/>
            <w:tcBorders>
              <w:top w:val="single" w:color="auto" w:sz="2" w:space="0"/>
              <w:left w:val="single" w:color="auto" w:sz="2" w:space="0"/>
              <w:bottom w:val="single" w:color="auto" w:sz="2" w:space="0"/>
              <w:right w:val="single" w:color="auto" w:sz="2" w:space="0"/>
            </w:tcBorders>
            <w:shd w:val="clear" w:color="auto" w:fill="D3D3D3"/>
            <w:vAlign w:val="center"/>
          </w:tcPr>
          <w:p w14:paraId="27EA095C">
            <w:pPr>
              <w:spacing w:before="40" w:after="40" w:line="240" w:lineRule="exact"/>
              <w:jc w:val="center"/>
              <w:rPr>
                <w:rFonts w:ascii="宋体" w:hAnsi="宋体" w:eastAsia="宋体" w:cs="宋体"/>
                <w:sz w:val="18"/>
                <w:szCs w:val="18"/>
              </w:rPr>
            </w:pPr>
            <w:r>
              <w:rPr>
                <w:rFonts w:ascii="宋体" w:hAnsi="宋体" w:eastAsia="宋体" w:cs="宋体"/>
                <w:sz w:val="18"/>
                <w:szCs w:val="18"/>
              </w:rPr>
              <w:t>2023年末</w:t>
            </w:r>
          </w:p>
        </w:tc>
        <w:tc>
          <w:tcPr>
            <w:tcW w:w="1910" w:type="dxa"/>
            <w:tcBorders>
              <w:top w:val="single" w:color="auto" w:sz="2" w:space="0"/>
              <w:left w:val="single" w:color="auto" w:sz="2" w:space="0"/>
              <w:bottom w:val="single" w:color="auto" w:sz="2" w:space="0"/>
              <w:right w:val="single" w:color="auto" w:sz="2" w:space="0"/>
            </w:tcBorders>
            <w:shd w:val="clear" w:color="auto" w:fill="D3D3D3"/>
            <w:vAlign w:val="center"/>
          </w:tcPr>
          <w:p w14:paraId="6623E561">
            <w:pPr>
              <w:spacing w:before="40" w:after="40" w:line="240" w:lineRule="exact"/>
              <w:jc w:val="center"/>
              <w:rPr>
                <w:rFonts w:ascii="宋体" w:hAnsi="宋体" w:eastAsia="宋体" w:cs="宋体"/>
                <w:sz w:val="18"/>
                <w:szCs w:val="18"/>
              </w:rPr>
            </w:pPr>
            <w:r>
              <w:rPr>
                <w:rFonts w:ascii="宋体" w:hAnsi="宋体" w:eastAsia="宋体" w:cs="宋体"/>
                <w:sz w:val="18"/>
                <w:szCs w:val="18"/>
              </w:rPr>
              <w:t>本年末比上年末增减</w:t>
            </w:r>
          </w:p>
        </w:tc>
        <w:tc>
          <w:tcPr>
            <w:tcW w:w="1713" w:type="dxa"/>
            <w:tcBorders>
              <w:top w:val="single" w:color="auto" w:sz="2" w:space="0"/>
              <w:left w:val="single" w:color="auto" w:sz="2" w:space="0"/>
              <w:bottom w:val="single" w:color="auto" w:sz="2" w:space="0"/>
              <w:right w:val="single" w:color="auto" w:sz="2" w:space="0"/>
            </w:tcBorders>
            <w:shd w:val="clear" w:color="auto" w:fill="D3D3D3"/>
            <w:vAlign w:val="center"/>
          </w:tcPr>
          <w:p w14:paraId="21CAF431">
            <w:pPr>
              <w:spacing w:before="40" w:after="40" w:line="240" w:lineRule="exact"/>
              <w:jc w:val="center"/>
              <w:rPr>
                <w:rFonts w:ascii="宋体" w:hAnsi="宋体" w:eastAsia="宋体" w:cs="宋体"/>
                <w:sz w:val="18"/>
                <w:szCs w:val="18"/>
              </w:rPr>
            </w:pPr>
            <w:r>
              <w:rPr>
                <w:rFonts w:ascii="宋体" w:hAnsi="宋体" w:eastAsia="宋体" w:cs="宋体"/>
                <w:sz w:val="18"/>
                <w:szCs w:val="18"/>
              </w:rPr>
              <w:t>2022年末</w:t>
            </w:r>
          </w:p>
        </w:tc>
      </w:tr>
      <w:tr w14:paraId="23DDC8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27" w:type="dxa"/>
            <w:tcBorders>
              <w:top w:val="single" w:color="auto" w:sz="2" w:space="0"/>
              <w:left w:val="single" w:color="auto" w:sz="2" w:space="0"/>
              <w:bottom w:val="single" w:color="auto" w:sz="2" w:space="0"/>
              <w:right w:val="single" w:color="auto" w:sz="2" w:space="0"/>
            </w:tcBorders>
            <w:shd w:val="clear" w:color="auto" w:fill="D3D3D3"/>
            <w:vAlign w:val="center"/>
          </w:tcPr>
          <w:p w14:paraId="5FD52886">
            <w:pPr>
              <w:spacing w:before="40" w:after="40" w:line="240" w:lineRule="exact"/>
              <w:jc w:val="left"/>
              <w:rPr>
                <w:rFonts w:ascii="宋体" w:hAnsi="宋体" w:eastAsia="宋体" w:cs="宋体"/>
                <w:sz w:val="18"/>
                <w:szCs w:val="18"/>
              </w:rPr>
            </w:pPr>
            <w:r>
              <w:rPr>
                <w:rFonts w:ascii="宋体" w:hAnsi="宋体" w:eastAsia="宋体" w:cs="宋体"/>
                <w:sz w:val="18"/>
                <w:szCs w:val="18"/>
              </w:rPr>
              <w:t>资产总额（元）</w:t>
            </w:r>
          </w:p>
        </w:tc>
        <w:tc>
          <w:tcPr>
            <w:tcW w:w="1780" w:type="dxa"/>
            <w:tcBorders>
              <w:top w:val="single" w:color="auto" w:sz="2" w:space="0"/>
              <w:left w:val="single" w:color="auto" w:sz="2" w:space="0"/>
              <w:bottom w:val="single" w:color="auto" w:sz="2" w:space="0"/>
              <w:right w:val="single" w:color="auto" w:sz="2" w:space="0"/>
            </w:tcBorders>
            <w:vAlign w:val="center"/>
          </w:tcPr>
          <w:p w14:paraId="0C8F0D76">
            <w:pPr>
              <w:spacing w:before="0" w:after="0" w:line="240" w:lineRule="exact"/>
              <w:jc w:val="right"/>
              <w:rPr>
                <w:rFonts w:ascii="宋体" w:hAnsi="宋体" w:eastAsia="宋体" w:cs="宋体"/>
                <w:sz w:val="18"/>
                <w:szCs w:val="18"/>
              </w:rPr>
            </w:pPr>
            <w:r>
              <w:rPr>
                <w:rFonts w:ascii="宋体" w:hAnsi="宋体" w:eastAsia="宋体" w:cs="宋体"/>
                <w:sz w:val="18"/>
                <w:szCs w:val="18"/>
              </w:rPr>
              <w:t>1,438,807,956.07</w:t>
            </w:r>
          </w:p>
        </w:tc>
        <w:tc>
          <w:tcPr>
            <w:tcW w:w="1710" w:type="dxa"/>
            <w:tcBorders>
              <w:top w:val="single" w:color="auto" w:sz="2" w:space="0"/>
              <w:left w:val="single" w:color="auto" w:sz="2" w:space="0"/>
              <w:bottom w:val="single" w:color="auto" w:sz="2" w:space="0"/>
              <w:right w:val="single" w:color="auto" w:sz="2" w:space="0"/>
            </w:tcBorders>
            <w:vAlign w:val="center"/>
          </w:tcPr>
          <w:p w14:paraId="306C0360">
            <w:pPr>
              <w:spacing w:before="0" w:after="0" w:line="240" w:lineRule="exact"/>
              <w:jc w:val="right"/>
              <w:rPr>
                <w:rFonts w:ascii="宋体" w:hAnsi="宋体" w:eastAsia="宋体" w:cs="宋体"/>
                <w:sz w:val="18"/>
                <w:szCs w:val="18"/>
              </w:rPr>
            </w:pPr>
            <w:r>
              <w:rPr>
                <w:rFonts w:ascii="宋体" w:hAnsi="宋体" w:eastAsia="宋体" w:cs="宋体"/>
                <w:sz w:val="18"/>
                <w:szCs w:val="18"/>
              </w:rPr>
              <w:t>1,614,481,833.09</w:t>
            </w:r>
          </w:p>
        </w:tc>
        <w:tc>
          <w:tcPr>
            <w:tcW w:w="1910" w:type="dxa"/>
            <w:tcBorders>
              <w:top w:val="single" w:color="auto" w:sz="2" w:space="0"/>
              <w:left w:val="single" w:color="auto" w:sz="2" w:space="0"/>
              <w:bottom w:val="single" w:color="auto" w:sz="2" w:space="0"/>
              <w:right w:val="single" w:color="auto" w:sz="2" w:space="0"/>
            </w:tcBorders>
            <w:vAlign w:val="center"/>
          </w:tcPr>
          <w:p w14:paraId="4CB2F809">
            <w:pPr>
              <w:spacing w:before="0" w:after="0" w:line="240" w:lineRule="exact"/>
              <w:jc w:val="right"/>
              <w:rPr>
                <w:rFonts w:ascii="宋体" w:hAnsi="宋体" w:eastAsia="宋体" w:cs="宋体"/>
                <w:sz w:val="18"/>
                <w:szCs w:val="18"/>
              </w:rPr>
            </w:pPr>
            <w:r>
              <w:rPr>
                <w:rFonts w:ascii="宋体" w:hAnsi="宋体" w:eastAsia="宋体" w:cs="宋体"/>
                <w:sz w:val="18"/>
                <w:szCs w:val="18"/>
              </w:rPr>
              <w:t>-10.88%</w:t>
            </w:r>
          </w:p>
        </w:tc>
        <w:tc>
          <w:tcPr>
            <w:tcW w:w="1713" w:type="dxa"/>
            <w:tcBorders>
              <w:top w:val="single" w:color="auto" w:sz="2" w:space="0"/>
              <w:left w:val="single" w:color="auto" w:sz="2" w:space="0"/>
              <w:bottom w:val="single" w:color="auto" w:sz="2" w:space="0"/>
              <w:right w:val="single" w:color="auto" w:sz="2" w:space="0"/>
            </w:tcBorders>
            <w:vAlign w:val="center"/>
          </w:tcPr>
          <w:p w14:paraId="549B3078">
            <w:pPr>
              <w:spacing w:before="0" w:after="0" w:line="240" w:lineRule="exact"/>
              <w:jc w:val="right"/>
              <w:rPr>
                <w:rFonts w:ascii="宋体" w:hAnsi="宋体" w:eastAsia="宋体" w:cs="宋体"/>
                <w:sz w:val="18"/>
                <w:szCs w:val="18"/>
              </w:rPr>
            </w:pPr>
            <w:r>
              <w:rPr>
                <w:rFonts w:ascii="宋体" w:hAnsi="宋体" w:eastAsia="宋体" w:cs="宋体"/>
                <w:sz w:val="18"/>
                <w:szCs w:val="18"/>
              </w:rPr>
              <w:t>1,494,844,681.01</w:t>
            </w:r>
          </w:p>
        </w:tc>
      </w:tr>
      <w:tr w14:paraId="09B6D6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27" w:type="dxa"/>
            <w:tcBorders>
              <w:top w:val="single" w:color="auto" w:sz="2" w:space="0"/>
              <w:left w:val="single" w:color="auto" w:sz="2" w:space="0"/>
              <w:bottom w:val="single" w:color="auto" w:sz="2" w:space="0"/>
              <w:right w:val="single" w:color="auto" w:sz="2" w:space="0"/>
            </w:tcBorders>
            <w:shd w:val="clear" w:color="auto" w:fill="D3D3D3"/>
            <w:vAlign w:val="center"/>
          </w:tcPr>
          <w:p w14:paraId="7A7EF0FF">
            <w:pPr>
              <w:spacing w:before="40" w:after="40" w:line="240" w:lineRule="exact"/>
              <w:jc w:val="left"/>
              <w:rPr>
                <w:rFonts w:ascii="宋体" w:hAnsi="宋体" w:eastAsia="宋体" w:cs="宋体"/>
                <w:sz w:val="18"/>
                <w:szCs w:val="18"/>
              </w:rPr>
            </w:pPr>
            <w:r>
              <w:rPr>
                <w:rFonts w:ascii="宋体" w:hAnsi="宋体" w:eastAsia="宋体" w:cs="宋体"/>
                <w:sz w:val="18"/>
                <w:szCs w:val="18"/>
              </w:rPr>
              <w:t>归属于上市公司股东的净资产（元）</w:t>
            </w:r>
          </w:p>
        </w:tc>
        <w:tc>
          <w:tcPr>
            <w:tcW w:w="1780" w:type="dxa"/>
            <w:tcBorders>
              <w:top w:val="single" w:color="auto" w:sz="2" w:space="0"/>
              <w:left w:val="single" w:color="auto" w:sz="2" w:space="0"/>
              <w:bottom w:val="single" w:color="auto" w:sz="2" w:space="0"/>
              <w:right w:val="single" w:color="auto" w:sz="2" w:space="0"/>
            </w:tcBorders>
            <w:vAlign w:val="center"/>
          </w:tcPr>
          <w:p w14:paraId="322851B7">
            <w:pPr>
              <w:spacing w:before="0" w:after="0" w:line="240" w:lineRule="exact"/>
              <w:jc w:val="right"/>
              <w:rPr>
                <w:rFonts w:ascii="宋体" w:hAnsi="宋体" w:eastAsia="宋体" w:cs="宋体"/>
                <w:sz w:val="18"/>
                <w:szCs w:val="18"/>
              </w:rPr>
            </w:pPr>
            <w:r>
              <w:rPr>
                <w:rFonts w:ascii="宋体" w:hAnsi="宋体" w:eastAsia="宋体" w:cs="宋体"/>
                <w:sz w:val="18"/>
                <w:szCs w:val="18"/>
              </w:rPr>
              <w:t>360,178,823.72</w:t>
            </w:r>
          </w:p>
        </w:tc>
        <w:tc>
          <w:tcPr>
            <w:tcW w:w="1710" w:type="dxa"/>
            <w:tcBorders>
              <w:top w:val="single" w:color="auto" w:sz="2" w:space="0"/>
              <w:left w:val="single" w:color="auto" w:sz="2" w:space="0"/>
              <w:bottom w:val="single" w:color="auto" w:sz="2" w:space="0"/>
              <w:right w:val="single" w:color="auto" w:sz="2" w:space="0"/>
            </w:tcBorders>
            <w:vAlign w:val="center"/>
          </w:tcPr>
          <w:p w14:paraId="6F030EA8">
            <w:pPr>
              <w:spacing w:before="0" w:after="0" w:line="240" w:lineRule="exact"/>
              <w:jc w:val="right"/>
              <w:rPr>
                <w:rFonts w:ascii="宋体" w:hAnsi="宋体" w:eastAsia="宋体" w:cs="宋体"/>
                <w:sz w:val="18"/>
                <w:szCs w:val="18"/>
              </w:rPr>
            </w:pPr>
            <w:r>
              <w:rPr>
                <w:rFonts w:ascii="宋体" w:hAnsi="宋体" w:eastAsia="宋体" w:cs="宋体"/>
                <w:sz w:val="18"/>
                <w:szCs w:val="18"/>
              </w:rPr>
              <w:t>516,483,180.46</w:t>
            </w:r>
          </w:p>
        </w:tc>
        <w:tc>
          <w:tcPr>
            <w:tcW w:w="1910" w:type="dxa"/>
            <w:tcBorders>
              <w:top w:val="single" w:color="auto" w:sz="2" w:space="0"/>
              <w:left w:val="single" w:color="auto" w:sz="2" w:space="0"/>
              <w:bottom w:val="single" w:color="auto" w:sz="2" w:space="0"/>
              <w:right w:val="single" w:color="auto" w:sz="2" w:space="0"/>
            </w:tcBorders>
            <w:vAlign w:val="center"/>
          </w:tcPr>
          <w:p w14:paraId="7DF6FA33">
            <w:pPr>
              <w:spacing w:before="0" w:after="0" w:line="240" w:lineRule="exact"/>
              <w:jc w:val="right"/>
              <w:rPr>
                <w:rFonts w:ascii="宋体" w:hAnsi="宋体" w:eastAsia="宋体" w:cs="宋体"/>
                <w:sz w:val="18"/>
                <w:szCs w:val="18"/>
              </w:rPr>
            </w:pPr>
            <w:r>
              <w:rPr>
                <w:rFonts w:ascii="宋体" w:hAnsi="宋体" w:eastAsia="宋体" w:cs="宋体"/>
                <w:sz w:val="18"/>
                <w:szCs w:val="18"/>
              </w:rPr>
              <w:t>-30.26%</w:t>
            </w:r>
          </w:p>
        </w:tc>
        <w:tc>
          <w:tcPr>
            <w:tcW w:w="1713" w:type="dxa"/>
            <w:tcBorders>
              <w:top w:val="single" w:color="auto" w:sz="2" w:space="0"/>
              <w:left w:val="single" w:color="auto" w:sz="2" w:space="0"/>
              <w:bottom w:val="single" w:color="auto" w:sz="2" w:space="0"/>
              <w:right w:val="single" w:color="auto" w:sz="2" w:space="0"/>
            </w:tcBorders>
            <w:vAlign w:val="center"/>
          </w:tcPr>
          <w:p w14:paraId="108A8A93">
            <w:pPr>
              <w:spacing w:before="0" w:after="0" w:line="240" w:lineRule="exact"/>
              <w:jc w:val="right"/>
              <w:rPr>
                <w:rFonts w:ascii="宋体" w:hAnsi="宋体" w:eastAsia="宋体" w:cs="宋体"/>
                <w:sz w:val="18"/>
                <w:szCs w:val="18"/>
              </w:rPr>
            </w:pPr>
            <w:r>
              <w:rPr>
                <w:rFonts w:ascii="宋体" w:hAnsi="宋体" w:eastAsia="宋体" w:cs="宋体"/>
                <w:sz w:val="18"/>
                <w:szCs w:val="18"/>
              </w:rPr>
              <w:t>928,462,440.88</w:t>
            </w:r>
          </w:p>
        </w:tc>
      </w:tr>
    </w:tbl>
    <w:p w14:paraId="70EEF1F0">
      <w:pPr>
        <w:spacing w:before="100" w:after="100" w:line="240" w:lineRule="exact"/>
        <w:jc w:val="left"/>
        <w:rPr>
          <w:rFonts w:ascii="宋体" w:hAnsi="宋体" w:eastAsia="宋体" w:cs="宋体"/>
          <w:sz w:val="18"/>
          <w:szCs w:val="18"/>
        </w:rPr>
      </w:pPr>
      <w:r>
        <w:rPr>
          <w:rFonts w:ascii="宋体" w:hAnsi="宋体" w:eastAsia="宋体" w:cs="宋体"/>
          <w:sz w:val="18"/>
          <w:szCs w:val="18"/>
        </w:rPr>
        <w:t>公司最近三个会计年度扣除非经常性损益前后净利润孰低者均为负值，且最近一年审计报告显示公司持续经营能力存在不确定性</w:t>
      </w:r>
    </w:p>
    <w:p w14:paraId="4E1A4A4A">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3BF0B0F6">
      <w:pPr>
        <w:spacing w:before="100" w:after="100" w:line="240" w:lineRule="exact"/>
        <w:jc w:val="left"/>
        <w:rPr>
          <w:rFonts w:ascii="宋体" w:hAnsi="宋体" w:eastAsia="宋体" w:cs="宋体"/>
          <w:sz w:val="18"/>
          <w:szCs w:val="18"/>
        </w:rPr>
      </w:pPr>
      <w:r>
        <w:rPr>
          <w:rFonts w:ascii="宋体" w:hAnsi="宋体" w:eastAsia="宋体" w:cs="宋体"/>
          <w:sz w:val="18"/>
          <w:szCs w:val="18"/>
        </w:rPr>
        <w:t>扣除非经常损益前后的净利润孰低者为负值</w:t>
      </w:r>
    </w:p>
    <w:p w14:paraId="78057660">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237"/>
        <w:gridCol w:w="2320"/>
        <w:gridCol w:w="2673"/>
      </w:tblGrid>
      <w:tr w14:paraId="4D3348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98087ED">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237" w:type="dxa"/>
            <w:tcBorders>
              <w:top w:val="single" w:color="auto" w:sz="2" w:space="0"/>
              <w:left w:val="single" w:color="auto" w:sz="2" w:space="0"/>
              <w:bottom w:val="single" w:color="auto" w:sz="2" w:space="0"/>
              <w:right w:val="single" w:color="auto" w:sz="2" w:space="0"/>
            </w:tcBorders>
            <w:shd w:val="clear" w:color="auto" w:fill="D3D3D3"/>
            <w:vAlign w:val="center"/>
          </w:tcPr>
          <w:p w14:paraId="5DABEBAF">
            <w:pPr>
              <w:spacing w:before="40" w:after="40" w:line="240" w:lineRule="exact"/>
              <w:jc w:val="center"/>
              <w:rPr>
                <w:rFonts w:ascii="宋体" w:hAnsi="宋体" w:eastAsia="宋体" w:cs="宋体"/>
                <w:sz w:val="18"/>
                <w:szCs w:val="18"/>
              </w:rPr>
            </w:pPr>
            <w:r>
              <w:rPr>
                <w:rFonts w:ascii="宋体" w:hAnsi="宋体" w:eastAsia="宋体" w:cs="宋体"/>
                <w:sz w:val="18"/>
                <w:szCs w:val="18"/>
              </w:rPr>
              <w:t>2024年</w:t>
            </w:r>
          </w:p>
        </w:tc>
        <w:tc>
          <w:tcPr>
            <w:tcW w:w="2320" w:type="dxa"/>
            <w:tcBorders>
              <w:top w:val="single" w:color="auto" w:sz="2" w:space="0"/>
              <w:left w:val="single" w:color="auto" w:sz="2" w:space="0"/>
              <w:bottom w:val="single" w:color="auto" w:sz="2" w:space="0"/>
              <w:right w:val="single" w:color="auto" w:sz="2" w:space="0"/>
            </w:tcBorders>
            <w:shd w:val="clear" w:color="auto" w:fill="D3D3D3"/>
            <w:vAlign w:val="center"/>
          </w:tcPr>
          <w:p w14:paraId="78E06F89">
            <w:pPr>
              <w:spacing w:before="40" w:after="40" w:line="240" w:lineRule="exact"/>
              <w:jc w:val="center"/>
              <w:rPr>
                <w:rFonts w:ascii="宋体" w:hAnsi="宋体" w:eastAsia="宋体" w:cs="宋体"/>
                <w:sz w:val="18"/>
                <w:szCs w:val="18"/>
              </w:rPr>
            </w:pPr>
            <w:r>
              <w:rPr>
                <w:rFonts w:ascii="宋体" w:hAnsi="宋体" w:eastAsia="宋体" w:cs="宋体"/>
                <w:sz w:val="18"/>
                <w:szCs w:val="18"/>
              </w:rPr>
              <w:t>2023年</w:t>
            </w:r>
          </w:p>
        </w:tc>
        <w:tc>
          <w:tcPr>
            <w:tcW w:w="2673" w:type="dxa"/>
            <w:tcBorders>
              <w:top w:val="single" w:color="auto" w:sz="2" w:space="0"/>
              <w:left w:val="single" w:color="auto" w:sz="2" w:space="0"/>
              <w:bottom w:val="single" w:color="auto" w:sz="2" w:space="0"/>
              <w:right w:val="single" w:color="auto" w:sz="2" w:space="0"/>
            </w:tcBorders>
            <w:shd w:val="clear" w:color="auto" w:fill="D3D3D3"/>
            <w:vAlign w:val="center"/>
          </w:tcPr>
          <w:p w14:paraId="19794F7E">
            <w:pPr>
              <w:spacing w:before="40" w:after="40" w:line="240" w:lineRule="exact"/>
              <w:jc w:val="center"/>
              <w:rPr>
                <w:rFonts w:ascii="宋体" w:hAnsi="宋体" w:eastAsia="宋体" w:cs="宋体"/>
                <w:sz w:val="18"/>
                <w:szCs w:val="18"/>
              </w:rPr>
            </w:pPr>
            <w:r>
              <w:rPr>
                <w:rFonts w:ascii="宋体" w:hAnsi="宋体" w:eastAsia="宋体" w:cs="宋体"/>
                <w:sz w:val="18"/>
                <w:szCs w:val="18"/>
              </w:rPr>
              <w:t>备注</w:t>
            </w:r>
          </w:p>
        </w:tc>
      </w:tr>
      <w:tr w14:paraId="4D640D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4B27477">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营业收入（元）</w:t>
            </w:r>
          </w:p>
        </w:tc>
        <w:tc>
          <w:tcPr>
            <w:tcW w:w="2237" w:type="dxa"/>
            <w:tcBorders>
              <w:top w:val="single" w:color="auto" w:sz="2" w:space="0"/>
              <w:left w:val="single" w:color="auto" w:sz="2" w:space="0"/>
              <w:bottom w:val="single" w:color="auto" w:sz="2" w:space="0"/>
              <w:right w:val="single" w:color="auto" w:sz="2" w:space="0"/>
            </w:tcBorders>
            <w:vAlign w:val="center"/>
          </w:tcPr>
          <w:p w14:paraId="0DDB8775">
            <w:pPr>
              <w:spacing w:before="0" w:after="0" w:line="240" w:lineRule="exact"/>
              <w:jc w:val="right"/>
              <w:rPr>
                <w:rFonts w:ascii="宋体" w:hAnsi="宋体" w:eastAsia="宋体" w:cs="宋体"/>
                <w:sz w:val="18"/>
                <w:szCs w:val="18"/>
              </w:rPr>
            </w:pPr>
            <w:r>
              <w:rPr>
                <w:rFonts w:ascii="宋体" w:hAnsi="宋体" w:eastAsia="宋体" w:cs="宋体"/>
                <w:sz w:val="18"/>
                <w:szCs w:val="18"/>
              </w:rPr>
              <w:t>441,457,673.77</w:t>
            </w:r>
          </w:p>
        </w:tc>
        <w:tc>
          <w:tcPr>
            <w:tcW w:w="2320" w:type="dxa"/>
            <w:tcBorders>
              <w:top w:val="single" w:color="auto" w:sz="2" w:space="0"/>
              <w:left w:val="single" w:color="auto" w:sz="2" w:space="0"/>
              <w:bottom w:val="single" w:color="auto" w:sz="2" w:space="0"/>
              <w:right w:val="single" w:color="auto" w:sz="2" w:space="0"/>
            </w:tcBorders>
            <w:vAlign w:val="center"/>
          </w:tcPr>
          <w:p w14:paraId="48A62310">
            <w:pPr>
              <w:spacing w:before="0" w:after="0" w:line="240" w:lineRule="exact"/>
              <w:jc w:val="right"/>
              <w:rPr>
                <w:rFonts w:ascii="宋体" w:hAnsi="宋体" w:eastAsia="宋体" w:cs="宋体"/>
                <w:sz w:val="18"/>
                <w:szCs w:val="18"/>
              </w:rPr>
            </w:pPr>
            <w:r>
              <w:rPr>
                <w:rFonts w:ascii="宋体" w:hAnsi="宋体" w:eastAsia="宋体" w:cs="宋体"/>
                <w:sz w:val="18"/>
                <w:szCs w:val="18"/>
              </w:rPr>
              <w:t>422,714,889.10</w:t>
            </w:r>
          </w:p>
        </w:tc>
        <w:tc>
          <w:tcPr>
            <w:tcW w:w="2673" w:type="dxa"/>
            <w:tcBorders>
              <w:top w:val="single" w:color="auto" w:sz="2" w:space="0"/>
              <w:left w:val="single" w:color="auto" w:sz="2" w:space="0"/>
              <w:bottom w:val="single" w:color="auto" w:sz="2" w:space="0"/>
              <w:right w:val="single" w:color="auto" w:sz="2" w:space="0"/>
            </w:tcBorders>
            <w:vAlign w:val="center"/>
          </w:tcPr>
          <w:p w14:paraId="51F219D5">
            <w:pPr>
              <w:spacing w:before="0" w:after="0" w:line="240" w:lineRule="exact"/>
              <w:jc w:val="left"/>
              <w:rPr>
                <w:rFonts w:ascii="宋体" w:hAnsi="宋体" w:eastAsia="宋体" w:cs="宋体"/>
                <w:sz w:val="18"/>
                <w:szCs w:val="18"/>
              </w:rPr>
            </w:pPr>
            <w:r>
              <w:rPr>
                <w:rFonts w:ascii="宋体" w:hAnsi="宋体" w:eastAsia="宋体" w:cs="宋体"/>
                <w:sz w:val="18"/>
                <w:szCs w:val="18"/>
              </w:rPr>
              <w:t>主营业务收入和其他业务收入</w:t>
            </w:r>
          </w:p>
        </w:tc>
      </w:tr>
      <w:tr w14:paraId="3EB556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A51C32C">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营业收入扣除金额（元）</w:t>
            </w:r>
          </w:p>
        </w:tc>
        <w:tc>
          <w:tcPr>
            <w:tcW w:w="2237" w:type="dxa"/>
            <w:tcBorders>
              <w:top w:val="single" w:color="auto" w:sz="2" w:space="0"/>
              <w:left w:val="single" w:color="auto" w:sz="2" w:space="0"/>
              <w:bottom w:val="single" w:color="auto" w:sz="2" w:space="0"/>
              <w:right w:val="single" w:color="auto" w:sz="2" w:space="0"/>
            </w:tcBorders>
            <w:vAlign w:val="center"/>
          </w:tcPr>
          <w:p w14:paraId="10BF2ADF">
            <w:pPr>
              <w:spacing w:before="0" w:after="0" w:line="240" w:lineRule="exact"/>
              <w:jc w:val="right"/>
              <w:rPr>
                <w:rFonts w:ascii="宋体" w:hAnsi="宋体" w:eastAsia="宋体" w:cs="宋体"/>
                <w:sz w:val="18"/>
                <w:szCs w:val="18"/>
              </w:rPr>
            </w:pPr>
            <w:r>
              <w:rPr>
                <w:rFonts w:ascii="宋体" w:hAnsi="宋体" w:eastAsia="宋体" w:cs="宋体"/>
                <w:sz w:val="18"/>
                <w:szCs w:val="18"/>
              </w:rPr>
              <w:t>3,977,837.71</w:t>
            </w:r>
          </w:p>
        </w:tc>
        <w:tc>
          <w:tcPr>
            <w:tcW w:w="2320" w:type="dxa"/>
            <w:tcBorders>
              <w:top w:val="single" w:color="auto" w:sz="2" w:space="0"/>
              <w:left w:val="single" w:color="auto" w:sz="2" w:space="0"/>
              <w:bottom w:val="single" w:color="auto" w:sz="2" w:space="0"/>
              <w:right w:val="single" w:color="auto" w:sz="2" w:space="0"/>
            </w:tcBorders>
            <w:vAlign w:val="center"/>
          </w:tcPr>
          <w:p w14:paraId="787B36D5">
            <w:pPr>
              <w:spacing w:before="0" w:after="0" w:line="240" w:lineRule="exact"/>
              <w:jc w:val="right"/>
              <w:rPr>
                <w:rFonts w:ascii="宋体" w:hAnsi="宋体" w:eastAsia="宋体" w:cs="宋体"/>
                <w:sz w:val="18"/>
                <w:szCs w:val="18"/>
              </w:rPr>
            </w:pPr>
            <w:r>
              <w:rPr>
                <w:rFonts w:ascii="宋体" w:hAnsi="宋体" w:eastAsia="宋体" w:cs="宋体"/>
                <w:sz w:val="18"/>
                <w:szCs w:val="18"/>
              </w:rPr>
              <w:t>9,397,299.91</w:t>
            </w:r>
          </w:p>
        </w:tc>
        <w:tc>
          <w:tcPr>
            <w:tcW w:w="2673" w:type="dxa"/>
            <w:tcBorders>
              <w:top w:val="single" w:color="auto" w:sz="2" w:space="0"/>
              <w:left w:val="single" w:color="auto" w:sz="2" w:space="0"/>
              <w:bottom w:val="single" w:color="auto" w:sz="2" w:space="0"/>
              <w:right w:val="single" w:color="auto" w:sz="2" w:space="0"/>
            </w:tcBorders>
            <w:vAlign w:val="center"/>
          </w:tcPr>
          <w:p w14:paraId="359B40B5">
            <w:pPr>
              <w:spacing w:before="0" w:after="0" w:line="240" w:lineRule="exact"/>
              <w:jc w:val="left"/>
              <w:rPr>
                <w:rFonts w:ascii="宋体" w:hAnsi="宋体" w:eastAsia="宋体" w:cs="宋体"/>
                <w:sz w:val="18"/>
                <w:szCs w:val="18"/>
              </w:rPr>
            </w:pPr>
            <w:r>
              <w:rPr>
                <w:rFonts w:ascii="宋体" w:hAnsi="宋体" w:eastAsia="宋体" w:cs="宋体"/>
                <w:sz w:val="18"/>
                <w:szCs w:val="18"/>
              </w:rPr>
              <w:t>主要为租赁收入</w:t>
            </w:r>
          </w:p>
        </w:tc>
      </w:tr>
      <w:tr w14:paraId="7D4938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2875BEA">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营业收入扣除后金额（元）</w:t>
            </w:r>
          </w:p>
        </w:tc>
        <w:tc>
          <w:tcPr>
            <w:tcW w:w="2237" w:type="dxa"/>
            <w:tcBorders>
              <w:top w:val="single" w:color="auto" w:sz="2" w:space="0"/>
              <w:left w:val="single" w:color="auto" w:sz="2" w:space="0"/>
              <w:bottom w:val="single" w:color="auto" w:sz="2" w:space="0"/>
              <w:right w:val="single" w:color="auto" w:sz="2" w:space="0"/>
            </w:tcBorders>
            <w:vAlign w:val="center"/>
          </w:tcPr>
          <w:p w14:paraId="321ED1B2">
            <w:pPr>
              <w:spacing w:before="0" w:after="0" w:line="240" w:lineRule="exact"/>
              <w:jc w:val="right"/>
              <w:rPr>
                <w:rFonts w:ascii="宋体" w:hAnsi="宋体" w:eastAsia="宋体" w:cs="宋体"/>
                <w:sz w:val="18"/>
                <w:szCs w:val="18"/>
              </w:rPr>
            </w:pPr>
            <w:r>
              <w:rPr>
                <w:rFonts w:ascii="宋体" w:hAnsi="宋体" w:eastAsia="宋体" w:cs="宋体"/>
                <w:sz w:val="18"/>
                <w:szCs w:val="18"/>
              </w:rPr>
              <w:t>437,479,836.06</w:t>
            </w:r>
          </w:p>
        </w:tc>
        <w:tc>
          <w:tcPr>
            <w:tcW w:w="2320" w:type="dxa"/>
            <w:tcBorders>
              <w:top w:val="single" w:color="auto" w:sz="2" w:space="0"/>
              <w:left w:val="single" w:color="auto" w:sz="2" w:space="0"/>
              <w:bottom w:val="single" w:color="auto" w:sz="2" w:space="0"/>
              <w:right w:val="single" w:color="auto" w:sz="2" w:space="0"/>
            </w:tcBorders>
            <w:vAlign w:val="center"/>
          </w:tcPr>
          <w:p w14:paraId="666F99C4">
            <w:pPr>
              <w:spacing w:before="0" w:after="0" w:line="240" w:lineRule="exact"/>
              <w:jc w:val="right"/>
              <w:rPr>
                <w:rFonts w:ascii="宋体" w:hAnsi="宋体" w:eastAsia="宋体" w:cs="宋体"/>
                <w:sz w:val="18"/>
                <w:szCs w:val="18"/>
              </w:rPr>
            </w:pPr>
            <w:r>
              <w:rPr>
                <w:rFonts w:ascii="宋体" w:hAnsi="宋体" w:eastAsia="宋体" w:cs="宋体"/>
                <w:sz w:val="18"/>
                <w:szCs w:val="18"/>
              </w:rPr>
              <w:t>413,317,589.19</w:t>
            </w:r>
          </w:p>
        </w:tc>
        <w:tc>
          <w:tcPr>
            <w:tcW w:w="2673" w:type="dxa"/>
            <w:tcBorders>
              <w:top w:val="single" w:color="auto" w:sz="2" w:space="0"/>
              <w:left w:val="single" w:color="auto" w:sz="2" w:space="0"/>
              <w:bottom w:val="single" w:color="auto" w:sz="2" w:space="0"/>
              <w:right w:val="single" w:color="auto" w:sz="2" w:space="0"/>
            </w:tcBorders>
            <w:vAlign w:val="center"/>
          </w:tcPr>
          <w:p w14:paraId="15C47380">
            <w:pPr>
              <w:spacing w:before="0" w:after="0" w:line="240" w:lineRule="exact"/>
              <w:jc w:val="left"/>
              <w:rPr>
                <w:rFonts w:ascii="宋体" w:hAnsi="宋体" w:eastAsia="宋体" w:cs="宋体"/>
                <w:sz w:val="18"/>
                <w:szCs w:val="18"/>
              </w:rPr>
            </w:pPr>
            <w:r>
              <w:rPr>
                <w:rFonts w:ascii="宋体" w:hAnsi="宋体" w:eastAsia="宋体" w:cs="宋体"/>
                <w:sz w:val="18"/>
                <w:szCs w:val="18"/>
              </w:rPr>
              <w:t>营业收入</w:t>
            </w:r>
          </w:p>
        </w:tc>
      </w:tr>
    </w:tbl>
    <w:p w14:paraId="43B982CA">
      <w:pPr>
        <w:keepNext/>
        <w:keepLines/>
        <w:spacing w:before="300" w:after="300" w:line="320" w:lineRule="exact"/>
        <w:jc w:val="left"/>
        <w:outlineLvl w:val="1"/>
        <w:rPr>
          <w:rFonts w:ascii="宋体" w:hAnsi="宋体" w:eastAsia="宋体" w:cs="宋体"/>
          <w:b/>
          <w:bCs/>
          <w:sz w:val="24"/>
          <w:szCs w:val="24"/>
        </w:rPr>
      </w:pPr>
      <w:bookmarkStart w:id="7" w:name="_Toc988896"/>
      <w:r>
        <w:rPr>
          <w:rFonts w:ascii="宋体" w:hAnsi="宋体" w:eastAsia="宋体" w:cs="宋体"/>
          <w:b/>
          <w:bCs/>
          <w:sz w:val="24"/>
          <w:szCs w:val="24"/>
        </w:rPr>
        <w:t>六、分季度主要财务指标</w:t>
      </w:r>
      <w:bookmarkEnd w:id="7"/>
    </w:p>
    <w:p w14:paraId="6D25762E">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037"/>
        <w:gridCol w:w="1750"/>
        <w:gridCol w:w="1610"/>
        <w:gridCol w:w="1600"/>
        <w:gridCol w:w="1643"/>
      </w:tblGrid>
      <w:tr w14:paraId="3C625C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037" w:type="dxa"/>
            <w:tcBorders>
              <w:top w:val="single" w:color="auto" w:sz="2" w:space="0"/>
              <w:left w:val="single" w:color="auto" w:sz="2" w:space="0"/>
              <w:bottom w:val="single" w:color="auto" w:sz="2" w:space="0"/>
              <w:right w:val="single" w:color="auto" w:sz="2" w:space="0"/>
            </w:tcBorders>
            <w:shd w:val="clear" w:color="auto" w:fill="D3D3D3"/>
            <w:vAlign w:val="center"/>
          </w:tcPr>
          <w:p w14:paraId="098A2B5A"/>
        </w:tc>
        <w:tc>
          <w:tcPr>
            <w:tcW w:w="1750" w:type="dxa"/>
            <w:tcBorders>
              <w:top w:val="single" w:color="auto" w:sz="2" w:space="0"/>
              <w:left w:val="single" w:color="auto" w:sz="2" w:space="0"/>
              <w:bottom w:val="single" w:color="auto" w:sz="2" w:space="0"/>
              <w:right w:val="single" w:color="auto" w:sz="2" w:space="0"/>
            </w:tcBorders>
            <w:shd w:val="clear" w:color="auto" w:fill="D3D3D3"/>
            <w:vAlign w:val="center"/>
          </w:tcPr>
          <w:p w14:paraId="12BFBC82">
            <w:pPr>
              <w:spacing w:before="40" w:after="40" w:line="240" w:lineRule="exact"/>
              <w:jc w:val="center"/>
              <w:rPr>
                <w:rFonts w:ascii="宋体" w:hAnsi="宋体" w:eastAsia="宋体" w:cs="宋体"/>
                <w:sz w:val="18"/>
                <w:szCs w:val="18"/>
              </w:rPr>
            </w:pPr>
            <w:r>
              <w:rPr>
                <w:rFonts w:ascii="宋体" w:hAnsi="宋体" w:eastAsia="宋体" w:cs="宋体"/>
                <w:sz w:val="18"/>
                <w:szCs w:val="18"/>
              </w:rPr>
              <w:t>第一季度</w:t>
            </w:r>
          </w:p>
        </w:tc>
        <w:tc>
          <w:tcPr>
            <w:tcW w:w="1610" w:type="dxa"/>
            <w:tcBorders>
              <w:top w:val="single" w:color="auto" w:sz="2" w:space="0"/>
              <w:left w:val="single" w:color="auto" w:sz="2" w:space="0"/>
              <w:bottom w:val="single" w:color="auto" w:sz="2" w:space="0"/>
              <w:right w:val="single" w:color="auto" w:sz="2" w:space="0"/>
            </w:tcBorders>
            <w:shd w:val="clear" w:color="auto" w:fill="D3D3D3"/>
            <w:vAlign w:val="center"/>
          </w:tcPr>
          <w:p w14:paraId="00A97CA1">
            <w:pPr>
              <w:spacing w:before="40" w:after="40" w:line="240" w:lineRule="exact"/>
              <w:jc w:val="center"/>
              <w:rPr>
                <w:rFonts w:ascii="宋体" w:hAnsi="宋体" w:eastAsia="宋体" w:cs="宋体"/>
                <w:sz w:val="18"/>
                <w:szCs w:val="18"/>
              </w:rPr>
            </w:pPr>
            <w:r>
              <w:rPr>
                <w:rFonts w:ascii="宋体" w:hAnsi="宋体" w:eastAsia="宋体" w:cs="宋体"/>
                <w:sz w:val="18"/>
                <w:szCs w:val="18"/>
              </w:rPr>
              <w:t>第二季度</w:t>
            </w:r>
          </w:p>
        </w:tc>
        <w:tc>
          <w:tcPr>
            <w:tcW w:w="1600" w:type="dxa"/>
            <w:tcBorders>
              <w:top w:val="single" w:color="auto" w:sz="2" w:space="0"/>
              <w:left w:val="single" w:color="auto" w:sz="2" w:space="0"/>
              <w:bottom w:val="single" w:color="auto" w:sz="2" w:space="0"/>
              <w:right w:val="single" w:color="auto" w:sz="2" w:space="0"/>
            </w:tcBorders>
            <w:shd w:val="clear" w:color="auto" w:fill="D3D3D3"/>
            <w:vAlign w:val="center"/>
          </w:tcPr>
          <w:p w14:paraId="33B8E3ED">
            <w:pPr>
              <w:spacing w:before="40" w:after="40" w:line="240" w:lineRule="exact"/>
              <w:jc w:val="center"/>
              <w:rPr>
                <w:rFonts w:ascii="宋体" w:hAnsi="宋体" w:eastAsia="宋体" w:cs="宋体"/>
                <w:sz w:val="18"/>
                <w:szCs w:val="18"/>
              </w:rPr>
            </w:pPr>
            <w:r>
              <w:rPr>
                <w:rFonts w:ascii="宋体" w:hAnsi="宋体" w:eastAsia="宋体" w:cs="宋体"/>
                <w:sz w:val="18"/>
                <w:szCs w:val="18"/>
              </w:rPr>
              <w:t>第三季度</w:t>
            </w:r>
          </w:p>
        </w:tc>
        <w:tc>
          <w:tcPr>
            <w:tcW w:w="1643" w:type="dxa"/>
            <w:tcBorders>
              <w:top w:val="single" w:color="auto" w:sz="2" w:space="0"/>
              <w:left w:val="single" w:color="auto" w:sz="2" w:space="0"/>
              <w:bottom w:val="single" w:color="auto" w:sz="2" w:space="0"/>
              <w:right w:val="single" w:color="auto" w:sz="2" w:space="0"/>
            </w:tcBorders>
            <w:shd w:val="clear" w:color="auto" w:fill="D3D3D3"/>
            <w:vAlign w:val="center"/>
          </w:tcPr>
          <w:p w14:paraId="4EB67951">
            <w:pPr>
              <w:spacing w:before="40" w:after="40" w:line="240" w:lineRule="exact"/>
              <w:jc w:val="center"/>
              <w:rPr>
                <w:rFonts w:ascii="宋体" w:hAnsi="宋体" w:eastAsia="宋体" w:cs="宋体"/>
                <w:sz w:val="18"/>
                <w:szCs w:val="18"/>
              </w:rPr>
            </w:pPr>
            <w:r>
              <w:rPr>
                <w:rFonts w:ascii="宋体" w:hAnsi="宋体" w:eastAsia="宋体" w:cs="宋体"/>
                <w:sz w:val="18"/>
                <w:szCs w:val="18"/>
              </w:rPr>
              <w:t>第四季度</w:t>
            </w:r>
          </w:p>
        </w:tc>
      </w:tr>
      <w:tr w14:paraId="7A65CC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037" w:type="dxa"/>
            <w:tcBorders>
              <w:top w:val="single" w:color="auto" w:sz="2" w:space="0"/>
              <w:left w:val="single" w:color="auto" w:sz="2" w:space="0"/>
              <w:bottom w:val="single" w:color="auto" w:sz="2" w:space="0"/>
              <w:right w:val="single" w:color="auto" w:sz="2" w:space="0"/>
            </w:tcBorders>
            <w:shd w:val="clear" w:color="auto" w:fill="D3D3D3"/>
            <w:vAlign w:val="center"/>
          </w:tcPr>
          <w:p w14:paraId="2378E828">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w:t>
            </w:r>
          </w:p>
        </w:tc>
        <w:tc>
          <w:tcPr>
            <w:tcW w:w="1750" w:type="dxa"/>
            <w:tcBorders>
              <w:top w:val="single" w:color="auto" w:sz="2" w:space="0"/>
              <w:left w:val="single" w:color="auto" w:sz="2" w:space="0"/>
              <w:bottom w:val="single" w:color="auto" w:sz="2" w:space="0"/>
              <w:right w:val="single" w:color="auto" w:sz="2" w:space="0"/>
            </w:tcBorders>
            <w:vAlign w:val="center"/>
          </w:tcPr>
          <w:p w14:paraId="1218B273">
            <w:pPr>
              <w:spacing w:before="0" w:after="0" w:line="240" w:lineRule="exact"/>
              <w:jc w:val="right"/>
              <w:rPr>
                <w:rFonts w:ascii="宋体" w:hAnsi="宋体" w:eastAsia="宋体" w:cs="宋体"/>
                <w:sz w:val="18"/>
                <w:szCs w:val="18"/>
              </w:rPr>
            </w:pPr>
            <w:r>
              <w:rPr>
                <w:rFonts w:ascii="宋体" w:hAnsi="宋体" w:eastAsia="宋体" w:cs="宋体"/>
                <w:sz w:val="18"/>
                <w:szCs w:val="18"/>
              </w:rPr>
              <w:t>120,047,604.86</w:t>
            </w:r>
          </w:p>
        </w:tc>
        <w:tc>
          <w:tcPr>
            <w:tcW w:w="1610" w:type="dxa"/>
            <w:tcBorders>
              <w:top w:val="single" w:color="auto" w:sz="2" w:space="0"/>
              <w:left w:val="single" w:color="auto" w:sz="2" w:space="0"/>
              <w:bottom w:val="single" w:color="auto" w:sz="2" w:space="0"/>
              <w:right w:val="single" w:color="auto" w:sz="2" w:space="0"/>
            </w:tcBorders>
            <w:vAlign w:val="center"/>
          </w:tcPr>
          <w:p w14:paraId="04E7BE80">
            <w:pPr>
              <w:spacing w:before="0" w:after="0" w:line="240" w:lineRule="exact"/>
              <w:jc w:val="right"/>
              <w:rPr>
                <w:rFonts w:ascii="宋体" w:hAnsi="宋体" w:eastAsia="宋体" w:cs="宋体"/>
                <w:sz w:val="18"/>
                <w:szCs w:val="18"/>
              </w:rPr>
            </w:pPr>
            <w:r>
              <w:rPr>
                <w:rFonts w:ascii="宋体" w:hAnsi="宋体" w:eastAsia="宋体" w:cs="宋体"/>
                <w:sz w:val="18"/>
                <w:szCs w:val="18"/>
              </w:rPr>
              <w:t>98,131,066.65</w:t>
            </w:r>
          </w:p>
        </w:tc>
        <w:tc>
          <w:tcPr>
            <w:tcW w:w="1600" w:type="dxa"/>
            <w:tcBorders>
              <w:top w:val="single" w:color="auto" w:sz="2" w:space="0"/>
              <w:left w:val="single" w:color="auto" w:sz="2" w:space="0"/>
              <w:bottom w:val="single" w:color="auto" w:sz="2" w:space="0"/>
              <w:right w:val="single" w:color="auto" w:sz="2" w:space="0"/>
            </w:tcBorders>
            <w:vAlign w:val="center"/>
          </w:tcPr>
          <w:p w14:paraId="6073FE07">
            <w:pPr>
              <w:spacing w:before="0" w:after="0" w:line="240" w:lineRule="exact"/>
              <w:jc w:val="right"/>
              <w:rPr>
                <w:rFonts w:ascii="宋体" w:hAnsi="宋体" w:eastAsia="宋体" w:cs="宋体"/>
                <w:sz w:val="18"/>
                <w:szCs w:val="18"/>
              </w:rPr>
            </w:pPr>
            <w:r>
              <w:rPr>
                <w:rFonts w:ascii="宋体" w:hAnsi="宋体" w:eastAsia="宋体" w:cs="宋体"/>
                <w:sz w:val="18"/>
                <w:szCs w:val="18"/>
              </w:rPr>
              <w:t>108,137,694.74</w:t>
            </w:r>
          </w:p>
        </w:tc>
        <w:tc>
          <w:tcPr>
            <w:tcW w:w="1643" w:type="dxa"/>
            <w:tcBorders>
              <w:top w:val="single" w:color="auto" w:sz="2" w:space="0"/>
              <w:left w:val="single" w:color="auto" w:sz="2" w:space="0"/>
              <w:bottom w:val="single" w:color="auto" w:sz="2" w:space="0"/>
              <w:right w:val="single" w:color="auto" w:sz="2" w:space="0"/>
            </w:tcBorders>
            <w:vAlign w:val="center"/>
          </w:tcPr>
          <w:p w14:paraId="63F5B154">
            <w:pPr>
              <w:spacing w:before="0" w:after="0" w:line="240" w:lineRule="exact"/>
              <w:jc w:val="right"/>
              <w:rPr>
                <w:rFonts w:ascii="宋体" w:hAnsi="宋体" w:eastAsia="宋体" w:cs="宋体"/>
                <w:sz w:val="18"/>
                <w:szCs w:val="18"/>
              </w:rPr>
            </w:pPr>
            <w:r>
              <w:rPr>
                <w:rFonts w:ascii="宋体" w:hAnsi="宋体" w:eastAsia="宋体" w:cs="宋体"/>
                <w:sz w:val="18"/>
                <w:szCs w:val="18"/>
              </w:rPr>
              <w:t>115,141,307.52</w:t>
            </w:r>
          </w:p>
        </w:tc>
      </w:tr>
      <w:tr w14:paraId="4472A3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037" w:type="dxa"/>
            <w:tcBorders>
              <w:top w:val="single" w:color="auto" w:sz="2" w:space="0"/>
              <w:left w:val="single" w:color="auto" w:sz="2" w:space="0"/>
              <w:bottom w:val="single" w:color="auto" w:sz="2" w:space="0"/>
              <w:right w:val="single" w:color="auto" w:sz="2" w:space="0"/>
            </w:tcBorders>
            <w:shd w:val="clear" w:color="auto" w:fill="D3D3D3"/>
            <w:vAlign w:val="center"/>
          </w:tcPr>
          <w:p w14:paraId="4CAF46FD">
            <w:pPr>
              <w:spacing w:before="40" w:after="40" w:line="240" w:lineRule="exact"/>
              <w:jc w:val="left"/>
              <w:rPr>
                <w:rFonts w:ascii="宋体" w:hAnsi="宋体" w:eastAsia="宋体" w:cs="宋体"/>
                <w:sz w:val="18"/>
                <w:szCs w:val="18"/>
              </w:rPr>
            </w:pPr>
            <w:r>
              <w:rPr>
                <w:rFonts w:ascii="宋体" w:hAnsi="宋体" w:eastAsia="宋体" w:cs="宋体"/>
                <w:sz w:val="18"/>
                <w:szCs w:val="18"/>
              </w:rPr>
              <w:t>归属于上市公司股东的净利润</w:t>
            </w:r>
          </w:p>
        </w:tc>
        <w:tc>
          <w:tcPr>
            <w:tcW w:w="1750" w:type="dxa"/>
            <w:tcBorders>
              <w:top w:val="single" w:color="auto" w:sz="2" w:space="0"/>
              <w:left w:val="single" w:color="auto" w:sz="2" w:space="0"/>
              <w:bottom w:val="single" w:color="auto" w:sz="2" w:space="0"/>
              <w:right w:val="single" w:color="auto" w:sz="2" w:space="0"/>
            </w:tcBorders>
            <w:vAlign w:val="center"/>
          </w:tcPr>
          <w:p w14:paraId="419B49C8">
            <w:pPr>
              <w:spacing w:before="0" w:after="0" w:line="240" w:lineRule="exact"/>
              <w:jc w:val="right"/>
              <w:rPr>
                <w:rFonts w:ascii="宋体" w:hAnsi="宋体" w:eastAsia="宋体" w:cs="宋体"/>
                <w:sz w:val="18"/>
                <w:szCs w:val="18"/>
              </w:rPr>
            </w:pPr>
            <w:r>
              <w:rPr>
                <w:rFonts w:ascii="宋体" w:hAnsi="宋体" w:eastAsia="宋体" w:cs="宋体"/>
                <w:sz w:val="18"/>
                <w:szCs w:val="18"/>
              </w:rPr>
              <w:t>-14,642,717.07</w:t>
            </w:r>
          </w:p>
        </w:tc>
        <w:tc>
          <w:tcPr>
            <w:tcW w:w="1610" w:type="dxa"/>
            <w:tcBorders>
              <w:top w:val="single" w:color="auto" w:sz="2" w:space="0"/>
              <w:left w:val="single" w:color="auto" w:sz="2" w:space="0"/>
              <w:bottom w:val="single" w:color="auto" w:sz="2" w:space="0"/>
              <w:right w:val="single" w:color="auto" w:sz="2" w:space="0"/>
            </w:tcBorders>
            <w:vAlign w:val="center"/>
          </w:tcPr>
          <w:p w14:paraId="41A0E2BE">
            <w:pPr>
              <w:spacing w:before="0" w:after="0" w:line="240" w:lineRule="exact"/>
              <w:jc w:val="right"/>
              <w:rPr>
                <w:rFonts w:ascii="宋体" w:hAnsi="宋体" w:eastAsia="宋体" w:cs="宋体"/>
                <w:sz w:val="18"/>
                <w:szCs w:val="18"/>
              </w:rPr>
            </w:pPr>
            <w:r>
              <w:rPr>
                <w:rFonts w:ascii="宋体" w:hAnsi="宋体" w:eastAsia="宋体" w:cs="宋体"/>
                <w:sz w:val="18"/>
                <w:szCs w:val="18"/>
              </w:rPr>
              <w:t>-21,395,058.81</w:t>
            </w:r>
          </w:p>
        </w:tc>
        <w:tc>
          <w:tcPr>
            <w:tcW w:w="1600" w:type="dxa"/>
            <w:tcBorders>
              <w:top w:val="single" w:color="auto" w:sz="2" w:space="0"/>
              <w:left w:val="single" w:color="auto" w:sz="2" w:space="0"/>
              <w:bottom w:val="single" w:color="auto" w:sz="2" w:space="0"/>
              <w:right w:val="single" w:color="auto" w:sz="2" w:space="0"/>
            </w:tcBorders>
            <w:vAlign w:val="center"/>
          </w:tcPr>
          <w:p w14:paraId="3660367B">
            <w:pPr>
              <w:spacing w:before="0" w:after="0" w:line="240" w:lineRule="exact"/>
              <w:jc w:val="right"/>
              <w:rPr>
                <w:rFonts w:ascii="宋体" w:hAnsi="宋体" w:eastAsia="宋体" w:cs="宋体"/>
                <w:sz w:val="18"/>
                <w:szCs w:val="18"/>
              </w:rPr>
            </w:pPr>
            <w:r>
              <w:rPr>
                <w:rFonts w:ascii="宋体" w:hAnsi="宋体" w:eastAsia="宋体" w:cs="宋体"/>
                <w:sz w:val="18"/>
                <w:szCs w:val="18"/>
              </w:rPr>
              <w:t>-34,602,162.43</w:t>
            </w:r>
          </w:p>
        </w:tc>
        <w:tc>
          <w:tcPr>
            <w:tcW w:w="1643" w:type="dxa"/>
            <w:tcBorders>
              <w:top w:val="single" w:color="auto" w:sz="2" w:space="0"/>
              <w:left w:val="single" w:color="auto" w:sz="2" w:space="0"/>
              <w:bottom w:val="single" w:color="auto" w:sz="2" w:space="0"/>
              <w:right w:val="single" w:color="auto" w:sz="2" w:space="0"/>
            </w:tcBorders>
            <w:vAlign w:val="center"/>
          </w:tcPr>
          <w:p w14:paraId="66A7B372">
            <w:pPr>
              <w:spacing w:before="0" w:after="0" w:line="240" w:lineRule="exact"/>
              <w:jc w:val="right"/>
              <w:rPr>
                <w:rFonts w:ascii="宋体" w:hAnsi="宋体" w:eastAsia="宋体" w:cs="宋体"/>
                <w:sz w:val="18"/>
                <w:szCs w:val="18"/>
              </w:rPr>
            </w:pPr>
            <w:r>
              <w:rPr>
                <w:rFonts w:ascii="宋体" w:hAnsi="宋体" w:eastAsia="宋体" w:cs="宋体"/>
                <w:sz w:val="18"/>
                <w:szCs w:val="18"/>
              </w:rPr>
              <w:t>-85,664,418.43</w:t>
            </w:r>
          </w:p>
        </w:tc>
      </w:tr>
      <w:tr w14:paraId="6A552F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037" w:type="dxa"/>
            <w:tcBorders>
              <w:top w:val="single" w:color="auto" w:sz="2" w:space="0"/>
              <w:left w:val="single" w:color="auto" w:sz="2" w:space="0"/>
              <w:bottom w:val="single" w:color="auto" w:sz="2" w:space="0"/>
              <w:right w:val="single" w:color="auto" w:sz="2" w:space="0"/>
            </w:tcBorders>
            <w:shd w:val="clear" w:color="auto" w:fill="D3D3D3"/>
            <w:vAlign w:val="center"/>
          </w:tcPr>
          <w:p w14:paraId="624BB376">
            <w:pPr>
              <w:spacing w:before="40" w:after="40" w:line="240" w:lineRule="exact"/>
              <w:jc w:val="left"/>
              <w:rPr>
                <w:rFonts w:ascii="宋体" w:hAnsi="宋体" w:eastAsia="宋体" w:cs="宋体"/>
                <w:sz w:val="18"/>
                <w:szCs w:val="18"/>
              </w:rPr>
            </w:pPr>
            <w:r>
              <w:rPr>
                <w:rFonts w:ascii="宋体" w:hAnsi="宋体" w:eastAsia="宋体" w:cs="宋体"/>
                <w:sz w:val="18"/>
                <w:szCs w:val="18"/>
              </w:rPr>
              <w:t>归属于上市公司股东的扣除非经常性损益的净利润</w:t>
            </w:r>
          </w:p>
        </w:tc>
        <w:tc>
          <w:tcPr>
            <w:tcW w:w="1750" w:type="dxa"/>
            <w:tcBorders>
              <w:top w:val="single" w:color="auto" w:sz="2" w:space="0"/>
              <w:left w:val="single" w:color="auto" w:sz="2" w:space="0"/>
              <w:bottom w:val="single" w:color="auto" w:sz="2" w:space="0"/>
              <w:right w:val="single" w:color="auto" w:sz="2" w:space="0"/>
            </w:tcBorders>
            <w:vAlign w:val="center"/>
          </w:tcPr>
          <w:p w14:paraId="19376B9C">
            <w:pPr>
              <w:spacing w:before="0" w:after="0" w:line="240" w:lineRule="exact"/>
              <w:jc w:val="right"/>
              <w:rPr>
                <w:rFonts w:ascii="宋体" w:hAnsi="宋体" w:eastAsia="宋体" w:cs="宋体"/>
                <w:sz w:val="18"/>
                <w:szCs w:val="18"/>
              </w:rPr>
            </w:pPr>
            <w:r>
              <w:rPr>
                <w:rFonts w:ascii="宋体" w:hAnsi="宋体" w:eastAsia="宋体" w:cs="宋体"/>
                <w:sz w:val="18"/>
                <w:szCs w:val="18"/>
              </w:rPr>
              <w:t>-17,277,794.11</w:t>
            </w:r>
          </w:p>
        </w:tc>
        <w:tc>
          <w:tcPr>
            <w:tcW w:w="1610" w:type="dxa"/>
            <w:tcBorders>
              <w:top w:val="single" w:color="auto" w:sz="2" w:space="0"/>
              <w:left w:val="single" w:color="auto" w:sz="2" w:space="0"/>
              <w:bottom w:val="single" w:color="auto" w:sz="2" w:space="0"/>
              <w:right w:val="single" w:color="auto" w:sz="2" w:space="0"/>
            </w:tcBorders>
            <w:vAlign w:val="center"/>
          </w:tcPr>
          <w:p w14:paraId="37C0D94B">
            <w:pPr>
              <w:spacing w:before="0" w:after="0" w:line="240" w:lineRule="exact"/>
              <w:jc w:val="right"/>
              <w:rPr>
                <w:rFonts w:ascii="宋体" w:hAnsi="宋体" w:eastAsia="宋体" w:cs="宋体"/>
                <w:sz w:val="18"/>
                <w:szCs w:val="18"/>
              </w:rPr>
            </w:pPr>
            <w:r>
              <w:rPr>
                <w:rFonts w:ascii="宋体" w:hAnsi="宋体" w:eastAsia="宋体" w:cs="宋体"/>
                <w:sz w:val="18"/>
                <w:szCs w:val="18"/>
              </w:rPr>
              <w:t>-30,922,296.77</w:t>
            </w:r>
          </w:p>
        </w:tc>
        <w:tc>
          <w:tcPr>
            <w:tcW w:w="1600" w:type="dxa"/>
            <w:tcBorders>
              <w:top w:val="single" w:color="auto" w:sz="2" w:space="0"/>
              <w:left w:val="single" w:color="auto" w:sz="2" w:space="0"/>
              <w:bottom w:val="single" w:color="auto" w:sz="2" w:space="0"/>
              <w:right w:val="single" w:color="auto" w:sz="2" w:space="0"/>
            </w:tcBorders>
            <w:vAlign w:val="center"/>
          </w:tcPr>
          <w:p w14:paraId="07495E50">
            <w:pPr>
              <w:spacing w:before="0" w:after="0" w:line="240" w:lineRule="exact"/>
              <w:jc w:val="right"/>
              <w:rPr>
                <w:rFonts w:ascii="宋体" w:hAnsi="宋体" w:eastAsia="宋体" w:cs="宋体"/>
                <w:sz w:val="18"/>
                <w:szCs w:val="18"/>
              </w:rPr>
            </w:pPr>
            <w:r>
              <w:rPr>
                <w:rFonts w:ascii="宋体" w:hAnsi="宋体" w:eastAsia="宋体" w:cs="宋体"/>
                <w:sz w:val="18"/>
                <w:szCs w:val="18"/>
              </w:rPr>
              <w:t>-35,558,874.76</w:t>
            </w:r>
          </w:p>
        </w:tc>
        <w:tc>
          <w:tcPr>
            <w:tcW w:w="1643" w:type="dxa"/>
            <w:tcBorders>
              <w:top w:val="single" w:color="auto" w:sz="2" w:space="0"/>
              <w:left w:val="single" w:color="auto" w:sz="2" w:space="0"/>
              <w:bottom w:val="single" w:color="auto" w:sz="2" w:space="0"/>
              <w:right w:val="single" w:color="auto" w:sz="2" w:space="0"/>
            </w:tcBorders>
            <w:vAlign w:val="center"/>
          </w:tcPr>
          <w:p w14:paraId="6C226BE6">
            <w:pPr>
              <w:spacing w:before="0" w:after="0" w:line="240" w:lineRule="exact"/>
              <w:jc w:val="right"/>
              <w:rPr>
                <w:rFonts w:ascii="宋体" w:hAnsi="宋体" w:eastAsia="宋体" w:cs="宋体"/>
                <w:sz w:val="18"/>
                <w:szCs w:val="18"/>
              </w:rPr>
            </w:pPr>
            <w:r>
              <w:rPr>
                <w:rFonts w:ascii="宋体" w:hAnsi="宋体" w:eastAsia="宋体" w:cs="宋体"/>
                <w:sz w:val="18"/>
                <w:szCs w:val="18"/>
              </w:rPr>
              <w:t>-115,779,930.83</w:t>
            </w:r>
          </w:p>
        </w:tc>
      </w:tr>
      <w:tr w14:paraId="78C064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037" w:type="dxa"/>
            <w:tcBorders>
              <w:top w:val="single" w:color="auto" w:sz="2" w:space="0"/>
              <w:left w:val="single" w:color="auto" w:sz="2" w:space="0"/>
              <w:bottom w:val="single" w:color="auto" w:sz="2" w:space="0"/>
              <w:right w:val="single" w:color="auto" w:sz="2" w:space="0"/>
            </w:tcBorders>
            <w:shd w:val="clear" w:color="auto" w:fill="D3D3D3"/>
            <w:vAlign w:val="center"/>
          </w:tcPr>
          <w:p w14:paraId="0F461E70">
            <w:pPr>
              <w:spacing w:before="40" w:after="40" w:line="240" w:lineRule="exact"/>
              <w:jc w:val="left"/>
              <w:rPr>
                <w:rFonts w:ascii="宋体" w:hAnsi="宋体" w:eastAsia="宋体" w:cs="宋体"/>
                <w:sz w:val="18"/>
                <w:szCs w:val="18"/>
              </w:rPr>
            </w:pPr>
            <w:r>
              <w:rPr>
                <w:rFonts w:ascii="宋体" w:hAnsi="宋体" w:eastAsia="宋体" w:cs="宋体"/>
                <w:sz w:val="18"/>
                <w:szCs w:val="18"/>
              </w:rPr>
              <w:t>经营活动产生的现金流量净额</w:t>
            </w:r>
          </w:p>
        </w:tc>
        <w:tc>
          <w:tcPr>
            <w:tcW w:w="1750" w:type="dxa"/>
            <w:tcBorders>
              <w:top w:val="single" w:color="auto" w:sz="2" w:space="0"/>
              <w:left w:val="single" w:color="auto" w:sz="2" w:space="0"/>
              <w:bottom w:val="single" w:color="auto" w:sz="2" w:space="0"/>
              <w:right w:val="single" w:color="auto" w:sz="2" w:space="0"/>
            </w:tcBorders>
            <w:vAlign w:val="center"/>
          </w:tcPr>
          <w:p w14:paraId="09A55817">
            <w:pPr>
              <w:spacing w:before="0" w:after="0" w:line="240" w:lineRule="exact"/>
              <w:jc w:val="right"/>
              <w:rPr>
                <w:rFonts w:ascii="宋体" w:hAnsi="宋体" w:eastAsia="宋体" w:cs="宋体"/>
                <w:sz w:val="18"/>
                <w:szCs w:val="18"/>
              </w:rPr>
            </w:pPr>
            <w:r>
              <w:rPr>
                <w:rFonts w:ascii="宋体" w:hAnsi="宋体" w:eastAsia="宋体" w:cs="宋体"/>
                <w:sz w:val="18"/>
                <w:szCs w:val="18"/>
              </w:rPr>
              <w:t>-13,220,727.89</w:t>
            </w:r>
          </w:p>
        </w:tc>
        <w:tc>
          <w:tcPr>
            <w:tcW w:w="1610" w:type="dxa"/>
            <w:tcBorders>
              <w:top w:val="single" w:color="auto" w:sz="2" w:space="0"/>
              <w:left w:val="single" w:color="auto" w:sz="2" w:space="0"/>
              <w:bottom w:val="single" w:color="auto" w:sz="2" w:space="0"/>
              <w:right w:val="single" w:color="auto" w:sz="2" w:space="0"/>
            </w:tcBorders>
            <w:vAlign w:val="center"/>
          </w:tcPr>
          <w:p w14:paraId="7C5DCBDD">
            <w:pPr>
              <w:spacing w:before="0" w:after="0" w:line="240" w:lineRule="exact"/>
              <w:jc w:val="right"/>
              <w:rPr>
                <w:rFonts w:ascii="宋体" w:hAnsi="宋体" w:eastAsia="宋体" w:cs="宋体"/>
                <w:sz w:val="18"/>
                <w:szCs w:val="18"/>
              </w:rPr>
            </w:pPr>
            <w:r>
              <w:rPr>
                <w:rFonts w:ascii="宋体" w:hAnsi="宋体" w:eastAsia="宋体" w:cs="宋体"/>
                <w:sz w:val="18"/>
                <w:szCs w:val="18"/>
              </w:rPr>
              <w:t>-9,247,219.20</w:t>
            </w:r>
          </w:p>
        </w:tc>
        <w:tc>
          <w:tcPr>
            <w:tcW w:w="1600" w:type="dxa"/>
            <w:tcBorders>
              <w:top w:val="single" w:color="auto" w:sz="2" w:space="0"/>
              <w:left w:val="single" w:color="auto" w:sz="2" w:space="0"/>
              <w:bottom w:val="single" w:color="auto" w:sz="2" w:space="0"/>
              <w:right w:val="single" w:color="auto" w:sz="2" w:space="0"/>
            </w:tcBorders>
            <w:vAlign w:val="center"/>
          </w:tcPr>
          <w:p w14:paraId="51F9AD79">
            <w:pPr>
              <w:spacing w:before="0" w:after="0" w:line="240" w:lineRule="exact"/>
              <w:jc w:val="right"/>
              <w:rPr>
                <w:rFonts w:ascii="宋体" w:hAnsi="宋体" w:eastAsia="宋体" w:cs="宋体"/>
                <w:sz w:val="18"/>
                <w:szCs w:val="18"/>
              </w:rPr>
            </w:pPr>
            <w:r>
              <w:rPr>
                <w:rFonts w:ascii="宋体" w:hAnsi="宋体" w:eastAsia="宋体" w:cs="宋体"/>
                <w:sz w:val="18"/>
                <w:szCs w:val="18"/>
              </w:rPr>
              <w:t>5,031,693.26</w:t>
            </w:r>
          </w:p>
        </w:tc>
        <w:tc>
          <w:tcPr>
            <w:tcW w:w="1643" w:type="dxa"/>
            <w:tcBorders>
              <w:top w:val="single" w:color="auto" w:sz="2" w:space="0"/>
              <w:left w:val="single" w:color="auto" w:sz="2" w:space="0"/>
              <w:bottom w:val="single" w:color="auto" w:sz="2" w:space="0"/>
              <w:right w:val="single" w:color="auto" w:sz="2" w:space="0"/>
            </w:tcBorders>
            <w:vAlign w:val="center"/>
          </w:tcPr>
          <w:p w14:paraId="10949A62">
            <w:pPr>
              <w:spacing w:before="0" w:after="0" w:line="240" w:lineRule="exact"/>
              <w:jc w:val="right"/>
              <w:rPr>
                <w:rFonts w:hint="default" w:ascii="宋体" w:hAnsi="宋体" w:eastAsia="宋体" w:cs="宋体"/>
                <w:sz w:val="18"/>
                <w:szCs w:val="18"/>
                <w:lang w:val="en-US" w:eastAsia="zh-CN"/>
              </w:rPr>
            </w:pPr>
            <w:r>
              <w:rPr>
                <w:rFonts w:ascii="宋体" w:hAnsi="宋体" w:eastAsia="宋体" w:cs="宋体"/>
                <w:sz w:val="18"/>
                <w:szCs w:val="18"/>
              </w:rPr>
              <w:t>38,</w:t>
            </w:r>
            <w:r>
              <w:rPr>
                <w:rFonts w:hint="eastAsia" w:ascii="宋体" w:hAnsi="宋体" w:cs="宋体"/>
                <w:sz w:val="18"/>
                <w:szCs w:val="18"/>
                <w:lang w:val="en-US" w:eastAsia="zh-CN"/>
              </w:rPr>
              <w:t>143</w:t>
            </w:r>
            <w:r>
              <w:rPr>
                <w:rFonts w:ascii="宋体" w:hAnsi="宋体" w:eastAsia="宋体" w:cs="宋体"/>
                <w:sz w:val="18"/>
                <w:szCs w:val="18"/>
              </w:rPr>
              <w:t>,</w:t>
            </w:r>
            <w:r>
              <w:rPr>
                <w:rFonts w:hint="eastAsia" w:ascii="宋体" w:hAnsi="宋体" w:cs="宋体"/>
                <w:sz w:val="18"/>
                <w:szCs w:val="18"/>
                <w:lang w:val="en-US" w:eastAsia="zh-CN"/>
              </w:rPr>
              <w:t>977</w:t>
            </w:r>
            <w:r>
              <w:rPr>
                <w:rFonts w:ascii="宋体" w:hAnsi="宋体" w:eastAsia="宋体" w:cs="宋体"/>
                <w:sz w:val="18"/>
                <w:szCs w:val="18"/>
              </w:rPr>
              <w:t>.</w:t>
            </w:r>
            <w:r>
              <w:rPr>
                <w:rFonts w:hint="eastAsia" w:ascii="宋体" w:hAnsi="宋体" w:cs="宋体"/>
                <w:sz w:val="18"/>
                <w:szCs w:val="18"/>
                <w:lang w:val="en-US" w:eastAsia="zh-CN"/>
              </w:rPr>
              <w:t>13</w:t>
            </w:r>
          </w:p>
        </w:tc>
      </w:tr>
    </w:tbl>
    <w:p w14:paraId="314B9834">
      <w:pPr>
        <w:spacing w:before="100" w:after="100" w:line="240" w:lineRule="exact"/>
        <w:jc w:val="left"/>
        <w:rPr>
          <w:rFonts w:ascii="宋体" w:hAnsi="宋体" w:eastAsia="宋体" w:cs="宋体"/>
          <w:sz w:val="18"/>
          <w:szCs w:val="18"/>
        </w:rPr>
      </w:pPr>
      <w:r>
        <w:rPr>
          <w:rFonts w:ascii="宋体" w:hAnsi="宋体" w:eastAsia="宋体" w:cs="宋体"/>
          <w:sz w:val="18"/>
          <w:szCs w:val="18"/>
        </w:rPr>
        <w:t>上述财务指标或其加总数是否与公司已披露季度报告、半年度报告相关财务指标存在重大差异</w:t>
      </w:r>
    </w:p>
    <w:p w14:paraId="7EFDAAC0">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06756D1B">
      <w:pPr>
        <w:keepNext/>
        <w:keepLines/>
        <w:spacing w:before="300" w:after="300" w:line="320" w:lineRule="exact"/>
        <w:jc w:val="left"/>
        <w:outlineLvl w:val="1"/>
        <w:rPr>
          <w:rFonts w:ascii="宋体" w:hAnsi="宋体" w:eastAsia="宋体" w:cs="宋体"/>
          <w:b/>
          <w:bCs/>
          <w:sz w:val="24"/>
          <w:szCs w:val="24"/>
        </w:rPr>
      </w:pPr>
      <w:bookmarkStart w:id="8" w:name="_Toc988897"/>
      <w:r>
        <w:rPr>
          <w:rFonts w:ascii="宋体" w:hAnsi="宋体" w:eastAsia="宋体" w:cs="宋体"/>
          <w:b/>
          <w:bCs/>
          <w:sz w:val="24"/>
          <w:szCs w:val="24"/>
        </w:rPr>
        <w:t>七、境内外会计准则下会计数据差异</w:t>
      </w:r>
      <w:bookmarkEnd w:id="8"/>
    </w:p>
    <w:p w14:paraId="70C4A631">
      <w:pPr>
        <w:keepNext/>
        <w:keepLines/>
        <w:spacing w:before="300" w:after="300" w:line="280" w:lineRule="exact"/>
        <w:jc w:val="left"/>
        <w:outlineLvl w:val="2"/>
        <w:rPr>
          <w:rFonts w:ascii="宋体" w:hAnsi="宋体" w:eastAsia="宋体" w:cs="宋体"/>
          <w:b/>
          <w:bCs/>
          <w:sz w:val="21"/>
          <w:szCs w:val="21"/>
        </w:rPr>
      </w:pPr>
      <w:bookmarkStart w:id="9" w:name="_Toc988898"/>
      <w:r>
        <w:rPr>
          <w:rFonts w:ascii="宋体" w:hAnsi="宋体" w:eastAsia="宋体" w:cs="宋体"/>
          <w:b/>
          <w:bCs/>
          <w:sz w:val="21"/>
          <w:szCs w:val="21"/>
        </w:rPr>
        <w:t>1、同时按照国际会计准则与按照中国会计准则披露的财务报告中净利润和净资产差异情况</w:t>
      </w:r>
      <w:bookmarkEnd w:id="9"/>
    </w:p>
    <w:p w14:paraId="4AD36EA8">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F8A5932">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公司报告期不存在按照国际会计准则与按照中国会计准则披露的财务报告中净利润和净资产差异情况。</w:t>
      </w:r>
    </w:p>
    <w:p w14:paraId="09B5C8FA">
      <w:pPr>
        <w:keepNext/>
        <w:keepLines/>
        <w:spacing w:before="300" w:after="300" w:line="280" w:lineRule="exact"/>
        <w:jc w:val="left"/>
        <w:outlineLvl w:val="2"/>
        <w:rPr>
          <w:rFonts w:ascii="宋体" w:hAnsi="宋体" w:eastAsia="宋体" w:cs="宋体"/>
          <w:b/>
          <w:bCs/>
          <w:sz w:val="21"/>
          <w:szCs w:val="21"/>
        </w:rPr>
      </w:pPr>
      <w:bookmarkStart w:id="10" w:name="_Toc988899"/>
      <w:r>
        <w:rPr>
          <w:rFonts w:ascii="宋体" w:hAnsi="宋体" w:eastAsia="宋体" w:cs="宋体"/>
          <w:b/>
          <w:bCs/>
          <w:sz w:val="21"/>
          <w:szCs w:val="21"/>
        </w:rPr>
        <w:t>2、同时按照境外会计准则与按照中国会计准则披露的财务报告中净利润和净资产差异情况</w:t>
      </w:r>
      <w:bookmarkEnd w:id="10"/>
    </w:p>
    <w:p w14:paraId="4F8C7B59">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627395D2">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公司报告期不存在按照境外会计准则与按照中国会计准则披露的财务报告中净利润和净资产差异情况。</w:t>
      </w:r>
    </w:p>
    <w:p w14:paraId="1D87C9E6">
      <w:pPr>
        <w:keepNext/>
        <w:keepLines/>
        <w:spacing w:before="300" w:after="300" w:line="320" w:lineRule="exact"/>
        <w:jc w:val="left"/>
        <w:outlineLvl w:val="1"/>
        <w:rPr>
          <w:rFonts w:ascii="宋体" w:hAnsi="宋体" w:eastAsia="宋体" w:cs="宋体"/>
          <w:b/>
          <w:bCs/>
          <w:sz w:val="24"/>
          <w:szCs w:val="24"/>
        </w:rPr>
      </w:pPr>
      <w:bookmarkStart w:id="11" w:name="_Toc988900"/>
      <w:r>
        <w:rPr>
          <w:rFonts w:ascii="宋体" w:hAnsi="宋体" w:eastAsia="宋体" w:cs="宋体"/>
          <w:b/>
          <w:bCs/>
          <w:sz w:val="24"/>
          <w:szCs w:val="24"/>
        </w:rPr>
        <w:t>八、非经常性损益项目及金额</w:t>
      </w:r>
      <w:bookmarkEnd w:id="11"/>
    </w:p>
    <w:p w14:paraId="51BF6BE7">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798D3123">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874"/>
        <w:gridCol w:w="1610"/>
        <w:gridCol w:w="1490"/>
        <w:gridCol w:w="1460"/>
        <w:gridCol w:w="1206"/>
      </w:tblGrid>
      <w:tr w14:paraId="0098D5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874" w:type="dxa"/>
            <w:tcBorders>
              <w:top w:val="single" w:color="auto" w:sz="2" w:space="0"/>
              <w:left w:val="single" w:color="auto" w:sz="2" w:space="0"/>
              <w:bottom w:val="single" w:color="auto" w:sz="2" w:space="0"/>
              <w:right w:val="single" w:color="auto" w:sz="2" w:space="0"/>
            </w:tcBorders>
            <w:shd w:val="clear" w:color="auto" w:fill="D3D3D3"/>
            <w:vAlign w:val="center"/>
          </w:tcPr>
          <w:p w14:paraId="4CE3C3A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10" w:type="dxa"/>
            <w:tcBorders>
              <w:top w:val="single" w:color="auto" w:sz="2" w:space="0"/>
              <w:left w:val="single" w:color="auto" w:sz="2" w:space="0"/>
              <w:bottom w:val="single" w:color="auto" w:sz="2" w:space="0"/>
              <w:right w:val="single" w:color="auto" w:sz="2" w:space="0"/>
            </w:tcBorders>
            <w:shd w:val="clear" w:color="auto" w:fill="D3D3D3"/>
            <w:vAlign w:val="center"/>
          </w:tcPr>
          <w:p w14:paraId="2301FA2D">
            <w:pPr>
              <w:spacing w:before="40" w:after="40" w:line="240" w:lineRule="exact"/>
              <w:jc w:val="center"/>
              <w:rPr>
                <w:rFonts w:ascii="宋体" w:hAnsi="宋体" w:eastAsia="宋体" w:cs="宋体"/>
                <w:sz w:val="18"/>
                <w:szCs w:val="18"/>
              </w:rPr>
            </w:pPr>
            <w:r>
              <w:rPr>
                <w:rFonts w:ascii="宋体" w:hAnsi="宋体" w:eastAsia="宋体" w:cs="宋体"/>
                <w:sz w:val="18"/>
                <w:szCs w:val="18"/>
              </w:rPr>
              <w:t>2024年金额</w:t>
            </w:r>
          </w:p>
        </w:tc>
        <w:tc>
          <w:tcPr>
            <w:tcW w:w="1490" w:type="dxa"/>
            <w:tcBorders>
              <w:top w:val="single" w:color="auto" w:sz="2" w:space="0"/>
              <w:left w:val="single" w:color="auto" w:sz="2" w:space="0"/>
              <w:bottom w:val="single" w:color="auto" w:sz="2" w:space="0"/>
              <w:right w:val="single" w:color="auto" w:sz="2" w:space="0"/>
            </w:tcBorders>
            <w:shd w:val="clear" w:color="auto" w:fill="D3D3D3"/>
            <w:vAlign w:val="center"/>
          </w:tcPr>
          <w:p w14:paraId="26F5FE92">
            <w:pPr>
              <w:spacing w:before="40" w:after="40" w:line="240" w:lineRule="exact"/>
              <w:jc w:val="center"/>
              <w:rPr>
                <w:rFonts w:ascii="宋体" w:hAnsi="宋体" w:eastAsia="宋体" w:cs="宋体"/>
                <w:sz w:val="18"/>
                <w:szCs w:val="18"/>
              </w:rPr>
            </w:pPr>
            <w:r>
              <w:rPr>
                <w:rFonts w:ascii="宋体" w:hAnsi="宋体" w:eastAsia="宋体" w:cs="宋体"/>
                <w:sz w:val="18"/>
                <w:szCs w:val="18"/>
              </w:rPr>
              <w:t>2023年金额</w:t>
            </w:r>
          </w:p>
        </w:tc>
        <w:tc>
          <w:tcPr>
            <w:tcW w:w="1460" w:type="dxa"/>
            <w:tcBorders>
              <w:top w:val="single" w:color="auto" w:sz="2" w:space="0"/>
              <w:left w:val="single" w:color="auto" w:sz="2" w:space="0"/>
              <w:bottom w:val="single" w:color="auto" w:sz="2" w:space="0"/>
              <w:right w:val="single" w:color="auto" w:sz="2" w:space="0"/>
            </w:tcBorders>
            <w:shd w:val="clear" w:color="auto" w:fill="D3D3D3"/>
            <w:vAlign w:val="center"/>
          </w:tcPr>
          <w:p w14:paraId="24654393">
            <w:pPr>
              <w:spacing w:before="40" w:after="40" w:line="240" w:lineRule="exact"/>
              <w:jc w:val="center"/>
              <w:rPr>
                <w:rFonts w:ascii="宋体" w:hAnsi="宋体" w:eastAsia="宋体" w:cs="宋体"/>
                <w:sz w:val="18"/>
                <w:szCs w:val="18"/>
              </w:rPr>
            </w:pPr>
            <w:r>
              <w:rPr>
                <w:rFonts w:ascii="宋体" w:hAnsi="宋体" w:eastAsia="宋体" w:cs="宋体"/>
                <w:sz w:val="18"/>
                <w:szCs w:val="18"/>
              </w:rPr>
              <w:t>2022年金额</w:t>
            </w:r>
          </w:p>
        </w:tc>
        <w:tc>
          <w:tcPr>
            <w:tcW w:w="1206" w:type="dxa"/>
            <w:tcBorders>
              <w:top w:val="single" w:color="auto" w:sz="2" w:space="0"/>
              <w:left w:val="single" w:color="auto" w:sz="2" w:space="0"/>
              <w:bottom w:val="single" w:color="auto" w:sz="2" w:space="0"/>
              <w:right w:val="single" w:color="auto" w:sz="2" w:space="0"/>
            </w:tcBorders>
            <w:shd w:val="clear" w:color="auto" w:fill="D3D3D3"/>
            <w:vAlign w:val="center"/>
          </w:tcPr>
          <w:p w14:paraId="5ECC79E2">
            <w:pPr>
              <w:spacing w:before="40" w:after="40" w:line="240" w:lineRule="exact"/>
              <w:jc w:val="center"/>
              <w:rPr>
                <w:rFonts w:ascii="宋体" w:hAnsi="宋体" w:eastAsia="宋体" w:cs="宋体"/>
                <w:sz w:val="18"/>
                <w:szCs w:val="18"/>
              </w:rPr>
            </w:pPr>
            <w:r>
              <w:rPr>
                <w:rFonts w:ascii="宋体" w:hAnsi="宋体" w:eastAsia="宋体" w:cs="宋体"/>
                <w:sz w:val="18"/>
                <w:szCs w:val="18"/>
              </w:rPr>
              <w:t>说明</w:t>
            </w:r>
          </w:p>
        </w:tc>
      </w:tr>
      <w:tr w14:paraId="02C596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874" w:type="dxa"/>
            <w:tcBorders>
              <w:top w:val="single" w:color="auto" w:sz="2" w:space="0"/>
              <w:left w:val="single" w:color="auto" w:sz="2" w:space="0"/>
              <w:bottom w:val="single" w:color="auto" w:sz="2" w:space="0"/>
              <w:right w:val="single" w:color="auto" w:sz="2" w:space="0"/>
            </w:tcBorders>
            <w:shd w:val="clear" w:color="auto" w:fill="D3D3D3"/>
            <w:vAlign w:val="center"/>
          </w:tcPr>
          <w:p w14:paraId="1B82B45A">
            <w:pPr>
              <w:spacing w:before="40" w:after="40" w:line="240" w:lineRule="exact"/>
              <w:jc w:val="left"/>
              <w:rPr>
                <w:rFonts w:ascii="宋体" w:hAnsi="宋体" w:eastAsia="宋体" w:cs="宋体"/>
                <w:sz w:val="18"/>
                <w:szCs w:val="18"/>
              </w:rPr>
            </w:pPr>
            <w:r>
              <w:rPr>
                <w:rFonts w:ascii="宋体" w:hAnsi="宋体" w:eastAsia="宋体" w:cs="宋体"/>
                <w:sz w:val="18"/>
                <w:szCs w:val="18"/>
              </w:rPr>
              <w:t>非流动性资产处置损益（包括已计提资产减值准备的冲销部分）</w:t>
            </w:r>
          </w:p>
        </w:tc>
        <w:tc>
          <w:tcPr>
            <w:tcW w:w="1610" w:type="dxa"/>
            <w:tcBorders>
              <w:top w:val="single" w:color="auto" w:sz="2" w:space="0"/>
              <w:left w:val="single" w:color="auto" w:sz="2" w:space="0"/>
              <w:bottom w:val="single" w:color="auto" w:sz="2" w:space="0"/>
              <w:right w:val="single" w:color="auto" w:sz="2" w:space="0"/>
            </w:tcBorders>
            <w:vAlign w:val="center"/>
          </w:tcPr>
          <w:p w14:paraId="6BE88CBB">
            <w:pPr>
              <w:spacing w:before="0" w:after="0" w:line="240" w:lineRule="exact"/>
              <w:jc w:val="right"/>
              <w:rPr>
                <w:rFonts w:ascii="宋体" w:hAnsi="宋体" w:eastAsia="宋体" w:cs="宋体"/>
                <w:sz w:val="18"/>
                <w:szCs w:val="18"/>
              </w:rPr>
            </w:pPr>
            <w:r>
              <w:rPr>
                <w:rFonts w:ascii="宋体" w:hAnsi="宋体" w:eastAsia="宋体" w:cs="宋体"/>
                <w:sz w:val="18"/>
                <w:szCs w:val="18"/>
              </w:rPr>
              <w:t>-42,493.12</w:t>
            </w:r>
          </w:p>
        </w:tc>
        <w:tc>
          <w:tcPr>
            <w:tcW w:w="1490" w:type="dxa"/>
            <w:tcBorders>
              <w:top w:val="single" w:color="auto" w:sz="2" w:space="0"/>
              <w:left w:val="single" w:color="auto" w:sz="2" w:space="0"/>
              <w:bottom w:val="single" w:color="auto" w:sz="2" w:space="0"/>
              <w:right w:val="single" w:color="auto" w:sz="2" w:space="0"/>
            </w:tcBorders>
            <w:vAlign w:val="center"/>
          </w:tcPr>
          <w:p w14:paraId="4F5F01AE">
            <w:pPr>
              <w:spacing w:before="0" w:after="0" w:line="240" w:lineRule="exact"/>
              <w:jc w:val="right"/>
              <w:rPr>
                <w:rFonts w:ascii="宋体" w:hAnsi="宋体" w:eastAsia="宋体" w:cs="宋体"/>
                <w:sz w:val="18"/>
                <w:szCs w:val="18"/>
              </w:rPr>
            </w:pPr>
            <w:r>
              <w:rPr>
                <w:rFonts w:ascii="宋体" w:hAnsi="宋体" w:eastAsia="宋体" w:cs="宋体"/>
                <w:sz w:val="18"/>
                <w:szCs w:val="18"/>
              </w:rPr>
              <w:t>-163,042.28</w:t>
            </w:r>
          </w:p>
        </w:tc>
        <w:tc>
          <w:tcPr>
            <w:tcW w:w="1460" w:type="dxa"/>
            <w:tcBorders>
              <w:top w:val="single" w:color="auto" w:sz="2" w:space="0"/>
              <w:left w:val="single" w:color="auto" w:sz="2" w:space="0"/>
              <w:bottom w:val="single" w:color="auto" w:sz="2" w:space="0"/>
              <w:right w:val="single" w:color="auto" w:sz="2" w:space="0"/>
            </w:tcBorders>
            <w:vAlign w:val="center"/>
          </w:tcPr>
          <w:p w14:paraId="361B9860">
            <w:pPr>
              <w:spacing w:before="0" w:after="0" w:line="240" w:lineRule="exact"/>
              <w:jc w:val="right"/>
              <w:rPr>
                <w:rFonts w:ascii="宋体" w:hAnsi="宋体" w:eastAsia="宋体" w:cs="宋体"/>
                <w:sz w:val="18"/>
                <w:szCs w:val="18"/>
              </w:rPr>
            </w:pPr>
            <w:r>
              <w:rPr>
                <w:rFonts w:ascii="宋体" w:hAnsi="宋体" w:eastAsia="宋体" w:cs="宋体"/>
                <w:sz w:val="18"/>
                <w:szCs w:val="18"/>
              </w:rPr>
              <w:t>-199,926.31</w:t>
            </w:r>
          </w:p>
        </w:tc>
        <w:tc>
          <w:tcPr>
            <w:tcW w:w="1206" w:type="dxa"/>
            <w:tcBorders>
              <w:top w:val="single" w:color="auto" w:sz="2" w:space="0"/>
              <w:left w:val="single" w:color="auto" w:sz="2" w:space="0"/>
              <w:bottom w:val="single" w:color="auto" w:sz="2" w:space="0"/>
              <w:right w:val="single" w:color="auto" w:sz="2" w:space="0"/>
            </w:tcBorders>
            <w:vAlign w:val="center"/>
          </w:tcPr>
          <w:p w14:paraId="483CC922">
            <w:pPr>
              <w:spacing w:before="0" w:after="0" w:line="240" w:lineRule="exact"/>
              <w:jc w:val="left"/>
              <w:rPr>
                <w:rFonts w:ascii="宋体" w:hAnsi="宋体" w:eastAsia="宋体" w:cs="宋体"/>
                <w:sz w:val="18"/>
                <w:szCs w:val="18"/>
              </w:rPr>
            </w:pPr>
          </w:p>
        </w:tc>
      </w:tr>
      <w:tr w14:paraId="2BF982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874" w:type="dxa"/>
            <w:tcBorders>
              <w:top w:val="single" w:color="auto" w:sz="2" w:space="0"/>
              <w:left w:val="single" w:color="auto" w:sz="2" w:space="0"/>
              <w:bottom w:val="single" w:color="auto" w:sz="2" w:space="0"/>
              <w:right w:val="single" w:color="auto" w:sz="2" w:space="0"/>
            </w:tcBorders>
            <w:shd w:val="clear" w:color="auto" w:fill="D3D3D3"/>
            <w:vAlign w:val="center"/>
          </w:tcPr>
          <w:p w14:paraId="7B3CA53D">
            <w:pPr>
              <w:spacing w:before="40" w:after="40" w:line="240" w:lineRule="exact"/>
              <w:jc w:val="left"/>
              <w:rPr>
                <w:rFonts w:ascii="宋体" w:hAnsi="宋体" w:eastAsia="宋体" w:cs="宋体"/>
                <w:sz w:val="18"/>
                <w:szCs w:val="18"/>
              </w:rPr>
            </w:pPr>
            <w:r>
              <w:rPr>
                <w:rFonts w:ascii="宋体" w:hAnsi="宋体" w:eastAsia="宋体" w:cs="宋体"/>
                <w:sz w:val="18"/>
                <w:szCs w:val="18"/>
              </w:rPr>
              <w:t>计入当期损益的政府补助（与公司正常经营业务密切相关，符合国家政策规定、按照确定的标准享有、对公司损益产生持续影响的政府补助除外）</w:t>
            </w:r>
          </w:p>
        </w:tc>
        <w:tc>
          <w:tcPr>
            <w:tcW w:w="1610" w:type="dxa"/>
            <w:tcBorders>
              <w:top w:val="single" w:color="auto" w:sz="2" w:space="0"/>
              <w:left w:val="single" w:color="auto" w:sz="2" w:space="0"/>
              <w:bottom w:val="single" w:color="auto" w:sz="2" w:space="0"/>
              <w:right w:val="single" w:color="auto" w:sz="2" w:space="0"/>
            </w:tcBorders>
            <w:vAlign w:val="center"/>
          </w:tcPr>
          <w:p w14:paraId="7135A255">
            <w:pPr>
              <w:spacing w:before="0" w:after="0" w:line="240" w:lineRule="exact"/>
              <w:jc w:val="right"/>
              <w:rPr>
                <w:rFonts w:ascii="宋体" w:hAnsi="宋体" w:eastAsia="宋体" w:cs="宋体"/>
                <w:sz w:val="18"/>
                <w:szCs w:val="18"/>
              </w:rPr>
            </w:pPr>
            <w:r>
              <w:rPr>
                <w:rFonts w:ascii="宋体" w:hAnsi="宋体" w:eastAsia="宋体" w:cs="宋体"/>
                <w:sz w:val="18"/>
                <w:szCs w:val="18"/>
              </w:rPr>
              <w:t>45,114,872.01</w:t>
            </w:r>
          </w:p>
        </w:tc>
        <w:tc>
          <w:tcPr>
            <w:tcW w:w="1490" w:type="dxa"/>
            <w:tcBorders>
              <w:top w:val="single" w:color="auto" w:sz="2" w:space="0"/>
              <w:left w:val="single" w:color="auto" w:sz="2" w:space="0"/>
              <w:bottom w:val="single" w:color="auto" w:sz="2" w:space="0"/>
              <w:right w:val="single" w:color="auto" w:sz="2" w:space="0"/>
            </w:tcBorders>
            <w:vAlign w:val="center"/>
          </w:tcPr>
          <w:p w14:paraId="19F39903">
            <w:pPr>
              <w:spacing w:before="0" w:after="0" w:line="240" w:lineRule="exact"/>
              <w:jc w:val="right"/>
              <w:rPr>
                <w:rFonts w:ascii="宋体" w:hAnsi="宋体" w:eastAsia="宋体" w:cs="宋体"/>
                <w:sz w:val="18"/>
                <w:szCs w:val="18"/>
              </w:rPr>
            </w:pPr>
            <w:r>
              <w:rPr>
                <w:rFonts w:ascii="宋体" w:hAnsi="宋体" w:eastAsia="宋体" w:cs="宋体"/>
                <w:sz w:val="18"/>
                <w:szCs w:val="18"/>
              </w:rPr>
              <w:t>9,117,724.29</w:t>
            </w:r>
          </w:p>
        </w:tc>
        <w:tc>
          <w:tcPr>
            <w:tcW w:w="1460" w:type="dxa"/>
            <w:tcBorders>
              <w:top w:val="single" w:color="auto" w:sz="2" w:space="0"/>
              <w:left w:val="single" w:color="auto" w:sz="2" w:space="0"/>
              <w:bottom w:val="single" w:color="auto" w:sz="2" w:space="0"/>
              <w:right w:val="single" w:color="auto" w:sz="2" w:space="0"/>
            </w:tcBorders>
            <w:vAlign w:val="center"/>
          </w:tcPr>
          <w:p w14:paraId="458276B7">
            <w:pPr>
              <w:spacing w:before="0" w:after="0" w:line="240" w:lineRule="exact"/>
              <w:jc w:val="right"/>
              <w:rPr>
                <w:rFonts w:ascii="宋体" w:hAnsi="宋体" w:eastAsia="宋体" w:cs="宋体"/>
                <w:sz w:val="18"/>
                <w:szCs w:val="18"/>
              </w:rPr>
            </w:pPr>
            <w:r>
              <w:rPr>
                <w:rFonts w:ascii="宋体" w:hAnsi="宋体" w:eastAsia="宋体" w:cs="宋体"/>
                <w:sz w:val="18"/>
                <w:szCs w:val="18"/>
              </w:rPr>
              <w:t>9,188,687.11</w:t>
            </w:r>
          </w:p>
        </w:tc>
        <w:tc>
          <w:tcPr>
            <w:tcW w:w="1206" w:type="dxa"/>
            <w:tcBorders>
              <w:top w:val="single" w:color="auto" w:sz="2" w:space="0"/>
              <w:left w:val="single" w:color="auto" w:sz="2" w:space="0"/>
              <w:bottom w:val="single" w:color="auto" w:sz="2" w:space="0"/>
              <w:right w:val="single" w:color="auto" w:sz="2" w:space="0"/>
            </w:tcBorders>
            <w:vAlign w:val="center"/>
          </w:tcPr>
          <w:p w14:paraId="492D45A1">
            <w:pPr>
              <w:spacing w:before="0" w:after="0" w:line="240" w:lineRule="exact"/>
              <w:jc w:val="left"/>
              <w:rPr>
                <w:rFonts w:ascii="宋体" w:hAnsi="宋体" w:eastAsia="宋体" w:cs="宋体"/>
                <w:sz w:val="18"/>
                <w:szCs w:val="18"/>
              </w:rPr>
            </w:pPr>
            <w:r>
              <w:rPr>
                <w:rFonts w:hint="eastAsia" w:ascii="宋体" w:hAnsi="宋体" w:cs="宋体"/>
                <w:sz w:val="18"/>
                <w:szCs w:val="18"/>
              </w:rPr>
              <w:t>主要为收到大额创新药临床补助</w:t>
            </w:r>
          </w:p>
        </w:tc>
      </w:tr>
      <w:tr w14:paraId="0D76DA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874" w:type="dxa"/>
            <w:tcBorders>
              <w:top w:val="single" w:color="auto" w:sz="2" w:space="0"/>
              <w:left w:val="single" w:color="auto" w:sz="2" w:space="0"/>
              <w:bottom w:val="single" w:color="auto" w:sz="2" w:space="0"/>
              <w:right w:val="single" w:color="auto" w:sz="2" w:space="0"/>
            </w:tcBorders>
            <w:shd w:val="clear" w:color="auto" w:fill="D3D3D3"/>
            <w:vAlign w:val="center"/>
          </w:tcPr>
          <w:p w14:paraId="1F9543CB">
            <w:pPr>
              <w:spacing w:before="40" w:after="40" w:line="240" w:lineRule="exact"/>
              <w:jc w:val="left"/>
              <w:rPr>
                <w:rFonts w:ascii="宋体" w:hAnsi="宋体" w:eastAsia="宋体" w:cs="宋体"/>
                <w:sz w:val="18"/>
                <w:szCs w:val="18"/>
              </w:rPr>
            </w:pPr>
            <w:r>
              <w:rPr>
                <w:rFonts w:ascii="宋体" w:hAnsi="宋体" w:eastAsia="宋体" w:cs="宋体"/>
                <w:sz w:val="18"/>
                <w:szCs w:val="18"/>
              </w:rPr>
              <w:t>与公司正常经营业务无关的或有事项产生的损益</w:t>
            </w:r>
          </w:p>
        </w:tc>
        <w:tc>
          <w:tcPr>
            <w:tcW w:w="1610" w:type="dxa"/>
            <w:tcBorders>
              <w:top w:val="single" w:color="auto" w:sz="2" w:space="0"/>
              <w:left w:val="single" w:color="auto" w:sz="2" w:space="0"/>
              <w:bottom w:val="single" w:color="auto" w:sz="2" w:space="0"/>
              <w:right w:val="single" w:color="auto" w:sz="2" w:space="0"/>
            </w:tcBorders>
            <w:vAlign w:val="center"/>
          </w:tcPr>
          <w:p w14:paraId="5C873FC7">
            <w:pPr>
              <w:spacing w:before="0" w:after="0" w:line="240" w:lineRule="exact"/>
              <w:jc w:val="right"/>
              <w:rPr>
                <w:rFonts w:ascii="宋体" w:hAnsi="宋体" w:eastAsia="宋体" w:cs="宋体"/>
                <w:sz w:val="18"/>
                <w:szCs w:val="18"/>
              </w:rPr>
            </w:pPr>
          </w:p>
        </w:tc>
        <w:tc>
          <w:tcPr>
            <w:tcW w:w="1490" w:type="dxa"/>
            <w:tcBorders>
              <w:top w:val="single" w:color="auto" w:sz="2" w:space="0"/>
              <w:left w:val="single" w:color="auto" w:sz="2" w:space="0"/>
              <w:bottom w:val="single" w:color="auto" w:sz="2" w:space="0"/>
              <w:right w:val="single" w:color="auto" w:sz="2" w:space="0"/>
            </w:tcBorders>
            <w:vAlign w:val="center"/>
          </w:tcPr>
          <w:p w14:paraId="2CB8C322">
            <w:pPr>
              <w:spacing w:before="0" w:after="0" w:line="240" w:lineRule="exact"/>
              <w:jc w:val="right"/>
              <w:rPr>
                <w:rFonts w:ascii="宋体" w:hAnsi="宋体" w:eastAsia="宋体" w:cs="宋体"/>
                <w:sz w:val="18"/>
                <w:szCs w:val="18"/>
              </w:rPr>
            </w:pPr>
            <w:r>
              <w:rPr>
                <w:rFonts w:ascii="宋体" w:hAnsi="宋体" w:eastAsia="宋体" w:cs="宋体"/>
                <w:sz w:val="18"/>
                <w:szCs w:val="18"/>
              </w:rPr>
              <w:t>89,851.66</w:t>
            </w:r>
          </w:p>
        </w:tc>
        <w:tc>
          <w:tcPr>
            <w:tcW w:w="1460" w:type="dxa"/>
            <w:tcBorders>
              <w:top w:val="single" w:color="auto" w:sz="2" w:space="0"/>
              <w:left w:val="single" w:color="auto" w:sz="2" w:space="0"/>
              <w:bottom w:val="single" w:color="auto" w:sz="2" w:space="0"/>
              <w:right w:val="single" w:color="auto" w:sz="2" w:space="0"/>
            </w:tcBorders>
            <w:vAlign w:val="center"/>
          </w:tcPr>
          <w:p w14:paraId="67014510">
            <w:pPr>
              <w:spacing w:before="0" w:after="0" w:line="240" w:lineRule="exact"/>
              <w:jc w:val="right"/>
              <w:rPr>
                <w:rFonts w:ascii="宋体" w:hAnsi="宋体" w:eastAsia="宋体" w:cs="宋体"/>
                <w:sz w:val="18"/>
                <w:szCs w:val="18"/>
              </w:rPr>
            </w:pPr>
            <w:r>
              <w:rPr>
                <w:rFonts w:ascii="宋体" w:hAnsi="宋体" w:eastAsia="宋体" w:cs="宋体"/>
                <w:sz w:val="18"/>
                <w:szCs w:val="18"/>
              </w:rPr>
              <w:t>298,826.11</w:t>
            </w:r>
          </w:p>
        </w:tc>
        <w:tc>
          <w:tcPr>
            <w:tcW w:w="1206" w:type="dxa"/>
            <w:tcBorders>
              <w:top w:val="single" w:color="auto" w:sz="2" w:space="0"/>
              <w:left w:val="single" w:color="auto" w:sz="2" w:space="0"/>
              <w:bottom w:val="single" w:color="auto" w:sz="2" w:space="0"/>
              <w:right w:val="single" w:color="auto" w:sz="2" w:space="0"/>
            </w:tcBorders>
            <w:vAlign w:val="center"/>
          </w:tcPr>
          <w:p w14:paraId="3F2F4B92">
            <w:pPr>
              <w:spacing w:before="0" w:after="0" w:line="240" w:lineRule="exact"/>
              <w:jc w:val="left"/>
              <w:rPr>
                <w:rFonts w:ascii="宋体" w:hAnsi="宋体" w:eastAsia="宋体" w:cs="宋体"/>
                <w:sz w:val="18"/>
                <w:szCs w:val="18"/>
              </w:rPr>
            </w:pPr>
          </w:p>
        </w:tc>
      </w:tr>
      <w:tr w14:paraId="71AEA1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874" w:type="dxa"/>
            <w:tcBorders>
              <w:top w:val="single" w:color="auto" w:sz="2" w:space="0"/>
              <w:left w:val="single" w:color="auto" w:sz="2" w:space="0"/>
              <w:bottom w:val="single" w:color="auto" w:sz="2" w:space="0"/>
              <w:right w:val="single" w:color="auto" w:sz="2" w:space="0"/>
            </w:tcBorders>
            <w:shd w:val="clear" w:color="auto" w:fill="D3D3D3"/>
            <w:vAlign w:val="center"/>
          </w:tcPr>
          <w:p w14:paraId="0BDA2663">
            <w:pPr>
              <w:spacing w:before="40" w:after="40" w:line="240" w:lineRule="exact"/>
              <w:jc w:val="left"/>
              <w:rPr>
                <w:rFonts w:ascii="宋体" w:hAnsi="宋体" w:eastAsia="宋体" w:cs="宋体"/>
                <w:sz w:val="18"/>
                <w:szCs w:val="18"/>
              </w:rPr>
            </w:pPr>
            <w:r>
              <w:rPr>
                <w:rFonts w:ascii="宋体" w:hAnsi="宋体" w:eastAsia="宋体" w:cs="宋体"/>
                <w:sz w:val="18"/>
                <w:szCs w:val="18"/>
              </w:rPr>
              <w:t>除上述各项之外的其他营业外收入和支出</w:t>
            </w:r>
          </w:p>
        </w:tc>
        <w:tc>
          <w:tcPr>
            <w:tcW w:w="1610" w:type="dxa"/>
            <w:tcBorders>
              <w:top w:val="single" w:color="auto" w:sz="2" w:space="0"/>
              <w:left w:val="single" w:color="auto" w:sz="2" w:space="0"/>
              <w:bottom w:val="single" w:color="auto" w:sz="2" w:space="0"/>
              <w:right w:val="single" w:color="auto" w:sz="2" w:space="0"/>
            </w:tcBorders>
            <w:vAlign w:val="center"/>
          </w:tcPr>
          <w:p w14:paraId="3010BA16">
            <w:pPr>
              <w:spacing w:before="0" w:after="0" w:line="240" w:lineRule="exact"/>
              <w:jc w:val="right"/>
              <w:rPr>
                <w:rFonts w:ascii="宋体" w:hAnsi="宋体" w:eastAsia="宋体" w:cs="宋体"/>
                <w:sz w:val="18"/>
                <w:szCs w:val="18"/>
              </w:rPr>
            </w:pPr>
            <w:r>
              <w:rPr>
                <w:rFonts w:ascii="宋体" w:hAnsi="宋体" w:eastAsia="宋体" w:cs="宋体"/>
                <w:sz w:val="18"/>
                <w:szCs w:val="18"/>
              </w:rPr>
              <w:t>156,802.26</w:t>
            </w:r>
          </w:p>
        </w:tc>
        <w:tc>
          <w:tcPr>
            <w:tcW w:w="1490" w:type="dxa"/>
            <w:tcBorders>
              <w:top w:val="single" w:color="auto" w:sz="2" w:space="0"/>
              <w:left w:val="single" w:color="auto" w:sz="2" w:space="0"/>
              <w:bottom w:val="single" w:color="auto" w:sz="2" w:space="0"/>
              <w:right w:val="single" w:color="auto" w:sz="2" w:space="0"/>
            </w:tcBorders>
            <w:vAlign w:val="center"/>
          </w:tcPr>
          <w:p w14:paraId="0A8689C5">
            <w:pPr>
              <w:spacing w:before="0" w:after="0" w:line="240" w:lineRule="exact"/>
              <w:jc w:val="right"/>
              <w:rPr>
                <w:rFonts w:ascii="宋体" w:hAnsi="宋体" w:eastAsia="宋体" w:cs="宋体"/>
                <w:sz w:val="18"/>
                <w:szCs w:val="18"/>
              </w:rPr>
            </w:pPr>
            <w:r>
              <w:rPr>
                <w:rFonts w:ascii="宋体" w:hAnsi="宋体" w:eastAsia="宋体" w:cs="宋体"/>
                <w:sz w:val="18"/>
                <w:szCs w:val="18"/>
              </w:rPr>
              <w:t>-2,252,390.89</w:t>
            </w:r>
          </w:p>
        </w:tc>
        <w:tc>
          <w:tcPr>
            <w:tcW w:w="1460" w:type="dxa"/>
            <w:tcBorders>
              <w:top w:val="single" w:color="auto" w:sz="2" w:space="0"/>
              <w:left w:val="single" w:color="auto" w:sz="2" w:space="0"/>
              <w:bottom w:val="single" w:color="auto" w:sz="2" w:space="0"/>
              <w:right w:val="single" w:color="auto" w:sz="2" w:space="0"/>
            </w:tcBorders>
            <w:vAlign w:val="center"/>
          </w:tcPr>
          <w:p w14:paraId="0D30F96F">
            <w:pPr>
              <w:spacing w:before="0" w:after="0" w:line="240" w:lineRule="exact"/>
              <w:jc w:val="right"/>
              <w:rPr>
                <w:rFonts w:ascii="宋体" w:hAnsi="宋体" w:eastAsia="宋体" w:cs="宋体"/>
                <w:sz w:val="18"/>
                <w:szCs w:val="18"/>
              </w:rPr>
            </w:pPr>
            <w:r>
              <w:rPr>
                <w:rFonts w:ascii="宋体" w:hAnsi="宋体" w:eastAsia="宋体" w:cs="宋体"/>
                <w:sz w:val="18"/>
                <w:szCs w:val="18"/>
              </w:rPr>
              <w:t>-2,806,963.72</w:t>
            </w:r>
          </w:p>
        </w:tc>
        <w:tc>
          <w:tcPr>
            <w:tcW w:w="1206" w:type="dxa"/>
            <w:tcBorders>
              <w:top w:val="single" w:color="auto" w:sz="2" w:space="0"/>
              <w:left w:val="single" w:color="auto" w:sz="2" w:space="0"/>
              <w:bottom w:val="single" w:color="auto" w:sz="2" w:space="0"/>
              <w:right w:val="single" w:color="auto" w:sz="2" w:space="0"/>
            </w:tcBorders>
            <w:vAlign w:val="center"/>
          </w:tcPr>
          <w:p w14:paraId="28A88844">
            <w:pPr>
              <w:spacing w:before="0" w:after="0" w:line="240" w:lineRule="exact"/>
              <w:jc w:val="left"/>
              <w:rPr>
                <w:rFonts w:ascii="宋体" w:hAnsi="宋体" w:eastAsia="宋体" w:cs="宋体"/>
                <w:sz w:val="18"/>
                <w:szCs w:val="18"/>
              </w:rPr>
            </w:pPr>
          </w:p>
        </w:tc>
      </w:tr>
      <w:tr w14:paraId="24929E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874" w:type="dxa"/>
            <w:tcBorders>
              <w:top w:val="single" w:color="auto" w:sz="2" w:space="0"/>
              <w:left w:val="single" w:color="auto" w:sz="2" w:space="0"/>
              <w:bottom w:val="single" w:color="auto" w:sz="2" w:space="0"/>
              <w:right w:val="single" w:color="auto" w:sz="2" w:space="0"/>
            </w:tcBorders>
            <w:shd w:val="clear" w:color="auto" w:fill="D3D3D3"/>
            <w:vAlign w:val="center"/>
          </w:tcPr>
          <w:p w14:paraId="60B80ABB">
            <w:pPr>
              <w:spacing w:before="40" w:after="40" w:line="240" w:lineRule="exact"/>
              <w:jc w:val="left"/>
              <w:rPr>
                <w:rFonts w:ascii="宋体" w:hAnsi="宋体" w:eastAsia="宋体" w:cs="宋体"/>
                <w:sz w:val="18"/>
                <w:szCs w:val="18"/>
              </w:rPr>
            </w:pPr>
            <w:r>
              <w:rPr>
                <w:rFonts w:ascii="宋体" w:hAnsi="宋体" w:eastAsia="宋体" w:cs="宋体"/>
                <w:sz w:val="18"/>
                <w:szCs w:val="18"/>
              </w:rPr>
              <w:t>其他符合非经常性损益定义的损益项目</w:t>
            </w:r>
          </w:p>
        </w:tc>
        <w:tc>
          <w:tcPr>
            <w:tcW w:w="1610" w:type="dxa"/>
            <w:tcBorders>
              <w:top w:val="single" w:color="auto" w:sz="2" w:space="0"/>
              <w:left w:val="single" w:color="auto" w:sz="2" w:space="0"/>
              <w:bottom w:val="single" w:color="auto" w:sz="2" w:space="0"/>
              <w:right w:val="single" w:color="auto" w:sz="2" w:space="0"/>
            </w:tcBorders>
            <w:vAlign w:val="center"/>
          </w:tcPr>
          <w:p w14:paraId="2AE3FE60">
            <w:pPr>
              <w:spacing w:before="0" w:after="0" w:line="240" w:lineRule="exact"/>
              <w:jc w:val="right"/>
              <w:rPr>
                <w:rFonts w:ascii="宋体" w:hAnsi="宋体" w:eastAsia="宋体" w:cs="宋体"/>
                <w:sz w:val="18"/>
                <w:szCs w:val="18"/>
              </w:rPr>
            </w:pPr>
            <w:r>
              <w:rPr>
                <w:rFonts w:ascii="宋体" w:hAnsi="宋体" w:eastAsia="宋体" w:cs="宋体"/>
                <w:sz w:val="18"/>
                <w:szCs w:val="18"/>
              </w:rPr>
              <w:t>1,635,499.58</w:t>
            </w:r>
          </w:p>
        </w:tc>
        <w:tc>
          <w:tcPr>
            <w:tcW w:w="1490" w:type="dxa"/>
            <w:tcBorders>
              <w:top w:val="single" w:color="auto" w:sz="2" w:space="0"/>
              <w:left w:val="single" w:color="auto" w:sz="2" w:space="0"/>
              <w:bottom w:val="single" w:color="auto" w:sz="2" w:space="0"/>
              <w:right w:val="single" w:color="auto" w:sz="2" w:space="0"/>
            </w:tcBorders>
            <w:vAlign w:val="center"/>
          </w:tcPr>
          <w:p w14:paraId="67B87862">
            <w:pPr>
              <w:spacing w:before="0" w:after="0" w:line="240" w:lineRule="exact"/>
              <w:jc w:val="right"/>
              <w:rPr>
                <w:rFonts w:ascii="宋体" w:hAnsi="宋体" w:eastAsia="宋体" w:cs="宋体"/>
                <w:sz w:val="18"/>
                <w:szCs w:val="18"/>
              </w:rPr>
            </w:pPr>
          </w:p>
        </w:tc>
        <w:tc>
          <w:tcPr>
            <w:tcW w:w="1460" w:type="dxa"/>
            <w:tcBorders>
              <w:top w:val="single" w:color="auto" w:sz="2" w:space="0"/>
              <w:left w:val="single" w:color="auto" w:sz="2" w:space="0"/>
              <w:bottom w:val="single" w:color="auto" w:sz="2" w:space="0"/>
              <w:right w:val="single" w:color="auto" w:sz="2" w:space="0"/>
            </w:tcBorders>
            <w:vAlign w:val="center"/>
          </w:tcPr>
          <w:p w14:paraId="097EEC47">
            <w:pPr>
              <w:spacing w:before="0" w:after="0" w:line="240" w:lineRule="exact"/>
              <w:jc w:val="right"/>
              <w:rPr>
                <w:rFonts w:ascii="宋体" w:hAnsi="宋体" w:eastAsia="宋体" w:cs="宋体"/>
                <w:sz w:val="18"/>
                <w:szCs w:val="18"/>
              </w:rPr>
            </w:pPr>
            <w:r>
              <w:rPr>
                <w:rFonts w:ascii="宋体" w:hAnsi="宋体" w:eastAsia="宋体" w:cs="宋体"/>
                <w:sz w:val="18"/>
                <w:szCs w:val="18"/>
              </w:rPr>
              <w:t>85,653.89</w:t>
            </w:r>
          </w:p>
        </w:tc>
        <w:tc>
          <w:tcPr>
            <w:tcW w:w="1206" w:type="dxa"/>
            <w:tcBorders>
              <w:top w:val="single" w:color="auto" w:sz="2" w:space="0"/>
              <w:left w:val="single" w:color="auto" w:sz="2" w:space="0"/>
              <w:bottom w:val="single" w:color="auto" w:sz="2" w:space="0"/>
              <w:right w:val="single" w:color="auto" w:sz="2" w:space="0"/>
            </w:tcBorders>
            <w:vAlign w:val="center"/>
          </w:tcPr>
          <w:p w14:paraId="15B2329B">
            <w:pPr>
              <w:spacing w:before="0" w:after="0" w:line="240" w:lineRule="exact"/>
              <w:jc w:val="left"/>
              <w:rPr>
                <w:rFonts w:ascii="宋体" w:hAnsi="宋体" w:eastAsia="宋体" w:cs="宋体"/>
                <w:sz w:val="18"/>
                <w:szCs w:val="18"/>
              </w:rPr>
            </w:pPr>
          </w:p>
        </w:tc>
      </w:tr>
      <w:tr w14:paraId="53F409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874" w:type="dxa"/>
            <w:tcBorders>
              <w:top w:val="single" w:color="auto" w:sz="2" w:space="0"/>
              <w:left w:val="single" w:color="auto" w:sz="2" w:space="0"/>
              <w:bottom w:val="single" w:color="auto" w:sz="2" w:space="0"/>
              <w:right w:val="single" w:color="auto" w:sz="2" w:space="0"/>
            </w:tcBorders>
            <w:shd w:val="clear" w:color="auto" w:fill="D3D3D3"/>
            <w:vAlign w:val="center"/>
          </w:tcPr>
          <w:p w14:paraId="3935C654">
            <w:pPr>
              <w:spacing w:before="40" w:after="40" w:line="240" w:lineRule="exact"/>
              <w:jc w:val="left"/>
              <w:rPr>
                <w:rFonts w:ascii="宋体" w:hAnsi="宋体" w:eastAsia="宋体" w:cs="宋体"/>
                <w:sz w:val="18"/>
                <w:szCs w:val="18"/>
              </w:rPr>
            </w:pPr>
            <w:r>
              <w:rPr>
                <w:rFonts w:ascii="宋体" w:hAnsi="宋体" w:eastAsia="宋体" w:cs="宋体"/>
                <w:sz w:val="18"/>
                <w:szCs w:val="18"/>
              </w:rPr>
              <w:t>减：所得税影响额</w:t>
            </w:r>
          </w:p>
        </w:tc>
        <w:tc>
          <w:tcPr>
            <w:tcW w:w="1610" w:type="dxa"/>
            <w:tcBorders>
              <w:top w:val="single" w:color="auto" w:sz="2" w:space="0"/>
              <w:left w:val="single" w:color="auto" w:sz="2" w:space="0"/>
              <w:bottom w:val="single" w:color="auto" w:sz="2" w:space="0"/>
              <w:right w:val="single" w:color="auto" w:sz="2" w:space="0"/>
            </w:tcBorders>
            <w:vAlign w:val="center"/>
          </w:tcPr>
          <w:p w14:paraId="6B8DC020">
            <w:pPr>
              <w:spacing w:before="0" w:after="0" w:line="240" w:lineRule="exact"/>
              <w:jc w:val="right"/>
              <w:rPr>
                <w:rFonts w:ascii="宋体" w:hAnsi="宋体" w:eastAsia="宋体" w:cs="宋体"/>
                <w:sz w:val="18"/>
                <w:szCs w:val="18"/>
              </w:rPr>
            </w:pPr>
            <w:r>
              <w:rPr>
                <w:rFonts w:ascii="宋体" w:hAnsi="宋体" w:eastAsia="宋体" w:cs="宋体"/>
                <w:sz w:val="18"/>
                <w:szCs w:val="18"/>
              </w:rPr>
              <w:t>52,450.03</w:t>
            </w:r>
          </w:p>
        </w:tc>
        <w:tc>
          <w:tcPr>
            <w:tcW w:w="1490" w:type="dxa"/>
            <w:tcBorders>
              <w:top w:val="single" w:color="auto" w:sz="2" w:space="0"/>
              <w:left w:val="single" w:color="auto" w:sz="2" w:space="0"/>
              <w:bottom w:val="single" w:color="auto" w:sz="2" w:space="0"/>
              <w:right w:val="single" w:color="auto" w:sz="2" w:space="0"/>
            </w:tcBorders>
            <w:vAlign w:val="center"/>
          </w:tcPr>
          <w:p w14:paraId="235C62BE">
            <w:pPr>
              <w:spacing w:before="0" w:after="0" w:line="240" w:lineRule="exact"/>
              <w:jc w:val="right"/>
              <w:rPr>
                <w:rFonts w:ascii="宋体" w:hAnsi="宋体" w:eastAsia="宋体" w:cs="宋体"/>
                <w:sz w:val="18"/>
                <w:szCs w:val="18"/>
              </w:rPr>
            </w:pPr>
            <w:r>
              <w:rPr>
                <w:rFonts w:ascii="宋体" w:hAnsi="宋体" w:eastAsia="宋体" w:cs="宋体"/>
                <w:sz w:val="18"/>
                <w:szCs w:val="18"/>
              </w:rPr>
              <w:t>1,161,363.55</w:t>
            </w:r>
          </w:p>
        </w:tc>
        <w:tc>
          <w:tcPr>
            <w:tcW w:w="1460" w:type="dxa"/>
            <w:tcBorders>
              <w:top w:val="single" w:color="auto" w:sz="2" w:space="0"/>
              <w:left w:val="single" w:color="auto" w:sz="2" w:space="0"/>
              <w:bottom w:val="single" w:color="auto" w:sz="2" w:space="0"/>
              <w:right w:val="single" w:color="auto" w:sz="2" w:space="0"/>
            </w:tcBorders>
            <w:vAlign w:val="center"/>
          </w:tcPr>
          <w:p w14:paraId="09D153D0">
            <w:pPr>
              <w:spacing w:before="0" w:after="0" w:line="240" w:lineRule="exact"/>
              <w:jc w:val="right"/>
              <w:rPr>
                <w:rFonts w:ascii="宋体" w:hAnsi="宋体" w:eastAsia="宋体" w:cs="宋体"/>
                <w:sz w:val="18"/>
                <w:szCs w:val="18"/>
              </w:rPr>
            </w:pPr>
            <w:r>
              <w:rPr>
                <w:rFonts w:ascii="宋体" w:hAnsi="宋体" w:eastAsia="宋体" w:cs="宋体"/>
                <w:sz w:val="18"/>
                <w:szCs w:val="18"/>
              </w:rPr>
              <w:t>1,515,322.52</w:t>
            </w:r>
          </w:p>
        </w:tc>
        <w:tc>
          <w:tcPr>
            <w:tcW w:w="1206" w:type="dxa"/>
            <w:tcBorders>
              <w:top w:val="single" w:color="auto" w:sz="2" w:space="0"/>
              <w:left w:val="single" w:color="auto" w:sz="2" w:space="0"/>
              <w:bottom w:val="single" w:color="auto" w:sz="2" w:space="0"/>
              <w:right w:val="single" w:color="auto" w:sz="2" w:space="0"/>
            </w:tcBorders>
            <w:vAlign w:val="center"/>
          </w:tcPr>
          <w:p w14:paraId="401F8644">
            <w:pPr>
              <w:spacing w:before="0" w:after="0" w:line="240" w:lineRule="exact"/>
              <w:jc w:val="left"/>
              <w:rPr>
                <w:rFonts w:ascii="宋体" w:hAnsi="宋体" w:eastAsia="宋体" w:cs="宋体"/>
                <w:sz w:val="18"/>
                <w:szCs w:val="18"/>
              </w:rPr>
            </w:pPr>
          </w:p>
        </w:tc>
      </w:tr>
      <w:tr w14:paraId="6C428C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874" w:type="dxa"/>
            <w:tcBorders>
              <w:top w:val="single" w:color="auto" w:sz="2" w:space="0"/>
              <w:left w:val="single" w:color="auto" w:sz="2" w:space="0"/>
              <w:bottom w:val="single" w:color="auto" w:sz="2" w:space="0"/>
              <w:right w:val="single" w:color="auto" w:sz="2" w:space="0"/>
            </w:tcBorders>
            <w:shd w:val="clear" w:color="auto" w:fill="D3D3D3"/>
            <w:vAlign w:val="center"/>
          </w:tcPr>
          <w:p w14:paraId="3DA91870">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少数股东权益影响额（税后）</w:t>
            </w:r>
          </w:p>
        </w:tc>
        <w:tc>
          <w:tcPr>
            <w:tcW w:w="1610" w:type="dxa"/>
            <w:tcBorders>
              <w:top w:val="single" w:color="auto" w:sz="2" w:space="0"/>
              <w:left w:val="single" w:color="auto" w:sz="2" w:space="0"/>
              <w:bottom w:val="single" w:color="auto" w:sz="2" w:space="0"/>
              <w:right w:val="single" w:color="auto" w:sz="2" w:space="0"/>
            </w:tcBorders>
            <w:vAlign w:val="center"/>
          </w:tcPr>
          <w:p w14:paraId="4EC91D09">
            <w:pPr>
              <w:spacing w:before="0" w:after="0" w:line="240" w:lineRule="exact"/>
              <w:jc w:val="right"/>
              <w:rPr>
                <w:rFonts w:ascii="宋体" w:hAnsi="宋体" w:eastAsia="宋体" w:cs="宋体"/>
                <w:sz w:val="18"/>
                <w:szCs w:val="18"/>
              </w:rPr>
            </w:pPr>
            <w:r>
              <w:rPr>
                <w:rFonts w:ascii="宋体" w:hAnsi="宋体" w:eastAsia="宋体" w:cs="宋体"/>
                <w:sz w:val="18"/>
                <w:szCs w:val="18"/>
              </w:rPr>
              <w:t>3,577,690.97</w:t>
            </w:r>
          </w:p>
        </w:tc>
        <w:tc>
          <w:tcPr>
            <w:tcW w:w="1490" w:type="dxa"/>
            <w:tcBorders>
              <w:top w:val="single" w:color="auto" w:sz="2" w:space="0"/>
              <w:left w:val="single" w:color="auto" w:sz="2" w:space="0"/>
              <w:bottom w:val="single" w:color="auto" w:sz="2" w:space="0"/>
              <w:right w:val="single" w:color="auto" w:sz="2" w:space="0"/>
            </w:tcBorders>
            <w:vAlign w:val="center"/>
          </w:tcPr>
          <w:p w14:paraId="6791F7C6">
            <w:pPr>
              <w:spacing w:before="0" w:after="0" w:line="240" w:lineRule="exact"/>
              <w:jc w:val="right"/>
              <w:rPr>
                <w:rFonts w:ascii="宋体" w:hAnsi="宋体" w:eastAsia="宋体" w:cs="宋体"/>
                <w:sz w:val="18"/>
                <w:szCs w:val="18"/>
              </w:rPr>
            </w:pPr>
            <w:r>
              <w:rPr>
                <w:rFonts w:ascii="宋体" w:hAnsi="宋体" w:eastAsia="宋体" w:cs="宋体"/>
                <w:sz w:val="18"/>
                <w:szCs w:val="18"/>
              </w:rPr>
              <w:t>-12,205.69</w:t>
            </w:r>
          </w:p>
        </w:tc>
        <w:tc>
          <w:tcPr>
            <w:tcW w:w="1460" w:type="dxa"/>
            <w:tcBorders>
              <w:top w:val="single" w:color="auto" w:sz="2" w:space="0"/>
              <w:left w:val="single" w:color="auto" w:sz="2" w:space="0"/>
              <w:bottom w:val="single" w:color="auto" w:sz="2" w:space="0"/>
              <w:right w:val="single" w:color="auto" w:sz="2" w:space="0"/>
            </w:tcBorders>
            <w:vAlign w:val="center"/>
          </w:tcPr>
          <w:p w14:paraId="278666F5">
            <w:pPr>
              <w:spacing w:before="0" w:after="0" w:line="240" w:lineRule="exact"/>
              <w:jc w:val="right"/>
              <w:rPr>
                <w:rFonts w:ascii="宋体" w:hAnsi="宋体" w:eastAsia="宋体" w:cs="宋体"/>
                <w:sz w:val="18"/>
                <w:szCs w:val="18"/>
              </w:rPr>
            </w:pPr>
            <w:r>
              <w:rPr>
                <w:rFonts w:ascii="宋体" w:hAnsi="宋体" w:eastAsia="宋体" w:cs="宋体"/>
                <w:sz w:val="18"/>
                <w:szCs w:val="18"/>
              </w:rPr>
              <w:t>274,090.68</w:t>
            </w:r>
          </w:p>
        </w:tc>
        <w:tc>
          <w:tcPr>
            <w:tcW w:w="1206" w:type="dxa"/>
            <w:tcBorders>
              <w:top w:val="single" w:color="auto" w:sz="2" w:space="0"/>
              <w:left w:val="single" w:color="auto" w:sz="2" w:space="0"/>
              <w:bottom w:val="single" w:color="auto" w:sz="2" w:space="0"/>
              <w:right w:val="single" w:color="auto" w:sz="2" w:space="0"/>
            </w:tcBorders>
            <w:vAlign w:val="center"/>
          </w:tcPr>
          <w:p w14:paraId="549FB0AA">
            <w:pPr>
              <w:spacing w:before="0" w:after="0" w:line="240" w:lineRule="exact"/>
              <w:jc w:val="left"/>
              <w:rPr>
                <w:rFonts w:ascii="宋体" w:hAnsi="宋体" w:eastAsia="宋体" w:cs="宋体"/>
                <w:sz w:val="18"/>
                <w:szCs w:val="18"/>
              </w:rPr>
            </w:pPr>
          </w:p>
        </w:tc>
      </w:tr>
      <w:tr w14:paraId="33EC20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874" w:type="dxa"/>
            <w:tcBorders>
              <w:top w:val="single" w:color="auto" w:sz="2" w:space="0"/>
              <w:left w:val="single" w:color="auto" w:sz="2" w:space="0"/>
              <w:bottom w:val="single" w:color="auto" w:sz="2" w:space="0"/>
              <w:right w:val="single" w:color="auto" w:sz="2" w:space="0"/>
            </w:tcBorders>
            <w:shd w:val="clear" w:color="auto" w:fill="D3D3D3"/>
            <w:vAlign w:val="center"/>
          </w:tcPr>
          <w:p w14:paraId="063B8539">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610" w:type="dxa"/>
            <w:tcBorders>
              <w:top w:val="single" w:color="auto" w:sz="2" w:space="0"/>
              <w:left w:val="single" w:color="auto" w:sz="2" w:space="0"/>
              <w:bottom w:val="single" w:color="auto" w:sz="2" w:space="0"/>
              <w:right w:val="single" w:color="auto" w:sz="2" w:space="0"/>
            </w:tcBorders>
            <w:vAlign w:val="center"/>
          </w:tcPr>
          <w:p w14:paraId="0590D731">
            <w:pPr>
              <w:spacing w:before="0" w:after="0" w:line="240" w:lineRule="exact"/>
              <w:jc w:val="right"/>
              <w:rPr>
                <w:rFonts w:ascii="宋体" w:hAnsi="宋体" w:eastAsia="宋体" w:cs="宋体"/>
                <w:sz w:val="18"/>
                <w:szCs w:val="18"/>
              </w:rPr>
            </w:pPr>
            <w:r>
              <w:rPr>
                <w:rFonts w:ascii="宋体" w:hAnsi="宋体" w:eastAsia="宋体" w:cs="宋体"/>
                <w:sz w:val="18"/>
                <w:szCs w:val="18"/>
              </w:rPr>
              <w:t>43,234,539.73</w:t>
            </w:r>
          </w:p>
        </w:tc>
        <w:tc>
          <w:tcPr>
            <w:tcW w:w="1490" w:type="dxa"/>
            <w:tcBorders>
              <w:top w:val="single" w:color="auto" w:sz="2" w:space="0"/>
              <w:left w:val="single" w:color="auto" w:sz="2" w:space="0"/>
              <w:bottom w:val="single" w:color="auto" w:sz="2" w:space="0"/>
              <w:right w:val="single" w:color="auto" w:sz="2" w:space="0"/>
            </w:tcBorders>
            <w:vAlign w:val="center"/>
          </w:tcPr>
          <w:p w14:paraId="25D572AB">
            <w:pPr>
              <w:spacing w:before="0" w:after="0" w:line="240" w:lineRule="exact"/>
              <w:jc w:val="right"/>
              <w:rPr>
                <w:rFonts w:ascii="宋体" w:hAnsi="宋体" w:eastAsia="宋体" w:cs="宋体"/>
                <w:sz w:val="18"/>
                <w:szCs w:val="18"/>
              </w:rPr>
            </w:pPr>
            <w:r>
              <w:rPr>
                <w:rFonts w:ascii="宋体" w:hAnsi="宋体" w:eastAsia="宋体" w:cs="宋体"/>
                <w:sz w:val="18"/>
                <w:szCs w:val="18"/>
              </w:rPr>
              <w:t>5,642,984.92</w:t>
            </w:r>
          </w:p>
        </w:tc>
        <w:tc>
          <w:tcPr>
            <w:tcW w:w="1460" w:type="dxa"/>
            <w:tcBorders>
              <w:top w:val="single" w:color="auto" w:sz="2" w:space="0"/>
              <w:left w:val="single" w:color="auto" w:sz="2" w:space="0"/>
              <w:bottom w:val="single" w:color="auto" w:sz="2" w:space="0"/>
              <w:right w:val="single" w:color="auto" w:sz="2" w:space="0"/>
            </w:tcBorders>
            <w:vAlign w:val="center"/>
          </w:tcPr>
          <w:p w14:paraId="7155AD6E">
            <w:pPr>
              <w:spacing w:before="0" w:after="0" w:line="240" w:lineRule="exact"/>
              <w:jc w:val="right"/>
              <w:rPr>
                <w:rFonts w:ascii="宋体" w:hAnsi="宋体" w:eastAsia="宋体" w:cs="宋体"/>
                <w:sz w:val="18"/>
                <w:szCs w:val="18"/>
              </w:rPr>
            </w:pPr>
            <w:r>
              <w:rPr>
                <w:rFonts w:ascii="宋体" w:hAnsi="宋体" w:eastAsia="宋体" w:cs="宋体"/>
                <w:sz w:val="18"/>
                <w:szCs w:val="18"/>
              </w:rPr>
              <w:t>4,776,863.88</w:t>
            </w:r>
          </w:p>
        </w:tc>
        <w:tc>
          <w:tcPr>
            <w:tcW w:w="1206" w:type="dxa"/>
            <w:tcBorders>
              <w:top w:val="single" w:color="auto" w:sz="2" w:space="0"/>
              <w:left w:val="single" w:color="auto" w:sz="2" w:space="0"/>
              <w:bottom w:val="single" w:color="auto" w:sz="2" w:space="0"/>
              <w:right w:val="single" w:color="auto" w:sz="2" w:space="0"/>
            </w:tcBorders>
            <w:shd w:val="clear" w:color="auto" w:fill="D3D3D3"/>
            <w:vAlign w:val="center"/>
          </w:tcPr>
          <w:p w14:paraId="0B78E81E">
            <w:pPr>
              <w:spacing w:before="40" w:after="40" w:line="240" w:lineRule="exact"/>
              <w:jc w:val="center"/>
              <w:rPr>
                <w:rFonts w:ascii="宋体" w:hAnsi="宋体" w:eastAsia="宋体" w:cs="宋体"/>
                <w:sz w:val="18"/>
                <w:szCs w:val="18"/>
                <w:shd w:val="clear" w:color="auto" w:fill="D3D3D3"/>
              </w:rPr>
            </w:pPr>
            <w:r>
              <w:rPr>
                <w:rFonts w:ascii="宋体" w:hAnsi="宋体" w:eastAsia="宋体" w:cs="宋体"/>
                <w:sz w:val="18"/>
                <w:szCs w:val="18"/>
                <w:shd w:val="clear" w:color="auto" w:fill="D3D3D3"/>
              </w:rPr>
              <w:t>--</w:t>
            </w:r>
          </w:p>
        </w:tc>
      </w:tr>
    </w:tbl>
    <w:p w14:paraId="5AC42EE1">
      <w:pPr>
        <w:spacing w:before="100" w:after="100" w:line="240" w:lineRule="exact"/>
        <w:jc w:val="left"/>
        <w:rPr>
          <w:rFonts w:ascii="宋体" w:hAnsi="宋体" w:eastAsia="宋体" w:cs="宋体"/>
          <w:sz w:val="18"/>
          <w:szCs w:val="18"/>
        </w:rPr>
      </w:pPr>
      <w:r>
        <w:rPr>
          <w:rFonts w:ascii="宋体" w:hAnsi="宋体" w:eastAsia="宋体" w:cs="宋体"/>
          <w:sz w:val="18"/>
          <w:szCs w:val="18"/>
        </w:rPr>
        <w:t>其他符合非经常性损益定义的损益项目的具体情况：</w:t>
      </w:r>
    </w:p>
    <w:p w14:paraId="4A95049B">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2412021">
      <w:pPr>
        <w:spacing w:before="100" w:after="100" w:line="240" w:lineRule="exact"/>
        <w:jc w:val="left"/>
        <w:rPr>
          <w:rFonts w:ascii="宋体" w:hAnsi="宋体" w:eastAsia="宋体" w:cs="宋体"/>
          <w:sz w:val="18"/>
          <w:szCs w:val="18"/>
        </w:rPr>
      </w:pPr>
      <w:r>
        <w:rPr>
          <w:rFonts w:ascii="宋体" w:hAnsi="宋体" w:eastAsia="宋体" w:cs="宋体"/>
          <w:sz w:val="18"/>
          <w:szCs w:val="18"/>
        </w:rPr>
        <w:t>公司不存在其他符合非经常性损益定义的损益项目的具体情况。</w:t>
      </w:r>
    </w:p>
    <w:p w14:paraId="7BD4B3F9">
      <w:pPr>
        <w:spacing w:before="100" w:after="100" w:line="240" w:lineRule="exact"/>
        <w:jc w:val="left"/>
        <w:rPr>
          <w:rFonts w:ascii="宋体" w:hAnsi="宋体" w:eastAsia="宋体" w:cs="宋体"/>
          <w:sz w:val="18"/>
          <w:szCs w:val="18"/>
        </w:rPr>
      </w:pPr>
      <w:r>
        <w:rPr>
          <w:rFonts w:ascii="宋体" w:hAnsi="宋体" w:eastAsia="宋体" w:cs="宋体"/>
          <w:sz w:val="18"/>
          <w:szCs w:val="18"/>
        </w:rPr>
        <w:t>将《公开发行证券的公司信息披露解释性公告第1号——非经常性损益》中列举的非经常性损益项目界定为经常性损益项目的情况说明</w:t>
      </w:r>
    </w:p>
    <w:p w14:paraId="3EE3FEE9">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02E20D7">
      <w:pPr>
        <w:spacing w:before="100" w:after="100" w:line="240" w:lineRule="exact"/>
        <w:jc w:val="left"/>
        <w:rPr>
          <w:rFonts w:ascii="宋体" w:hAnsi="宋体" w:eastAsia="宋体" w:cs="宋体"/>
          <w:sz w:val="18"/>
          <w:szCs w:val="18"/>
        </w:rPr>
      </w:pPr>
      <w:r>
        <w:rPr>
          <w:rFonts w:ascii="宋体" w:hAnsi="宋体" w:eastAsia="宋体" w:cs="宋体"/>
          <w:sz w:val="18"/>
          <w:szCs w:val="18"/>
        </w:rPr>
        <w:t>公司不存在将《公开发行证券的公司信息披露解释性公告第1号——非经常性损益》中列举的非经常性损益项目界定为经常性损益的项目的情形。</w:t>
      </w:r>
    </w:p>
    <w:p w14:paraId="34DFA6D9">
      <w:r>
        <w:br w:type="page"/>
      </w:r>
    </w:p>
    <w:p w14:paraId="0B8671BE">
      <w:pPr>
        <w:keepNext/>
        <w:keepLines/>
        <w:spacing w:before="340" w:after="330" w:line="773" w:lineRule="exact"/>
        <w:jc w:val="center"/>
        <w:outlineLvl w:val="0"/>
        <w:rPr>
          <w:rFonts w:ascii="宋体" w:hAnsi="宋体" w:eastAsia="宋体" w:cs="宋体"/>
          <w:b/>
          <w:bCs/>
          <w:sz w:val="32"/>
          <w:szCs w:val="32"/>
        </w:rPr>
      </w:pPr>
      <w:bookmarkStart w:id="12" w:name="_Toc988901"/>
      <w:r>
        <w:rPr>
          <w:rFonts w:ascii="宋体" w:hAnsi="宋体" w:eastAsia="宋体" w:cs="宋体"/>
          <w:b/>
          <w:bCs/>
          <w:sz w:val="32"/>
          <w:szCs w:val="32"/>
        </w:rPr>
        <w:t>第三节 管理层讨论与分析</w:t>
      </w:r>
      <w:bookmarkEnd w:id="12"/>
    </w:p>
    <w:p w14:paraId="6BDF0A1C">
      <w:pPr>
        <w:keepNext/>
        <w:keepLines/>
        <w:spacing w:before="300" w:after="300" w:line="320" w:lineRule="exact"/>
        <w:jc w:val="left"/>
        <w:outlineLvl w:val="1"/>
        <w:rPr>
          <w:rFonts w:ascii="宋体" w:hAnsi="宋体" w:eastAsia="宋体" w:cs="宋体"/>
          <w:b/>
          <w:bCs/>
          <w:sz w:val="24"/>
          <w:szCs w:val="24"/>
        </w:rPr>
      </w:pPr>
      <w:bookmarkStart w:id="13" w:name="_Toc988902"/>
      <w:r>
        <w:rPr>
          <w:rFonts w:ascii="宋体" w:hAnsi="宋体" w:eastAsia="宋体" w:cs="宋体"/>
          <w:b/>
          <w:bCs/>
          <w:sz w:val="24"/>
          <w:szCs w:val="24"/>
        </w:rPr>
        <w:t>一、报告期内公司所处行业情况</w:t>
      </w:r>
      <w:bookmarkEnd w:id="13"/>
    </w:p>
    <w:p w14:paraId="0846CA6F">
      <w:pPr>
        <w:pStyle w:val="2"/>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ind w:left="0" w:firstLine="363"/>
        <w:jc w:val="both"/>
        <w:textAlignment w:val="auto"/>
        <w:rPr>
          <w:rFonts w:hint="default" w:ascii="Times New Roman" w:hAnsi="Times New Roman" w:cs="Times New Roman"/>
          <w:b/>
          <w:bCs/>
          <w:sz w:val="24"/>
          <w:szCs w:val="24"/>
        </w:rPr>
      </w:pPr>
      <w:r>
        <w:rPr>
          <w:rFonts w:hint="eastAsia" w:ascii="宋体" w:hAnsi="宋体" w:eastAsia="宋体" w:cs="宋体"/>
          <w:b/>
          <w:bCs/>
          <w:color w:val="000000"/>
          <w:sz w:val="18"/>
          <w:szCs w:val="18"/>
        </w:rPr>
        <w:t>（一）医药行业发展情况</w:t>
      </w:r>
    </w:p>
    <w:p w14:paraId="08491911">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363"/>
        <w:jc w:val="both"/>
        <w:textAlignment w:val="auto"/>
        <w:rPr>
          <w:rFonts w:hint="default" w:ascii="Times New Roman" w:hAnsi="Times New Roman" w:cs="Times New Roman"/>
          <w:sz w:val="24"/>
          <w:szCs w:val="24"/>
        </w:rPr>
      </w:pPr>
      <w:r>
        <w:rPr>
          <w:rFonts w:hint="eastAsia" w:ascii="宋体" w:hAnsi="宋体" w:eastAsia="宋体" w:cs="宋体"/>
          <w:color w:val="000000"/>
          <w:sz w:val="18"/>
          <w:szCs w:val="18"/>
        </w:rPr>
        <w:t>根据中国证券监督管理委员会的上市公司行业分类标准，公司所处的行业为医药制造业（C27）。</w:t>
      </w:r>
    </w:p>
    <w:p w14:paraId="383ADE7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363"/>
        <w:jc w:val="both"/>
        <w:textAlignment w:val="auto"/>
        <w:rPr>
          <w:rFonts w:hint="default" w:ascii="Times New Roman" w:hAnsi="Times New Roman" w:cs="Times New Roman"/>
          <w:sz w:val="24"/>
          <w:szCs w:val="24"/>
        </w:rPr>
      </w:pPr>
      <w:r>
        <w:rPr>
          <w:rFonts w:hint="eastAsia" w:ascii="宋体" w:hAnsi="宋体" w:eastAsia="宋体" w:cs="宋体"/>
          <w:color w:val="000000"/>
          <w:sz w:val="18"/>
          <w:szCs w:val="18"/>
        </w:rPr>
        <w:t>医药产业是支撑发展医疗卫生事业和健康服务业的重要基础，是具有较强成长性、关联性和带动性的朝阳产业，在惠民生、稳增长方面发挥了积极作用。</w:t>
      </w:r>
    </w:p>
    <w:p w14:paraId="4C7D1EF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363"/>
        <w:jc w:val="both"/>
        <w:textAlignment w:val="auto"/>
        <w:rPr>
          <w:rFonts w:hint="default" w:ascii="Times New Roman" w:hAnsi="Times New Roman" w:cs="Times New Roman"/>
          <w:sz w:val="24"/>
          <w:szCs w:val="24"/>
        </w:rPr>
      </w:pPr>
      <w:r>
        <w:rPr>
          <w:rFonts w:hint="eastAsia" w:ascii="宋体" w:hAnsi="宋体" w:eastAsia="宋体" w:cs="宋体"/>
          <w:color w:val="000000"/>
          <w:sz w:val="18"/>
          <w:szCs w:val="18"/>
        </w:rPr>
        <w:t>随着世界经济发展、人口总量增长、人口老龄化程度提高以及人们保健意识增强，新型国家城市化建设的推进和各国医疗保障体制的不断完善，全球医药市场呈持续增长趋势。根据IQVIA 2024年1月发布的《Global Use of Medicines 2024_ Outlook to 2028》显示，2023年全球药品支出约1.6万亿美元，2019-2023年复合增速为6.0%。2024-2028年预计将以6.6%的增长率增长，预计到2028年全球药品支出将达到约2.2万亿美元。</w:t>
      </w:r>
    </w:p>
    <w:p w14:paraId="1FBA6DA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363"/>
        <w:jc w:val="both"/>
        <w:textAlignment w:val="auto"/>
        <w:rPr>
          <w:rFonts w:hint="default" w:ascii="Times New Roman" w:hAnsi="Times New Roman" w:cs="Times New Roman"/>
          <w:sz w:val="24"/>
          <w:szCs w:val="24"/>
        </w:rPr>
      </w:pPr>
      <w:r>
        <w:rPr>
          <w:rFonts w:hint="eastAsia" w:ascii="宋体" w:hAnsi="宋体" w:eastAsia="宋体" w:cs="宋体"/>
          <w:color w:val="000000"/>
          <w:sz w:val="18"/>
          <w:szCs w:val="18"/>
        </w:rPr>
        <w:t>医药行业是我国国民经济的重要组成部分，其发展进步与国民生活质量提高息息相关，重大公共卫生事件的发生更加凸显了医药行业在国民健康和公共卫生方面的守门人角色。医药行业对于保护和增进人民健康、提高生活质量，为军需战备以及促进经济发展和社会进步均具有十分重要的作用。近年来，随着我国经济持续增长，人民生活水平不断提高，医疗保障制度逐渐完善，医药行业利好措施的推进，以及老龄化进程加快、大健康产业推动医药消费升级等多重因素影响下，我国医药行业越来越受到公众及政府的关注，在国民经济中占据着越来越重要的位置，医药产品需求市场不断增长，呈现出持续良好的发展趋势，发展空间巨大。根据IQVIA《2023年中国医药市场全景解读》数据显示，2023年中国整体药品市场销售规模达16,333亿元人民币（按终端零售价计算），同比增长4.3%。处方药和非处方药增速均较快，其中处方药市场占据83.1%的份额，增速为4.3%。按细分渠道贡献分布看，医院依然为主流端，贡献了超六成的市场份额。就处方药市场而言，医院渠道贡献了超七成的份额。而非处方药市场中，线下零售药店占比最大，规模占比超五成。 据Frost ＆ Sullivan统计，中国医药市场规模预计2025年及2030年将分别达到22,873亿元及29,911亿元，2023-2025 年行业整体增速将恢复至7-9%，此后五年内维持在5%以上。从细分药物市场来看，中国化学药物市场规模预计到2030年的市场规模将达到11,438亿元，增长空间十分广阔。</w:t>
      </w:r>
    </w:p>
    <w:p w14:paraId="0029A121">
      <w:pPr>
        <w:pStyle w:val="2"/>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ind w:left="0" w:firstLine="363"/>
        <w:jc w:val="both"/>
        <w:textAlignment w:val="auto"/>
        <w:rPr>
          <w:rFonts w:hint="default" w:ascii="宋体" w:hAnsi="宋体" w:eastAsia="宋体" w:cs="宋体"/>
          <w:b/>
          <w:bCs/>
          <w:color w:val="000000"/>
          <w:sz w:val="18"/>
          <w:szCs w:val="18"/>
        </w:rPr>
      </w:pPr>
      <w:r>
        <w:rPr>
          <w:rFonts w:hint="eastAsia" w:ascii="宋体" w:hAnsi="宋体" w:eastAsia="宋体" w:cs="宋体"/>
          <w:b/>
          <w:bCs/>
          <w:color w:val="000000"/>
          <w:sz w:val="18"/>
          <w:szCs w:val="18"/>
        </w:rPr>
        <w:t>（二）行业政策</w:t>
      </w:r>
    </w:p>
    <w:p w14:paraId="2473EAA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363"/>
        <w:jc w:val="both"/>
        <w:textAlignment w:val="auto"/>
        <w:rPr>
          <w:rFonts w:hint="default" w:ascii="Times New Roman" w:hAnsi="Times New Roman" w:cs="Times New Roman"/>
          <w:sz w:val="24"/>
          <w:szCs w:val="24"/>
        </w:rPr>
      </w:pPr>
      <w:r>
        <w:rPr>
          <w:rFonts w:hint="eastAsia" w:ascii="宋体" w:hAnsi="宋体" w:eastAsia="宋体" w:cs="宋体"/>
          <w:color w:val="000000"/>
          <w:sz w:val="18"/>
          <w:szCs w:val="18"/>
        </w:rPr>
        <w:t>2024年度是我国生物医药产业迈向高质量发展的关键一年，政策层面以前所未有的力度支持创新药研发，为行业注入强劲动能。在"十四五"规划中，提出了医药工业行业全行业研发投入年均增长10%以上的目标，这进一步促进了医药工业的技术创新和发展。2024年3月政府工作报告提出，加快创新药等产业发展，积极打造生物制造等新增长引擎，“创新药”一词首次进入政府工作报告。2024年6月，《深化医药卫生体制改革2024年重点工作任务》提出，研究对创新药和先进医疗技术应用给予在DRG/DIP付费中除外支付等政策倾斜，推动商业健康保险产品扩大创新药支付范围，加大创新药临床综合评价力度，促进新药加快合理应用，同时制定关于全链条支持创新药发展的指导性文件，加快创新药、罕见病治疗药品、临床急需药品等以及创新医疗器械、疫情防控药械审评审批。2024年7月5日，国务院批准《全链条支持创新药发展实施方案》，旨在通过全面政策支持，加强价格管理、医保支付、商业保险、药品配置和使用以及投融资等环节的协调，同时改进审评审批流程和医疗机构考核机制，以促进创新药的快速发展，加强新药研发的基础研究，为我国创新药产业打下坚实基础。7月31日，国家药监局进一步发布了《优化创新药临床试验审评审批试点工作方案》，以提高创新药临床试验的审评审批效率。我国对创新药的支持政策和行业发展呈现出持续的积极态势。</w:t>
      </w:r>
    </w:p>
    <w:p w14:paraId="6FEB61B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363"/>
        <w:jc w:val="both"/>
        <w:textAlignment w:val="auto"/>
        <w:rPr>
          <w:rFonts w:hint="default" w:ascii="Times New Roman" w:hAnsi="Times New Roman" w:cs="Times New Roman"/>
          <w:sz w:val="24"/>
          <w:szCs w:val="24"/>
        </w:rPr>
      </w:pPr>
      <w:r>
        <w:rPr>
          <w:rFonts w:hint="eastAsia" w:ascii="宋体" w:hAnsi="宋体" w:eastAsia="宋体" w:cs="宋体"/>
          <w:color w:val="000000"/>
          <w:sz w:val="18"/>
          <w:szCs w:val="18"/>
        </w:rPr>
        <w:t>2024年，药品审评审批流程继续得到明显优化和加速。数据显示，2024年药品审评中心采取多种措施提高审评效率，加快药品审评速度，全年批准上市1类创新药48个品种，罕见病用药55个品种，儿童用药产品106个品种，境外已上市、境内未上市的原研药品89个品种。此外，2024年度共纳入优先审评审批注册申请124 件（88个品种），继续同比增加14.81%。政策环境的优化、审批流程的加速等积极变化，将共同推动了我国创新药行业的快速发展。</w:t>
      </w:r>
    </w:p>
    <w:p w14:paraId="0336DD45">
      <w:pPr>
        <w:pStyle w:val="2"/>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ind w:left="0" w:firstLine="363"/>
        <w:jc w:val="both"/>
        <w:textAlignment w:val="auto"/>
        <w:rPr>
          <w:rFonts w:hint="default" w:ascii="宋体" w:hAnsi="宋体" w:eastAsia="宋体" w:cs="宋体"/>
          <w:b/>
          <w:bCs/>
          <w:color w:val="000000"/>
          <w:sz w:val="18"/>
          <w:szCs w:val="18"/>
        </w:rPr>
      </w:pPr>
      <w:r>
        <w:rPr>
          <w:rFonts w:hint="eastAsia" w:ascii="宋体" w:hAnsi="宋体" w:eastAsia="宋体" w:cs="宋体"/>
          <w:b/>
          <w:bCs/>
          <w:color w:val="000000"/>
          <w:sz w:val="18"/>
          <w:szCs w:val="18"/>
        </w:rPr>
        <w:t>（三）公司所处行业地位</w:t>
      </w:r>
    </w:p>
    <w:p w14:paraId="04D1C24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361"/>
        <w:jc w:val="both"/>
        <w:textAlignment w:val="auto"/>
        <w:rPr>
          <w:rFonts w:hint="default" w:ascii="Times New Roman" w:hAnsi="Times New Roman" w:cs="Times New Roman"/>
          <w:sz w:val="24"/>
          <w:szCs w:val="24"/>
        </w:rPr>
      </w:pPr>
      <w:r>
        <w:rPr>
          <w:rFonts w:hint="eastAsia" w:ascii="宋体" w:hAnsi="宋体" w:eastAsia="宋体" w:cs="宋体"/>
          <w:color w:val="000000"/>
          <w:sz w:val="18"/>
          <w:szCs w:val="18"/>
        </w:rPr>
        <w:t>广生堂成立发展至今已二十余年，目前已发展成为国内知名的抗病毒和肝脏健康领域的高新技术企业，也是国内同时拥有阿德福韦酯、拉米夫定、恩替卡韦、替诺福韦、丙酚替诺福韦等五大抗乙肝病毒药物的医药企业。广生堂不忘初心，砥砺前行，致力于为人类的肝脏健康提供科学解决方案，积极实施创新发展战略，合作研发多个全球一类创新药，涉及抗病毒、乙肝临床治愈、抗肝癌、抗肝纤维化等创新药，旨在成就抗病毒和肝脏健康药物领域领先的创新药企业。</w:t>
      </w:r>
    </w:p>
    <w:p w14:paraId="64105C3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360"/>
        <w:jc w:val="both"/>
        <w:textAlignment w:val="auto"/>
        <w:rPr>
          <w:rFonts w:hint="default" w:ascii="Times New Roman" w:hAnsi="Times New Roman" w:cs="Times New Roman"/>
          <w:sz w:val="24"/>
          <w:szCs w:val="24"/>
        </w:rPr>
      </w:pPr>
      <w:r>
        <w:rPr>
          <w:rFonts w:hint="eastAsia" w:ascii="宋体" w:hAnsi="宋体" w:eastAsia="宋体" w:cs="宋体"/>
          <w:color w:val="000000"/>
          <w:sz w:val="18"/>
          <w:szCs w:val="18"/>
        </w:rPr>
        <w:t>2022年公司“泰甘定——富马酸丙酚替诺福韦片”作为福建省高科技领域优势特色产业的创新成果，凭借技术含量高，产业带动作用强，经济社会效益好等特点，荣获第二十三届中国国际高新技术成果交易会“优秀产品奖”；公司凭借在慢性乙肝一线抗病毒药物（恩替卡韦与替诺福韦）等方面的学术、临床转化以及产业化贡献，获得中华医学会颁发的中华科技奖证书；公司“富马酸替诺福韦二吡呋酯原料药及胶囊剂的研究开发项目”，荣获2021年福建省科学技术进步奖三等奖。公司的富马酸替诺福韦二吡呋酯胶囊为全国首家上市的替诺福韦乙肝适应症品种，并被列入2018年度国家十三五“重大新药创制”科技重大专项。公司产品及品牌，被各界认可，在市场上有良好信誉和品牌效应及价值。</w:t>
      </w:r>
    </w:p>
    <w:p w14:paraId="4BE7699B">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361"/>
        <w:jc w:val="both"/>
        <w:textAlignment w:val="auto"/>
        <w:rPr>
          <w:rFonts w:hint="default" w:ascii="Times New Roman" w:hAnsi="Times New Roman" w:cs="Times New Roman"/>
          <w:sz w:val="24"/>
          <w:szCs w:val="24"/>
        </w:rPr>
      </w:pPr>
      <w:r>
        <w:rPr>
          <w:rFonts w:hint="eastAsia" w:ascii="宋体" w:hAnsi="宋体" w:eastAsia="宋体" w:cs="宋体"/>
          <w:color w:val="000000"/>
          <w:sz w:val="18"/>
          <w:szCs w:val="18"/>
        </w:rPr>
        <w:t>2023年，抗新冠创新药泰中定获批上市，成为公司实施创新发展战略以来首款获批的创新药产品，标志着公司团队具备创新药开发全周期的研发管理能力，对公司未来创新发展具有重大意义。2024年，公司乙肝治疗药物GST-HG141完成临床II期并</w:t>
      </w:r>
      <w:r>
        <w:rPr>
          <w:rFonts w:hint="eastAsia" w:ascii="宋体" w:hAnsi="宋体" w:cs="宋体"/>
          <w:color w:val="000000"/>
          <w:sz w:val="18"/>
          <w:szCs w:val="18"/>
          <w:lang w:val="en-US" w:eastAsia="zh-CN"/>
        </w:rPr>
        <w:t>被</w:t>
      </w:r>
      <w:r>
        <w:rPr>
          <w:rFonts w:hint="eastAsia" w:ascii="宋体" w:hAnsi="宋体" w:eastAsia="宋体" w:cs="宋体"/>
          <w:color w:val="000000"/>
          <w:sz w:val="18"/>
          <w:szCs w:val="18"/>
        </w:rPr>
        <w:t>纳入国家突破性治疗品种，其后GST-HG131联合GST-HG141治疗乙肝入选优化创新药临床试验审评审批试点项目，体现了公司在乙肝创新药研发领域的技术积累和先进性。</w:t>
      </w:r>
    </w:p>
    <w:p w14:paraId="3D0317E4">
      <w:pPr>
        <w:pStyle w:val="2"/>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ind w:left="0" w:firstLine="363"/>
        <w:jc w:val="both"/>
        <w:textAlignment w:val="auto"/>
        <w:rPr>
          <w:rFonts w:hint="default" w:ascii="宋体" w:hAnsi="宋体" w:eastAsia="宋体" w:cs="宋体"/>
          <w:b/>
          <w:bCs/>
          <w:color w:val="000000"/>
          <w:sz w:val="18"/>
          <w:szCs w:val="18"/>
        </w:rPr>
      </w:pPr>
      <w:r>
        <w:rPr>
          <w:rFonts w:hint="eastAsia" w:ascii="宋体" w:hAnsi="宋体" w:eastAsia="宋体" w:cs="宋体"/>
          <w:b/>
          <w:bCs/>
          <w:color w:val="000000"/>
          <w:sz w:val="18"/>
          <w:szCs w:val="18"/>
        </w:rPr>
        <w:t>（四）行业周期性特点</w:t>
      </w:r>
    </w:p>
    <w:p w14:paraId="192AFBD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361"/>
        <w:jc w:val="both"/>
        <w:textAlignment w:val="auto"/>
        <w:rPr>
          <w:rFonts w:hint="default" w:ascii="宋体" w:hAnsi="宋体" w:eastAsia="宋体" w:cs="宋体"/>
          <w:color w:val="000000"/>
          <w:sz w:val="18"/>
          <w:szCs w:val="18"/>
        </w:rPr>
      </w:pPr>
      <w:r>
        <w:rPr>
          <w:rFonts w:hint="eastAsia" w:ascii="宋体" w:hAnsi="宋体" w:eastAsia="宋体" w:cs="宋体"/>
          <w:color w:val="000000"/>
          <w:sz w:val="18"/>
          <w:szCs w:val="18"/>
        </w:rPr>
        <w:t>医药行业持续发展源自药品的刚性消费，具有弱周期性的特征。我国经济水平稳定增长，人民生活水平不断提升, 居民健康意识提升、社会老龄化程度提高、医保投入增加、医疗体制改革深入开展，政府医疗卫生投入稳步提高，这些因素均促使医药行业保持较快的增长。医药制造行业受政策调控的引导较为明显，在宏观政策的影响下步入阶段性的产业结构调整，并随着政府通过加速审批、加强监管等呈现一定时期内的增长或回调。</w:t>
      </w:r>
    </w:p>
    <w:p w14:paraId="653EF16B">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361"/>
        <w:jc w:val="both"/>
        <w:textAlignment w:val="auto"/>
        <w:rPr>
          <w:rFonts w:hint="default" w:ascii="宋体" w:hAnsi="宋体" w:eastAsia="宋体" w:cs="宋体"/>
          <w:color w:val="000000"/>
          <w:sz w:val="18"/>
          <w:szCs w:val="18"/>
        </w:rPr>
      </w:pPr>
      <w:r>
        <w:rPr>
          <w:rFonts w:hint="eastAsia" w:ascii="宋体" w:hAnsi="宋体" w:eastAsia="宋体" w:cs="宋体"/>
          <w:color w:val="000000"/>
          <w:sz w:val="18"/>
          <w:szCs w:val="18"/>
        </w:rPr>
        <w:t>目前，公司主打产品抗乙肝病毒药物、保肝护肝药物、心血管药物及男性健康药物。上述产品生产及销售不受季节性及周期性影响，抗新冠创新药泰中定的销售与疾病流行性和公众认知有较大关联。</w:t>
      </w:r>
    </w:p>
    <w:p w14:paraId="0BE554C4">
      <w:pPr>
        <w:keepNext/>
        <w:keepLines/>
        <w:spacing w:before="300" w:after="300" w:line="320" w:lineRule="exact"/>
        <w:jc w:val="left"/>
        <w:outlineLvl w:val="1"/>
        <w:rPr>
          <w:rFonts w:ascii="宋体" w:hAnsi="宋体" w:eastAsia="宋体" w:cs="宋体"/>
          <w:b/>
          <w:bCs/>
          <w:sz w:val="24"/>
          <w:szCs w:val="24"/>
        </w:rPr>
      </w:pPr>
      <w:bookmarkStart w:id="14" w:name="_Toc988903"/>
      <w:r>
        <w:rPr>
          <w:rFonts w:ascii="宋体" w:hAnsi="宋体" w:eastAsia="宋体" w:cs="宋体"/>
          <w:b/>
          <w:bCs/>
          <w:sz w:val="24"/>
          <w:szCs w:val="24"/>
        </w:rPr>
        <w:t>二、报告期内公司从事的主要业务</w:t>
      </w:r>
      <w:bookmarkEnd w:id="14"/>
    </w:p>
    <w:p w14:paraId="3B724961">
      <w:pPr>
        <w:spacing w:before="100" w:after="100" w:line="240" w:lineRule="exact"/>
        <w:jc w:val="left"/>
        <w:rPr>
          <w:rFonts w:ascii="宋体" w:hAnsi="宋体" w:eastAsia="宋体" w:cs="宋体"/>
          <w:sz w:val="18"/>
          <w:szCs w:val="18"/>
        </w:rPr>
      </w:pPr>
      <w:r>
        <w:rPr>
          <w:rFonts w:ascii="宋体" w:hAnsi="宋体" w:eastAsia="宋体" w:cs="宋体"/>
          <w:sz w:val="18"/>
          <w:szCs w:val="18"/>
        </w:rPr>
        <w:t>公司需遵守《深圳证券交易所上市公司自律监管指引第4号——创业板行业信息披露》中的“药品、生物制品业务”的披露要求</w:t>
      </w:r>
    </w:p>
    <w:p w14:paraId="2ED828FA">
      <w:pPr>
        <w:spacing w:before="40" w:after="40"/>
        <w:ind w:left="0" w:right="0" w:firstLine="361"/>
        <w:jc w:val="left"/>
      </w:pPr>
      <w:r>
        <w:rPr>
          <w:rFonts w:ascii="宋体" w:hAnsi="宋体"/>
          <w:b/>
          <w:sz w:val="18"/>
        </w:rPr>
        <w:t>（一）主要业务、产品及用途</w:t>
      </w:r>
    </w:p>
    <w:p w14:paraId="769DA985">
      <w:pPr>
        <w:spacing w:before="40" w:after="40"/>
        <w:ind w:left="0" w:right="0" w:firstLine="361"/>
        <w:jc w:val="left"/>
      </w:pPr>
      <w:r>
        <w:rPr>
          <w:rFonts w:ascii="宋体" w:hAnsi="宋体"/>
          <w:sz w:val="18"/>
        </w:rPr>
        <w:t>公司秉承“广播仁爱·关注民生”的企业使命，坚定为人类的肝脏健康提供科学解决方案的梦想，坚定不移推动创新药物研发，实施创新发展战略，致力于为中国抗击新冠病毒、乙肝、肝癌、肝纤维化，打造属于中国人的创新药，为推动我国自主可控药物研发创新发展贡献核心力量。</w:t>
      </w:r>
    </w:p>
    <w:p w14:paraId="29BF7CE5">
      <w:pPr>
        <w:spacing w:before="40" w:after="40"/>
        <w:ind w:left="0" w:right="0" w:firstLine="361"/>
        <w:jc w:val="left"/>
      </w:pPr>
      <w:r>
        <w:rPr>
          <w:rFonts w:ascii="宋体" w:hAnsi="宋体"/>
          <w:sz w:val="18"/>
        </w:rPr>
        <w:t>通过自主研发、合作开发和产业并购等方式，公司已形成以核苷（酸）类抗乙肝病毒药物和保肝护肝药物销售为核心，覆盖乙肝、丙肝、脂肪肝、肝纤维化、肝癌、保肝护肝等肝脏健康产品线的布局，并积极拓展了心血管、男性健康、抗新冠病毒领域产品。未来，公司将坚持通过以仿哺创、仿创结合方式持续推进创新发展战略，坚持内生式增长为主和外延式拓展齐头并进，不断丰富公司的产品管线和优化产品结构，致力于成就抗病毒和肝脏健康药物领域领先的创新药研发生产企业。</w:t>
      </w:r>
    </w:p>
    <w:p w14:paraId="73E9E0FB">
      <w:pPr>
        <w:spacing w:before="40" w:after="40"/>
        <w:ind w:left="0" w:right="0" w:firstLine="361"/>
        <w:jc w:val="left"/>
      </w:pPr>
      <w:r>
        <w:rPr>
          <w:rFonts w:ascii="宋体" w:hAnsi="宋体"/>
          <w:b/>
          <w:sz w:val="18"/>
        </w:rPr>
        <w:t>1、仿制药领域</w:t>
      </w:r>
    </w:p>
    <w:p w14:paraId="53B5CA79">
      <w:pPr>
        <w:spacing w:before="40" w:after="40"/>
        <w:ind w:left="0" w:right="0" w:firstLine="361"/>
        <w:jc w:val="left"/>
      </w:pPr>
      <w:r>
        <w:rPr>
          <w:rFonts w:ascii="宋体" w:hAnsi="宋体"/>
          <w:b/>
          <w:sz w:val="18"/>
        </w:rPr>
        <w:t>1.1已上市销售产品</w:t>
      </w:r>
    </w:p>
    <w:p w14:paraId="0DC61872">
      <w:pPr>
        <w:spacing w:before="40" w:after="40"/>
        <w:ind w:left="0" w:right="0" w:firstLine="361"/>
        <w:jc w:val="left"/>
      </w:pPr>
      <w:r>
        <w:rPr>
          <w:rFonts w:ascii="宋体" w:hAnsi="宋体"/>
          <w:b/>
          <w:sz w:val="18"/>
        </w:rPr>
        <w:t>（1）抗乙肝病毒药物</w:t>
      </w:r>
    </w:p>
    <w:p w14:paraId="34BE26D5">
      <w:pPr>
        <w:spacing w:before="40" w:after="40"/>
        <w:ind w:left="0" w:right="0" w:firstLine="361"/>
        <w:jc w:val="both"/>
      </w:pPr>
      <w:r>
        <w:rPr>
          <w:rFonts w:ascii="宋体" w:hAnsi="宋体"/>
          <w:sz w:val="18"/>
        </w:rPr>
        <w:t>公司为国内同时拥有丙酚替诺福韦、替诺福韦、恩替卡韦、拉米夫定、阿德福韦酯五大核苷（酸）类抗乙肝病毒用药的高新技术企业，且公司五大核苷（酸）类抗乙肝病毒药物产品均已顺利通过一致性评价，有力增强了公司市场销售的竞争优势，加速仿制药对原研的进口替代，为广大患者提供优质优价的用药选择。其中，丙酚替诺福韦、替诺福韦和恩替卡韦为各国慢性乙型肝炎防治指南一致推荐的一线药物。丙酚替诺福韦、替诺福韦、恩替卡韦、拉米夫定、阿德福韦酯均被纳入2024年版《国家基本医疗保险、工伤保险和生育保险药品目录》。</w:t>
      </w:r>
    </w:p>
    <w:p w14:paraId="073C5383">
      <w:pPr>
        <w:spacing w:before="40" w:after="40"/>
        <w:ind w:left="0" w:right="0" w:firstLine="361"/>
        <w:jc w:val="both"/>
      </w:pPr>
      <w:r>
        <w:rPr>
          <w:rFonts w:ascii="宋体" w:hAnsi="宋体"/>
          <w:sz w:val="18"/>
        </w:rPr>
        <w:t>2024年3月18日是中国第二十四个“爱肝日”，其宣传主题是“早防早筛，远离肝硬化”。2022年版《慢性乙型肝炎防治指南》重磅发布，该指南在2019年指南基础上进行了更新，以更好地规范CHB的预防、诊断和治疗，并大幅提高慢性乙型肝炎（CHB）的诊断率和治疗率，减少相关死亡率，助力实现WHO提出的“2030年消除病毒性肝炎作为公共卫生危害”的目标，即CHB新发感染率减少90%、死亡率减少65%、诊断率达到90%和治疗率达到80%。目前，我国诊断率和治疗率仅分别为 22% 和15%，未来乙肝市场仍有广阔的增长空间。</w:t>
      </w:r>
    </w:p>
    <w:p w14:paraId="58D468F3">
      <w:pPr>
        <w:spacing w:before="40" w:after="40"/>
        <w:ind w:left="0" w:right="0" w:firstLine="361"/>
        <w:jc w:val="left"/>
      </w:pPr>
      <w:r>
        <w:rPr>
          <w:rFonts w:ascii="宋体" w:hAnsi="宋体"/>
          <w:sz w:val="20"/>
        </w:rPr>
        <w:t> </w:t>
      </w:r>
    </w:p>
    <w:p w14:paraId="106056E3">
      <w:pPr>
        <w:spacing w:before="40" w:after="40"/>
        <w:ind w:left="0" w:right="0" w:firstLine="361"/>
        <w:jc w:val="center"/>
      </w:pPr>
      <w:r>
        <w:rPr>
          <w:rFonts w:ascii="宋体" w:hAnsi="宋体"/>
          <w:sz w:val="20"/>
        </w:rPr>
        <w:t> </w:t>
      </w:r>
      <w:r>
        <w:rPr>
          <w:rFonts w:ascii="宋体" w:hAnsi="宋体"/>
          <w:sz w:val="22"/>
        </w:rPr>
        <w:t> </w:t>
      </w:r>
      <w:r>
        <w:rPr>
          <w:rFonts w:ascii="宋体" w:hAnsi="宋体"/>
          <w:sz w:val="20"/>
        </w:rPr>
        <w:t> </w:t>
      </w:r>
      <w:r>
        <w:drawing>
          <wp:inline distT="0" distB="0" distL="0" distR="0">
            <wp:extent cx="5543550" cy="2847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srcRect/>
                    <a:stretch>
                      <a:fillRect/>
                    </a:stretch>
                  </pic:blipFill>
                  <pic:spPr>
                    <a:xfrm>
                      <a:off x="0" y="0"/>
                      <a:ext cx="5543550" cy="2847975"/>
                    </a:xfrm>
                    <a:prstGeom prst="rect">
                      <a:avLst/>
                    </a:prstGeom>
                  </pic:spPr>
                </pic:pic>
              </a:graphicData>
            </a:graphic>
          </wp:inline>
        </w:drawing>
      </w:r>
      <w:r>
        <w:rPr>
          <w:rFonts w:ascii="宋体" w:hAnsi="宋体"/>
          <w:sz w:val="20"/>
        </w:rPr>
        <w:t> </w:t>
      </w:r>
      <w:r>
        <w:rPr>
          <w:rFonts w:ascii="宋体" w:hAnsi="宋体"/>
          <w:sz w:val="22"/>
        </w:rPr>
        <w:t> </w:t>
      </w:r>
      <w:r>
        <w:rPr>
          <w:rFonts w:ascii="宋体" w:hAnsi="宋体"/>
          <w:sz w:val="20"/>
        </w:rPr>
        <w:t> </w:t>
      </w:r>
    </w:p>
    <w:p w14:paraId="6A758157">
      <w:pPr>
        <w:spacing w:before="40" w:after="40"/>
        <w:ind w:left="0" w:right="0" w:firstLine="361"/>
        <w:jc w:val="left"/>
      </w:pPr>
      <w:r>
        <w:rPr>
          <w:rFonts w:ascii="宋体" w:hAnsi="宋体"/>
          <w:b/>
          <w:sz w:val="18"/>
        </w:rPr>
        <w:t>（2）保肝护肝类药物</w:t>
      </w:r>
    </w:p>
    <w:p w14:paraId="1CCE13A5">
      <w:pPr>
        <w:spacing w:before="40" w:after="40"/>
        <w:ind w:left="0" w:right="0" w:firstLine="361"/>
        <w:jc w:val="both"/>
      </w:pPr>
      <w:r>
        <w:rPr>
          <w:rFonts w:ascii="宋体" w:hAnsi="宋体"/>
          <w:sz w:val="18"/>
        </w:rPr>
        <w:t>公司全资子公司中兴药业是国内较大的水飞蓟制剂生产企业之一。水飞蓟宾类药物作为目前在世界范围内被认可的一类天然植物保肝药，能保护和稳定肝细胞膜，提高肝脏解毒能力，促进肝细胞再生，是治疗肝炎的有效药物，广泛应用于保肝护肝领域，是《慢性乙型肝炎防治指南》、《药物性肝损伤诊治指南》明确的指南药物。中兴药业水飞蓟宾葡甲胺片、益肝灵片、复方益肝灵片等药品继续被纳入2024年版《国家基本医疗保险、工伤保险和生育保险药品目录》。</w:t>
      </w:r>
    </w:p>
    <w:p w14:paraId="64EE1CE1">
      <w:pPr>
        <w:spacing w:before="40" w:after="40"/>
        <w:ind w:left="0" w:right="0" w:firstLine="361"/>
        <w:jc w:val="both"/>
      </w:pPr>
      <w:r>
        <w:rPr>
          <w:rFonts w:ascii="宋体" w:hAnsi="宋体"/>
          <w:sz w:val="18"/>
        </w:rPr>
        <w:t>水飞蓟宾葡甲胺片除在传统的保肝护肝领域受欢迎外，其在联合用药领域的保肝护肝作用也逐渐被发现，近年来在抗结核、精神病治疗领域等多项疾病的治疗方案中开始联合使用保肝护肝产品，并取得了良好的效果。</w:t>
      </w:r>
    </w:p>
    <w:p w14:paraId="08168699">
      <w:pPr>
        <w:spacing w:before="40" w:after="40"/>
        <w:ind w:left="0" w:right="0" w:firstLine="361"/>
        <w:jc w:val="center"/>
      </w:pPr>
      <w:r>
        <w:rPr>
          <w:rFonts w:ascii="宋体" w:hAnsi="宋体"/>
          <w:sz w:val="20"/>
        </w:rPr>
        <w:t> </w:t>
      </w:r>
      <w:r>
        <w:rPr>
          <w:rFonts w:ascii="宋体" w:hAnsi="宋体"/>
          <w:sz w:val="22"/>
        </w:rPr>
        <w:t> </w:t>
      </w:r>
      <w:r>
        <w:rPr>
          <w:rFonts w:ascii="宋体" w:hAnsi="宋体"/>
          <w:sz w:val="20"/>
        </w:rPr>
        <w:t> </w:t>
      </w:r>
      <w:r>
        <w:drawing>
          <wp:inline distT="0" distB="0" distL="0" distR="0">
            <wp:extent cx="5600700" cy="16192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rcRect/>
                    <a:stretch>
                      <a:fillRect/>
                    </a:stretch>
                  </pic:blipFill>
                  <pic:spPr>
                    <a:xfrm>
                      <a:off x="0" y="0"/>
                      <a:ext cx="5600700" cy="1619250"/>
                    </a:xfrm>
                    <a:prstGeom prst="rect">
                      <a:avLst/>
                    </a:prstGeom>
                  </pic:spPr>
                </pic:pic>
              </a:graphicData>
            </a:graphic>
          </wp:inline>
        </w:drawing>
      </w:r>
      <w:r>
        <w:rPr>
          <w:rFonts w:ascii="宋体" w:hAnsi="宋体"/>
          <w:sz w:val="20"/>
        </w:rPr>
        <w:t> </w:t>
      </w:r>
      <w:r>
        <w:rPr>
          <w:rFonts w:ascii="宋体" w:hAnsi="宋体"/>
          <w:sz w:val="22"/>
        </w:rPr>
        <w:t> </w:t>
      </w:r>
      <w:r>
        <w:rPr>
          <w:rFonts w:ascii="宋体" w:hAnsi="宋体"/>
          <w:sz w:val="20"/>
        </w:rPr>
        <w:t> </w:t>
      </w:r>
    </w:p>
    <w:p w14:paraId="2C3DC0B8">
      <w:pPr>
        <w:spacing w:before="40" w:after="40"/>
        <w:ind w:left="0" w:right="0" w:firstLine="361"/>
        <w:jc w:val="both"/>
      </w:pPr>
      <w:r>
        <w:rPr>
          <w:rFonts w:ascii="宋体" w:hAnsi="宋体"/>
          <w:sz w:val="18"/>
        </w:rPr>
        <w:t> 此外，公司于2024年5月获得熊去氧胆酸胶囊的《药品注册证书》。熊去氧胆酸（UDCA）是一种亲水性、非细胞毒性的胆汁酸，由于 UDCA的利胆、细胞保护、抗凋亡、抗氧化和免疫调节作用，已被广泛用于临床多种肝胆疾病的治疗，是治疗胆结石、胆囊炎、肝病和胆道疾病的重要临床药物，具有广阔的市场前景。该品种的获批上市将进一步完善公司保肝护肝领域的产品布局，提升市场竞争力和综合占有率。药融云查询数据显示，熊去氧胆酸口服制剂 2023 年全国医院销售约20.30 亿元。</w:t>
      </w:r>
    </w:p>
    <w:p w14:paraId="42064E3E">
      <w:pPr>
        <w:spacing w:before="40" w:after="40"/>
        <w:ind w:left="0" w:right="0" w:firstLine="361"/>
        <w:jc w:val="center"/>
      </w:pPr>
      <w:r>
        <w:drawing>
          <wp:inline distT="0" distB="0" distL="0" distR="0">
            <wp:extent cx="3171825" cy="20002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srcRect/>
                    <a:stretch>
                      <a:fillRect/>
                    </a:stretch>
                  </pic:blipFill>
                  <pic:spPr>
                    <a:xfrm>
                      <a:off x="0" y="0"/>
                      <a:ext cx="3171825" cy="2000250"/>
                    </a:xfrm>
                    <a:prstGeom prst="rect">
                      <a:avLst/>
                    </a:prstGeom>
                  </pic:spPr>
                </pic:pic>
              </a:graphicData>
            </a:graphic>
          </wp:inline>
        </w:drawing>
      </w:r>
      <w:r>
        <w:rPr>
          <w:rFonts w:ascii="宋体" w:hAnsi="宋体"/>
          <w:sz w:val="20"/>
        </w:rPr>
        <w:t> </w:t>
      </w:r>
    </w:p>
    <w:p w14:paraId="0DCC5130">
      <w:pPr>
        <w:spacing w:before="40" w:after="40"/>
        <w:ind w:left="0" w:right="0" w:firstLine="361"/>
        <w:jc w:val="left"/>
      </w:pPr>
      <w:r>
        <w:rPr>
          <w:rFonts w:ascii="宋体" w:hAnsi="宋体"/>
          <w:b/>
          <w:sz w:val="18"/>
        </w:rPr>
        <w:t>（3）男性健康药物</w:t>
      </w:r>
    </w:p>
    <w:p w14:paraId="6BD31E01">
      <w:pPr>
        <w:spacing w:before="40" w:after="40"/>
        <w:ind w:left="0" w:right="0" w:firstLine="361"/>
        <w:jc w:val="both"/>
      </w:pPr>
      <w:r>
        <w:rPr>
          <w:rFonts w:ascii="宋体" w:hAnsi="宋体"/>
          <w:sz w:val="18"/>
        </w:rPr>
        <w:t>西地那非和他达拉非是治疗勃起功能障碍（简称“ED”）的两大主流药物，是ED市场规模最大的两个产品，零售药店为其主要销售渠道。公司目前拥有劲哥-枸橼酸西地那非片 50mg、100mg 两个规格及久哥-他达拉非片 5mg规格的药品批准文号。</w:t>
      </w:r>
    </w:p>
    <w:p w14:paraId="34856D39">
      <w:pPr>
        <w:spacing w:before="40" w:after="40"/>
        <w:ind w:left="0" w:right="0" w:firstLine="361"/>
        <w:jc w:val="both"/>
      </w:pPr>
      <w:r>
        <w:rPr>
          <w:rFonts w:ascii="宋体" w:hAnsi="宋体"/>
          <w:sz w:val="18"/>
        </w:rPr>
        <w:t>达泊西汀属于选择性 5-羟色胺再吸收抑制剂，临床上主要用于治疗 18-64 岁的男性早泄(PE)，具有临床获益佳、安全风险低、快速起效等优点，是国内外《早泄诊治指南》推荐的一线治疗药物。2023年6月，公司收到国家药品监督管理局颁发的关于达歌-盐酸达泊西汀片的《药品补充申请批准通知书》，公司成为盐酸达泊西汀片上市许可持有人，进一步丰富了男性健康产品管线，形成 “ED+PE”的男科系列产品结构，为患者提供更为丰富的用药选择。</w:t>
      </w:r>
    </w:p>
    <w:p w14:paraId="2F66DCF8">
      <w:pPr>
        <w:spacing w:before="40" w:after="40"/>
        <w:ind w:left="0" w:right="0" w:firstLine="361"/>
        <w:jc w:val="center"/>
      </w:pPr>
      <w:r>
        <w:rPr>
          <w:rFonts w:ascii="宋体" w:hAnsi="宋体"/>
          <w:sz w:val="20"/>
        </w:rPr>
        <w:t> </w:t>
      </w:r>
      <w:r>
        <w:rPr>
          <w:rFonts w:ascii="宋体" w:hAnsi="宋体"/>
          <w:sz w:val="22"/>
        </w:rPr>
        <w:t> </w:t>
      </w:r>
      <w:r>
        <w:rPr>
          <w:rFonts w:ascii="宋体" w:hAnsi="宋体"/>
          <w:sz w:val="20"/>
        </w:rPr>
        <w:t> </w:t>
      </w:r>
      <w:r>
        <w:drawing>
          <wp:inline distT="0" distB="0" distL="0" distR="0">
            <wp:extent cx="4933950" cy="206629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srcRect/>
                    <a:stretch>
                      <a:fillRect/>
                    </a:stretch>
                  </pic:blipFill>
                  <pic:spPr>
                    <a:xfrm>
                      <a:off x="0" y="0"/>
                      <a:ext cx="4933950" cy="2066924"/>
                    </a:xfrm>
                    <a:prstGeom prst="rect">
                      <a:avLst/>
                    </a:prstGeom>
                  </pic:spPr>
                </pic:pic>
              </a:graphicData>
            </a:graphic>
          </wp:inline>
        </w:drawing>
      </w:r>
      <w:r>
        <w:rPr>
          <w:rFonts w:ascii="宋体" w:hAnsi="宋体"/>
          <w:sz w:val="20"/>
        </w:rPr>
        <w:t> </w:t>
      </w:r>
      <w:r>
        <w:rPr>
          <w:rFonts w:ascii="宋体" w:hAnsi="宋体"/>
          <w:sz w:val="22"/>
        </w:rPr>
        <w:t> </w:t>
      </w:r>
      <w:r>
        <w:rPr>
          <w:rFonts w:ascii="宋体" w:hAnsi="宋体"/>
          <w:sz w:val="20"/>
        </w:rPr>
        <w:t> </w:t>
      </w:r>
    </w:p>
    <w:p w14:paraId="596D09EB">
      <w:pPr>
        <w:spacing w:before="40" w:after="40"/>
        <w:ind w:left="0" w:right="0" w:firstLine="361"/>
        <w:jc w:val="left"/>
      </w:pPr>
      <w:r>
        <w:rPr>
          <w:rFonts w:ascii="宋体" w:hAnsi="宋体"/>
          <w:sz w:val="18"/>
        </w:rPr>
        <w:t> </w:t>
      </w:r>
      <w:r>
        <w:rPr>
          <w:rFonts w:ascii="宋体" w:hAnsi="宋体"/>
          <w:b/>
          <w:sz w:val="18"/>
        </w:rPr>
        <w:t>（4）心血管药物</w:t>
      </w:r>
    </w:p>
    <w:p w14:paraId="7DC0EF6E">
      <w:pPr>
        <w:spacing w:before="40" w:after="40"/>
        <w:ind w:left="0" w:right="0" w:firstLine="361"/>
        <w:jc w:val="both"/>
      </w:pPr>
      <w:r>
        <w:rPr>
          <w:rFonts w:ascii="宋体" w:hAnsi="宋体"/>
          <w:sz w:val="18"/>
        </w:rPr>
        <w:t>利伐沙班片是用于预防静脉血栓栓塞的核心药物，被《中国肿瘤相关静脉血栓栓塞症预防与治疗指南》(2019版)、《中国骨科大手术静脉血栓栓塞症预防指南》（2016年版）等权威指南推荐用于预防静脉血栓栓塞。</w:t>
      </w:r>
    </w:p>
    <w:p w14:paraId="3D3E7777">
      <w:pPr>
        <w:spacing w:before="40" w:after="40"/>
        <w:ind w:left="0" w:right="0" w:firstLine="361"/>
        <w:jc w:val="both"/>
      </w:pPr>
      <w:r>
        <w:rPr>
          <w:rFonts w:ascii="宋体" w:hAnsi="宋体"/>
          <w:sz w:val="18"/>
        </w:rPr>
        <w:t xml:space="preserve">匹伐他汀钙片主要用于治疗高胆固醇血症、家族性高胆固醇血症，《美国胆固醇管理指南（2018）》、2016ESC/EAS《血脂异常管理指南》等推荐匹伐他汀作为一线调脂用药。 </w:t>
      </w:r>
    </w:p>
    <w:p w14:paraId="26FAACA5">
      <w:pPr>
        <w:spacing w:before="40" w:after="40"/>
        <w:ind w:left="0" w:right="0" w:firstLine="361"/>
        <w:jc w:val="both"/>
      </w:pPr>
      <w:r>
        <w:rPr>
          <w:rFonts w:ascii="宋体" w:hAnsi="宋体"/>
          <w:sz w:val="18"/>
        </w:rPr>
        <w:t>利伐沙班和匹伐他汀均被纳入2024年版《国家基本医疗保险、工伤保险和生育保险药品目录》。公司利伐沙班片已于2021年中标第五批全国药品集中采购，助力提升公司该产品的销售规模和市场占有率。</w:t>
      </w:r>
    </w:p>
    <w:p w14:paraId="2CE75D9F">
      <w:pPr>
        <w:spacing w:before="40" w:after="40"/>
        <w:ind w:left="0" w:right="0" w:firstLine="361"/>
        <w:jc w:val="center"/>
      </w:pPr>
      <w:r>
        <w:rPr>
          <w:rFonts w:ascii="宋体" w:hAnsi="宋体"/>
          <w:sz w:val="20"/>
        </w:rPr>
        <w:t> </w:t>
      </w:r>
      <w:r>
        <w:rPr>
          <w:rFonts w:ascii="宋体" w:hAnsi="宋体"/>
          <w:sz w:val="22"/>
        </w:rPr>
        <w:t> </w:t>
      </w:r>
      <w:r>
        <w:rPr>
          <w:rFonts w:ascii="宋体" w:hAnsi="宋体"/>
          <w:sz w:val="20"/>
        </w:rPr>
        <w:t> </w:t>
      </w:r>
      <w:r>
        <w:drawing>
          <wp:inline distT="0" distB="0" distL="0" distR="0">
            <wp:extent cx="6334125" cy="183769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srcRect/>
                    <a:stretch>
                      <a:fillRect/>
                    </a:stretch>
                  </pic:blipFill>
                  <pic:spPr>
                    <a:xfrm>
                      <a:off x="0" y="0"/>
                      <a:ext cx="6334125" cy="1838324"/>
                    </a:xfrm>
                    <a:prstGeom prst="rect">
                      <a:avLst/>
                    </a:prstGeom>
                  </pic:spPr>
                </pic:pic>
              </a:graphicData>
            </a:graphic>
          </wp:inline>
        </w:drawing>
      </w:r>
    </w:p>
    <w:p w14:paraId="53D0EC70">
      <w:pPr>
        <w:spacing w:before="40" w:after="40"/>
        <w:ind w:left="0" w:right="0" w:firstLine="361"/>
        <w:jc w:val="both"/>
      </w:pPr>
      <w:r>
        <w:rPr>
          <w:rFonts w:ascii="宋体" w:hAnsi="宋体"/>
          <w:sz w:val="18"/>
        </w:rPr>
        <w:t>此外，公司于2023年11月获得治愈丙肝核心药物索磷布韦片（丙甘定）的《药品注册证书》。索磷布韦片获批上市，将进一步完善公司肝脏健康领域的产品布局，强化在肝药领域的市场占有率和领先地位，打造公司“肝病专家”系列品牌。</w:t>
      </w:r>
    </w:p>
    <w:p w14:paraId="0BAC5386">
      <w:pPr>
        <w:spacing w:before="40" w:after="40"/>
        <w:ind w:left="0" w:right="0" w:firstLine="361"/>
        <w:jc w:val="both"/>
      </w:pPr>
      <w:r>
        <w:rPr>
          <w:rFonts w:ascii="宋体" w:hAnsi="宋体"/>
          <w:b/>
          <w:sz w:val="18"/>
        </w:rPr>
        <w:t>1.2在研重磅仿制药</w:t>
      </w:r>
    </w:p>
    <w:p w14:paraId="08C9F986">
      <w:pPr>
        <w:spacing w:before="40" w:after="40"/>
        <w:ind w:left="0" w:right="0" w:firstLine="361"/>
        <w:jc w:val="both"/>
      </w:pPr>
      <w:r>
        <w:rPr>
          <w:rFonts w:ascii="宋体" w:hAnsi="宋体"/>
          <w:b/>
          <w:sz w:val="18"/>
        </w:rPr>
        <w:t>硫酸氢氯吡格雷阿司匹林片</w:t>
      </w:r>
    </w:p>
    <w:p w14:paraId="53579E6B">
      <w:pPr>
        <w:spacing w:before="40" w:after="40"/>
        <w:ind w:left="0" w:right="0" w:firstLine="361"/>
        <w:jc w:val="both"/>
      </w:pPr>
      <w:r>
        <w:rPr>
          <w:rFonts w:ascii="宋体" w:hAnsi="宋体"/>
          <w:sz w:val="18"/>
        </w:rPr>
        <w:t>2023年，公司立项开发硫酸氢氯吡格雷阿司匹林片项目。硫酸氢氯吡格雷阿司匹林片是采用特殊工艺 Tab in tab（片中片）的复方药物。其中，阿司匹林能抑制血小板的释放反应、抑制血小板的聚集，从而减少血栓素 A2（TXA2）生成；硫酸氢氯吡格雷能抑制血小板的聚集，硫酸氢氯吡格雷和阿司匹林都具有抑制血小板聚集的作用，且阿司匹林不改变氯吡格雷对由 ADP 诱导的血小板聚集的抑制作用，但氯吡格雷增强了阿司匹林对胶原诱导血小板聚集的作用效果，二者合用，抗血小板活性显著增强，可用于治疗血小板聚集引起的疾病，包括稳定或不稳定的心绞痛、心血管和脑血管系统的疾病，疗效确切，在全球范围内的临床试验中得到证实。</w:t>
      </w:r>
    </w:p>
    <w:p w14:paraId="6CC67326">
      <w:pPr>
        <w:spacing w:before="40" w:after="40"/>
        <w:ind w:left="0" w:right="0" w:firstLine="361"/>
        <w:jc w:val="both"/>
      </w:pPr>
      <w:r>
        <w:rPr>
          <w:rFonts w:ascii="宋体" w:hAnsi="宋体"/>
          <w:sz w:val="18"/>
        </w:rPr>
        <w:t>随着2021年《氯吡格雷/阿司匹林单片复方制剂抗血小板治疗中国专家共识》的发布，标志着氯吡格雷/阿司匹林单片复方制剂正式开启在中国的实践之路。随着共识的推广应用，将为临床医生提供更加多元化的抗血小板治疗处方，提高患者的依从性，降低心血管事件及心血管死亡的发生！</w:t>
      </w:r>
    </w:p>
    <w:p w14:paraId="20014C3B">
      <w:pPr>
        <w:spacing w:before="40" w:after="40"/>
        <w:ind w:left="0" w:right="0" w:firstLine="361"/>
        <w:jc w:val="both"/>
      </w:pPr>
      <w:r>
        <w:rPr>
          <w:rFonts w:ascii="宋体" w:hAnsi="宋体"/>
          <w:b/>
          <w:sz w:val="18"/>
        </w:rPr>
        <w:t>2、创新药领域</w:t>
      </w:r>
    </w:p>
    <w:p w14:paraId="0E855B9C">
      <w:pPr>
        <w:spacing w:before="40" w:after="40"/>
        <w:ind w:firstLine="361"/>
      </w:pPr>
      <w:r>
        <w:rPr>
          <w:rFonts w:ascii="宋体" w:hAnsi="宋体"/>
          <w:sz w:val="18"/>
        </w:rPr>
        <w:t>自2015年IPO上市以来，公司即明确向创新药企转型战略，全面启动肝脏健康和抗病毒领域的创新药研发，研发投入占比行业领先，积极与全球著名的新药研发机构合作，坚定不移地向创新药企业转型。截至目前，公司已陆续在抗新型冠状病毒、肝癌、非酒精性脂肪性肝炎、肝纤维化、</w:t>
      </w:r>
      <w:r>
        <w:rPr>
          <w:rFonts w:hint="eastAsia" w:ascii="宋体" w:hAnsi="宋体"/>
          <w:sz w:val="18"/>
        </w:rPr>
        <w:t>乙肝治疗</w:t>
      </w:r>
      <w:r>
        <w:rPr>
          <w:rFonts w:ascii="宋体" w:hAnsi="宋体"/>
          <w:sz w:val="18"/>
        </w:rPr>
        <w:t>等领域立项研发</w:t>
      </w:r>
      <w:r>
        <w:rPr>
          <w:rFonts w:hint="eastAsia" w:ascii="宋体" w:hAnsi="宋体"/>
          <w:sz w:val="18"/>
        </w:rPr>
        <w:t>多</w:t>
      </w:r>
      <w:r>
        <w:rPr>
          <w:rFonts w:ascii="宋体" w:hAnsi="宋体"/>
          <w:sz w:val="18"/>
        </w:rPr>
        <w:t>个创新药</w:t>
      </w:r>
      <w:r>
        <w:rPr>
          <w:rFonts w:hint="eastAsia" w:ascii="宋体" w:hAnsi="宋体"/>
          <w:sz w:val="18"/>
        </w:rPr>
        <w:t>（含联合治疗）</w:t>
      </w:r>
      <w:r>
        <w:rPr>
          <w:rFonts w:ascii="宋体" w:hAnsi="宋体"/>
          <w:sz w:val="18"/>
        </w:rPr>
        <w:t>，</w:t>
      </w:r>
      <w:r>
        <w:rPr>
          <w:rFonts w:hint="eastAsia" w:ascii="宋体" w:hAnsi="宋体"/>
          <w:sz w:val="18"/>
        </w:rPr>
        <w:t>其中</w:t>
      </w:r>
      <w:r>
        <w:rPr>
          <w:rFonts w:ascii="宋体" w:hAnsi="宋体"/>
          <w:sz w:val="18"/>
        </w:rPr>
        <w:t>抗新冠创新药泰中定已获批上市，标志着公司创新药获批上市实现“零突破”，乙肝治疗创新药GST-HG141已完成临床II期，GST-HG131已完成II期临床全部患者入组，</w:t>
      </w:r>
      <w:r>
        <w:rPr>
          <w:rFonts w:hint="eastAsia" w:ascii="宋体" w:hAnsi="宋体"/>
          <w:sz w:val="18"/>
        </w:rPr>
        <w:t>GST-HG131联合GST-HG141治疗乙肝的II 期临床试验申请已获得受理，</w:t>
      </w:r>
      <w:r>
        <w:rPr>
          <w:rFonts w:ascii="宋体" w:hAnsi="宋体"/>
          <w:sz w:val="18"/>
        </w:rPr>
        <w:t>其余创新药</w:t>
      </w:r>
      <w:r>
        <w:rPr>
          <w:rFonts w:hint="eastAsia" w:ascii="宋体" w:hAnsi="宋体"/>
          <w:sz w:val="18"/>
        </w:rPr>
        <w:t>均</w:t>
      </w:r>
      <w:r>
        <w:rPr>
          <w:rFonts w:ascii="宋体" w:hAnsi="宋体"/>
          <w:sz w:val="18"/>
        </w:rPr>
        <w:t>处于临床I期阶段。</w:t>
      </w:r>
    </w:p>
    <w:p w14:paraId="575CFF13">
      <w:pPr>
        <w:spacing w:before="40" w:after="40"/>
        <w:ind w:left="0" w:right="0" w:firstLine="361"/>
        <w:jc w:val="both"/>
      </w:pPr>
      <w:r>
        <w:rPr>
          <w:rFonts w:ascii="宋体" w:hAnsi="宋体"/>
          <w:b/>
          <w:sz w:val="18"/>
        </w:rPr>
        <w:t>（1）抗新型冠状病毒小分子口服创新药</w:t>
      </w:r>
    </w:p>
    <w:p w14:paraId="3024EFEB">
      <w:pPr>
        <w:spacing w:before="40" w:after="40"/>
        <w:ind w:left="0" w:right="0" w:firstLine="361"/>
        <w:jc w:val="both"/>
      </w:pPr>
      <w:r>
        <w:rPr>
          <w:rFonts w:ascii="宋体" w:hAnsi="宋体"/>
          <w:sz w:val="18"/>
        </w:rPr>
        <w:t>2021年12月，公司战略布局抗新型冠状病毒小分子口服创新药泰阿特韦GST-HG171，在作用机制及作用强度方面显示出了优异的抗病毒药效和安全性，且具有广谱的抗新冠病毒活性，对新冠病毒原始株、德尔塔变异株以及奥密克戎BA.4、BA.5变异株均具有高效的病毒抑制活性。泰中定是目前国内外已获批上市的新冠治疗药物中唯一在关键注册性临床研究中对 XBB 变异株人群显示优异疗效且具有统计学差异数据的抗新冠药物。</w:t>
      </w:r>
    </w:p>
    <w:p w14:paraId="093BE240">
      <w:pPr>
        <w:spacing w:before="40" w:after="40"/>
        <w:ind w:left="0" w:right="0" w:firstLine="361"/>
        <w:jc w:val="both"/>
      </w:pPr>
      <w:r>
        <w:rPr>
          <w:rFonts w:ascii="宋体" w:hAnsi="宋体"/>
          <w:sz w:val="18"/>
        </w:rPr>
        <w:t>泰中定在轻型/中型COVID-19患者中开展了一项随机、双盲、安慰剂对照II/III期临床研究。研究结果证实，泰中定可显著缩短新冠感染患者的临床恢复时间，强效降低病毒载量，安全有效：加快症状恢复，泰中定可显著缩短新冠感染患者的临床恢复时间2天。（2）病毒载量呈现快速、大幅下降。治疗后第5天病毒载量较基线变化的组间差异为-1.75Log10拷贝/mL，抗病毒载量下降显著。（3）本研究总体安全性数据显示，泰中定安全耐受性良好，和安慰剂组的不良事件发生率相近。2024年4月10日，国际权威医学期刊《柳叶刀-eClinicalMedicine》正式发表了泰中定的II/III期临床研究成果，获得国际学术界的高度认可。泰中定具有强效抗病毒和优异安全性，更低的日服剂量（150mg，BID），将为全球新冠感染患者提供药效显著、安全耐受、剂量更低的治疗选择。</w:t>
      </w:r>
    </w:p>
    <w:p w14:paraId="11FAD530">
      <w:pPr>
        <w:spacing w:before="40" w:after="40"/>
        <w:ind w:left="0" w:right="0" w:firstLine="361"/>
        <w:jc w:val="center"/>
      </w:pPr>
      <w:r>
        <w:rPr>
          <w:rFonts w:ascii="宋体" w:hAnsi="宋体"/>
          <w:sz w:val="20"/>
        </w:rPr>
        <w:t> </w:t>
      </w:r>
      <w:r>
        <w:rPr>
          <w:rFonts w:ascii="宋体" w:hAnsi="宋体"/>
          <w:sz w:val="22"/>
        </w:rPr>
        <w:t> </w:t>
      </w:r>
      <w:r>
        <w:rPr>
          <w:rFonts w:ascii="宋体" w:hAnsi="宋体"/>
          <w:sz w:val="20"/>
        </w:rPr>
        <w:t> </w:t>
      </w:r>
      <w:r>
        <w:drawing>
          <wp:inline distT="0" distB="0" distL="0" distR="0">
            <wp:extent cx="5581650" cy="2667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srcRect/>
                    <a:stretch>
                      <a:fillRect/>
                    </a:stretch>
                  </pic:blipFill>
                  <pic:spPr>
                    <a:xfrm>
                      <a:off x="0" y="0"/>
                      <a:ext cx="5581650" cy="2667000"/>
                    </a:xfrm>
                    <a:prstGeom prst="rect">
                      <a:avLst/>
                    </a:prstGeom>
                  </pic:spPr>
                </pic:pic>
              </a:graphicData>
            </a:graphic>
          </wp:inline>
        </w:drawing>
      </w:r>
      <w:r>
        <w:rPr>
          <w:rFonts w:ascii="宋体" w:hAnsi="宋体"/>
          <w:sz w:val="20"/>
        </w:rPr>
        <w:t> </w:t>
      </w:r>
      <w:r>
        <w:rPr>
          <w:rFonts w:ascii="宋体" w:hAnsi="宋体"/>
          <w:sz w:val="22"/>
        </w:rPr>
        <w:t> </w:t>
      </w:r>
      <w:r>
        <w:rPr>
          <w:rFonts w:ascii="宋体" w:hAnsi="宋体"/>
          <w:sz w:val="20"/>
        </w:rPr>
        <w:t> </w:t>
      </w:r>
    </w:p>
    <w:p w14:paraId="1B75B0A9">
      <w:pPr>
        <w:spacing w:before="40" w:after="40"/>
        <w:ind w:left="0" w:right="0" w:firstLine="361"/>
        <w:jc w:val="center"/>
      </w:pPr>
      <w:r>
        <w:rPr>
          <w:rFonts w:ascii="宋体" w:hAnsi="宋体"/>
          <w:sz w:val="18"/>
        </w:rPr>
        <w:t> </w:t>
      </w:r>
    </w:p>
    <w:p w14:paraId="7D8FBAE9">
      <w:pPr>
        <w:spacing w:before="40" w:after="40"/>
        <w:ind w:left="0" w:right="0" w:firstLine="361"/>
        <w:jc w:val="both"/>
      </w:pPr>
      <w:r>
        <w:rPr>
          <w:rFonts w:ascii="宋体" w:hAnsi="宋体"/>
          <w:sz w:val="18"/>
        </w:rPr>
        <w:t xml:space="preserve">  </w:t>
      </w:r>
    </w:p>
    <w:p w14:paraId="360BEC3A">
      <w:pPr>
        <w:spacing w:before="40" w:after="40"/>
        <w:ind w:left="0" w:right="0" w:firstLine="361"/>
        <w:jc w:val="both"/>
      </w:pPr>
      <w:r>
        <w:rPr>
          <w:rFonts w:ascii="宋体" w:hAnsi="宋体"/>
          <w:b/>
          <w:sz w:val="18"/>
        </w:rPr>
        <w:t>（2）临床治愈乙肝创新药</w:t>
      </w:r>
    </w:p>
    <w:p w14:paraId="2EFB0CD4">
      <w:pPr>
        <w:spacing w:before="40" w:after="40"/>
        <w:ind w:left="0" w:right="0" w:firstLine="361"/>
        <w:jc w:val="both"/>
      </w:pPr>
      <w:r>
        <w:rPr>
          <w:rFonts w:ascii="宋体" w:hAnsi="宋体"/>
          <w:sz w:val="18"/>
        </w:rPr>
        <w:t>2015年，公司提出乙肝临床治愈路线图“登峰计划”：通过GST-HG131/GST-HG121、GST-HG141及现有核苷（酸）类抗乙肝病毒药物多靶点联合用药，临床治愈乙肝。</w:t>
      </w:r>
    </w:p>
    <w:p w14:paraId="28D0009C">
      <w:pPr>
        <w:spacing w:before="40" w:after="40"/>
        <w:ind w:left="0" w:right="0" w:firstLine="361"/>
        <w:jc w:val="both"/>
      </w:pPr>
      <w:r>
        <w:rPr>
          <w:rFonts w:ascii="宋体" w:hAnsi="宋体"/>
          <w:sz w:val="18"/>
        </w:rPr>
        <w:t>GST-HG141系一种新型口服乙肝病毒核心蛋白调节剂，针对乙肝病毒复制的多个关键环节产生作用，既能够有效抑制乙肝病毒的核衣壳组装，又通过源头上阻断HBV在肝细胞核脱壳，从而耗竭cccDNA储备池，是乙肝临床治愈的关键环节。GST-HG141在Ib期研究中，单药治疗28d后HBV DNA下降超过3.0 log</w:t>
      </w:r>
      <w:r>
        <w:rPr>
          <w:rFonts w:ascii="宋体" w:hAnsi="宋体"/>
          <w:sz w:val="18"/>
          <w:vertAlign w:val="subscript"/>
        </w:rPr>
        <w:t>10</w:t>
      </w:r>
      <w:r>
        <w:rPr>
          <w:rFonts w:ascii="宋体" w:hAnsi="宋体"/>
          <w:sz w:val="18"/>
        </w:rPr>
        <w:t> IU/mL，HBV pgRNA下降1.71～2.37 log</w:t>
      </w:r>
      <w:r>
        <w:rPr>
          <w:rFonts w:ascii="宋体" w:hAnsi="宋体"/>
          <w:sz w:val="18"/>
          <w:vertAlign w:val="subscript"/>
        </w:rPr>
        <w:t>10</w:t>
      </w:r>
      <w:r>
        <w:rPr>
          <w:rFonts w:ascii="宋体" w:hAnsi="宋体"/>
          <w:sz w:val="18"/>
        </w:rPr>
        <w:t> IU/mL，pgRNA由HBV cccDNA直接转录产生，能够反映cccDNA的水平和转录活性，该结果初步验证了GST-HG141抑制HBV复制和耗竭cccDNA的药理学活性；GST-HG141目前已完成II期临床试验并取得研究总结报告，GST-HG141联合核苷类似物连续治疗24周，血清HBV DNA完全应答率大于80%，血清HBV pgRNA完全抑制率超过55%，高低剂量组HBV DNA低于检测下限的比例达到81.5%和84.0%，远超对照组核苷类似物单药治疗（32.1%），HBV DNA和pgRNA下降幅度均超过1 log</w:t>
      </w:r>
      <w:r>
        <w:rPr>
          <w:rFonts w:ascii="宋体" w:hAnsi="宋体"/>
          <w:sz w:val="18"/>
          <w:vertAlign w:val="subscript"/>
        </w:rPr>
        <w:t>10</w:t>
      </w:r>
      <w:r>
        <w:rPr>
          <w:rFonts w:ascii="宋体" w:hAnsi="宋体"/>
          <w:sz w:val="18"/>
        </w:rPr>
        <w:t>，进一步显示出HBV DNA抑制效果和体内cccDNA耗竭的趋势。综上，GST-HG141的Ib期和II期临床结果显示其安全性良好，具有优异的HBV DNA和pgRNA抑制效果，同时间接体现了对cccDNA的耗竭作用，展现了GST-HG141不同于核苷类似物的作用机制及与核苷类似物的协同效应。2024年12月，GST-HG141纳入国家突破性治疗品种名单。</w:t>
      </w:r>
    </w:p>
    <w:p w14:paraId="62E0AEF4">
      <w:pPr>
        <w:spacing w:before="40" w:after="40"/>
        <w:ind w:left="0" w:right="0" w:firstLine="361"/>
        <w:jc w:val="both"/>
      </w:pPr>
      <w:r>
        <w:rPr>
          <w:rFonts w:ascii="宋体" w:hAnsi="宋体"/>
          <w:sz w:val="18"/>
        </w:rPr>
        <w:t>GST-HG131系乙肝表面抗原抑制剂，具有抑制乙肝表面抗原分泌的创新治疗机制，能够诱导HBV-RNA降解，降低HBsAg水平，且具有良好的安全性。该项目于2020年3月获得临床试验通知书，是我国首个获批临床的乙肝表面抗原（HBsAg）抑制剂，目前Ia期临床试验已完成所有受试者的给药和耐受性、安全性观察。GST-HG131目前处于 IIa 期临床试验研究中，已于2025年1月完成全部患者入组。2025年3月，</w:t>
      </w:r>
      <w:bookmarkStart w:id="15" w:name="OLE_LINK10"/>
      <w:r>
        <w:rPr>
          <w:rFonts w:ascii="宋体" w:hAnsi="宋体"/>
          <w:sz w:val="18"/>
        </w:rPr>
        <w:t>GST-HG131联合GST-HG141</w:t>
      </w:r>
      <w:r>
        <w:rPr>
          <w:rFonts w:hint="eastAsia" w:ascii="宋体" w:hAnsi="宋体"/>
          <w:sz w:val="18"/>
        </w:rPr>
        <w:t>治疗乙肝</w:t>
      </w:r>
      <w:r>
        <w:rPr>
          <w:rFonts w:ascii="宋体" w:hAnsi="宋体"/>
          <w:sz w:val="18"/>
        </w:rPr>
        <w:t>入选国家优化创新药</w:t>
      </w:r>
      <w:r>
        <w:rPr>
          <w:rFonts w:hint="eastAsia" w:ascii="宋体" w:hAnsi="宋体"/>
          <w:sz w:val="18"/>
        </w:rPr>
        <w:t>临床试验</w:t>
      </w:r>
      <w:r>
        <w:rPr>
          <w:rFonts w:ascii="宋体" w:hAnsi="宋体"/>
          <w:sz w:val="18"/>
        </w:rPr>
        <w:t>审评审批试点项目</w:t>
      </w:r>
      <w:bookmarkEnd w:id="15"/>
      <w:r>
        <w:rPr>
          <w:rFonts w:hint="eastAsia" w:ascii="宋体" w:hAnsi="宋体"/>
          <w:sz w:val="18"/>
        </w:rPr>
        <w:t>，其临床试验申请获得受理</w:t>
      </w:r>
      <w:r>
        <w:rPr>
          <w:rFonts w:ascii="宋体" w:hAnsi="宋体"/>
          <w:sz w:val="18"/>
        </w:rPr>
        <w:t>。</w:t>
      </w:r>
    </w:p>
    <w:p w14:paraId="6DB743B3">
      <w:pPr>
        <w:spacing w:before="40" w:after="40"/>
        <w:ind w:left="0" w:right="0" w:firstLine="361"/>
        <w:jc w:val="both"/>
      </w:pPr>
      <w:r>
        <w:rPr>
          <w:rFonts w:ascii="宋体" w:hAnsi="宋体"/>
          <w:sz w:val="18"/>
        </w:rPr>
        <w:t>GST-HG121系乙肝表面抗原抑制剂，基础研究表明其通过降解RNA的方式发挥作用，可有效地抑制HBsAg表达，降低乙肝表面抗原滴度，有望提高乙肝表面抗原转阴率，恢复免疫监视机制。2022年7月，I期临床试验首例受试者成功入组。</w:t>
      </w:r>
    </w:p>
    <w:p w14:paraId="7D8ECBA6">
      <w:pPr>
        <w:spacing w:before="40" w:after="40"/>
        <w:ind w:left="0" w:right="0" w:firstLine="361"/>
        <w:jc w:val="both"/>
      </w:pPr>
      <w:r>
        <w:rPr>
          <w:rFonts w:ascii="宋体" w:hAnsi="宋体"/>
          <w:b/>
          <w:sz w:val="18"/>
        </w:rPr>
        <w:t>（3）新型c-Met靶向药物</w:t>
      </w:r>
    </w:p>
    <w:p w14:paraId="65947198">
      <w:pPr>
        <w:spacing w:before="40" w:after="40"/>
        <w:ind w:left="0" w:right="0" w:firstLine="361"/>
        <w:jc w:val="both"/>
      </w:pPr>
      <w:r>
        <w:rPr>
          <w:rFonts w:ascii="宋体" w:hAnsi="宋体"/>
          <w:sz w:val="18"/>
        </w:rPr>
        <w:t>公司c-Met靶向新药GST-HG161是独特的高选择性靶向抑制药物，自主创新结构全口服小分子化药。临床前研究显示其具有药效显著、靶标选择性好、安全性高、成药性强的特点，它对那些高表达（过度表达）c-Met的肝癌，可能帮助阻止其肝癌的生长和扩散。研究发现，c-Met抑制剂可能不仅对肝细胞癌有效，也可能对胃肠癌、肺癌等有效，具有广阔的市场前景。新型c-Met靶向药物GST-HG161项目已完成临床I期试验剂量递增阶段所有受试者的耐受性和安全性观察，总体安全性良好。GST-HG161已获得世界卫生组织（WHO）国际非专利名称（INN）“Gemnelatinib”和中国药典中文通用名“吉奈替尼”。</w:t>
      </w:r>
      <w:r>
        <w:rPr>
          <w:rFonts w:ascii="宋体" w:hAnsi="宋体"/>
          <w:sz w:val="20"/>
        </w:rPr>
        <w:t> </w:t>
      </w:r>
    </w:p>
    <w:p w14:paraId="773511ED">
      <w:pPr>
        <w:spacing w:before="40" w:after="40"/>
        <w:ind w:left="0" w:right="0" w:firstLine="361"/>
        <w:jc w:val="both"/>
      </w:pPr>
      <w:r>
        <w:rPr>
          <w:rFonts w:ascii="宋体" w:hAnsi="宋体"/>
          <w:b/>
          <w:sz w:val="18"/>
        </w:rPr>
        <w:t>（4）非酒精性脂肪性肝炎及肝纤维化治疗新药</w:t>
      </w:r>
    </w:p>
    <w:p w14:paraId="3F36329A">
      <w:pPr>
        <w:spacing w:before="40" w:after="40"/>
        <w:ind w:left="0" w:right="0" w:firstLine="361"/>
        <w:jc w:val="both"/>
      </w:pPr>
      <w:r>
        <w:rPr>
          <w:rFonts w:ascii="宋体" w:hAnsi="宋体"/>
          <w:sz w:val="18"/>
        </w:rPr>
        <w:t>公司非酒精性脂肪性肝炎及肝纤维化治疗新药GST-HG151具有靶标选择性好、成药性强、药效显著和安全性高的特点，临床前研究展示了其改善肝功能的作用和显著的抗纤维化效果。GST-HG151不仅对NASH引起的肝纤维化有效，而且可能对乙肝病毒及化学性肝损伤引起的肝纤维化有效。GST-HG151项目于2019年4月取得临床试验通知书，I期临床试验首例受试者已于2022年3月11日成功入组给药。</w:t>
      </w:r>
    </w:p>
    <w:p w14:paraId="05429DFC">
      <w:pPr>
        <w:spacing w:before="40" w:after="40"/>
        <w:ind w:left="0" w:right="0" w:firstLine="361"/>
        <w:jc w:val="both"/>
        <w:rPr>
          <w:rFonts w:ascii="宋体" w:hAnsi="宋体"/>
          <w:sz w:val="18"/>
        </w:rPr>
      </w:pPr>
      <w:r>
        <w:rPr>
          <w:rFonts w:ascii="宋体" w:hAnsi="宋体"/>
          <w:sz w:val="18"/>
        </w:rPr>
        <w:t>公司将坚持创新战略、品牌战略、国际化战略，怀揣为人类战胜病毒提供科学解决方案的企业梦想，努力成为中国领先的抗病毒药物研发生产企业。</w:t>
      </w:r>
    </w:p>
    <w:p w14:paraId="436C75ED">
      <w:pPr>
        <w:spacing w:before="119"/>
        <w:ind w:firstLine="361"/>
        <w:rPr>
          <w:rFonts w:hint="eastAsia" w:ascii="宋体" w:hAnsi="宋体"/>
          <w:lang w:val="en-US" w:eastAsia="zh-CN" w:bidi="ar-SA"/>
        </w:rPr>
      </w:pPr>
      <w:r>
        <w:rPr>
          <w:rFonts w:ascii="宋体" w:hAnsi="宋体"/>
          <w:b/>
          <w:sz w:val="18"/>
          <w:lang w:val="en-US" w:eastAsia="zh-CN" w:bidi="ar-SA"/>
        </w:rPr>
        <w:t>（二）经营模式</w:t>
      </w:r>
    </w:p>
    <w:p w14:paraId="51D54CB5">
      <w:pPr>
        <w:spacing w:before="40" w:after="40"/>
        <w:ind w:firstLine="360"/>
        <w:rPr>
          <w:rFonts w:hint="eastAsia" w:ascii="宋体" w:hAnsi="宋体"/>
          <w:lang w:val="en-US" w:eastAsia="zh-CN" w:bidi="ar-SA"/>
        </w:rPr>
      </w:pPr>
      <w:r>
        <w:rPr>
          <w:rFonts w:ascii="宋体" w:hAnsi="宋体"/>
          <w:sz w:val="18"/>
          <w:lang w:val="en-US" w:eastAsia="zh-CN" w:bidi="ar-SA"/>
        </w:rPr>
        <w:t>公司集研发、生产及销售为一体，由公司或下属子公司以自主生产为主、委外生产为辅，主要采取经销、直销和国家集中采购三种销售模式。</w:t>
      </w:r>
    </w:p>
    <w:p w14:paraId="0F9D71A2">
      <w:pPr>
        <w:spacing w:before="40" w:after="40"/>
        <w:ind w:firstLine="360"/>
        <w:rPr>
          <w:rFonts w:hint="eastAsia" w:ascii="宋体" w:hAnsi="宋体"/>
          <w:lang w:val="en-US" w:eastAsia="zh-CN" w:bidi="ar-SA"/>
        </w:rPr>
      </w:pPr>
      <w:r>
        <w:rPr>
          <w:rFonts w:ascii="宋体" w:hAnsi="宋体"/>
          <w:sz w:val="18"/>
          <w:lang w:val="en-US" w:eastAsia="zh-CN" w:bidi="ar-SA"/>
        </w:rPr>
        <w:t>1、经销模式是指经销商买断商品后，在约定的区域内，自行负责医院或药店等销售终端的销售和配送的一种销售模式。</w:t>
      </w:r>
    </w:p>
    <w:p w14:paraId="34332065">
      <w:pPr>
        <w:spacing w:before="40" w:after="40"/>
        <w:ind w:firstLine="360"/>
        <w:rPr>
          <w:rFonts w:hint="eastAsia" w:ascii="宋体" w:hAnsi="宋体"/>
          <w:lang w:val="en-US" w:eastAsia="zh-CN" w:bidi="ar-SA"/>
        </w:rPr>
      </w:pPr>
      <w:r>
        <w:rPr>
          <w:rFonts w:ascii="宋体" w:hAnsi="宋体"/>
          <w:sz w:val="18"/>
          <w:lang w:val="en-US" w:eastAsia="zh-CN" w:bidi="ar-SA"/>
        </w:rPr>
        <w:t>2、直销模式分两种：</w:t>
      </w:r>
    </w:p>
    <w:p w14:paraId="4ADD8BC0">
      <w:pPr>
        <w:spacing w:before="40" w:after="40"/>
        <w:ind w:firstLine="360"/>
        <w:rPr>
          <w:rFonts w:hint="eastAsia" w:ascii="宋体" w:hAnsi="宋体"/>
          <w:lang w:val="en-US" w:eastAsia="zh-CN" w:bidi="ar-SA"/>
        </w:rPr>
      </w:pPr>
      <w:r>
        <w:rPr>
          <w:rFonts w:ascii="宋体" w:hAnsi="宋体"/>
          <w:sz w:val="18"/>
          <w:lang w:val="en-US" w:eastAsia="zh-CN" w:bidi="ar-SA"/>
        </w:rPr>
        <w:t>第一种是指公司采取专业化学术推广的方式，通过公司销售人员开发销售渠道、维护终端，再由配送商购买公司药品，并按照终端需求将药品配送至终端的销售模式；</w:t>
      </w:r>
    </w:p>
    <w:p w14:paraId="74AFD8E6">
      <w:pPr>
        <w:spacing w:before="40" w:after="40"/>
        <w:ind w:firstLine="360"/>
        <w:rPr>
          <w:rFonts w:hint="eastAsia" w:ascii="宋体" w:hAnsi="宋体"/>
          <w:lang w:val="en-US" w:eastAsia="zh-CN" w:bidi="ar-SA"/>
        </w:rPr>
      </w:pPr>
      <w:r>
        <w:rPr>
          <w:rFonts w:ascii="宋体" w:hAnsi="宋体"/>
          <w:sz w:val="18"/>
          <w:lang w:val="en-US" w:eastAsia="zh-CN" w:bidi="ar-SA"/>
        </w:rPr>
        <w:t>第二种是为了适应药品销售“两票制”的要求，在原招商的约定区域内，公司通过原代理商成立的外部销售推广服务公司开发医院或药店等销售终端，并维护终端，按照服务内容和成果支付业务推广费用给外部推广商，再由公司指定的配送商购买公司药品，并按照终端需求将药品配送至终端的销售模式；</w:t>
      </w:r>
    </w:p>
    <w:p w14:paraId="7281AB13">
      <w:pPr>
        <w:spacing w:before="40" w:after="40"/>
        <w:ind w:firstLine="360"/>
        <w:rPr>
          <w:rFonts w:hint="eastAsia" w:ascii="宋体" w:hAnsi="宋体"/>
          <w:lang w:val="en-US" w:eastAsia="zh-CN" w:bidi="ar-SA"/>
        </w:rPr>
      </w:pPr>
      <w:r>
        <w:rPr>
          <w:rFonts w:ascii="宋体" w:hAnsi="宋体"/>
          <w:sz w:val="18"/>
          <w:lang w:val="en-US" w:eastAsia="zh-CN" w:bidi="ar-SA"/>
        </w:rPr>
        <w:t>3、国家集中采购，是指由国家联合采购办公室组织的明确采购数量和采购周期的采购模式，集中采购地区所有公立医疗机构和军队医疗机构全部参加，医保定点社会办医疗机构、医保定点零售药店可自愿参加。各医疗机构根据带量采购价格与中标生产企业签订带量购销合同，中标企业通过配送商将药品直接供应给终端医疗机构。</w:t>
      </w:r>
    </w:p>
    <w:p w14:paraId="6DE81AFA">
      <w:pPr>
        <w:ind w:firstLine="360" w:firstLineChars="200"/>
        <w:rPr>
          <w:rFonts w:hint="eastAsia" w:ascii="宋体" w:hAnsi="宋体"/>
          <w:lang w:val="en-US" w:eastAsia="zh-CN" w:bidi="ar-SA"/>
        </w:rPr>
      </w:pPr>
      <w:r>
        <w:rPr>
          <w:rFonts w:ascii="宋体" w:hAnsi="宋体"/>
          <w:sz w:val="18"/>
          <w:lang w:val="en-US" w:eastAsia="zh-CN" w:bidi="ar-SA"/>
        </w:rPr>
        <w:t>2019年9月，公司恩替卡韦胶囊在第一批全国药品集中采购中成功中标，已于2019年12月开始执行； 2020年1月，公司阿德福韦酯片在第二批全国药品集中采购中成功中标，于2020年4月开始执行； 2021年6月，公司利伐沙班片已中标第五批全国药品集中采购，于2021年10月开始执行。</w:t>
      </w:r>
      <w:r>
        <w:rPr>
          <w:rFonts w:ascii="宋体" w:hAnsi="宋体"/>
          <w:b/>
          <w:sz w:val="18"/>
          <w:lang w:val="en-US" w:eastAsia="zh-CN" w:bidi="ar-SA"/>
        </w:rPr>
        <w:t> </w:t>
      </w:r>
    </w:p>
    <w:p w14:paraId="770C955A">
      <w:pPr>
        <w:ind w:firstLine="361"/>
        <w:rPr>
          <w:rFonts w:hint="eastAsia" w:ascii="宋体" w:hAnsi="宋体"/>
          <w:lang w:val="en-US" w:eastAsia="zh-CN" w:bidi="ar-SA"/>
        </w:rPr>
      </w:pPr>
      <w:r>
        <w:rPr>
          <w:rFonts w:ascii="宋体" w:hAnsi="宋体"/>
          <w:b/>
          <w:sz w:val="18"/>
          <w:lang w:val="en-US" w:eastAsia="zh-CN" w:bidi="ar-SA"/>
        </w:rPr>
        <w:t>（三）公司需遵守《深圳证券交易所上市公司自律监管指引第4号——创业板行业信息披露》中的“药品、生物制品业务”的披露要求</w:t>
      </w:r>
    </w:p>
    <w:p w14:paraId="351D71B9">
      <w:pPr>
        <w:ind w:firstLine="360" w:firstLineChars="200"/>
        <w:rPr>
          <w:rFonts w:ascii="宋体" w:hAnsi="宋体"/>
          <w:sz w:val="18"/>
          <w:lang w:val="en-US" w:eastAsia="zh-CN" w:bidi="ar-SA"/>
        </w:rPr>
      </w:pPr>
      <w:r>
        <w:rPr>
          <w:rFonts w:ascii="宋体" w:hAnsi="宋体"/>
          <w:sz w:val="18"/>
          <w:lang w:val="en-US" w:eastAsia="zh-CN" w:bidi="ar-SA"/>
        </w:rPr>
        <w:t>（1）报告期内，公司重要研发项目的进展及影响情况如下表：</w:t>
      </w:r>
    </w:p>
    <w:tbl>
      <w:tblPr>
        <w:tblStyle w:val="4"/>
        <w:tblW w:w="9443"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820"/>
        <w:gridCol w:w="1340"/>
        <w:gridCol w:w="930"/>
        <w:gridCol w:w="2510"/>
        <w:gridCol w:w="2300"/>
      </w:tblGrid>
      <w:tr w14:paraId="7541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43" w:type="dxa"/>
          </w:tcPr>
          <w:p w14:paraId="141778C5">
            <w:pPr>
              <w:widowControl w:val="0"/>
              <w:spacing w:beforeAutospacing="0" w:afterAutospacing="0"/>
              <w:jc w:val="center"/>
              <w:rPr>
                <w:rFonts w:hint="eastAsia" w:ascii="Times New Roman" w:hAnsi="Times New Roman" w:eastAsia="宋体" w:cs="Times New Roman"/>
                <w:sz w:val="24"/>
                <w:szCs w:val="22"/>
                <w:lang w:val="en-US" w:eastAsia="zh-CN" w:bidi="ar-SA"/>
              </w:rPr>
            </w:pPr>
            <w:bookmarkStart w:id="16" w:name="_Hlk195793390"/>
            <w:r>
              <w:rPr>
                <w:rFonts w:hint="eastAsia" w:ascii="Times New Roman" w:hAnsi="Times New Roman" w:eastAsia="宋体" w:cs="Times New Roman"/>
                <w:color w:val="000000"/>
                <w:sz w:val="18"/>
                <w:szCs w:val="18"/>
                <w:lang w:val="en-US" w:eastAsia="zh-CN" w:bidi="ar-SA"/>
              </w:rPr>
              <w:t>序号</w:t>
            </w:r>
          </w:p>
        </w:tc>
        <w:tc>
          <w:tcPr>
            <w:tcW w:w="1820" w:type="dxa"/>
          </w:tcPr>
          <w:p w14:paraId="2BB2DD69">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项目名称</w:t>
            </w:r>
          </w:p>
        </w:tc>
        <w:tc>
          <w:tcPr>
            <w:tcW w:w="1340" w:type="dxa"/>
          </w:tcPr>
          <w:p w14:paraId="680694EF">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类别</w:t>
            </w:r>
          </w:p>
        </w:tc>
        <w:tc>
          <w:tcPr>
            <w:tcW w:w="930" w:type="dxa"/>
          </w:tcPr>
          <w:p w14:paraId="08D710D1">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研发目标</w:t>
            </w:r>
          </w:p>
        </w:tc>
        <w:tc>
          <w:tcPr>
            <w:tcW w:w="2510" w:type="dxa"/>
          </w:tcPr>
          <w:p w14:paraId="42DB98B5">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进展情况</w:t>
            </w:r>
          </w:p>
        </w:tc>
        <w:tc>
          <w:tcPr>
            <w:tcW w:w="2300" w:type="dxa"/>
          </w:tcPr>
          <w:p w14:paraId="7E6EDA1C">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预计对公司未来发展的影响</w:t>
            </w:r>
          </w:p>
        </w:tc>
      </w:tr>
      <w:tr w14:paraId="2139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3" w:type="dxa"/>
          </w:tcPr>
          <w:p w14:paraId="7F71B292">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ascii="Times New Roman" w:hAnsi="Times New Roman" w:eastAsia="宋体" w:cs="Times New Roman"/>
                <w:color w:val="000000"/>
                <w:sz w:val="18"/>
                <w:szCs w:val="18"/>
                <w:lang w:val="en-US" w:eastAsia="zh-CN" w:bidi="ar-SA"/>
              </w:rPr>
              <w:t>1</w:t>
            </w:r>
          </w:p>
        </w:tc>
        <w:tc>
          <w:tcPr>
            <w:tcW w:w="1820" w:type="dxa"/>
          </w:tcPr>
          <w:p w14:paraId="6BB0595D">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ascii="Times New Roman" w:hAnsi="Times New Roman" w:eastAsia="宋体" w:cs="Times New Roman"/>
                <w:color w:val="000000"/>
                <w:sz w:val="18"/>
                <w:szCs w:val="18"/>
                <w:lang w:val="en-US" w:eastAsia="zh-CN" w:bidi="ar-SA"/>
              </w:rPr>
              <w:t>乙肝治疗创新药GST-HG141</w:t>
            </w:r>
          </w:p>
        </w:tc>
        <w:tc>
          <w:tcPr>
            <w:tcW w:w="1340" w:type="dxa"/>
          </w:tcPr>
          <w:p w14:paraId="1EF6E70D">
            <w:pPr>
              <w:widowControl w:val="0"/>
              <w:spacing w:beforeAutospacing="0" w:afterAutospacing="0"/>
              <w:jc w:val="left"/>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抗病毒</w:t>
            </w:r>
          </w:p>
        </w:tc>
        <w:tc>
          <w:tcPr>
            <w:tcW w:w="930" w:type="dxa"/>
          </w:tcPr>
          <w:p w14:paraId="12C55413">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取得药品批准文号</w:t>
            </w:r>
          </w:p>
        </w:tc>
        <w:tc>
          <w:tcPr>
            <w:tcW w:w="2510" w:type="dxa"/>
          </w:tcPr>
          <w:p w14:paraId="058E08C6">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ascii="宋体" w:hAnsi="宋体" w:eastAsia="宋体" w:cs="宋体"/>
                <w:sz w:val="18"/>
                <w:szCs w:val="18"/>
                <w:lang w:val="en-US" w:eastAsia="zh-CN" w:bidi="ar-SA"/>
              </w:rPr>
              <w:t>已完成II期临床试验并取得研究总结报告，临床III期试验准备中</w:t>
            </w:r>
          </w:p>
        </w:tc>
        <w:tc>
          <w:tcPr>
            <w:tcW w:w="2300" w:type="dxa"/>
          </w:tcPr>
          <w:p w14:paraId="403E3887">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创新药品种，增强乙肝治疗领域的市场竞争力</w:t>
            </w:r>
          </w:p>
        </w:tc>
      </w:tr>
      <w:tr w14:paraId="581A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43" w:type="dxa"/>
          </w:tcPr>
          <w:p w14:paraId="5F84769A">
            <w:pPr>
              <w:widowControl w:val="0"/>
              <w:spacing w:beforeAutospacing="0" w:afterAutospacing="0"/>
              <w:jc w:val="center"/>
              <w:rPr>
                <w:rFonts w:ascii="Times New Roman" w:hAnsi="Times New Roman" w:eastAsia="宋体" w:cs="Times New Roman"/>
                <w:color w:val="000000"/>
                <w:sz w:val="18"/>
                <w:szCs w:val="18"/>
                <w:lang w:val="en-US" w:eastAsia="zh-CN" w:bidi="ar-SA"/>
              </w:rPr>
            </w:pPr>
            <w:r>
              <w:rPr>
                <w:rFonts w:ascii="Times New Roman" w:hAnsi="Times New Roman" w:eastAsia="宋体" w:cs="Times New Roman"/>
                <w:color w:val="000000"/>
                <w:sz w:val="18"/>
                <w:szCs w:val="18"/>
                <w:lang w:val="en-US" w:eastAsia="zh-CN" w:bidi="ar-SA"/>
              </w:rPr>
              <w:t>2</w:t>
            </w:r>
          </w:p>
        </w:tc>
        <w:tc>
          <w:tcPr>
            <w:tcW w:w="1820" w:type="dxa"/>
          </w:tcPr>
          <w:p w14:paraId="4829C0AD">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乙肝治疗创新药</w:t>
            </w:r>
            <w:r>
              <w:rPr>
                <w:rFonts w:ascii="Times New Roman" w:hAnsi="Times New Roman" w:eastAsia="宋体" w:cs="Times New Roman"/>
                <w:color w:val="000000"/>
                <w:sz w:val="18"/>
                <w:szCs w:val="18"/>
                <w:lang w:val="en-US" w:eastAsia="zh-CN" w:bidi="ar-SA"/>
              </w:rPr>
              <w:t>GST-HG131</w:t>
            </w:r>
          </w:p>
        </w:tc>
        <w:tc>
          <w:tcPr>
            <w:tcW w:w="1340" w:type="dxa"/>
          </w:tcPr>
          <w:p w14:paraId="69376B1F">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抗病毒</w:t>
            </w:r>
          </w:p>
        </w:tc>
        <w:tc>
          <w:tcPr>
            <w:tcW w:w="930" w:type="dxa"/>
          </w:tcPr>
          <w:p w14:paraId="0C55EB02">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取得药品批准文号</w:t>
            </w:r>
          </w:p>
        </w:tc>
        <w:tc>
          <w:tcPr>
            <w:tcW w:w="2510" w:type="dxa"/>
          </w:tcPr>
          <w:p w14:paraId="6C1D0FFF">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ascii="Times New Roman" w:hAnsi="Times New Roman" w:eastAsia="宋体" w:cs="Times New Roman"/>
                <w:color w:val="000000"/>
                <w:sz w:val="18"/>
                <w:szCs w:val="18"/>
                <w:lang w:val="en-US" w:eastAsia="zh-CN" w:bidi="ar-SA"/>
              </w:rPr>
              <w:t xml:space="preserve"> IIa </w:t>
            </w:r>
            <w:r>
              <w:rPr>
                <w:rFonts w:hint="eastAsia" w:ascii="Times New Roman" w:hAnsi="Times New Roman" w:eastAsia="宋体" w:cs="Times New Roman"/>
                <w:color w:val="000000"/>
                <w:sz w:val="18"/>
                <w:szCs w:val="18"/>
                <w:lang w:val="en-US" w:eastAsia="zh-CN" w:bidi="ar-SA"/>
              </w:rPr>
              <w:t>期临床试验研究中，已完成全部患者入组</w:t>
            </w:r>
          </w:p>
        </w:tc>
        <w:tc>
          <w:tcPr>
            <w:tcW w:w="2300" w:type="dxa"/>
          </w:tcPr>
          <w:p w14:paraId="7A954B46">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创新药品种，增强乙肝治疗领域的市场竞争力</w:t>
            </w:r>
          </w:p>
        </w:tc>
      </w:tr>
      <w:tr w14:paraId="036F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43" w:type="dxa"/>
          </w:tcPr>
          <w:p w14:paraId="68A20689">
            <w:pPr>
              <w:widowControl w:val="0"/>
              <w:spacing w:beforeAutospacing="0" w:afterAutospacing="0"/>
              <w:jc w:val="center"/>
              <w:rPr>
                <w:rFonts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3</w:t>
            </w:r>
          </w:p>
        </w:tc>
        <w:tc>
          <w:tcPr>
            <w:tcW w:w="1820" w:type="dxa"/>
          </w:tcPr>
          <w:p w14:paraId="2068C89A">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ascii="宋体" w:hAnsi="宋体" w:eastAsia="宋体" w:cs="宋体"/>
                <w:sz w:val="18"/>
                <w:szCs w:val="18"/>
                <w:lang w:val="en-US" w:eastAsia="zh-CN" w:bidi="ar-SA"/>
              </w:rPr>
              <w:t>乙肝治疗创新药GST-HG131联合GST-HG141</w:t>
            </w:r>
          </w:p>
        </w:tc>
        <w:tc>
          <w:tcPr>
            <w:tcW w:w="1340" w:type="dxa"/>
          </w:tcPr>
          <w:p w14:paraId="28714703">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抗病毒</w:t>
            </w:r>
          </w:p>
        </w:tc>
        <w:tc>
          <w:tcPr>
            <w:tcW w:w="930" w:type="dxa"/>
          </w:tcPr>
          <w:p w14:paraId="2CFA5F32">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取得药品批准文号</w:t>
            </w:r>
          </w:p>
        </w:tc>
        <w:tc>
          <w:tcPr>
            <w:tcW w:w="2510" w:type="dxa"/>
          </w:tcPr>
          <w:p w14:paraId="7F941D5C">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已入选优化创新药临床试验审评审批试点项目，且临床试验申请已获受理</w:t>
            </w:r>
          </w:p>
        </w:tc>
        <w:tc>
          <w:tcPr>
            <w:tcW w:w="2300" w:type="dxa"/>
          </w:tcPr>
          <w:p w14:paraId="34B7DFD2">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创新药品种，增强乙肝治疗领域的市场竞争力</w:t>
            </w:r>
          </w:p>
        </w:tc>
      </w:tr>
      <w:tr w14:paraId="7892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3" w:type="dxa"/>
          </w:tcPr>
          <w:p w14:paraId="4D4B7C3A">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4</w:t>
            </w:r>
          </w:p>
        </w:tc>
        <w:tc>
          <w:tcPr>
            <w:tcW w:w="1820" w:type="dxa"/>
          </w:tcPr>
          <w:p w14:paraId="142EFC48">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ascii="宋体" w:hAnsi="宋体" w:eastAsia="宋体" w:cs="宋体"/>
                <w:sz w:val="18"/>
                <w:szCs w:val="18"/>
                <w:lang w:val="en-US" w:eastAsia="zh-CN" w:bidi="ar-SA"/>
              </w:rPr>
              <w:t>乙肝治疗创新药GST-HG121</w:t>
            </w:r>
          </w:p>
        </w:tc>
        <w:tc>
          <w:tcPr>
            <w:tcW w:w="1340" w:type="dxa"/>
          </w:tcPr>
          <w:p w14:paraId="7FB34509">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抗病毒</w:t>
            </w:r>
          </w:p>
        </w:tc>
        <w:tc>
          <w:tcPr>
            <w:tcW w:w="930" w:type="dxa"/>
          </w:tcPr>
          <w:p w14:paraId="4EDEDE3E">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取得药品批准文号</w:t>
            </w:r>
          </w:p>
        </w:tc>
        <w:tc>
          <w:tcPr>
            <w:tcW w:w="2510" w:type="dxa"/>
          </w:tcPr>
          <w:p w14:paraId="0667E013">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临床I期研究中</w:t>
            </w:r>
          </w:p>
        </w:tc>
        <w:tc>
          <w:tcPr>
            <w:tcW w:w="2300" w:type="dxa"/>
          </w:tcPr>
          <w:p w14:paraId="53AC7564">
            <w:pPr>
              <w:widowControl w:val="0"/>
              <w:spacing w:beforeAutospacing="0" w:afterAutospacing="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创新药品种，增强乙肝治疗领域的市场竞争力</w:t>
            </w:r>
          </w:p>
        </w:tc>
      </w:tr>
      <w:tr w14:paraId="4D4C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543" w:type="dxa"/>
          </w:tcPr>
          <w:p w14:paraId="61E1D3CE">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5</w:t>
            </w:r>
          </w:p>
        </w:tc>
        <w:tc>
          <w:tcPr>
            <w:tcW w:w="1820" w:type="dxa"/>
          </w:tcPr>
          <w:p w14:paraId="4C91A3F8">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非酒精性脂肪性肝炎及肝纤维化治疗新药</w:t>
            </w:r>
            <w:r>
              <w:rPr>
                <w:rFonts w:ascii="Times New Roman" w:hAnsi="Times New Roman" w:eastAsia="宋体" w:cs="Times New Roman"/>
                <w:color w:val="000000"/>
                <w:sz w:val="18"/>
                <w:szCs w:val="18"/>
                <w:lang w:val="en-US" w:eastAsia="zh-CN" w:bidi="ar-SA"/>
              </w:rPr>
              <w:t>GST-HG151</w:t>
            </w:r>
          </w:p>
        </w:tc>
        <w:tc>
          <w:tcPr>
            <w:tcW w:w="1340" w:type="dxa"/>
          </w:tcPr>
          <w:p w14:paraId="6A601347">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治疗非酒精性脂肪肝</w:t>
            </w:r>
          </w:p>
        </w:tc>
        <w:tc>
          <w:tcPr>
            <w:tcW w:w="930" w:type="dxa"/>
          </w:tcPr>
          <w:p w14:paraId="0313A410">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取得药品批准文号</w:t>
            </w:r>
          </w:p>
        </w:tc>
        <w:tc>
          <w:tcPr>
            <w:tcW w:w="2510" w:type="dxa"/>
          </w:tcPr>
          <w:p w14:paraId="4FEC8669">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临床</w:t>
            </w:r>
            <w:r>
              <w:rPr>
                <w:rFonts w:ascii="Times New Roman" w:hAnsi="Times New Roman" w:eastAsia="宋体" w:cs="Times New Roman"/>
                <w:color w:val="000000"/>
                <w:sz w:val="18"/>
                <w:szCs w:val="18"/>
                <w:lang w:val="en-US" w:eastAsia="zh-CN" w:bidi="ar-SA"/>
              </w:rPr>
              <w:t>I</w:t>
            </w:r>
            <w:r>
              <w:rPr>
                <w:rFonts w:hint="eastAsia" w:ascii="Times New Roman" w:hAnsi="Times New Roman" w:eastAsia="宋体" w:cs="Times New Roman"/>
                <w:color w:val="000000"/>
                <w:sz w:val="18"/>
                <w:szCs w:val="18"/>
                <w:lang w:val="en-US" w:eastAsia="zh-CN" w:bidi="ar-SA"/>
              </w:rPr>
              <w:t>期研究中</w:t>
            </w:r>
          </w:p>
        </w:tc>
        <w:tc>
          <w:tcPr>
            <w:tcW w:w="2300" w:type="dxa"/>
          </w:tcPr>
          <w:p w14:paraId="08880EA6">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创新药品种，增强肝病治疗领域的市场竞争力</w:t>
            </w:r>
          </w:p>
        </w:tc>
      </w:tr>
      <w:tr w14:paraId="17B0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3" w:type="dxa"/>
          </w:tcPr>
          <w:p w14:paraId="432F6D01">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ascii="Times New Roman" w:hAnsi="Times New Roman" w:eastAsia="宋体" w:cs="Times New Roman"/>
                <w:color w:val="000000"/>
                <w:sz w:val="18"/>
                <w:szCs w:val="18"/>
                <w:lang w:val="en-US" w:eastAsia="zh-CN" w:bidi="ar-SA"/>
              </w:rPr>
              <w:t>5</w:t>
            </w:r>
          </w:p>
        </w:tc>
        <w:tc>
          <w:tcPr>
            <w:tcW w:w="1820" w:type="dxa"/>
          </w:tcPr>
          <w:p w14:paraId="327C43F6">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新型</w:t>
            </w:r>
            <w:r>
              <w:rPr>
                <w:rFonts w:ascii="Times New Roman" w:hAnsi="Times New Roman" w:eastAsia="宋体" w:cs="Times New Roman"/>
                <w:color w:val="000000"/>
                <w:sz w:val="18"/>
                <w:szCs w:val="18"/>
                <w:lang w:val="en-US" w:eastAsia="zh-CN" w:bidi="ar-SA"/>
              </w:rPr>
              <w:t>c-Met</w:t>
            </w:r>
            <w:r>
              <w:rPr>
                <w:rFonts w:hint="eastAsia" w:ascii="Times New Roman" w:hAnsi="Times New Roman" w:eastAsia="宋体" w:cs="Times New Roman"/>
                <w:color w:val="000000"/>
                <w:sz w:val="18"/>
                <w:szCs w:val="18"/>
                <w:lang w:val="en-US" w:eastAsia="zh-CN" w:bidi="ar-SA"/>
              </w:rPr>
              <w:t>靶向药物</w:t>
            </w:r>
            <w:r>
              <w:rPr>
                <w:rFonts w:ascii="Times New Roman" w:hAnsi="Times New Roman" w:eastAsia="宋体" w:cs="Times New Roman"/>
                <w:color w:val="000000"/>
                <w:sz w:val="18"/>
                <w:szCs w:val="18"/>
                <w:lang w:val="en-US" w:eastAsia="zh-CN" w:bidi="ar-SA"/>
              </w:rPr>
              <w:t>GST-HG161</w:t>
            </w:r>
          </w:p>
        </w:tc>
        <w:tc>
          <w:tcPr>
            <w:tcW w:w="1340" w:type="dxa"/>
          </w:tcPr>
          <w:p w14:paraId="49075A7B">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抗肿瘤</w:t>
            </w:r>
          </w:p>
        </w:tc>
        <w:tc>
          <w:tcPr>
            <w:tcW w:w="930" w:type="dxa"/>
          </w:tcPr>
          <w:p w14:paraId="3FC4B4E8">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取得药品批准文号</w:t>
            </w:r>
          </w:p>
        </w:tc>
        <w:tc>
          <w:tcPr>
            <w:tcW w:w="2510" w:type="dxa"/>
          </w:tcPr>
          <w:p w14:paraId="7BA9E761">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Ib期多中心扩展阶段临床试验研究已结束</w:t>
            </w:r>
          </w:p>
        </w:tc>
        <w:tc>
          <w:tcPr>
            <w:tcW w:w="2300" w:type="dxa"/>
          </w:tcPr>
          <w:p w14:paraId="4EE310EA">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创新药品种，增强肝病治疗领域的市场竞争力</w:t>
            </w:r>
          </w:p>
        </w:tc>
      </w:tr>
      <w:tr w14:paraId="178B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3" w:type="dxa"/>
          </w:tcPr>
          <w:p w14:paraId="414836C2">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ascii="Times New Roman" w:hAnsi="Times New Roman" w:eastAsia="宋体" w:cs="Times New Roman"/>
                <w:color w:val="000000"/>
                <w:sz w:val="18"/>
                <w:szCs w:val="18"/>
                <w:lang w:val="en-US" w:eastAsia="zh-CN" w:bidi="ar-SA"/>
              </w:rPr>
              <w:t>6</w:t>
            </w:r>
          </w:p>
        </w:tc>
        <w:tc>
          <w:tcPr>
            <w:tcW w:w="1820" w:type="dxa"/>
          </w:tcPr>
          <w:p w14:paraId="2F9F4D12">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硫酸羟氯喹片</w:t>
            </w:r>
          </w:p>
        </w:tc>
        <w:tc>
          <w:tcPr>
            <w:tcW w:w="1340" w:type="dxa"/>
          </w:tcPr>
          <w:p w14:paraId="0B88E8B8">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免疫系统药物</w:t>
            </w:r>
          </w:p>
        </w:tc>
        <w:tc>
          <w:tcPr>
            <w:tcW w:w="930" w:type="dxa"/>
          </w:tcPr>
          <w:p w14:paraId="5862AC24">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取得药品批准文号</w:t>
            </w:r>
          </w:p>
        </w:tc>
        <w:tc>
          <w:tcPr>
            <w:tcW w:w="2510" w:type="dxa"/>
          </w:tcPr>
          <w:p w14:paraId="21736589">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2025年1月已获批上市，药品批准文号：国药准字H20253089</w:t>
            </w:r>
          </w:p>
        </w:tc>
        <w:tc>
          <w:tcPr>
            <w:tcW w:w="2300" w:type="dxa"/>
          </w:tcPr>
          <w:p w14:paraId="4EED4B0E">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丰富产品线，增强市场竞争力</w:t>
            </w:r>
          </w:p>
        </w:tc>
      </w:tr>
      <w:tr w14:paraId="4E33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43" w:type="dxa"/>
          </w:tcPr>
          <w:p w14:paraId="62E713AC">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ascii="Times New Roman" w:hAnsi="Times New Roman" w:eastAsia="宋体" w:cs="Times New Roman"/>
                <w:color w:val="000000"/>
                <w:sz w:val="18"/>
                <w:szCs w:val="18"/>
                <w:lang w:val="en-US" w:eastAsia="zh-CN" w:bidi="ar-SA"/>
              </w:rPr>
              <w:t>7</w:t>
            </w:r>
          </w:p>
        </w:tc>
        <w:tc>
          <w:tcPr>
            <w:tcW w:w="1820" w:type="dxa"/>
          </w:tcPr>
          <w:p w14:paraId="28998AA8">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熊去氧胆酸</w:t>
            </w:r>
            <w:r>
              <w:rPr>
                <w:rFonts w:ascii="Times New Roman" w:hAnsi="Times New Roman" w:eastAsia="宋体" w:cs="Times New Roman"/>
                <w:sz w:val="21"/>
                <w:szCs w:val="21"/>
                <w:lang w:val="en-US" w:eastAsia="zh-CN" w:bidi="ar-SA"/>
              </w:rPr>
              <w:br w:type="textWrapping"/>
            </w:r>
            <w:r>
              <w:rPr>
                <w:rFonts w:hint="eastAsia" w:ascii="Times New Roman" w:hAnsi="Times New Roman" w:eastAsia="宋体" w:cs="Times New Roman"/>
                <w:color w:val="000000"/>
                <w:sz w:val="18"/>
                <w:szCs w:val="18"/>
                <w:lang w:val="en-US" w:eastAsia="zh-CN" w:bidi="ar-SA"/>
              </w:rPr>
              <w:t>胶囊</w:t>
            </w:r>
          </w:p>
        </w:tc>
        <w:tc>
          <w:tcPr>
            <w:tcW w:w="1340" w:type="dxa"/>
          </w:tcPr>
          <w:p w14:paraId="4C927BE8">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消化类</w:t>
            </w:r>
          </w:p>
        </w:tc>
        <w:tc>
          <w:tcPr>
            <w:tcW w:w="930" w:type="dxa"/>
          </w:tcPr>
          <w:p w14:paraId="58E9356B">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取得药品批准文号</w:t>
            </w:r>
          </w:p>
        </w:tc>
        <w:tc>
          <w:tcPr>
            <w:tcW w:w="2510" w:type="dxa"/>
          </w:tcPr>
          <w:p w14:paraId="568EA998">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ascii="Times New Roman" w:hAnsi="Times New Roman" w:eastAsia="宋体" w:cs="Times New Roman"/>
                <w:color w:val="000000"/>
                <w:sz w:val="18"/>
                <w:szCs w:val="18"/>
                <w:lang w:val="en-US" w:eastAsia="zh-CN" w:bidi="ar-SA"/>
              </w:rPr>
              <w:t>2024</w:t>
            </w:r>
            <w:r>
              <w:rPr>
                <w:rFonts w:hint="eastAsia" w:ascii="Times New Roman" w:hAnsi="Times New Roman" w:eastAsia="宋体" w:cs="Times New Roman"/>
                <w:color w:val="000000"/>
                <w:sz w:val="18"/>
                <w:szCs w:val="18"/>
                <w:lang w:val="en-US" w:eastAsia="zh-CN" w:bidi="ar-SA"/>
              </w:rPr>
              <w:t>年</w:t>
            </w:r>
            <w:r>
              <w:rPr>
                <w:rFonts w:ascii="Times New Roman" w:hAnsi="Times New Roman" w:eastAsia="宋体" w:cs="Times New Roman"/>
                <w:color w:val="000000"/>
                <w:sz w:val="18"/>
                <w:szCs w:val="18"/>
                <w:lang w:val="en-US" w:eastAsia="zh-CN" w:bidi="ar-SA"/>
              </w:rPr>
              <w:t>5</w:t>
            </w:r>
            <w:r>
              <w:rPr>
                <w:rFonts w:hint="eastAsia" w:ascii="Times New Roman" w:hAnsi="Times New Roman" w:eastAsia="宋体" w:cs="Times New Roman"/>
                <w:color w:val="000000"/>
                <w:sz w:val="18"/>
                <w:szCs w:val="18"/>
                <w:lang w:val="en-US" w:eastAsia="zh-CN" w:bidi="ar-SA"/>
              </w:rPr>
              <w:t>月已获批上市，</w:t>
            </w:r>
          </w:p>
          <w:p w14:paraId="2922B654">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药品批准文号：国药准字</w:t>
            </w:r>
            <w:r>
              <w:rPr>
                <w:rFonts w:ascii="Times New Roman" w:hAnsi="Times New Roman" w:eastAsia="宋体" w:cs="Times New Roman"/>
                <w:color w:val="000000"/>
                <w:sz w:val="18"/>
                <w:szCs w:val="18"/>
                <w:lang w:val="en-US" w:eastAsia="zh-CN" w:bidi="ar-SA"/>
              </w:rPr>
              <w:t xml:space="preserve"> H20243705</w:t>
            </w:r>
          </w:p>
        </w:tc>
        <w:tc>
          <w:tcPr>
            <w:tcW w:w="2300" w:type="dxa"/>
          </w:tcPr>
          <w:p w14:paraId="0D29FB82">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拓展公司保肝护肝领域产品系列，进一步丰富公司产品管线，实现产业链的协同和延伸。</w:t>
            </w:r>
          </w:p>
        </w:tc>
      </w:tr>
      <w:tr w14:paraId="5011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3" w:type="dxa"/>
          </w:tcPr>
          <w:p w14:paraId="4A12C657">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ascii="Times New Roman" w:hAnsi="Times New Roman" w:eastAsia="宋体" w:cs="Times New Roman"/>
                <w:color w:val="000000"/>
                <w:sz w:val="18"/>
                <w:szCs w:val="18"/>
                <w:lang w:val="en-US" w:eastAsia="zh-CN" w:bidi="ar-SA"/>
              </w:rPr>
              <w:t>8</w:t>
            </w:r>
          </w:p>
        </w:tc>
        <w:tc>
          <w:tcPr>
            <w:tcW w:w="1820" w:type="dxa"/>
          </w:tcPr>
          <w:p w14:paraId="075F5A8F">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硫酸氢氯吡格雷阿司匹林片</w:t>
            </w:r>
          </w:p>
        </w:tc>
        <w:tc>
          <w:tcPr>
            <w:tcW w:w="1340" w:type="dxa"/>
          </w:tcPr>
          <w:p w14:paraId="5121FDD3">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心血管类</w:t>
            </w:r>
          </w:p>
        </w:tc>
        <w:tc>
          <w:tcPr>
            <w:tcW w:w="930" w:type="dxa"/>
          </w:tcPr>
          <w:p w14:paraId="507F0003">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取得药品批准文号</w:t>
            </w:r>
          </w:p>
        </w:tc>
        <w:tc>
          <w:tcPr>
            <w:tcW w:w="2510" w:type="dxa"/>
          </w:tcPr>
          <w:p w14:paraId="340D919D">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注册申报前补充研究进行中</w:t>
            </w:r>
          </w:p>
        </w:tc>
        <w:tc>
          <w:tcPr>
            <w:tcW w:w="2300" w:type="dxa"/>
          </w:tcPr>
          <w:p w14:paraId="0CC3C34C">
            <w:pPr>
              <w:widowControl w:val="0"/>
              <w:spacing w:beforeAutospacing="0" w:afterAutospacing="0"/>
              <w:jc w:val="center"/>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color w:val="000000"/>
                <w:sz w:val="18"/>
                <w:szCs w:val="18"/>
                <w:lang w:val="en-US" w:eastAsia="zh-CN" w:bidi="ar-SA"/>
              </w:rPr>
              <w:t>丰富高端仿制药产品管线，助力公司建立产品差异化竞争优势</w:t>
            </w:r>
          </w:p>
        </w:tc>
      </w:tr>
      <w:bookmarkEnd w:id="16"/>
    </w:tbl>
    <w:p w14:paraId="082930F1">
      <w:pPr>
        <w:ind w:firstLine="360" w:firstLineChars="200"/>
        <w:rPr>
          <w:rFonts w:hint="eastAsia" w:ascii="宋体" w:hAnsi="宋体"/>
          <w:lang w:val="en-US" w:eastAsia="zh-CN" w:bidi="ar-SA"/>
        </w:rPr>
      </w:pPr>
      <w:r>
        <w:rPr>
          <w:rFonts w:ascii="宋体" w:hAnsi="宋体"/>
          <w:sz w:val="18"/>
          <w:lang w:val="en-US" w:eastAsia="zh-CN" w:bidi="ar-SA"/>
        </w:rPr>
        <w:t>（2）</w:t>
      </w:r>
      <w:r>
        <w:rPr>
          <w:rFonts w:hint="eastAsia" w:ascii="宋体" w:hAnsi="宋体"/>
          <w:sz w:val="18"/>
          <w:lang w:val="en-US" w:eastAsia="zh-CN" w:bidi="ar-SA"/>
        </w:rPr>
        <w:t>报告期内，公司创新药泰中定通过国家医保谈判，首次成功纳入正式《国家基本医疗保险、工伤保险和生育保险药品目录》。泰中定，化学药品1类，用于治疗轻型、中型新型冠状病毒感染（COVID19）的成年患者。</w:t>
      </w:r>
      <w:r>
        <w:rPr>
          <w:rFonts w:ascii="宋体" w:hAnsi="宋体"/>
          <w:sz w:val="18"/>
          <w:lang w:val="en-US" w:eastAsia="zh-CN" w:bidi="ar-SA"/>
        </w:rPr>
        <w:t>。</w:t>
      </w:r>
    </w:p>
    <w:p w14:paraId="3FA2ED27">
      <w:pPr>
        <w:ind w:firstLine="360" w:firstLineChars="200"/>
        <w:rPr>
          <w:rFonts w:hint="eastAsia" w:ascii="宋体" w:hAnsi="宋体"/>
          <w:lang w:val="en-US" w:eastAsia="zh-CN" w:bidi="ar-SA"/>
        </w:rPr>
      </w:pPr>
      <w:r>
        <w:rPr>
          <w:rFonts w:ascii="宋体" w:hAnsi="宋体"/>
          <w:sz w:val="18"/>
          <w:lang w:val="en-US" w:eastAsia="zh-CN" w:bidi="ar-SA"/>
        </w:rPr>
        <w:t>（3）报告期及去年同期销售额占公司同期主营业务收入10%以上的主要药品名称、适应症或者功能主治、发明专利起止期限、所属注册分类、是否属于中药保护品种等情况如下表：</w:t>
      </w:r>
    </w:p>
    <w:tbl>
      <w:tblPr>
        <w:tblStyle w:val="4"/>
        <w:tblW w:w="9653" w:type="dxa"/>
        <w:tblInd w:w="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05"/>
        <w:gridCol w:w="1684"/>
        <w:gridCol w:w="4101"/>
        <w:gridCol w:w="1360"/>
        <w:gridCol w:w="730"/>
        <w:gridCol w:w="873"/>
      </w:tblGrid>
      <w:tr w14:paraId="6176D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8" w:hRule="atLeast"/>
        </w:trPr>
        <w:tc>
          <w:tcPr>
            <w:tcW w:w="905" w:type="dxa"/>
            <w:tcBorders>
              <w:top w:val="single" w:color="000000" w:sz="8" w:space="0"/>
              <w:left w:val="single" w:color="000000" w:sz="8" w:space="0"/>
              <w:bottom w:val="single" w:color="000000" w:sz="8" w:space="0"/>
              <w:right w:val="single" w:color="000000" w:sz="8" w:space="0"/>
            </w:tcBorders>
            <w:shd w:val="clear" w:color="auto" w:fill="C0C0C0"/>
            <w:tcMar>
              <w:top w:w="0" w:type="dxa"/>
              <w:left w:w="108" w:type="dxa"/>
              <w:bottom w:w="0" w:type="dxa"/>
              <w:right w:w="108" w:type="dxa"/>
            </w:tcMar>
            <w:vAlign w:val="center"/>
          </w:tcPr>
          <w:p w14:paraId="6411FF19">
            <w:pPr>
              <w:spacing w:before="40" w:after="40"/>
              <w:jc w:val="center"/>
              <w:rPr>
                <w:rFonts w:hint="eastAsia" w:ascii="宋体" w:hAnsi="宋体"/>
                <w:lang w:val="en-US" w:eastAsia="zh-CN" w:bidi="ar-SA"/>
              </w:rPr>
            </w:pPr>
            <w:r>
              <w:rPr>
                <w:rFonts w:ascii="宋体" w:hAnsi="宋体"/>
                <w:b/>
                <w:color w:val="000000"/>
                <w:sz w:val="18"/>
                <w:lang w:val="en-US" w:eastAsia="zh-CN" w:bidi="ar-SA"/>
              </w:rPr>
              <w:t>药品名称</w:t>
            </w:r>
          </w:p>
        </w:tc>
        <w:tc>
          <w:tcPr>
            <w:tcW w:w="1684" w:type="dxa"/>
            <w:tcBorders>
              <w:top w:val="single" w:color="000000" w:sz="8" w:space="0"/>
              <w:bottom w:val="single" w:color="000000" w:sz="8" w:space="0"/>
              <w:right w:val="single" w:color="000000" w:sz="8" w:space="0"/>
            </w:tcBorders>
            <w:shd w:val="clear" w:color="auto" w:fill="C0C0C0"/>
            <w:tcMar>
              <w:top w:w="0" w:type="dxa"/>
              <w:left w:w="108" w:type="dxa"/>
              <w:bottom w:w="0" w:type="dxa"/>
              <w:right w:w="108" w:type="dxa"/>
            </w:tcMar>
            <w:vAlign w:val="center"/>
          </w:tcPr>
          <w:p w14:paraId="5E8E51A9">
            <w:pPr>
              <w:spacing w:before="40" w:after="40"/>
              <w:jc w:val="center"/>
              <w:rPr>
                <w:rFonts w:hint="eastAsia" w:ascii="宋体" w:hAnsi="宋体"/>
                <w:lang w:val="en-US" w:eastAsia="zh-CN" w:bidi="ar-SA"/>
              </w:rPr>
            </w:pPr>
            <w:r>
              <w:rPr>
                <w:rFonts w:ascii="宋体" w:hAnsi="宋体"/>
                <w:b/>
                <w:color w:val="000000"/>
                <w:sz w:val="18"/>
                <w:lang w:val="en-US" w:eastAsia="zh-CN" w:bidi="ar-SA"/>
              </w:rPr>
              <w:t>适应症或者</w:t>
            </w:r>
          </w:p>
          <w:p w14:paraId="43F147AB">
            <w:pPr>
              <w:spacing w:before="40" w:after="40"/>
              <w:jc w:val="center"/>
              <w:rPr>
                <w:rFonts w:hint="eastAsia" w:ascii="宋体" w:hAnsi="宋体"/>
                <w:lang w:val="en-US" w:eastAsia="zh-CN" w:bidi="ar-SA"/>
              </w:rPr>
            </w:pPr>
            <w:r>
              <w:rPr>
                <w:rFonts w:ascii="宋体" w:hAnsi="宋体"/>
                <w:b/>
                <w:color w:val="000000"/>
                <w:sz w:val="18"/>
                <w:lang w:val="en-US" w:eastAsia="zh-CN" w:bidi="ar-SA"/>
              </w:rPr>
              <w:t>功能主治</w:t>
            </w:r>
          </w:p>
        </w:tc>
        <w:tc>
          <w:tcPr>
            <w:tcW w:w="4101" w:type="dxa"/>
            <w:tcBorders>
              <w:top w:val="single" w:color="000000" w:sz="8" w:space="0"/>
              <w:bottom w:val="single" w:color="000000" w:sz="8" w:space="0"/>
              <w:right w:val="single" w:color="000000" w:sz="8" w:space="0"/>
            </w:tcBorders>
            <w:shd w:val="clear" w:color="auto" w:fill="C0C0C0"/>
            <w:tcMar>
              <w:top w:w="0" w:type="dxa"/>
              <w:left w:w="108" w:type="dxa"/>
              <w:bottom w:w="0" w:type="dxa"/>
              <w:right w:w="108" w:type="dxa"/>
            </w:tcMar>
            <w:vAlign w:val="center"/>
          </w:tcPr>
          <w:p w14:paraId="79CE0136">
            <w:pPr>
              <w:spacing w:before="40" w:after="40"/>
              <w:jc w:val="center"/>
              <w:rPr>
                <w:rFonts w:hint="eastAsia" w:ascii="宋体" w:hAnsi="宋体"/>
                <w:lang w:val="en-US" w:eastAsia="zh-CN" w:bidi="ar-SA"/>
              </w:rPr>
            </w:pPr>
            <w:r>
              <w:rPr>
                <w:rFonts w:ascii="宋体" w:hAnsi="宋体"/>
                <w:b/>
                <w:color w:val="000000"/>
                <w:sz w:val="18"/>
                <w:lang w:val="en-US" w:eastAsia="zh-CN" w:bidi="ar-SA"/>
              </w:rPr>
              <w:t>发明专利</w:t>
            </w:r>
          </w:p>
        </w:tc>
        <w:tc>
          <w:tcPr>
            <w:tcW w:w="1360" w:type="dxa"/>
            <w:tcBorders>
              <w:top w:val="single" w:color="000000" w:sz="8" w:space="0"/>
              <w:bottom w:val="single" w:color="000000" w:sz="8" w:space="0"/>
              <w:right w:val="single" w:color="000000" w:sz="8" w:space="0"/>
            </w:tcBorders>
            <w:shd w:val="clear" w:color="auto" w:fill="C0C0C0"/>
            <w:tcMar>
              <w:top w:w="0" w:type="dxa"/>
              <w:left w:w="108" w:type="dxa"/>
              <w:bottom w:w="0" w:type="dxa"/>
              <w:right w:w="108" w:type="dxa"/>
            </w:tcMar>
            <w:vAlign w:val="center"/>
          </w:tcPr>
          <w:p w14:paraId="4EBD26F7">
            <w:pPr>
              <w:spacing w:before="40" w:after="40"/>
              <w:jc w:val="center"/>
              <w:rPr>
                <w:rFonts w:hint="eastAsia" w:ascii="宋体" w:hAnsi="宋体"/>
                <w:lang w:val="en-US" w:eastAsia="zh-CN" w:bidi="ar-SA"/>
              </w:rPr>
            </w:pPr>
            <w:r>
              <w:rPr>
                <w:rFonts w:ascii="宋体" w:hAnsi="宋体"/>
                <w:b/>
                <w:color w:val="000000"/>
                <w:sz w:val="18"/>
                <w:lang w:val="en-US" w:eastAsia="zh-CN" w:bidi="ar-SA"/>
              </w:rPr>
              <w:t>专利起止期限</w:t>
            </w:r>
          </w:p>
        </w:tc>
        <w:tc>
          <w:tcPr>
            <w:tcW w:w="730" w:type="dxa"/>
            <w:tcBorders>
              <w:top w:val="single" w:color="000000" w:sz="8" w:space="0"/>
              <w:bottom w:val="single" w:color="000000" w:sz="8" w:space="0"/>
              <w:right w:val="single" w:color="000000" w:sz="8" w:space="0"/>
            </w:tcBorders>
            <w:shd w:val="clear" w:color="auto" w:fill="C0C0C0"/>
            <w:tcMar>
              <w:top w:w="0" w:type="dxa"/>
              <w:left w:w="108" w:type="dxa"/>
              <w:bottom w:w="0" w:type="dxa"/>
              <w:right w:w="108" w:type="dxa"/>
            </w:tcMar>
            <w:vAlign w:val="center"/>
          </w:tcPr>
          <w:p w14:paraId="729B24DF">
            <w:pPr>
              <w:spacing w:before="40" w:after="40"/>
              <w:jc w:val="center"/>
              <w:rPr>
                <w:rFonts w:hint="eastAsia" w:ascii="宋体" w:hAnsi="宋体"/>
                <w:lang w:val="en-US" w:eastAsia="zh-CN" w:bidi="ar-SA"/>
              </w:rPr>
            </w:pPr>
            <w:r>
              <w:rPr>
                <w:rFonts w:ascii="宋体" w:hAnsi="宋体"/>
                <w:b/>
                <w:color w:val="000000"/>
                <w:sz w:val="18"/>
                <w:lang w:val="en-US" w:eastAsia="zh-CN" w:bidi="ar-SA"/>
              </w:rPr>
              <w:t>所属注册分类</w:t>
            </w:r>
          </w:p>
        </w:tc>
        <w:tc>
          <w:tcPr>
            <w:tcW w:w="873" w:type="dxa"/>
            <w:tcBorders>
              <w:top w:val="single" w:color="000000" w:sz="8" w:space="0"/>
              <w:bottom w:val="single" w:color="000000" w:sz="8" w:space="0"/>
              <w:right w:val="single" w:color="000000" w:sz="8" w:space="0"/>
            </w:tcBorders>
            <w:shd w:val="clear" w:color="auto" w:fill="C0C0C0"/>
            <w:tcMar>
              <w:top w:w="0" w:type="dxa"/>
              <w:left w:w="108" w:type="dxa"/>
              <w:bottom w:w="0" w:type="dxa"/>
              <w:right w:w="108" w:type="dxa"/>
            </w:tcMar>
            <w:vAlign w:val="center"/>
          </w:tcPr>
          <w:p w14:paraId="2FA232B7">
            <w:pPr>
              <w:spacing w:before="40" w:after="40"/>
              <w:jc w:val="center"/>
              <w:rPr>
                <w:rFonts w:hint="eastAsia" w:ascii="宋体" w:hAnsi="宋体"/>
                <w:lang w:val="en-US" w:eastAsia="zh-CN" w:bidi="ar-SA"/>
              </w:rPr>
            </w:pPr>
            <w:r>
              <w:rPr>
                <w:rFonts w:ascii="宋体" w:hAnsi="宋体"/>
                <w:b/>
                <w:color w:val="000000"/>
                <w:sz w:val="18"/>
                <w:lang w:val="en-US" w:eastAsia="zh-CN" w:bidi="ar-SA"/>
              </w:rPr>
              <w:t>是否属于中药保护品种</w:t>
            </w:r>
          </w:p>
        </w:tc>
      </w:tr>
      <w:tr w14:paraId="28D86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4" w:hRule="atLeast"/>
        </w:trPr>
        <w:tc>
          <w:tcPr>
            <w:tcW w:w="905" w:type="dxa"/>
            <w:vMerge w:val="restart"/>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2DB2B292">
            <w:pPr>
              <w:spacing w:before="40" w:after="40"/>
              <w:jc w:val="center"/>
              <w:rPr>
                <w:rFonts w:hint="eastAsia" w:ascii="宋体" w:hAnsi="宋体"/>
                <w:lang w:val="en-US" w:eastAsia="zh-CN" w:bidi="ar-SA"/>
              </w:rPr>
            </w:pPr>
            <w:r>
              <w:rPr>
                <w:rFonts w:ascii="宋体" w:hAnsi="宋体"/>
                <w:color w:val="000000"/>
                <w:sz w:val="18"/>
                <w:lang w:val="en-US" w:eastAsia="zh-CN" w:bidi="ar-SA"/>
              </w:rPr>
              <w:t>恩甘定</w:t>
            </w:r>
          </w:p>
        </w:tc>
        <w:tc>
          <w:tcPr>
            <w:tcW w:w="1684" w:type="dxa"/>
            <w:vMerge w:val="restart"/>
            <w:tcBorders>
              <w:bottom w:val="single" w:color="000000" w:sz="8" w:space="0"/>
              <w:right w:val="single" w:color="000000" w:sz="8" w:space="0"/>
            </w:tcBorders>
            <w:tcMar>
              <w:top w:w="0" w:type="dxa"/>
              <w:left w:w="108" w:type="dxa"/>
              <w:bottom w:w="0" w:type="dxa"/>
              <w:right w:w="108" w:type="dxa"/>
            </w:tcMar>
            <w:vAlign w:val="center"/>
          </w:tcPr>
          <w:p w14:paraId="1C2B22C7">
            <w:pPr>
              <w:spacing w:before="40" w:after="40"/>
              <w:jc w:val="center"/>
              <w:rPr>
                <w:rFonts w:hint="eastAsia" w:ascii="宋体" w:hAnsi="宋体"/>
                <w:lang w:val="en-US" w:eastAsia="zh-CN" w:bidi="ar-SA"/>
              </w:rPr>
            </w:pPr>
            <w:r>
              <w:rPr>
                <w:rFonts w:ascii="宋体" w:hAnsi="宋体"/>
                <w:color w:val="000000"/>
                <w:sz w:val="18"/>
                <w:lang w:val="en-US" w:eastAsia="zh-CN" w:bidi="ar-SA"/>
              </w:rPr>
              <w:t>适用于病毒复制活跃，血清丙氨酸氨基转移酶（ALT）持续升高或肝脏组织学显示有活动性病变的慢性成人乙型肝炎的治疗。也适用于治疗2岁至＜18岁慢性HBV感染代偿性肝病的核苷初治儿童患者，有病毒复制活跃和血清ALT水平持续升高的证据或中度至重度炎症和/或纤维化的组织学证据。</w:t>
            </w:r>
          </w:p>
        </w:tc>
        <w:tc>
          <w:tcPr>
            <w:tcW w:w="4101" w:type="dxa"/>
            <w:tcBorders>
              <w:bottom w:val="single" w:color="000000" w:sz="8" w:space="0"/>
              <w:right w:val="single" w:color="000000" w:sz="8" w:space="0"/>
            </w:tcBorders>
            <w:tcMar>
              <w:top w:w="0" w:type="dxa"/>
              <w:left w:w="108" w:type="dxa"/>
              <w:bottom w:w="0" w:type="dxa"/>
              <w:right w:w="108" w:type="dxa"/>
            </w:tcMar>
            <w:vAlign w:val="center"/>
          </w:tcPr>
          <w:p w14:paraId="195EE805">
            <w:pPr>
              <w:spacing w:before="40" w:after="40"/>
              <w:rPr>
                <w:rFonts w:hint="eastAsia" w:ascii="宋体" w:hAnsi="宋体"/>
                <w:lang w:val="en-US" w:eastAsia="zh-CN" w:bidi="ar-SA"/>
              </w:rPr>
            </w:pPr>
            <w:r>
              <w:rPr>
                <w:rFonts w:ascii="宋体" w:hAnsi="宋体"/>
                <w:color w:val="000000"/>
                <w:sz w:val="18"/>
                <w:lang w:val="en-US" w:eastAsia="zh-CN" w:bidi="ar-SA"/>
              </w:rPr>
              <w:t>一种恩替卡韦的固体分散体、其药物组合物及其制备方法和药物应用 </w:t>
            </w:r>
            <w:r>
              <w:rPr>
                <w:rFonts w:ascii="宋体" w:hAnsi="宋体"/>
                <w:lang w:val="en-US" w:eastAsia="zh-CN" w:bidi="ar-SA"/>
              </w:rPr>
              <w:br w:type="textWrapping"/>
            </w:r>
            <w:r>
              <w:rPr>
                <w:rFonts w:ascii="宋体" w:hAnsi="宋体"/>
                <w:color w:val="000000"/>
                <w:sz w:val="18"/>
                <w:lang w:val="en-US" w:eastAsia="zh-CN" w:bidi="ar-SA"/>
              </w:rPr>
              <w:t xml:space="preserve">CN200710009952.X </w:t>
            </w:r>
          </w:p>
        </w:tc>
        <w:tc>
          <w:tcPr>
            <w:tcW w:w="1360" w:type="dxa"/>
            <w:tcBorders>
              <w:bottom w:val="single" w:color="000000" w:sz="8" w:space="0"/>
              <w:right w:val="single" w:color="000000" w:sz="8" w:space="0"/>
            </w:tcBorders>
            <w:tcMar>
              <w:top w:w="0" w:type="dxa"/>
              <w:left w:w="108" w:type="dxa"/>
              <w:bottom w:w="0" w:type="dxa"/>
              <w:right w:w="108" w:type="dxa"/>
            </w:tcMar>
            <w:vAlign w:val="center"/>
          </w:tcPr>
          <w:p w14:paraId="7C5160B3">
            <w:pPr>
              <w:spacing w:before="40" w:after="40"/>
              <w:rPr>
                <w:rFonts w:hint="eastAsia" w:ascii="宋体" w:hAnsi="宋体"/>
                <w:lang w:val="en-US" w:eastAsia="zh-CN" w:bidi="ar-SA"/>
              </w:rPr>
            </w:pPr>
            <w:r>
              <w:rPr>
                <w:rFonts w:ascii="宋体" w:hAnsi="宋体"/>
                <w:color w:val="000000"/>
                <w:sz w:val="18"/>
                <w:lang w:val="en-US" w:eastAsia="zh-CN" w:bidi="ar-SA"/>
              </w:rPr>
              <w:t>2007-12-07至2027-12-06</w:t>
            </w:r>
          </w:p>
        </w:tc>
        <w:tc>
          <w:tcPr>
            <w:tcW w:w="730" w:type="dxa"/>
            <w:vMerge w:val="restart"/>
            <w:tcBorders>
              <w:bottom w:val="single" w:color="000000" w:sz="8" w:space="0"/>
              <w:right w:val="single" w:color="000000" w:sz="8" w:space="0"/>
            </w:tcBorders>
            <w:tcMar>
              <w:top w:w="0" w:type="dxa"/>
              <w:left w:w="108" w:type="dxa"/>
              <w:bottom w:w="0" w:type="dxa"/>
              <w:right w:w="108" w:type="dxa"/>
            </w:tcMar>
            <w:vAlign w:val="center"/>
          </w:tcPr>
          <w:p w14:paraId="2BAF964F">
            <w:pPr>
              <w:spacing w:before="40" w:after="40"/>
              <w:jc w:val="center"/>
              <w:rPr>
                <w:rFonts w:hint="eastAsia" w:ascii="宋体" w:hAnsi="宋体"/>
                <w:lang w:val="en-US" w:eastAsia="zh-CN" w:bidi="ar-SA"/>
              </w:rPr>
            </w:pPr>
            <w:r>
              <w:rPr>
                <w:rFonts w:ascii="宋体" w:hAnsi="宋体"/>
                <w:color w:val="000000"/>
                <w:sz w:val="18"/>
                <w:lang w:val="en-US" w:eastAsia="zh-CN" w:bidi="ar-SA"/>
              </w:rPr>
              <w:t>化药4类</w:t>
            </w:r>
          </w:p>
        </w:tc>
        <w:tc>
          <w:tcPr>
            <w:tcW w:w="873" w:type="dxa"/>
            <w:vMerge w:val="restart"/>
            <w:tcBorders>
              <w:bottom w:val="single" w:color="000000" w:sz="8" w:space="0"/>
              <w:right w:val="single" w:color="000000" w:sz="8" w:space="0"/>
            </w:tcBorders>
            <w:tcMar>
              <w:top w:w="0" w:type="dxa"/>
              <w:left w:w="108" w:type="dxa"/>
              <w:bottom w:w="0" w:type="dxa"/>
              <w:right w:w="108" w:type="dxa"/>
            </w:tcMar>
            <w:vAlign w:val="center"/>
          </w:tcPr>
          <w:p w14:paraId="11186A15">
            <w:pPr>
              <w:spacing w:before="40" w:after="40"/>
              <w:jc w:val="center"/>
              <w:rPr>
                <w:rFonts w:hint="eastAsia" w:ascii="宋体" w:hAnsi="宋体"/>
                <w:lang w:val="en-US" w:eastAsia="zh-CN" w:bidi="ar-SA"/>
              </w:rPr>
            </w:pPr>
            <w:r>
              <w:rPr>
                <w:rFonts w:ascii="宋体" w:hAnsi="宋体"/>
                <w:color w:val="000000"/>
                <w:sz w:val="18"/>
                <w:lang w:val="en-US" w:eastAsia="zh-CN" w:bidi="ar-SA"/>
              </w:rPr>
              <w:t>否</w:t>
            </w:r>
          </w:p>
        </w:tc>
      </w:tr>
      <w:tr w14:paraId="48035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5B6DD2BF">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5AF43E27">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63E60D00">
            <w:pPr>
              <w:spacing w:before="40" w:after="40"/>
              <w:rPr>
                <w:rFonts w:hint="eastAsia" w:ascii="宋体" w:hAnsi="宋体"/>
                <w:lang w:val="en-US" w:eastAsia="zh-CN" w:bidi="ar-SA"/>
              </w:rPr>
            </w:pPr>
            <w:r>
              <w:rPr>
                <w:rFonts w:ascii="宋体" w:hAnsi="宋体"/>
                <w:color w:val="000000"/>
                <w:sz w:val="18"/>
                <w:lang w:val="en-US" w:eastAsia="zh-CN" w:bidi="ar-SA"/>
              </w:rPr>
              <w:t>一种抗病毒药物恩替卡韦的制备方法 </w:t>
            </w:r>
            <w:r>
              <w:rPr>
                <w:rFonts w:ascii="宋体" w:hAnsi="宋体"/>
                <w:lang w:val="en-US" w:eastAsia="zh-CN" w:bidi="ar-SA"/>
              </w:rPr>
              <w:br w:type="textWrapping"/>
            </w:r>
            <w:r>
              <w:rPr>
                <w:rFonts w:ascii="宋体" w:hAnsi="宋体"/>
                <w:color w:val="000000"/>
                <w:sz w:val="18"/>
                <w:lang w:val="en-US" w:eastAsia="zh-CN" w:bidi="ar-SA"/>
              </w:rPr>
              <w:t xml:space="preserve">CN200710009940.7 </w:t>
            </w:r>
          </w:p>
        </w:tc>
        <w:tc>
          <w:tcPr>
            <w:tcW w:w="1360" w:type="dxa"/>
            <w:tcBorders>
              <w:bottom w:val="single" w:color="000000" w:sz="8" w:space="0"/>
              <w:right w:val="single" w:color="000000" w:sz="8" w:space="0"/>
            </w:tcBorders>
            <w:tcMar>
              <w:top w:w="0" w:type="dxa"/>
              <w:left w:w="108" w:type="dxa"/>
              <w:bottom w:w="0" w:type="dxa"/>
              <w:right w:w="108" w:type="dxa"/>
            </w:tcMar>
            <w:vAlign w:val="center"/>
          </w:tcPr>
          <w:p w14:paraId="3F824C47">
            <w:pPr>
              <w:spacing w:before="40" w:after="40"/>
              <w:rPr>
                <w:rFonts w:hint="eastAsia" w:ascii="宋体" w:hAnsi="宋体"/>
                <w:lang w:val="en-US" w:eastAsia="zh-CN" w:bidi="ar-SA"/>
              </w:rPr>
            </w:pPr>
            <w:r>
              <w:rPr>
                <w:rFonts w:ascii="宋体" w:hAnsi="宋体"/>
                <w:color w:val="000000"/>
                <w:sz w:val="18"/>
                <w:lang w:val="en-US" w:eastAsia="zh-CN" w:bidi="ar-SA"/>
              </w:rPr>
              <w:t>2007-12-06至2027-12-05</w:t>
            </w:r>
          </w:p>
        </w:tc>
        <w:tc>
          <w:tcPr>
            <w:tcW w:w="730" w:type="dxa"/>
            <w:vMerge w:val="continue"/>
            <w:tcBorders>
              <w:top w:val="single" w:color="000000" w:sz="8" w:space="0"/>
              <w:left w:val="single" w:color="000000" w:sz="8" w:space="0"/>
              <w:bottom w:val="single" w:color="000000" w:sz="8" w:space="0"/>
              <w:right w:val="single" w:color="000000" w:sz="8" w:space="0"/>
            </w:tcBorders>
          </w:tcPr>
          <w:p w14:paraId="598AE6C5">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1B2BADA8">
            <w:pPr>
              <w:rPr>
                <w:rFonts w:hint="eastAsia" w:ascii="宋体" w:hAnsi="宋体"/>
                <w:lang w:val="en-US" w:eastAsia="zh-CN" w:bidi="ar-SA"/>
              </w:rPr>
            </w:pPr>
          </w:p>
        </w:tc>
      </w:tr>
      <w:tr w14:paraId="679B9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6"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317B180D">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2154A98E">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6A64343D">
            <w:pPr>
              <w:spacing w:before="40" w:after="40"/>
              <w:rPr>
                <w:rFonts w:hint="eastAsia" w:ascii="宋体" w:hAnsi="宋体"/>
                <w:lang w:val="en-US" w:eastAsia="zh-CN" w:bidi="ar-SA"/>
              </w:rPr>
            </w:pPr>
            <w:r>
              <w:rPr>
                <w:rFonts w:ascii="宋体" w:hAnsi="宋体"/>
                <w:color w:val="000000"/>
                <w:sz w:val="18"/>
                <w:lang w:val="en-US" w:eastAsia="zh-CN" w:bidi="ar-SA"/>
              </w:rPr>
              <w:t xml:space="preserve">一种恩替卡韦的晶型及其制备方法和药物应用CN200910236408.8 </w:t>
            </w:r>
          </w:p>
        </w:tc>
        <w:tc>
          <w:tcPr>
            <w:tcW w:w="1360" w:type="dxa"/>
            <w:tcBorders>
              <w:bottom w:val="single" w:color="000000" w:sz="8" w:space="0"/>
              <w:right w:val="single" w:color="000000" w:sz="8" w:space="0"/>
            </w:tcBorders>
            <w:tcMar>
              <w:top w:w="0" w:type="dxa"/>
              <w:left w:w="108" w:type="dxa"/>
              <w:bottom w:w="0" w:type="dxa"/>
              <w:right w:w="108" w:type="dxa"/>
            </w:tcMar>
            <w:vAlign w:val="center"/>
          </w:tcPr>
          <w:p w14:paraId="140AAEAF">
            <w:pPr>
              <w:spacing w:before="40" w:after="40"/>
              <w:rPr>
                <w:rFonts w:hint="eastAsia" w:ascii="宋体" w:hAnsi="宋体"/>
                <w:lang w:val="en-US" w:eastAsia="zh-CN" w:bidi="ar-SA"/>
              </w:rPr>
            </w:pPr>
            <w:r>
              <w:rPr>
                <w:rFonts w:ascii="宋体" w:hAnsi="宋体"/>
                <w:color w:val="000000"/>
                <w:sz w:val="18"/>
                <w:lang w:val="en-US" w:eastAsia="zh-CN" w:bidi="ar-SA"/>
              </w:rPr>
              <w:t>2009-10-28至2029-10-27</w:t>
            </w:r>
          </w:p>
        </w:tc>
        <w:tc>
          <w:tcPr>
            <w:tcW w:w="730" w:type="dxa"/>
            <w:vMerge w:val="continue"/>
            <w:tcBorders>
              <w:top w:val="single" w:color="000000" w:sz="8" w:space="0"/>
              <w:left w:val="single" w:color="000000" w:sz="8" w:space="0"/>
              <w:bottom w:val="single" w:color="000000" w:sz="8" w:space="0"/>
              <w:right w:val="single" w:color="000000" w:sz="8" w:space="0"/>
            </w:tcBorders>
          </w:tcPr>
          <w:p w14:paraId="51364CB6">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1FE6234A">
            <w:pPr>
              <w:rPr>
                <w:rFonts w:hint="eastAsia" w:ascii="宋体" w:hAnsi="宋体"/>
                <w:lang w:val="en-US" w:eastAsia="zh-CN" w:bidi="ar-SA"/>
              </w:rPr>
            </w:pPr>
          </w:p>
        </w:tc>
      </w:tr>
      <w:tr w14:paraId="42271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4526A328">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7F110653">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4C68E014">
            <w:pPr>
              <w:spacing w:before="40" w:after="40"/>
              <w:rPr>
                <w:rFonts w:hint="eastAsia" w:ascii="宋体" w:hAnsi="宋体"/>
                <w:lang w:val="en-US" w:eastAsia="zh-CN" w:bidi="ar-SA"/>
              </w:rPr>
            </w:pPr>
            <w:r>
              <w:rPr>
                <w:rFonts w:ascii="宋体" w:hAnsi="宋体"/>
                <w:color w:val="000000"/>
                <w:sz w:val="18"/>
                <w:lang w:val="en-US" w:eastAsia="zh-CN" w:bidi="ar-SA"/>
              </w:rPr>
              <w:t xml:space="preserve">一种恩替卡韦的盐化合物，其制备方法和药物应用CN201010000443.2 </w:t>
            </w:r>
          </w:p>
        </w:tc>
        <w:tc>
          <w:tcPr>
            <w:tcW w:w="1360" w:type="dxa"/>
            <w:tcBorders>
              <w:bottom w:val="single" w:color="000000" w:sz="8" w:space="0"/>
              <w:right w:val="single" w:color="000000" w:sz="8" w:space="0"/>
            </w:tcBorders>
            <w:tcMar>
              <w:top w:w="0" w:type="dxa"/>
              <w:left w:w="108" w:type="dxa"/>
              <w:bottom w:w="0" w:type="dxa"/>
              <w:right w:w="108" w:type="dxa"/>
            </w:tcMar>
            <w:vAlign w:val="center"/>
          </w:tcPr>
          <w:p w14:paraId="4CA971E9">
            <w:pPr>
              <w:spacing w:before="40" w:after="40"/>
              <w:rPr>
                <w:rFonts w:hint="eastAsia" w:ascii="宋体" w:hAnsi="宋体"/>
                <w:lang w:val="en-US" w:eastAsia="zh-CN" w:bidi="ar-SA"/>
              </w:rPr>
            </w:pPr>
            <w:r>
              <w:rPr>
                <w:rFonts w:ascii="宋体" w:hAnsi="宋体"/>
                <w:color w:val="000000"/>
                <w:sz w:val="18"/>
                <w:lang w:val="en-US" w:eastAsia="zh-CN" w:bidi="ar-SA"/>
              </w:rPr>
              <w:t>2010-01-08至2030-01-07</w:t>
            </w:r>
          </w:p>
        </w:tc>
        <w:tc>
          <w:tcPr>
            <w:tcW w:w="730" w:type="dxa"/>
            <w:vMerge w:val="continue"/>
            <w:tcBorders>
              <w:top w:val="single" w:color="000000" w:sz="8" w:space="0"/>
              <w:left w:val="single" w:color="000000" w:sz="8" w:space="0"/>
              <w:bottom w:val="single" w:color="000000" w:sz="8" w:space="0"/>
              <w:right w:val="single" w:color="000000" w:sz="8" w:space="0"/>
            </w:tcBorders>
          </w:tcPr>
          <w:p w14:paraId="749BA017">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5D53E5DD">
            <w:pPr>
              <w:rPr>
                <w:rFonts w:hint="eastAsia" w:ascii="宋体" w:hAnsi="宋体"/>
                <w:lang w:val="en-US" w:eastAsia="zh-CN" w:bidi="ar-SA"/>
              </w:rPr>
            </w:pPr>
          </w:p>
        </w:tc>
      </w:tr>
      <w:tr w14:paraId="4AD6C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673EA1EF">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41C14364">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424BD328">
            <w:pPr>
              <w:spacing w:before="40" w:after="40"/>
              <w:rPr>
                <w:rFonts w:hint="eastAsia" w:ascii="宋体" w:hAnsi="宋体"/>
                <w:lang w:val="en-US" w:eastAsia="zh-CN" w:bidi="ar-SA"/>
              </w:rPr>
            </w:pPr>
            <w:r>
              <w:rPr>
                <w:rFonts w:ascii="宋体" w:hAnsi="宋体"/>
                <w:color w:val="000000"/>
                <w:sz w:val="18"/>
                <w:lang w:val="en-US" w:eastAsia="zh-CN" w:bidi="ar-SA"/>
              </w:rPr>
              <w:t>一种恩替卡韦分散片及其制备方法CN201110085253.X  </w:t>
            </w:r>
          </w:p>
        </w:tc>
        <w:tc>
          <w:tcPr>
            <w:tcW w:w="1360" w:type="dxa"/>
            <w:tcBorders>
              <w:bottom w:val="single" w:color="000000" w:sz="8" w:space="0"/>
              <w:right w:val="single" w:color="000000" w:sz="8" w:space="0"/>
            </w:tcBorders>
            <w:tcMar>
              <w:top w:w="0" w:type="dxa"/>
              <w:left w:w="108" w:type="dxa"/>
              <w:bottom w:w="0" w:type="dxa"/>
              <w:right w:w="108" w:type="dxa"/>
            </w:tcMar>
            <w:vAlign w:val="center"/>
          </w:tcPr>
          <w:p w14:paraId="2B8589E7">
            <w:pPr>
              <w:spacing w:before="40" w:after="40"/>
              <w:rPr>
                <w:rFonts w:hint="eastAsia" w:ascii="宋体" w:hAnsi="宋体"/>
                <w:lang w:val="en-US" w:eastAsia="zh-CN" w:bidi="ar-SA"/>
              </w:rPr>
            </w:pPr>
            <w:r>
              <w:rPr>
                <w:rFonts w:ascii="宋体" w:hAnsi="宋体"/>
                <w:color w:val="000000"/>
                <w:sz w:val="18"/>
                <w:lang w:val="en-US" w:eastAsia="zh-CN" w:bidi="ar-SA"/>
              </w:rPr>
              <w:t>2011-04-06至2031-04-05</w:t>
            </w:r>
          </w:p>
        </w:tc>
        <w:tc>
          <w:tcPr>
            <w:tcW w:w="730" w:type="dxa"/>
            <w:vMerge w:val="continue"/>
            <w:tcBorders>
              <w:top w:val="single" w:color="000000" w:sz="8" w:space="0"/>
              <w:left w:val="single" w:color="000000" w:sz="8" w:space="0"/>
              <w:bottom w:val="single" w:color="000000" w:sz="8" w:space="0"/>
              <w:right w:val="single" w:color="000000" w:sz="8" w:space="0"/>
            </w:tcBorders>
          </w:tcPr>
          <w:p w14:paraId="46568485">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3FEF1FAA">
            <w:pPr>
              <w:rPr>
                <w:rFonts w:hint="eastAsia" w:ascii="宋体" w:hAnsi="宋体"/>
                <w:lang w:val="en-US" w:eastAsia="zh-CN" w:bidi="ar-SA"/>
              </w:rPr>
            </w:pPr>
          </w:p>
        </w:tc>
      </w:tr>
      <w:tr w14:paraId="25E93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06586278">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734DA3F6">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51A472D4">
            <w:pPr>
              <w:spacing w:before="40" w:after="40"/>
              <w:rPr>
                <w:rFonts w:hint="eastAsia" w:ascii="宋体" w:hAnsi="宋体"/>
                <w:lang w:val="en-US" w:eastAsia="zh-CN" w:bidi="ar-SA"/>
              </w:rPr>
            </w:pPr>
            <w:r>
              <w:rPr>
                <w:rFonts w:ascii="宋体" w:hAnsi="宋体"/>
                <w:color w:val="000000"/>
                <w:sz w:val="18"/>
                <w:lang w:val="en-US" w:eastAsia="zh-CN" w:bidi="ar-SA"/>
              </w:rPr>
              <w:t>一种检测恩替卡韦关键中间体的方法CN201510454760.4</w:t>
            </w:r>
          </w:p>
        </w:tc>
        <w:tc>
          <w:tcPr>
            <w:tcW w:w="1360" w:type="dxa"/>
            <w:tcBorders>
              <w:bottom w:val="single" w:color="000000" w:sz="8" w:space="0"/>
              <w:right w:val="single" w:color="000000" w:sz="8" w:space="0"/>
            </w:tcBorders>
            <w:tcMar>
              <w:top w:w="0" w:type="dxa"/>
              <w:left w:w="108" w:type="dxa"/>
              <w:bottom w:w="0" w:type="dxa"/>
              <w:right w:w="108" w:type="dxa"/>
            </w:tcMar>
            <w:vAlign w:val="center"/>
          </w:tcPr>
          <w:p w14:paraId="45BBBEA3">
            <w:pPr>
              <w:spacing w:before="40" w:after="40"/>
              <w:rPr>
                <w:rFonts w:hint="eastAsia" w:ascii="宋体" w:hAnsi="宋体"/>
                <w:lang w:val="en-US" w:eastAsia="zh-CN" w:bidi="ar-SA"/>
              </w:rPr>
            </w:pPr>
            <w:r>
              <w:rPr>
                <w:rFonts w:ascii="宋体" w:hAnsi="宋体"/>
                <w:color w:val="000000"/>
                <w:sz w:val="18"/>
                <w:lang w:val="en-US" w:eastAsia="zh-CN" w:bidi="ar-SA"/>
              </w:rPr>
              <w:t>2015-07-29至2035-07-28</w:t>
            </w:r>
          </w:p>
        </w:tc>
        <w:tc>
          <w:tcPr>
            <w:tcW w:w="730" w:type="dxa"/>
            <w:vMerge w:val="continue"/>
            <w:tcBorders>
              <w:top w:val="single" w:color="000000" w:sz="8" w:space="0"/>
              <w:left w:val="single" w:color="000000" w:sz="8" w:space="0"/>
              <w:bottom w:val="single" w:color="000000" w:sz="8" w:space="0"/>
              <w:right w:val="single" w:color="000000" w:sz="8" w:space="0"/>
            </w:tcBorders>
          </w:tcPr>
          <w:p w14:paraId="637A50F6">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21A78633">
            <w:pPr>
              <w:rPr>
                <w:rFonts w:hint="eastAsia" w:ascii="宋体" w:hAnsi="宋体"/>
                <w:lang w:val="en-US" w:eastAsia="zh-CN" w:bidi="ar-SA"/>
              </w:rPr>
            </w:pPr>
          </w:p>
        </w:tc>
      </w:tr>
      <w:tr w14:paraId="1ACE7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2043712F">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46B2CCC5">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034F715A">
            <w:pPr>
              <w:spacing w:before="40" w:after="40"/>
              <w:rPr>
                <w:rFonts w:hint="eastAsia" w:ascii="宋体" w:hAnsi="宋体"/>
                <w:lang w:val="en-US" w:eastAsia="zh-CN" w:bidi="ar-SA"/>
              </w:rPr>
            </w:pPr>
            <w:r>
              <w:rPr>
                <w:rFonts w:ascii="宋体" w:hAnsi="宋体"/>
                <w:color w:val="000000"/>
                <w:sz w:val="18"/>
                <w:lang w:val="en-US" w:eastAsia="zh-CN" w:bidi="ar-SA"/>
              </w:rPr>
              <w:t>一种恩替卡韦与甘露聚糖肽药物组合物及其制备方法CN201510454570.2</w:t>
            </w:r>
          </w:p>
        </w:tc>
        <w:tc>
          <w:tcPr>
            <w:tcW w:w="1360" w:type="dxa"/>
            <w:tcBorders>
              <w:bottom w:val="single" w:color="000000" w:sz="8" w:space="0"/>
              <w:right w:val="single" w:color="000000" w:sz="8" w:space="0"/>
            </w:tcBorders>
            <w:tcMar>
              <w:top w:w="0" w:type="dxa"/>
              <w:left w:w="108" w:type="dxa"/>
              <w:bottom w:w="0" w:type="dxa"/>
              <w:right w:w="108" w:type="dxa"/>
            </w:tcMar>
            <w:vAlign w:val="center"/>
          </w:tcPr>
          <w:p w14:paraId="02DB69DF">
            <w:pPr>
              <w:spacing w:before="40" w:after="40"/>
              <w:rPr>
                <w:rFonts w:hint="eastAsia" w:ascii="宋体" w:hAnsi="宋体"/>
                <w:lang w:val="en-US" w:eastAsia="zh-CN" w:bidi="ar-SA"/>
              </w:rPr>
            </w:pPr>
            <w:r>
              <w:rPr>
                <w:rFonts w:ascii="宋体" w:hAnsi="宋体"/>
                <w:color w:val="000000"/>
                <w:sz w:val="18"/>
                <w:lang w:val="en-US" w:eastAsia="zh-CN" w:bidi="ar-SA"/>
              </w:rPr>
              <w:t>2015-07-29至2035-07-28</w:t>
            </w:r>
          </w:p>
        </w:tc>
        <w:tc>
          <w:tcPr>
            <w:tcW w:w="730" w:type="dxa"/>
            <w:vMerge w:val="continue"/>
            <w:tcBorders>
              <w:top w:val="single" w:color="000000" w:sz="8" w:space="0"/>
              <w:left w:val="single" w:color="000000" w:sz="8" w:space="0"/>
              <w:bottom w:val="single" w:color="000000" w:sz="8" w:space="0"/>
              <w:right w:val="single" w:color="000000" w:sz="8" w:space="0"/>
            </w:tcBorders>
          </w:tcPr>
          <w:p w14:paraId="5F77B3D3">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4FA2E2DA">
            <w:pPr>
              <w:rPr>
                <w:rFonts w:hint="eastAsia" w:ascii="宋体" w:hAnsi="宋体"/>
                <w:lang w:val="en-US" w:eastAsia="zh-CN" w:bidi="ar-SA"/>
              </w:rPr>
            </w:pPr>
          </w:p>
        </w:tc>
      </w:tr>
      <w:tr w14:paraId="1E524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8" w:hRule="atLeast"/>
        </w:trPr>
        <w:tc>
          <w:tcPr>
            <w:tcW w:w="905" w:type="dxa"/>
            <w:vMerge w:val="restart"/>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1DCE8EAC">
            <w:pPr>
              <w:spacing w:before="40" w:after="40"/>
              <w:jc w:val="center"/>
              <w:rPr>
                <w:rFonts w:hint="eastAsia" w:ascii="宋体" w:hAnsi="宋体"/>
                <w:lang w:val="en-US" w:eastAsia="zh-CN" w:bidi="ar-SA"/>
              </w:rPr>
            </w:pPr>
            <w:r>
              <w:rPr>
                <w:rFonts w:ascii="宋体" w:hAnsi="宋体"/>
                <w:color w:val="000000"/>
                <w:sz w:val="18"/>
                <w:lang w:val="en-US" w:eastAsia="zh-CN" w:bidi="ar-SA"/>
              </w:rPr>
              <w:t>水飞蓟宾葡甲胺片</w:t>
            </w:r>
          </w:p>
        </w:tc>
        <w:tc>
          <w:tcPr>
            <w:tcW w:w="1684" w:type="dxa"/>
            <w:vMerge w:val="restart"/>
            <w:tcBorders>
              <w:bottom w:val="single" w:color="000000" w:sz="8" w:space="0"/>
              <w:right w:val="single" w:color="000000" w:sz="8" w:space="0"/>
            </w:tcBorders>
            <w:tcMar>
              <w:top w:w="0" w:type="dxa"/>
              <w:left w:w="108" w:type="dxa"/>
              <w:bottom w:w="0" w:type="dxa"/>
              <w:right w:w="108" w:type="dxa"/>
            </w:tcMar>
            <w:vAlign w:val="center"/>
          </w:tcPr>
          <w:p w14:paraId="343196E7">
            <w:pPr>
              <w:spacing w:before="40" w:after="40"/>
              <w:jc w:val="center"/>
              <w:rPr>
                <w:rFonts w:hint="eastAsia" w:ascii="宋体" w:hAnsi="宋体"/>
                <w:lang w:val="en-US" w:eastAsia="zh-CN" w:bidi="ar-SA"/>
              </w:rPr>
            </w:pPr>
            <w:r>
              <w:rPr>
                <w:rFonts w:ascii="宋体" w:hAnsi="宋体"/>
                <w:color w:val="000000"/>
                <w:sz w:val="18"/>
                <w:lang w:val="en-US" w:eastAsia="zh-CN" w:bidi="ar-SA"/>
              </w:rPr>
              <w:t>用于急、慢性肝炎，初期肝硬化，中毒性肝损害的辅助治疗</w:t>
            </w:r>
          </w:p>
        </w:tc>
        <w:tc>
          <w:tcPr>
            <w:tcW w:w="4101" w:type="dxa"/>
            <w:tcBorders>
              <w:bottom w:val="single" w:color="000000" w:sz="8" w:space="0"/>
              <w:right w:val="single" w:color="000000" w:sz="8" w:space="0"/>
            </w:tcBorders>
            <w:tcMar>
              <w:top w:w="0" w:type="dxa"/>
              <w:left w:w="108" w:type="dxa"/>
              <w:bottom w:w="0" w:type="dxa"/>
              <w:right w:w="108" w:type="dxa"/>
            </w:tcMar>
            <w:vAlign w:val="center"/>
          </w:tcPr>
          <w:p w14:paraId="11835723">
            <w:pPr>
              <w:spacing w:before="40" w:after="40"/>
              <w:rPr>
                <w:rFonts w:hint="eastAsia" w:ascii="宋体" w:hAnsi="宋体"/>
                <w:lang w:val="en-US" w:eastAsia="zh-CN" w:bidi="ar-SA"/>
              </w:rPr>
            </w:pPr>
            <w:r>
              <w:rPr>
                <w:rFonts w:ascii="宋体" w:hAnsi="宋体"/>
                <w:color w:val="000000"/>
                <w:sz w:val="18"/>
                <w:lang w:val="en-US" w:eastAsia="zh-CN" w:bidi="ar-SA"/>
              </w:rPr>
              <w:t>200910030758.9一种水飞蓟宾固体自乳化片及其制备方法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49E0CFED">
            <w:pPr>
              <w:spacing w:before="40" w:after="40"/>
              <w:rPr>
                <w:rFonts w:hint="eastAsia" w:ascii="宋体" w:hAnsi="宋体"/>
                <w:lang w:val="en-US" w:eastAsia="zh-CN" w:bidi="ar-SA"/>
              </w:rPr>
            </w:pPr>
            <w:r>
              <w:rPr>
                <w:rFonts w:ascii="宋体" w:hAnsi="宋体"/>
                <w:color w:val="000000"/>
                <w:sz w:val="18"/>
                <w:lang w:val="en-US" w:eastAsia="zh-CN" w:bidi="ar-SA"/>
              </w:rPr>
              <w:t>2009/4/15到2029/4/5</w:t>
            </w:r>
          </w:p>
        </w:tc>
        <w:tc>
          <w:tcPr>
            <w:tcW w:w="730" w:type="dxa"/>
            <w:vMerge w:val="restart"/>
            <w:tcBorders>
              <w:bottom w:val="single" w:color="000000" w:sz="8" w:space="0"/>
              <w:right w:val="single" w:color="000000" w:sz="8" w:space="0"/>
            </w:tcBorders>
            <w:tcMar>
              <w:top w:w="0" w:type="dxa"/>
              <w:left w:w="108" w:type="dxa"/>
              <w:bottom w:w="0" w:type="dxa"/>
              <w:right w:w="108" w:type="dxa"/>
            </w:tcMar>
            <w:vAlign w:val="center"/>
          </w:tcPr>
          <w:p w14:paraId="41BC2464">
            <w:pPr>
              <w:spacing w:before="40" w:after="40"/>
              <w:jc w:val="center"/>
              <w:rPr>
                <w:rFonts w:hint="eastAsia" w:ascii="宋体" w:hAnsi="宋体"/>
                <w:lang w:val="en-US" w:eastAsia="zh-CN" w:bidi="ar-SA"/>
              </w:rPr>
            </w:pPr>
            <w:r>
              <w:rPr>
                <w:rFonts w:ascii="宋体" w:hAnsi="宋体"/>
                <w:color w:val="000000"/>
                <w:sz w:val="18"/>
                <w:lang w:val="en-US" w:eastAsia="zh-CN" w:bidi="ar-SA"/>
              </w:rPr>
              <w:t>化药</w:t>
            </w:r>
          </w:p>
        </w:tc>
        <w:tc>
          <w:tcPr>
            <w:tcW w:w="873" w:type="dxa"/>
            <w:vMerge w:val="restart"/>
            <w:tcBorders>
              <w:bottom w:val="single" w:color="000000" w:sz="8" w:space="0"/>
              <w:right w:val="single" w:color="000000" w:sz="8" w:space="0"/>
            </w:tcBorders>
            <w:tcMar>
              <w:top w:w="0" w:type="dxa"/>
              <w:left w:w="108" w:type="dxa"/>
              <w:bottom w:w="0" w:type="dxa"/>
              <w:right w:w="108" w:type="dxa"/>
            </w:tcMar>
            <w:vAlign w:val="center"/>
          </w:tcPr>
          <w:p w14:paraId="049B1224">
            <w:pPr>
              <w:spacing w:before="40" w:after="40"/>
              <w:jc w:val="center"/>
              <w:rPr>
                <w:rFonts w:hint="eastAsia" w:ascii="宋体" w:hAnsi="宋体"/>
                <w:lang w:val="en-US" w:eastAsia="zh-CN" w:bidi="ar-SA"/>
              </w:rPr>
            </w:pPr>
            <w:r>
              <w:rPr>
                <w:rFonts w:ascii="宋体" w:hAnsi="宋体"/>
                <w:color w:val="000000"/>
                <w:sz w:val="18"/>
                <w:lang w:val="en-US" w:eastAsia="zh-CN" w:bidi="ar-SA"/>
              </w:rPr>
              <w:t>否</w:t>
            </w:r>
          </w:p>
        </w:tc>
      </w:tr>
      <w:tr w14:paraId="000C3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8"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0CC38B79">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5B955B48">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44989F54">
            <w:pPr>
              <w:spacing w:before="40" w:after="40"/>
              <w:rPr>
                <w:rFonts w:hint="eastAsia" w:ascii="宋体" w:hAnsi="宋体"/>
                <w:lang w:val="en-US" w:eastAsia="zh-CN" w:bidi="ar-SA"/>
              </w:rPr>
            </w:pPr>
            <w:r>
              <w:rPr>
                <w:rFonts w:ascii="宋体" w:hAnsi="宋体"/>
                <w:color w:val="000000"/>
                <w:sz w:val="18"/>
                <w:lang w:val="en-US" w:eastAsia="zh-CN" w:bidi="ar-SA"/>
              </w:rPr>
              <w:t>201110316196.1一种水飞蓟籽品质的检测装置和检测方法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5656726F">
            <w:pPr>
              <w:spacing w:before="40" w:after="40"/>
              <w:rPr>
                <w:rFonts w:hint="eastAsia" w:ascii="宋体" w:hAnsi="宋体"/>
                <w:lang w:val="en-US" w:eastAsia="zh-CN" w:bidi="ar-SA"/>
              </w:rPr>
            </w:pPr>
            <w:r>
              <w:rPr>
                <w:rFonts w:ascii="宋体" w:hAnsi="宋体"/>
                <w:color w:val="000000"/>
                <w:sz w:val="18"/>
                <w:lang w:val="en-US" w:eastAsia="zh-CN" w:bidi="ar-SA"/>
              </w:rPr>
              <w:t>2011/10/18到2031/10/18</w:t>
            </w:r>
          </w:p>
        </w:tc>
        <w:tc>
          <w:tcPr>
            <w:tcW w:w="730" w:type="dxa"/>
            <w:vMerge w:val="continue"/>
            <w:tcBorders>
              <w:top w:val="single" w:color="000000" w:sz="8" w:space="0"/>
              <w:left w:val="single" w:color="000000" w:sz="8" w:space="0"/>
              <w:bottom w:val="single" w:color="000000" w:sz="8" w:space="0"/>
              <w:right w:val="single" w:color="000000" w:sz="8" w:space="0"/>
            </w:tcBorders>
          </w:tcPr>
          <w:p w14:paraId="4DC6E5A6">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73042717">
            <w:pPr>
              <w:rPr>
                <w:rFonts w:hint="eastAsia" w:ascii="宋体" w:hAnsi="宋体"/>
                <w:lang w:val="en-US" w:eastAsia="zh-CN" w:bidi="ar-SA"/>
              </w:rPr>
            </w:pPr>
          </w:p>
        </w:tc>
      </w:tr>
      <w:tr w14:paraId="77227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7DB6D48E">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5721262A">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31ACF612">
            <w:pPr>
              <w:spacing w:before="40" w:after="40"/>
              <w:rPr>
                <w:rFonts w:hint="eastAsia" w:ascii="宋体" w:hAnsi="宋体"/>
                <w:lang w:val="en-US" w:eastAsia="zh-CN" w:bidi="ar-SA"/>
              </w:rPr>
            </w:pPr>
            <w:r>
              <w:rPr>
                <w:rFonts w:ascii="宋体" w:hAnsi="宋体"/>
                <w:color w:val="000000"/>
                <w:sz w:val="18"/>
                <w:lang w:val="en-US" w:eastAsia="zh-CN" w:bidi="ar-SA"/>
              </w:rPr>
              <w:t>201010124718.3水飞蓟宾葡甲胺片的生产方法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047B1DCC">
            <w:pPr>
              <w:spacing w:before="40" w:after="40"/>
              <w:rPr>
                <w:rFonts w:hint="eastAsia" w:ascii="宋体" w:hAnsi="宋体"/>
                <w:lang w:val="en-US" w:eastAsia="zh-CN" w:bidi="ar-SA"/>
              </w:rPr>
            </w:pPr>
            <w:r>
              <w:rPr>
                <w:rFonts w:ascii="宋体" w:hAnsi="宋体"/>
                <w:color w:val="000000"/>
                <w:sz w:val="18"/>
                <w:lang w:val="en-US" w:eastAsia="zh-CN" w:bidi="ar-SA"/>
              </w:rPr>
              <w:t>2010/3/16到2030/3/16</w:t>
            </w:r>
          </w:p>
        </w:tc>
        <w:tc>
          <w:tcPr>
            <w:tcW w:w="730" w:type="dxa"/>
            <w:vMerge w:val="continue"/>
            <w:tcBorders>
              <w:top w:val="single" w:color="000000" w:sz="8" w:space="0"/>
              <w:left w:val="single" w:color="000000" w:sz="8" w:space="0"/>
              <w:bottom w:val="single" w:color="000000" w:sz="8" w:space="0"/>
              <w:right w:val="single" w:color="000000" w:sz="8" w:space="0"/>
            </w:tcBorders>
          </w:tcPr>
          <w:p w14:paraId="6776A7F5">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38DF6922">
            <w:pPr>
              <w:rPr>
                <w:rFonts w:hint="eastAsia" w:ascii="宋体" w:hAnsi="宋体"/>
                <w:lang w:val="en-US" w:eastAsia="zh-CN" w:bidi="ar-SA"/>
              </w:rPr>
            </w:pPr>
          </w:p>
        </w:tc>
      </w:tr>
      <w:tr w14:paraId="2E8FD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5CF99762">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5089D432">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1000C99F">
            <w:pPr>
              <w:spacing w:before="40" w:after="40"/>
              <w:rPr>
                <w:rFonts w:hint="eastAsia" w:ascii="宋体" w:hAnsi="宋体"/>
                <w:lang w:val="en-US" w:eastAsia="zh-CN" w:bidi="ar-SA"/>
              </w:rPr>
            </w:pPr>
            <w:r>
              <w:rPr>
                <w:rFonts w:ascii="宋体" w:hAnsi="宋体"/>
                <w:color w:val="000000"/>
                <w:sz w:val="18"/>
                <w:lang w:val="en-US" w:eastAsia="zh-CN" w:bidi="ar-SA"/>
              </w:rPr>
              <w:t>201210421009水飞蓟宾葡甲胺片及其降脂作用</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2E322E1A">
            <w:pPr>
              <w:spacing w:before="40" w:after="40"/>
              <w:rPr>
                <w:rFonts w:hint="eastAsia" w:ascii="宋体" w:hAnsi="宋体"/>
                <w:lang w:val="en-US" w:eastAsia="zh-CN" w:bidi="ar-SA"/>
              </w:rPr>
            </w:pPr>
            <w:r>
              <w:rPr>
                <w:rFonts w:ascii="宋体" w:hAnsi="宋体"/>
                <w:color w:val="000000"/>
                <w:sz w:val="18"/>
                <w:lang w:val="en-US" w:eastAsia="zh-CN" w:bidi="ar-SA"/>
              </w:rPr>
              <w:t>2012/10/21到2032/10/21</w:t>
            </w:r>
          </w:p>
        </w:tc>
        <w:tc>
          <w:tcPr>
            <w:tcW w:w="730" w:type="dxa"/>
            <w:vMerge w:val="continue"/>
            <w:tcBorders>
              <w:top w:val="single" w:color="000000" w:sz="8" w:space="0"/>
              <w:left w:val="single" w:color="000000" w:sz="8" w:space="0"/>
              <w:bottom w:val="single" w:color="000000" w:sz="8" w:space="0"/>
              <w:right w:val="single" w:color="000000" w:sz="8" w:space="0"/>
            </w:tcBorders>
          </w:tcPr>
          <w:p w14:paraId="45F9D575">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2ECE4B71">
            <w:pPr>
              <w:rPr>
                <w:rFonts w:hint="eastAsia" w:ascii="宋体" w:hAnsi="宋体"/>
                <w:lang w:val="en-US" w:eastAsia="zh-CN" w:bidi="ar-SA"/>
              </w:rPr>
            </w:pPr>
          </w:p>
        </w:tc>
      </w:tr>
      <w:tr w14:paraId="60CE0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6"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4CB5FD2F">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521EE701">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20DCBD7F">
            <w:pPr>
              <w:spacing w:before="40" w:after="40"/>
              <w:rPr>
                <w:rFonts w:hint="eastAsia" w:ascii="宋体" w:hAnsi="宋体"/>
                <w:lang w:val="en-US" w:eastAsia="zh-CN" w:bidi="ar-SA"/>
              </w:rPr>
            </w:pPr>
            <w:r>
              <w:rPr>
                <w:rFonts w:ascii="宋体" w:hAnsi="宋体"/>
                <w:color w:val="000000"/>
                <w:sz w:val="18"/>
                <w:lang w:val="en-US" w:eastAsia="zh-CN" w:bidi="ar-SA"/>
              </w:rPr>
              <w:t>201410132020.4一种含水飞蓟宾和索拉非尼的药物组合物及其应用</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7A3649DD">
            <w:pPr>
              <w:spacing w:before="40" w:after="40"/>
              <w:rPr>
                <w:rFonts w:hint="eastAsia" w:ascii="宋体" w:hAnsi="宋体"/>
                <w:lang w:val="en-US" w:eastAsia="zh-CN" w:bidi="ar-SA"/>
              </w:rPr>
            </w:pPr>
            <w:r>
              <w:rPr>
                <w:rFonts w:ascii="宋体" w:hAnsi="宋体"/>
                <w:color w:val="000000"/>
                <w:sz w:val="18"/>
                <w:lang w:val="en-US" w:eastAsia="zh-CN" w:bidi="ar-SA"/>
              </w:rPr>
              <w:t>2014/4/2到2034/4/2</w:t>
            </w:r>
          </w:p>
        </w:tc>
        <w:tc>
          <w:tcPr>
            <w:tcW w:w="730" w:type="dxa"/>
            <w:vMerge w:val="continue"/>
            <w:tcBorders>
              <w:top w:val="single" w:color="000000" w:sz="8" w:space="0"/>
              <w:left w:val="single" w:color="000000" w:sz="8" w:space="0"/>
              <w:bottom w:val="single" w:color="000000" w:sz="8" w:space="0"/>
              <w:right w:val="single" w:color="000000" w:sz="8" w:space="0"/>
            </w:tcBorders>
          </w:tcPr>
          <w:p w14:paraId="796529DC">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33F36593">
            <w:pPr>
              <w:rPr>
                <w:rFonts w:hint="eastAsia" w:ascii="宋体" w:hAnsi="宋体"/>
                <w:lang w:val="en-US" w:eastAsia="zh-CN" w:bidi="ar-SA"/>
              </w:rPr>
            </w:pPr>
          </w:p>
        </w:tc>
      </w:tr>
      <w:tr w14:paraId="0E010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6A6EC220">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4D30BAF4">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291EED3F">
            <w:pPr>
              <w:spacing w:before="40" w:after="40"/>
              <w:rPr>
                <w:rFonts w:hint="eastAsia" w:ascii="宋体" w:hAnsi="宋体"/>
                <w:lang w:val="en-US" w:eastAsia="zh-CN" w:bidi="ar-SA"/>
              </w:rPr>
            </w:pPr>
            <w:r>
              <w:rPr>
                <w:rFonts w:ascii="宋体" w:hAnsi="宋体"/>
                <w:color w:val="000000"/>
                <w:sz w:val="18"/>
                <w:lang w:val="en-US" w:eastAsia="zh-CN" w:bidi="ar-SA"/>
              </w:rPr>
              <w:t>201110071508.7一种水飞蓟宾及其制备方法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54150729">
            <w:pPr>
              <w:spacing w:before="40" w:after="40"/>
              <w:rPr>
                <w:rFonts w:hint="eastAsia" w:ascii="宋体" w:hAnsi="宋体"/>
                <w:lang w:val="en-US" w:eastAsia="zh-CN" w:bidi="ar-SA"/>
              </w:rPr>
            </w:pPr>
            <w:r>
              <w:rPr>
                <w:rFonts w:ascii="宋体" w:hAnsi="宋体"/>
                <w:color w:val="000000"/>
                <w:sz w:val="18"/>
                <w:lang w:val="en-US" w:eastAsia="zh-CN" w:bidi="ar-SA"/>
              </w:rPr>
              <w:t>2011/3/24到2031/3/24</w:t>
            </w:r>
          </w:p>
        </w:tc>
        <w:tc>
          <w:tcPr>
            <w:tcW w:w="730" w:type="dxa"/>
            <w:vMerge w:val="continue"/>
            <w:tcBorders>
              <w:top w:val="single" w:color="000000" w:sz="8" w:space="0"/>
              <w:left w:val="single" w:color="000000" w:sz="8" w:space="0"/>
              <w:bottom w:val="single" w:color="000000" w:sz="8" w:space="0"/>
              <w:right w:val="single" w:color="000000" w:sz="8" w:space="0"/>
            </w:tcBorders>
          </w:tcPr>
          <w:p w14:paraId="60AC8F49">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47573190">
            <w:pPr>
              <w:rPr>
                <w:rFonts w:hint="eastAsia" w:ascii="宋体" w:hAnsi="宋体"/>
                <w:lang w:val="en-US" w:eastAsia="zh-CN" w:bidi="ar-SA"/>
              </w:rPr>
            </w:pPr>
          </w:p>
        </w:tc>
      </w:tr>
      <w:tr w14:paraId="41075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15AC3A81">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4C42F0B4">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7D15545C">
            <w:pPr>
              <w:spacing w:before="40" w:after="40"/>
              <w:rPr>
                <w:rFonts w:hint="eastAsia" w:ascii="宋体" w:hAnsi="宋体"/>
                <w:lang w:val="en-US" w:eastAsia="zh-CN" w:bidi="ar-SA"/>
              </w:rPr>
            </w:pPr>
            <w:r>
              <w:rPr>
                <w:rFonts w:ascii="宋体" w:hAnsi="宋体"/>
                <w:color w:val="000000"/>
                <w:sz w:val="18"/>
                <w:lang w:val="en-US" w:eastAsia="zh-CN" w:bidi="ar-SA"/>
              </w:rPr>
              <w:t>201410751965.4一种水飞蓟油的提取方法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202A7E4D">
            <w:pPr>
              <w:spacing w:before="40" w:after="40"/>
              <w:rPr>
                <w:rFonts w:hint="eastAsia" w:ascii="宋体" w:hAnsi="宋体"/>
                <w:lang w:val="en-US" w:eastAsia="zh-CN" w:bidi="ar-SA"/>
              </w:rPr>
            </w:pPr>
            <w:r>
              <w:rPr>
                <w:rFonts w:ascii="宋体" w:hAnsi="宋体"/>
                <w:color w:val="000000"/>
                <w:sz w:val="18"/>
                <w:lang w:val="en-US" w:eastAsia="zh-CN" w:bidi="ar-SA"/>
              </w:rPr>
              <w:t>2014/12/10到2034/12/10</w:t>
            </w:r>
          </w:p>
        </w:tc>
        <w:tc>
          <w:tcPr>
            <w:tcW w:w="730" w:type="dxa"/>
            <w:vMerge w:val="continue"/>
            <w:tcBorders>
              <w:top w:val="single" w:color="000000" w:sz="8" w:space="0"/>
              <w:left w:val="single" w:color="000000" w:sz="8" w:space="0"/>
              <w:bottom w:val="single" w:color="000000" w:sz="8" w:space="0"/>
              <w:right w:val="single" w:color="000000" w:sz="8" w:space="0"/>
            </w:tcBorders>
          </w:tcPr>
          <w:p w14:paraId="747C5151">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6C913B46">
            <w:pPr>
              <w:rPr>
                <w:rFonts w:hint="eastAsia" w:ascii="宋体" w:hAnsi="宋体"/>
                <w:lang w:val="en-US" w:eastAsia="zh-CN" w:bidi="ar-SA"/>
              </w:rPr>
            </w:pPr>
          </w:p>
        </w:tc>
      </w:tr>
      <w:tr w14:paraId="5D939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01C88EC3">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486D3D1E">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3FDEF8CE">
            <w:pPr>
              <w:spacing w:before="40" w:after="40"/>
              <w:rPr>
                <w:rFonts w:hint="eastAsia" w:ascii="宋体" w:hAnsi="宋体"/>
                <w:lang w:val="en-US" w:eastAsia="zh-CN" w:bidi="ar-SA"/>
              </w:rPr>
            </w:pPr>
            <w:r>
              <w:rPr>
                <w:rFonts w:ascii="宋体" w:hAnsi="宋体"/>
                <w:color w:val="000000"/>
                <w:sz w:val="18"/>
                <w:lang w:val="en-US" w:eastAsia="zh-CN" w:bidi="ar-SA"/>
              </w:rPr>
              <w:t>201610266742.8一种水飞蓟宾磷脂复合物的制备方法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4F8E7668">
            <w:pPr>
              <w:spacing w:before="40" w:after="40"/>
              <w:rPr>
                <w:rFonts w:hint="eastAsia" w:ascii="宋体" w:hAnsi="宋体"/>
                <w:lang w:val="en-US" w:eastAsia="zh-CN" w:bidi="ar-SA"/>
              </w:rPr>
            </w:pPr>
            <w:r>
              <w:rPr>
                <w:rFonts w:ascii="宋体" w:hAnsi="宋体"/>
                <w:color w:val="000000"/>
                <w:sz w:val="18"/>
                <w:lang w:val="en-US" w:eastAsia="zh-CN" w:bidi="ar-SA"/>
              </w:rPr>
              <w:t>2016/4/26到2036/4/26</w:t>
            </w:r>
          </w:p>
        </w:tc>
        <w:tc>
          <w:tcPr>
            <w:tcW w:w="730" w:type="dxa"/>
            <w:vMerge w:val="continue"/>
            <w:tcBorders>
              <w:top w:val="single" w:color="000000" w:sz="8" w:space="0"/>
              <w:left w:val="single" w:color="000000" w:sz="8" w:space="0"/>
              <w:bottom w:val="single" w:color="000000" w:sz="8" w:space="0"/>
              <w:right w:val="single" w:color="000000" w:sz="8" w:space="0"/>
            </w:tcBorders>
          </w:tcPr>
          <w:p w14:paraId="12AFC781">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2114577B">
            <w:pPr>
              <w:rPr>
                <w:rFonts w:hint="eastAsia" w:ascii="宋体" w:hAnsi="宋体"/>
                <w:lang w:val="en-US" w:eastAsia="zh-CN" w:bidi="ar-SA"/>
              </w:rPr>
            </w:pPr>
          </w:p>
        </w:tc>
      </w:tr>
      <w:tr w14:paraId="39B4A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6503391E">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1D076DE2">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47CEB428">
            <w:pPr>
              <w:spacing w:before="40" w:after="40"/>
              <w:rPr>
                <w:rFonts w:hint="eastAsia" w:ascii="宋体" w:hAnsi="宋体"/>
                <w:lang w:val="en-US" w:eastAsia="zh-CN" w:bidi="ar-SA"/>
              </w:rPr>
            </w:pPr>
            <w:r>
              <w:rPr>
                <w:rFonts w:ascii="宋体" w:hAnsi="宋体"/>
                <w:color w:val="000000"/>
                <w:sz w:val="18"/>
                <w:lang w:val="en-US" w:eastAsia="zh-CN" w:bidi="ar-SA"/>
              </w:rPr>
              <w:t>201610453396.4一种水飞蓟宾分离纯化方法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038F08D3">
            <w:pPr>
              <w:spacing w:before="40" w:after="40"/>
              <w:rPr>
                <w:rFonts w:hint="eastAsia" w:ascii="宋体" w:hAnsi="宋体"/>
                <w:lang w:val="en-US" w:eastAsia="zh-CN" w:bidi="ar-SA"/>
              </w:rPr>
            </w:pPr>
            <w:r>
              <w:rPr>
                <w:rFonts w:ascii="宋体" w:hAnsi="宋体"/>
                <w:color w:val="000000"/>
                <w:sz w:val="18"/>
                <w:lang w:val="en-US" w:eastAsia="zh-CN" w:bidi="ar-SA"/>
              </w:rPr>
              <w:t>2016/6/21到2036/6/21</w:t>
            </w:r>
          </w:p>
        </w:tc>
        <w:tc>
          <w:tcPr>
            <w:tcW w:w="730" w:type="dxa"/>
            <w:vMerge w:val="continue"/>
            <w:tcBorders>
              <w:top w:val="single" w:color="000000" w:sz="8" w:space="0"/>
              <w:left w:val="single" w:color="000000" w:sz="8" w:space="0"/>
              <w:bottom w:val="single" w:color="000000" w:sz="8" w:space="0"/>
              <w:right w:val="single" w:color="000000" w:sz="8" w:space="0"/>
            </w:tcBorders>
          </w:tcPr>
          <w:p w14:paraId="600E0A6B">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5952F37A">
            <w:pPr>
              <w:rPr>
                <w:rFonts w:hint="eastAsia" w:ascii="宋体" w:hAnsi="宋体"/>
                <w:lang w:val="en-US" w:eastAsia="zh-CN" w:bidi="ar-SA"/>
              </w:rPr>
            </w:pPr>
          </w:p>
        </w:tc>
      </w:tr>
      <w:tr w14:paraId="73CE5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172F213F">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545F45AA">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0CA44BFD">
            <w:pPr>
              <w:spacing w:before="40" w:after="40"/>
              <w:rPr>
                <w:rFonts w:hint="eastAsia" w:ascii="宋体" w:hAnsi="宋体"/>
                <w:lang w:val="en-US" w:eastAsia="zh-CN" w:bidi="ar-SA"/>
              </w:rPr>
            </w:pPr>
            <w:r>
              <w:rPr>
                <w:rFonts w:ascii="宋体" w:hAnsi="宋体"/>
                <w:color w:val="000000"/>
                <w:sz w:val="18"/>
                <w:lang w:val="en-US" w:eastAsia="zh-CN" w:bidi="ar-SA"/>
              </w:rPr>
              <w:t>201610158485.6一种高纯度水飞蓟素的制备方法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0C114A33">
            <w:pPr>
              <w:spacing w:before="40" w:after="40"/>
              <w:rPr>
                <w:rFonts w:hint="eastAsia" w:ascii="宋体" w:hAnsi="宋体"/>
                <w:lang w:val="en-US" w:eastAsia="zh-CN" w:bidi="ar-SA"/>
              </w:rPr>
            </w:pPr>
            <w:r>
              <w:rPr>
                <w:rFonts w:ascii="宋体" w:hAnsi="宋体"/>
                <w:color w:val="000000"/>
                <w:sz w:val="18"/>
                <w:lang w:val="en-US" w:eastAsia="zh-CN" w:bidi="ar-SA"/>
              </w:rPr>
              <w:t>2016/3/17到2036/3/17</w:t>
            </w:r>
          </w:p>
        </w:tc>
        <w:tc>
          <w:tcPr>
            <w:tcW w:w="730" w:type="dxa"/>
            <w:vMerge w:val="continue"/>
            <w:tcBorders>
              <w:top w:val="single" w:color="000000" w:sz="8" w:space="0"/>
              <w:left w:val="single" w:color="000000" w:sz="8" w:space="0"/>
              <w:bottom w:val="single" w:color="000000" w:sz="8" w:space="0"/>
              <w:right w:val="single" w:color="000000" w:sz="8" w:space="0"/>
            </w:tcBorders>
          </w:tcPr>
          <w:p w14:paraId="0DBC99B0">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51D6DA39">
            <w:pPr>
              <w:rPr>
                <w:rFonts w:hint="eastAsia" w:ascii="宋体" w:hAnsi="宋体"/>
                <w:lang w:val="en-US" w:eastAsia="zh-CN" w:bidi="ar-SA"/>
              </w:rPr>
            </w:pPr>
          </w:p>
        </w:tc>
      </w:tr>
      <w:tr w14:paraId="13C65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6785BE1D">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706728EB">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08B852CE">
            <w:pPr>
              <w:spacing w:before="40" w:after="40"/>
              <w:rPr>
                <w:rFonts w:hint="eastAsia" w:ascii="宋体" w:hAnsi="宋体"/>
                <w:lang w:val="en-US" w:eastAsia="zh-CN" w:bidi="ar-SA"/>
              </w:rPr>
            </w:pPr>
            <w:r>
              <w:rPr>
                <w:rFonts w:ascii="宋体" w:hAnsi="宋体"/>
                <w:color w:val="000000"/>
                <w:sz w:val="18"/>
                <w:lang w:val="en-US" w:eastAsia="zh-CN" w:bidi="ar-SA"/>
              </w:rPr>
              <w:t>201610454222.X一种水飞蓟茎叶中有效成分提取方法</w:t>
            </w:r>
          </w:p>
        </w:tc>
        <w:tc>
          <w:tcPr>
            <w:tcW w:w="1360" w:type="dxa"/>
            <w:tcBorders>
              <w:bottom w:val="single" w:color="000000" w:sz="8" w:space="0"/>
              <w:right w:val="single" w:color="000000" w:sz="8" w:space="0"/>
            </w:tcBorders>
            <w:tcMar>
              <w:top w:w="0" w:type="dxa"/>
              <w:left w:w="108" w:type="dxa"/>
              <w:bottom w:w="0" w:type="dxa"/>
              <w:right w:w="108" w:type="dxa"/>
            </w:tcMar>
            <w:vAlign w:val="center"/>
          </w:tcPr>
          <w:p w14:paraId="27A4B854">
            <w:pPr>
              <w:spacing w:before="40" w:after="40"/>
              <w:rPr>
                <w:rFonts w:hint="eastAsia" w:ascii="宋体" w:hAnsi="宋体"/>
                <w:lang w:val="en-US" w:eastAsia="zh-CN" w:bidi="ar-SA"/>
              </w:rPr>
            </w:pPr>
            <w:r>
              <w:rPr>
                <w:rFonts w:ascii="宋体" w:hAnsi="宋体"/>
                <w:color w:val="000000"/>
                <w:sz w:val="18"/>
                <w:lang w:val="en-US" w:eastAsia="zh-CN" w:bidi="ar-SA"/>
              </w:rPr>
              <w:t>2016/6/21到2036/6/21</w:t>
            </w:r>
          </w:p>
        </w:tc>
        <w:tc>
          <w:tcPr>
            <w:tcW w:w="730" w:type="dxa"/>
            <w:vMerge w:val="continue"/>
            <w:tcBorders>
              <w:top w:val="single" w:color="000000" w:sz="8" w:space="0"/>
              <w:left w:val="single" w:color="000000" w:sz="8" w:space="0"/>
              <w:bottom w:val="single" w:color="000000" w:sz="8" w:space="0"/>
              <w:right w:val="single" w:color="000000" w:sz="8" w:space="0"/>
            </w:tcBorders>
          </w:tcPr>
          <w:p w14:paraId="614DA33B">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4D3B4312">
            <w:pPr>
              <w:rPr>
                <w:rFonts w:hint="eastAsia" w:ascii="宋体" w:hAnsi="宋体"/>
                <w:lang w:val="en-US" w:eastAsia="zh-CN" w:bidi="ar-SA"/>
              </w:rPr>
            </w:pPr>
          </w:p>
        </w:tc>
      </w:tr>
      <w:tr w14:paraId="2D69D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8"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44B87679">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0EECB3C3">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4B84950C">
            <w:pPr>
              <w:spacing w:before="40" w:after="40"/>
              <w:rPr>
                <w:rFonts w:hint="eastAsia" w:ascii="宋体" w:hAnsi="宋体"/>
                <w:lang w:val="en-US" w:eastAsia="zh-CN" w:bidi="ar-SA"/>
              </w:rPr>
            </w:pPr>
            <w:r>
              <w:rPr>
                <w:rFonts w:ascii="宋体" w:hAnsi="宋体"/>
                <w:color w:val="000000"/>
                <w:sz w:val="18"/>
                <w:lang w:val="en-US" w:eastAsia="zh-CN" w:bidi="ar-SA"/>
              </w:rPr>
              <w:t>201610763023.7一种精制水飞蓟茎叶中黄酮类化合物的方法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0038B2B2">
            <w:pPr>
              <w:spacing w:before="40" w:after="40"/>
              <w:rPr>
                <w:rFonts w:hint="eastAsia" w:ascii="宋体" w:hAnsi="宋体"/>
                <w:lang w:val="en-US" w:eastAsia="zh-CN" w:bidi="ar-SA"/>
              </w:rPr>
            </w:pPr>
            <w:r>
              <w:rPr>
                <w:rFonts w:ascii="宋体" w:hAnsi="宋体"/>
                <w:color w:val="000000"/>
                <w:sz w:val="18"/>
                <w:lang w:val="en-US" w:eastAsia="zh-CN" w:bidi="ar-SA"/>
              </w:rPr>
              <w:t>2016/8/30到2036/8/30</w:t>
            </w:r>
          </w:p>
        </w:tc>
        <w:tc>
          <w:tcPr>
            <w:tcW w:w="730" w:type="dxa"/>
            <w:vMerge w:val="continue"/>
            <w:tcBorders>
              <w:top w:val="single" w:color="000000" w:sz="8" w:space="0"/>
              <w:left w:val="single" w:color="000000" w:sz="8" w:space="0"/>
              <w:bottom w:val="single" w:color="000000" w:sz="8" w:space="0"/>
              <w:right w:val="single" w:color="000000" w:sz="8" w:space="0"/>
            </w:tcBorders>
          </w:tcPr>
          <w:p w14:paraId="0AAC56B8">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052CABA2">
            <w:pPr>
              <w:rPr>
                <w:rFonts w:hint="eastAsia" w:ascii="宋体" w:hAnsi="宋体"/>
                <w:lang w:val="en-US" w:eastAsia="zh-CN" w:bidi="ar-SA"/>
              </w:rPr>
            </w:pPr>
          </w:p>
        </w:tc>
      </w:tr>
      <w:tr w14:paraId="7172A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77DDD033">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53BEEF04">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3014C054">
            <w:pPr>
              <w:spacing w:before="40" w:after="40"/>
              <w:rPr>
                <w:rFonts w:hint="eastAsia" w:ascii="宋体" w:hAnsi="宋体"/>
                <w:lang w:val="en-US" w:eastAsia="zh-CN" w:bidi="ar-SA"/>
              </w:rPr>
            </w:pPr>
            <w:r>
              <w:rPr>
                <w:rFonts w:ascii="宋体" w:hAnsi="宋体"/>
                <w:color w:val="000000"/>
                <w:sz w:val="18"/>
                <w:lang w:val="en-US" w:eastAsia="zh-CN" w:bidi="ar-SA"/>
              </w:rPr>
              <w:t>201610450543.2一种高生物利用度的水飞蓟宾葡甲胺片的制备方法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02CAA956">
            <w:pPr>
              <w:spacing w:before="40" w:after="40"/>
              <w:rPr>
                <w:rFonts w:hint="eastAsia" w:ascii="宋体" w:hAnsi="宋体"/>
                <w:lang w:val="en-US" w:eastAsia="zh-CN" w:bidi="ar-SA"/>
              </w:rPr>
            </w:pPr>
            <w:r>
              <w:rPr>
                <w:rFonts w:ascii="宋体" w:hAnsi="宋体"/>
                <w:color w:val="000000"/>
                <w:sz w:val="18"/>
                <w:lang w:val="en-US" w:eastAsia="zh-CN" w:bidi="ar-SA"/>
              </w:rPr>
              <w:t>2016/6/21到2036/6/21</w:t>
            </w:r>
          </w:p>
        </w:tc>
        <w:tc>
          <w:tcPr>
            <w:tcW w:w="730" w:type="dxa"/>
            <w:vMerge w:val="continue"/>
            <w:tcBorders>
              <w:top w:val="single" w:color="000000" w:sz="8" w:space="0"/>
              <w:left w:val="single" w:color="000000" w:sz="8" w:space="0"/>
              <w:bottom w:val="single" w:color="000000" w:sz="8" w:space="0"/>
              <w:right w:val="single" w:color="000000" w:sz="8" w:space="0"/>
            </w:tcBorders>
          </w:tcPr>
          <w:p w14:paraId="6E47EFDC">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72AE354F">
            <w:pPr>
              <w:rPr>
                <w:rFonts w:hint="eastAsia" w:ascii="宋体" w:hAnsi="宋体"/>
                <w:lang w:val="en-US" w:eastAsia="zh-CN" w:bidi="ar-SA"/>
              </w:rPr>
            </w:pPr>
          </w:p>
        </w:tc>
      </w:tr>
      <w:tr w14:paraId="386C4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77EC9A01">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44D59AFE">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406A7192">
            <w:pPr>
              <w:spacing w:before="40" w:after="40"/>
              <w:rPr>
                <w:rFonts w:hint="eastAsia" w:ascii="宋体" w:hAnsi="宋体"/>
                <w:lang w:val="en-US" w:eastAsia="zh-CN" w:bidi="ar-SA"/>
              </w:rPr>
            </w:pPr>
            <w:r>
              <w:rPr>
                <w:rFonts w:ascii="宋体" w:hAnsi="宋体"/>
                <w:color w:val="000000"/>
                <w:sz w:val="18"/>
                <w:lang w:val="en-US" w:eastAsia="zh-CN" w:bidi="ar-SA"/>
              </w:rPr>
              <w:t>201710029837.2一种水飞蓟籽仁蛋白粗粉的脱脂和脱水的方法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2B24C8F8">
            <w:pPr>
              <w:spacing w:before="40" w:after="40"/>
              <w:rPr>
                <w:rFonts w:hint="eastAsia" w:ascii="宋体" w:hAnsi="宋体"/>
                <w:lang w:val="en-US" w:eastAsia="zh-CN" w:bidi="ar-SA"/>
              </w:rPr>
            </w:pPr>
            <w:r>
              <w:rPr>
                <w:rFonts w:ascii="宋体" w:hAnsi="宋体"/>
                <w:color w:val="000000"/>
                <w:sz w:val="18"/>
                <w:lang w:val="en-US" w:eastAsia="zh-CN" w:bidi="ar-SA"/>
              </w:rPr>
              <w:t>2017/1/16到2037/1/16</w:t>
            </w:r>
          </w:p>
        </w:tc>
        <w:tc>
          <w:tcPr>
            <w:tcW w:w="730" w:type="dxa"/>
            <w:vMerge w:val="continue"/>
            <w:tcBorders>
              <w:top w:val="single" w:color="000000" w:sz="8" w:space="0"/>
              <w:left w:val="single" w:color="000000" w:sz="8" w:space="0"/>
              <w:bottom w:val="single" w:color="000000" w:sz="8" w:space="0"/>
              <w:right w:val="single" w:color="000000" w:sz="8" w:space="0"/>
            </w:tcBorders>
          </w:tcPr>
          <w:p w14:paraId="4E39C5F4">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455C5AB1">
            <w:pPr>
              <w:rPr>
                <w:rFonts w:hint="eastAsia" w:ascii="宋体" w:hAnsi="宋体"/>
                <w:lang w:val="en-US" w:eastAsia="zh-CN" w:bidi="ar-SA"/>
              </w:rPr>
            </w:pPr>
          </w:p>
        </w:tc>
      </w:tr>
      <w:tr w14:paraId="1389A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5D479A10">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430ADF8A">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1C2483CC">
            <w:pPr>
              <w:spacing w:before="40" w:after="40"/>
              <w:rPr>
                <w:rFonts w:hint="eastAsia" w:ascii="宋体" w:hAnsi="宋体"/>
                <w:lang w:val="en-US" w:eastAsia="zh-CN" w:bidi="ar-SA"/>
              </w:rPr>
            </w:pPr>
            <w:r>
              <w:rPr>
                <w:rFonts w:ascii="宋体" w:hAnsi="宋体"/>
                <w:color w:val="000000"/>
                <w:sz w:val="18"/>
                <w:lang w:val="en-US" w:eastAsia="zh-CN" w:bidi="ar-SA"/>
              </w:rPr>
              <w:t>201710479046.X一种湿法超微粉碎法提取水飞蓟籽仁蛋白的方法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13457052">
            <w:pPr>
              <w:spacing w:before="40" w:after="40"/>
              <w:rPr>
                <w:rFonts w:hint="eastAsia" w:ascii="宋体" w:hAnsi="宋体"/>
                <w:lang w:val="en-US" w:eastAsia="zh-CN" w:bidi="ar-SA"/>
              </w:rPr>
            </w:pPr>
            <w:r>
              <w:rPr>
                <w:rFonts w:ascii="宋体" w:hAnsi="宋体"/>
                <w:color w:val="000000"/>
                <w:sz w:val="18"/>
                <w:lang w:val="en-US" w:eastAsia="zh-CN" w:bidi="ar-SA"/>
              </w:rPr>
              <w:t>2017/6/21到2037/6/21</w:t>
            </w:r>
          </w:p>
        </w:tc>
        <w:tc>
          <w:tcPr>
            <w:tcW w:w="730" w:type="dxa"/>
            <w:vMerge w:val="continue"/>
            <w:tcBorders>
              <w:top w:val="single" w:color="000000" w:sz="8" w:space="0"/>
              <w:left w:val="single" w:color="000000" w:sz="8" w:space="0"/>
              <w:bottom w:val="single" w:color="000000" w:sz="8" w:space="0"/>
              <w:right w:val="single" w:color="000000" w:sz="8" w:space="0"/>
            </w:tcBorders>
          </w:tcPr>
          <w:p w14:paraId="07EBE685">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6422CD39">
            <w:pPr>
              <w:rPr>
                <w:rFonts w:hint="eastAsia" w:ascii="宋体" w:hAnsi="宋体"/>
                <w:lang w:val="en-US" w:eastAsia="zh-CN" w:bidi="ar-SA"/>
              </w:rPr>
            </w:pPr>
          </w:p>
        </w:tc>
      </w:tr>
      <w:tr w14:paraId="6F63A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8"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42B69402">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18A508F2">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3990E6BA">
            <w:pPr>
              <w:spacing w:before="40" w:after="40"/>
              <w:rPr>
                <w:rFonts w:hint="eastAsia" w:ascii="宋体" w:hAnsi="宋体"/>
                <w:lang w:val="en-US" w:eastAsia="zh-CN" w:bidi="ar-SA"/>
              </w:rPr>
            </w:pPr>
            <w:r>
              <w:rPr>
                <w:rFonts w:ascii="宋体" w:hAnsi="宋体"/>
                <w:color w:val="000000"/>
                <w:sz w:val="18"/>
                <w:lang w:val="en-US" w:eastAsia="zh-CN" w:bidi="ar-SA"/>
              </w:rPr>
              <w:t>201710677923.4一种提高水飞蓟壳有效成分溶出的方法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614B2198">
            <w:pPr>
              <w:spacing w:before="40" w:after="40"/>
              <w:rPr>
                <w:rFonts w:hint="eastAsia" w:ascii="宋体" w:hAnsi="宋体"/>
                <w:lang w:val="en-US" w:eastAsia="zh-CN" w:bidi="ar-SA"/>
              </w:rPr>
            </w:pPr>
            <w:r>
              <w:rPr>
                <w:rFonts w:ascii="宋体" w:hAnsi="宋体"/>
                <w:color w:val="000000"/>
                <w:sz w:val="18"/>
                <w:lang w:val="en-US" w:eastAsia="zh-CN" w:bidi="ar-SA"/>
              </w:rPr>
              <w:t>2017/8/9到2037/8/9</w:t>
            </w:r>
          </w:p>
        </w:tc>
        <w:tc>
          <w:tcPr>
            <w:tcW w:w="730" w:type="dxa"/>
            <w:vMerge w:val="continue"/>
            <w:tcBorders>
              <w:top w:val="single" w:color="000000" w:sz="8" w:space="0"/>
              <w:left w:val="single" w:color="000000" w:sz="8" w:space="0"/>
              <w:bottom w:val="single" w:color="000000" w:sz="8" w:space="0"/>
              <w:right w:val="single" w:color="000000" w:sz="8" w:space="0"/>
            </w:tcBorders>
          </w:tcPr>
          <w:p w14:paraId="2D038497">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1C675B68">
            <w:pPr>
              <w:rPr>
                <w:rFonts w:hint="eastAsia" w:ascii="宋体" w:hAnsi="宋体"/>
                <w:lang w:val="en-US" w:eastAsia="zh-CN" w:bidi="ar-SA"/>
              </w:rPr>
            </w:pPr>
          </w:p>
        </w:tc>
      </w:tr>
      <w:tr w14:paraId="0370C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25029C04">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7D158B72">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42CAE82F">
            <w:pPr>
              <w:spacing w:before="40" w:after="40"/>
              <w:rPr>
                <w:rFonts w:hint="eastAsia" w:ascii="宋体" w:hAnsi="宋体"/>
                <w:lang w:val="en-US" w:eastAsia="zh-CN" w:bidi="ar-SA"/>
              </w:rPr>
            </w:pPr>
            <w:r>
              <w:rPr>
                <w:rFonts w:ascii="宋体" w:hAnsi="宋体"/>
                <w:color w:val="000000"/>
                <w:sz w:val="18"/>
                <w:lang w:val="en-US" w:eastAsia="zh-CN" w:bidi="ar-SA"/>
              </w:rPr>
              <w:t>201910634004.8一种水飞蓟宾与辛伐他汀的药物组合物及其制备方法与应用</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46E7A93F">
            <w:pPr>
              <w:spacing w:before="40" w:after="40"/>
              <w:rPr>
                <w:rFonts w:hint="eastAsia" w:ascii="宋体" w:hAnsi="宋体"/>
                <w:lang w:val="en-US" w:eastAsia="zh-CN" w:bidi="ar-SA"/>
              </w:rPr>
            </w:pPr>
            <w:r>
              <w:rPr>
                <w:rFonts w:ascii="宋体" w:hAnsi="宋体"/>
                <w:color w:val="000000"/>
                <w:sz w:val="18"/>
                <w:lang w:val="en-US" w:eastAsia="zh-CN" w:bidi="ar-SA"/>
              </w:rPr>
              <w:t>2019/7/15到2039/7/15</w:t>
            </w:r>
          </w:p>
        </w:tc>
        <w:tc>
          <w:tcPr>
            <w:tcW w:w="730" w:type="dxa"/>
            <w:vMerge w:val="continue"/>
            <w:tcBorders>
              <w:top w:val="single" w:color="000000" w:sz="8" w:space="0"/>
              <w:left w:val="single" w:color="000000" w:sz="8" w:space="0"/>
              <w:bottom w:val="single" w:color="000000" w:sz="8" w:space="0"/>
              <w:right w:val="single" w:color="000000" w:sz="8" w:space="0"/>
            </w:tcBorders>
          </w:tcPr>
          <w:p w14:paraId="412A8DC1">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666F8454">
            <w:pPr>
              <w:rPr>
                <w:rFonts w:hint="eastAsia" w:ascii="宋体" w:hAnsi="宋体"/>
                <w:lang w:val="en-US" w:eastAsia="zh-CN" w:bidi="ar-SA"/>
              </w:rPr>
            </w:pPr>
          </w:p>
        </w:tc>
      </w:tr>
      <w:tr w14:paraId="17895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03A5E559">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54801912">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2B327062">
            <w:pPr>
              <w:spacing w:before="40" w:after="40"/>
              <w:rPr>
                <w:rFonts w:hint="eastAsia" w:ascii="宋体" w:hAnsi="宋体"/>
                <w:lang w:val="en-US" w:eastAsia="zh-CN" w:bidi="ar-SA"/>
              </w:rPr>
            </w:pPr>
            <w:r>
              <w:rPr>
                <w:rFonts w:ascii="宋体" w:hAnsi="宋体"/>
                <w:color w:val="000000"/>
                <w:sz w:val="18"/>
                <w:lang w:val="en-US" w:eastAsia="zh-CN" w:bidi="ar-SA"/>
              </w:rPr>
              <w:t>201811379676一种水飞蓟宾葡甲胺含量的检测方法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1C665BB3">
            <w:pPr>
              <w:spacing w:before="40" w:after="40"/>
              <w:rPr>
                <w:rFonts w:hint="eastAsia" w:ascii="宋体" w:hAnsi="宋体"/>
                <w:lang w:val="en-US" w:eastAsia="zh-CN" w:bidi="ar-SA"/>
              </w:rPr>
            </w:pPr>
            <w:r>
              <w:rPr>
                <w:rFonts w:ascii="宋体" w:hAnsi="宋体"/>
                <w:color w:val="000000"/>
                <w:sz w:val="18"/>
                <w:lang w:val="en-US" w:eastAsia="zh-CN" w:bidi="ar-SA"/>
              </w:rPr>
              <w:t>2018/11/20到2038/11/20</w:t>
            </w:r>
          </w:p>
        </w:tc>
        <w:tc>
          <w:tcPr>
            <w:tcW w:w="730" w:type="dxa"/>
            <w:vMerge w:val="continue"/>
            <w:tcBorders>
              <w:top w:val="single" w:color="000000" w:sz="8" w:space="0"/>
              <w:left w:val="single" w:color="000000" w:sz="8" w:space="0"/>
              <w:bottom w:val="single" w:color="000000" w:sz="8" w:space="0"/>
              <w:right w:val="single" w:color="000000" w:sz="8" w:space="0"/>
            </w:tcBorders>
          </w:tcPr>
          <w:p w14:paraId="48CE1DFD">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75CC1FE8">
            <w:pPr>
              <w:rPr>
                <w:rFonts w:hint="eastAsia" w:ascii="宋体" w:hAnsi="宋体"/>
                <w:lang w:val="en-US" w:eastAsia="zh-CN" w:bidi="ar-SA"/>
              </w:rPr>
            </w:pPr>
          </w:p>
        </w:tc>
      </w:tr>
      <w:tr w14:paraId="0EB3C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60462394">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39F794AA">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2EBC32B9">
            <w:pPr>
              <w:spacing w:before="40" w:after="40"/>
              <w:rPr>
                <w:rFonts w:hint="eastAsia" w:ascii="宋体" w:hAnsi="宋体"/>
                <w:lang w:val="en-US" w:eastAsia="zh-CN" w:bidi="ar-SA"/>
              </w:rPr>
            </w:pPr>
            <w:r>
              <w:rPr>
                <w:rFonts w:ascii="宋体" w:hAnsi="宋体"/>
                <w:color w:val="000000"/>
                <w:sz w:val="18"/>
                <w:lang w:val="en-US" w:eastAsia="zh-CN" w:bidi="ar-SA"/>
              </w:rPr>
              <w:t>201911291865.7一种水飞蓟素护肤品的制备方法</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32A7020E">
            <w:pPr>
              <w:spacing w:before="40" w:after="40"/>
              <w:rPr>
                <w:rFonts w:hint="eastAsia" w:ascii="宋体" w:hAnsi="宋体"/>
                <w:lang w:val="en-US" w:eastAsia="zh-CN" w:bidi="ar-SA"/>
              </w:rPr>
            </w:pPr>
            <w:r>
              <w:rPr>
                <w:rFonts w:ascii="宋体" w:hAnsi="宋体"/>
                <w:color w:val="000000"/>
                <w:sz w:val="18"/>
                <w:lang w:val="en-US" w:eastAsia="zh-CN" w:bidi="ar-SA"/>
              </w:rPr>
              <w:t>2019/12/16到2039/12/16</w:t>
            </w:r>
          </w:p>
        </w:tc>
        <w:tc>
          <w:tcPr>
            <w:tcW w:w="730" w:type="dxa"/>
            <w:vMerge w:val="continue"/>
            <w:tcBorders>
              <w:top w:val="single" w:color="000000" w:sz="8" w:space="0"/>
              <w:left w:val="single" w:color="000000" w:sz="8" w:space="0"/>
              <w:bottom w:val="single" w:color="000000" w:sz="8" w:space="0"/>
              <w:right w:val="single" w:color="000000" w:sz="8" w:space="0"/>
            </w:tcBorders>
          </w:tcPr>
          <w:p w14:paraId="654CCA32">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49FF974C">
            <w:pPr>
              <w:rPr>
                <w:rFonts w:hint="eastAsia" w:ascii="宋体" w:hAnsi="宋体"/>
                <w:lang w:val="en-US" w:eastAsia="zh-CN" w:bidi="ar-SA"/>
              </w:rPr>
            </w:pPr>
          </w:p>
        </w:tc>
      </w:tr>
      <w:tr w14:paraId="63991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107932AD">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4FC11BFB">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6C70BA4B">
            <w:pPr>
              <w:spacing w:before="40" w:after="40"/>
              <w:rPr>
                <w:rFonts w:hint="eastAsia" w:ascii="宋体" w:hAnsi="宋体"/>
                <w:lang w:val="en-US" w:eastAsia="zh-CN" w:bidi="ar-SA"/>
              </w:rPr>
            </w:pPr>
            <w:r>
              <w:rPr>
                <w:rFonts w:ascii="宋体" w:hAnsi="宋体"/>
                <w:color w:val="000000"/>
                <w:sz w:val="18"/>
                <w:lang w:val="en-US" w:eastAsia="zh-CN" w:bidi="ar-SA"/>
              </w:rPr>
              <w:t>201830021664.5水飞蓟宾葡甲胺片（包装盒）</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0602E22A">
            <w:pPr>
              <w:spacing w:before="40" w:after="40"/>
              <w:rPr>
                <w:rFonts w:hint="eastAsia" w:ascii="宋体" w:hAnsi="宋体"/>
                <w:lang w:val="en-US" w:eastAsia="zh-CN" w:bidi="ar-SA"/>
              </w:rPr>
            </w:pPr>
            <w:r>
              <w:rPr>
                <w:rFonts w:ascii="宋体" w:hAnsi="宋体"/>
                <w:color w:val="000000"/>
                <w:sz w:val="18"/>
                <w:lang w:val="en-US" w:eastAsia="zh-CN" w:bidi="ar-SA"/>
              </w:rPr>
              <w:t>2018/01/17到2028/01/17</w:t>
            </w:r>
          </w:p>
        </w:tc>
        <w:tc>
          <w:tcPr>
            <w:tcW w:w="730" w:type="dxa"/>
            <w:vMerge w:val="continue"/>
            <w:tcBorders>
              <w:top w:val="single" w:color="000000" w:sz="8" w:space="0"/>
              <w:left w:val="single" w:color="000000" w:sz="8" w:space="0"/>
              <w:bottom w:val="single" w:color="000000" w:sz="8" w:space="0"/>
              <w:right w:val="single" w:color="000000" w:sz="8" w:space="0"/>
            </w:tcBorders>
          </w:tcPr>
          <w:p w14:paraId="0E9C5E28">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261AEE88">
            <w:pPr>
              <w:rPr>
                <w:rFonts w:hint="eastAsia" w:ascii="宋体" w:hAnsi="宋体"/>
                <w:lang w:val="en-US" w:eastAsia="zh-CN" w:bidi="ar-SA"/>
              </w:rPr>
            </w:pPr>
          </w:p>
        </w:tc>
      </w:tr>
      <w:tr w14:paraId="6628A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1D870CE2">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40988864">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6F3F379D">
            <w:pPr>
              <w:spacing w:before="40" w:after="40"/>
              <w:rPr>
                <w:rFonts w:hint="eastAsia" w:ascii="宋体" w:hAnsi="宋体"/>
                <w:lang w:val="en-US" w:eastAsia="zh-CN" w:bidi="ar-SA"/>
              </w:rPr>
            </w:pPr>
            <w:r>
              <w:rPr>
                <w:rFonts w:ascii="宋体" w:hAnsi="宋体"/>
                <w:color w:val="000000"/>
                <w:sz w:val="18"/>
                <w:lang w:val="en-US" w:eastAsia="zh-CN" w:bidi="ar-SA"/>
              </w:rPr>
              <w:t>201620362877.X一种全密封水飞蓟宾整粒机</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60C78CD4">
            <w:pPr>
              <w:spacing w:before="40" w:after="40"/>
              <w:rPr>
                <w:rFonts w:hint="eastAsia" w:ascii="宋体" w:hAnsi="宋体"/>
                <w:lang w:val="en-US" w:eastAsia="zh-CN" w:bidi="ar-SA"/>
              </w:rPr>
            </w:pPr>
            <w:r>
              <w:rPr>
                <w:rFonts w:ascii="宋体" w:hAnsi="宋体"/>
                <w:color w:val="000000"/>
                <w:sz w:val="18"/>
                <w:lang w:val="en-US" w:eastAsia="zh-CN" w:bidi="ar-SA"/>
              </w:rPr>
              <w:t>2016/04/26到2026/04/26</w:t>
            </w:r>
          </w:p>
        </w:tc>
        <w:tc>
          <w:tcPr>
            <w:tcW w:w="730" w:type="dxa"/>
            <w:vMerge w:val="continue"/>
            <w:tcBorders>
              <w:top w:val="single" w:color="000000" w:sz="8" w:space="0"/>
              <w:left w:val="single" w:color="000000" w:sz="8" w:space="0"/>
              <w:bottom w:val="single" w:color="000000" w:sz="8" w:space="0"/>
              <w:right w:val="single" w:color="000000" w:sz="8" w:space="0"/>
            </w:tcBorders>
          </w:tcPr>
          <w:p w14:paraId="094B76CE">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56596DB0">
            <w:pPr>
              <w:rPr>
                <w:rFonts w:hint="eastAsia" w:ascii="宋体" w:hAnsi="宋体"/>
                <w:lang w:val="en-US" w:eastAsia="zh-CN" w:bidi="ar-SA"/>
              </w:rPr>
            </w:pPr>
          </w:p>
        </w:tc>
      </w:tr>
      <w:tr w14:paraId="1875D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5" w:type="dxa"/>
            <w:vMerge w:val="continue"/>
            <w:tcBorders>
              <w:top w:val="single" w:color="000000" w:sz="8" w:space="0"/>
              <w:left w:val="single" w:color="000000" w:sz="8" w:space="0"/>
              <w:bottom w:val="single" w:color="000000" w:sz="8" w:space="0"/>
              <w:right w:val="single" w:color="000000" w:sz="8" w:space="0"/>
            </w:tcBorders>
          </w:tcPr>
          <w:p w14:paraId="53CAA725">
            <w:pPr>
              <w:rPr>
                <w:rFonts w:hint="eastAsia" w:ascii="宋体" w:hAnsi="宋体"/>
                <w:lang w:val="en-US" w:eastAsia="zh-CN" w:bidi="ar-SA"/>
              </w:rPr>
            </w:pPr>
          </w:p>
        </w:tc>
        <w:tc>
          <w:tcPr>
            <w:tcW w:w="1684" w:type="dxa"/>
            <w:vMerge w:val="continue"/>
            <w:tcBorders>
              <w:top w:val="single" w:color="000000" w:sz="8" w:space="0"/>
              <w:left w:val="single" w:color="000000" w:sz="8" w:space="0"/>
              <w:bottom w:val="single" w:color="000000" w:sz="8" w:space="0"/>
              <w:right w:val="single" w:color="000000" w:sz="8" w:space="0"/>
            </w:tcBorders>
          </w:tcPr>
          <w:p w14:paraId="53E1DC85">
            <w:pPr>
              <w:rPr>
                <w:rFonts w:hint="eastAsia" w:ascii="宋体" w:hAnsi="宋体"/>
                <w:lang w:val="en-US" w:eastAsia="zh-CN" w:bidi="ar-SA"/>
              </w:rPr>
            </w:pPr>
          </w:p>
        </w:tc>
        <w:tc>
          <w:tcPr>
            <w:tcW w:w="4101"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14:paraId="454AF056">
            <w:pPr>
              <w:spacing w:before="40" w:after="40"/>
              <w:rPr>
                <w:rFonts w:hint="eastAsia" w:ascii="宋体" w:hAnsi="宋体"/>
                <w:lang w:val="en-US" w:eastAsia="zh-CN" w:bidi="ar-SA"/>
              </w:rPr>
            </w:pPr>
            <w:r>
              <w:rPr>
                <w:rFonts w:ascii="宋体" w:hAnsi="宋体"/>
                <w:color w:val="000000"/>
                <w:sz w:val="18"/>
                <w:lang w:val="en-US" w:eastAsia="zh-CN" w:bidi="ar-SA"/>
              </w:rPr>
              <w:t>201620619390.5一种水飞蓟茎叶中有效成分提取装置</w:t>
            </w:r>
          </w:p>
        </w:tc>
        <w:tc>
          <w:tcPr>
            <w:tcW w:w="1360" w:type="dxa"/>
            <w:tcBorders>
              <w:bottom w:val="single" w:color="000000" w:sz="8" w:space="0"/>
              <w:right w:val="single" w:color="000000" w:sz="8" w:space="0"/>
            </w:tcBorders>
            <w:shd w:val="clear" w:color="auto" w:fill="FFFFFF"/>
            <w:tcMar>
              <w:top w:w="0" w:type="dxa"/>
              <w:left w:w="108" w:type="dxa"/>
              <w:bottom w:w="0" w:type="dxa"/>
              <w:right w:w="108" w:type="dxa"/>
            </w:tcMar>
            <w:vAlign w:val="center"/>
          </w:tcPr>
          <w:p w14:paraId="3F645185">
            <w:pPr>
              <w:spacing w:before="40" w:after="40"/>
              <w:rPr>
                <w:rFonts w:hint="eastAsia" w:ascii="宋体" w:hAnsi="宋体"/>
                <w:lang w:val="en-US" w:eastAsia="zh-CN" w:bidi="ar-SA"/>
              </w:rPr>
            </w:pPr>
            <w:r>
              <w:rPr>
                <w:rFonts w:ascii="宋体" w:hAnsi="宋体"/>
                <w:color w:val="000000"/>
                <w:sz w:val="18"/>
                <w:lang w:val="en-US" w:eastAsia="zh-CN" w:bidi="ar-SA"/>
              </w:rPr>
              <w:t>2016/06/21到2026/06/21</w:t>
            </w:r>
          </w:p>
        </w:tc>
        <w:tc>
          <w:tcPr>
            <w:tcW w:w="730" w:type="dxa"/>
            <w:vMerge w:val="continue"/>
            <w:tcBorders>
              <w:top w:val="single" w:color="000000" w:sz="8" w:space="0"/>
              <w:left w:val="single" w:color="000000" w:sz="8" w:space="0"/>
              <w:bottom w:val="single" w:color="000000" w:sz="8" w:space="0"/>
              <w:right w:val="single" w:color="000000" w:sz="8" w:space="0"/>
            </w:tcBorders>
          </w:tcPr>
          <w:p w14:paraId="5944E3D4">
            <w:pPr>
              <w:rPr>
                <w:rFonts w:hint="eastAsia" w:ascii="宋体" w:hAnsi="宋体"/>
                <w:lang w:val="en-US" w:eastAsia="zh-CN" w:bidi="ar-SA"/>
              </w:rPr>
            </w:pPr>
          </w:p>
        </w:tc>
        <w:tc>
          <w:tcPr>
            <w:tcW w:w="873" w:type="dxa"/>
            <w:vMerge w:val="continue"/>
            <w:tcBorders>
              <w:top w:val="single" w:color="000000" w:sz="8" w:space="0"/>
              <w:left w:val="single" w:color="000000" w:sz="8" w:space="0"/>
              <w:bottom w:val="single" w:color="000000" w:sz="8" w:space="0"/>
              <w:right w:val="single" w:color="000000" w:sz="8" w:space="0"/>
            </w:tcBorders>
          </w:tcPr>
          <w:p w14:paraId="6D1F707F">
            <w:pPr>
              <w:rPr>
                <w:rFonts w:hint="eastAsia" w:ascii="宋体" w:hAnsi="宋体"/>
                <w:lang w:val="en-US" w:eastAsia="zh-CN" w:bidi="ar-SA"/>
              </w:rPr>
            </w:pPr>
          </w:p>
        </w:tc>
      </w:tr>
    </w:tbl>
    <w:p w14:paraId="3E515256">
      <w:pPr>
        <w:ind w:firstLine="360" w:firstLineChars="200"/>
        <w:rPr>
          <w:rFonts w:hint="eastAsia" w:ascii="宋体" w:hAnsi="宋体"/>
          <w:lang w:val="en-US" w:eastAsia="zh-CN" w:bidi="ar-SA"/>
        </w:rPr>
      </w:pPr>
      <w:r>
        <w:rPr>
          <w:rFonts w:ascii="宋体" w:hAnsi="宋体"/>
          <w:sz w:val="18"/>
          <w:lang w:val="en-US" w:eastAsia="zh-CN" w:bidi="ar-SA"/>
        </w:rPr>
        <w:t>（4）报告期及去年同期，公司没有生物制品批签发。</w:t>
      </w:r>
    </w:p>
    <w:p w14:paraId="69AA2DF0">
      <w:pPr>
        <w:keepNext/>
        <w:keepLines/>
        <w:spacing w:before="300" w:after="300" w:line="320" w:lineRule="exact"/>
        <w:jc w:val="left"/>
        <w:outlineLvl w:val="1"/>
        <w:rPr>
          <w:rFonts w:ascii="宋体" w:hAnsi="宋体" w:eastAsia="宋体" w:cs="宋体"/>
          <w:b/>
          <w:bCs/>
          <w:sz w:val="24"/>
          <w:szCs w:val="24"/>
        </w:rPr>
      </w:pPr>
      <w:bookmarkStart w:id="17" w:name="_Toc988904"/>
      <w:r>
        <w:rPr>
          <w:rFonts w:ascii="宋体" w:hAnsi="宋体" w:eastAsia="宋体" w:cs="宋体"/>
          <w:b/>
          <w:bCs/>
          <w:sz w:val="24"/>
          <w:szCs w:val="24"/>
        </w:rPr>
        <w:t>三、核心竞争力分析</w:t>
      </w:r>
      <w:bookmarkEnd w:id="17"/>
    </w:p>
    <w:p w14:paraId="7C982F8C">
      <w:pPr>
        <w:pStyle w:val="2"/>
        <w:widowControl/>
        <w:ind w:firstLine="363"/>
        <w:jc w:val="both"/>
        <w:rPr>
          <w:szCs w:val="24"/>
        </w:rPr>
      </w:pPr>
      <w:r>
        <w:rPr>
          <w:rStyle w:val="6"/>
          <w:rFonts w:hint="eastAsia" w:ascii="宋体" w:hAnsi="宋体" w:cs="宋体"/>
          <w:bCs/>
          <w:sz w:val="18"/>
          <w:szCs w:val="18"/>
        </w:rPr>
        <w:t>1、创新药研发的先发优势</w:t>
      </w:r>
    </w:p>
    <w:p w14:paraId="75651A32">
      <w:pPr>
        <w:pStyle w:val="2"/>
        <w:widowControl/>
        <w:ind w:firstLine="363"/>
        <w:jc w:val="both"/>
        <w:rPr>
          <w:szCs w:val="24"/>
        </w:rPr>
      </w:pPr>
      <w:r>
        <w:rPr>
          <w:rFonts w:hint="eastAsia" w:ascii="宋体" w:hAnsi="宋体" w:cs="宋体"/>
          <w:sz w:val="18"/>
          <w:szCs w:val="18"/>
        </w:rPr>
        <w:t>公司是国内深耕抗病毒及肝脏健康领域领先的创新药研发生产企业，自</w:t>
      </w:r>
      <w:r>
        <w:rPr>
          <w:sz w:val="18"/>
          <w:szCs w:val="18"/>
        </w:rPr>
        <w:t>2015</w:t>
      </w:r>
      <w:r>
        <w:rPr>
          <w:rFonts w:hint="eastAsia" w:ascii="宋体" w:hAnsi="宋体" w:cs="宋体"/>
          <w:sz w:val="18"/>
          <w:szCs w:val="18"/>
        </w:rPr>
        <w:t>年上市以来，积极、持续推动创新发展战略，在肝癌、非酒精性脂肪肝炎、临床治愈乙肝等领域战略布局，争取填补行业空白并积极承担药企社会责任，立项开发抗新冠创新药。公司通过多年创新转型发展积淀，已实现创新药“零”的突破，抗新冠创新药泰中定获批上市并商业化，具备创新药开发全周期的研发能力，并形成创新药产品管线梯队。同时，公司加强创新药全球知识产权保护，创新药系列化合物均进行</w:t>
      </w:r>
      <w:r>
        <w:rPr>
          <w:sz w:val="18"/>
          <w:szCs w:val="18"/>
        </w:rPr>
        <w:t>PCT</w:t>
      </w:r>
      <w:r>
        <w:rPr>
          <w:rFonts w:hint="eastAsia" w:ascii="宋体" w:hAnsi="宋体" w:cs="宋体"/>
          <w:sz w:val="18"/>
          <w:szCs w:val="18"/>
        </w:rPr>
        <w:t>国际专利布局，并已陆续取得中国和其他国家或地区专利授权。通过持续加大研发投入，不断完善创新药知识产权布局，公司已在创新药市场抢占了一定先机，具备先发优势，正逐步打造属于广生堂的专属护城河和核心竞争力。</w:t>
      </w:r>
    </w:p>
    <w:p w14:paraId="42AAF89C">
      <w:pPr>
        <w:pStyle w:val="2"/>
        <w:widowControl/>
        <w:ind w:firstLine="363"/>
        <w:jc w:val="both"/>
        <w:rPr>
          <w:szCs w:val="24"/>
        </w:rPr>
      </w:pPr>
      <w:r>
        <w:rPr>
          <w:rStyle w:val="6"/>
          <w:rFonts w:hint="eastAsia" w:ascii="宋体" w:hAnsi="宋体" w:cs="宋体"/>
          <w:bCs/>
          <w:sz w:val="18"/>
          <w:szCs w:val="18"/>
        </w:rPr>
        <w:t>2、经验丰富的管理团队优势</w:t>
      </w:r>
    </w:p>
    <w:p w14:paraId="341049AC">
      <w:pPr>
        <w:pStyle w:val="2"/>
        <w:widowControl/>
        <w:ind w:firstLine="363"/>
        <w:jc w:val="both"/>
        <w:rPr>
          <w:szCs w:val="24"/>
        </w:rPr>
      </w:pPr>
      <w:r>
        <w:rPr>
          <w:rFonts w:hint="eastAsia" w:ascii="宋体" w:hAnsi="宋体" w:cs="宋体"/>
          <w:sz w:val="18"/>
          <w:szCs w:val="18"/>
        </w:rPr>
        <w:t>公司不断完善创新药研发和管理团队建设，拥有涵盖药品开发生命周期不同阶段和企业综合运营的专业团队，核心研发及管理人员来自辉瑞、GSK、阿斯利康等跨国企业，在创新药临床研究、注册申报及商业化方面具备丰富经验。未来，公司将持续不断引进优秀管理和研发人才，提升创新药自主研发能力，推动公司高质量发展。</w:t>
      </w:r>
    </w:p>
    <w:p w14:paraId="6FE70C85">
      <w:pPr>
        <w:pStyle w:val="2"/>
        <w:widowControl/>
        <w:ind w:firstLine="363"/>
        <w:jc w:val="both"/>
        <w:rPr>
          <w:szCs w:val="24"/>
        </w:rPr>
      </w:pPr>
      <w:r>
        <w:rPr>
          <w:rStyle w:val="6"/>
          <w:rFonts w:hint="eastAsia" w:ascii="宋体" w:hAnsi="宋体" w:cs="宋体"/>
          <w:bCs/>
          <w:sz w:val="18"/>
          <w:szCs w:val="18"/>
        </w:rPr>
        <w:t>3、战略聚焦和多元融合的产品管线优势</w:t>
      </w:r>
    </w:p>
    <w:p w14:paraId="0DD83DA2">
      <w:pPr>
        <w:pStyle w:val="2"/>
        <w:widowControl/>
        <w:ind w:firstLine="363"/>
        <w:jc w:val="both"/>
        <w:rPr>
          <w:szCs w:val="24"/>
        </w:rPr>
      </w:pPr>
      <w:r>
        <w:rPr>
          <w:rFonts w:hint="eastAsia" w:ascii="宋体" w:hAnsi="宋体" w:cs="宋体"/>
          <w:sz w:val="18"/>
          <w:szCs w:val="18"/>
        </w:rPr>
        <w:t>公司通过自主研发、合作开发和产业并购等方式，已形成以核苷（酸）类抗乙肝病毒药物和保肝护肝药物为核心，全面布局乙肝、丙肝、脂肪肝、肝癌、保肝护肝等肝脏健康产品线，同时抗新冠、心血管、男性健康药物等领域产品作为有益补充的聚焦与多元化融合的药物矩阵布局。未来，随着高端仿制药硫酸氢氯吡格雷阿司匹林片有望获批上市，以及多款创新药在研产品陆续进入收获期，公司产品管线将进一步丰富与升级，增强长期发展动能。</w:t>
      </w:r>
    </w:p>
    <w:p w14:paraId="3BC1384F">
      <w:pPr>
        <w:pStyle w:val="2"/>
        <w:widowControl/>
        <w:ind w:firstLine="363"/>
        <w:jc w:val="both"/>
        <w:rPr>
          <w:szCs w:val="24"/>
        </w:rPr>
      </w:pPr>
      <w:r>
        <w:rPr>
          <w:rStyle w:val="6"/>
          <w:rFonts w:hint="eastAsia" w:ascii="宋体" w:hAnsi="宋体" w:cs="宋体"/>
          <w:bCs/>
          <w:sz w:val="18"/>
          <w:szCs w:val="18"/>
        </w:rPr>
        <w:t>4、品牌及渠道优势</w:t>
      </w:r>
    </w:p>
    <w:p w14:paraId="7E99FAF9">
      <w:pPr>
        <w:pStyle w:val="2"/>
        <w:widowControl/>
        <w:ind w:firstLine="363"/>
        <w:jc w:val="both"/>
        <w:rPr>
          <w:szCs w:val="24"/>
        </w:rPr>
      </w:pPr>
      <w:r>
        <w:rPr>
          <w:rFonts w:hint="eastAsia" w:ascii="宋体" w:hAnsi="宋体" w:cs="宋体"/>
          <w:sz w:val="18"/>
          <w:szCs w:val="18"/>
        </w:rPr>
        <w:t>公司在抗乙肝病毒药物领域耕耘多年，已经建立了遍及全国各省区的销售队伍及覆盖全国各省会、市、县的销售网络及终端，并且与该领域的优秀经销商有着坚实的合作关系。通过多年的学术推广和品牌建设，公司已经在该领域的医生和患者中树立了口碑，建立起良好的品牌形象，为公司未来收入的增长以及新产品的市场导入奠定了基础。同时公司顺应行业变化，不断探索多元化的销售渠道，积极探索医药新零售模式，拓展新型零售渠道（线上药店、互联网医院等），进行营销数字化实践，为渠道建设赋能。</w:t>
      </w:r>
    </w:p>
    <w:p w14:paraId="743E1F36">
      <w:pPr>
        <w:pStyle w:val="2"/>
        <w:widowControl/>
        <w:ind w:firstLine="363"/>
        <w:jc w:val="both"/>
        <w:rPr>
          <w:szCs w:val="24"/>
        </w:rPr>
      </w:pPr>
      <w:r>
        <w:rPr>
          <w:rStyle w:val="6"/>
          <w:rFonts w:hint="eastAsia" w:ascii="宋体" w:hAnsi="宋体" w:cs="宋体"/>
          <w:bCs/>
          <w:sz w:val="18"/>
          <w:szCs w:val="18"/>
        </w:rPr>
        <w:t>5、产业链及质量管控优势 </w:t>
      </w:r>
    </w:p>
    <w:p w14:paraId="105D7D82">
      <w:pPr>
        <w:pStyle w:val="2"/>
        <w:keepNext w:val="0"/>
        <w:keepLines w:val="0"/>
        <w:widowControl/>
        <w:suppressLineNumbers w:val="0"/>
        <w:ind w:left="0" w:firstLine="363"/>
        <w:jc w:val="both"/>
        <w:rPr>
          <w:rFonts w:hint="default" w:ascii="Times New Roman" w:hAnsi="Times New Roman" w:cs="Times New Roman"/>
          <w:sz w:val="24"/>
          <w:szCs w:val="24"/>
        </w:rPr>
      </w:pPr>
      <w:r>
        <w:rPr>
          <w:rFonts w:hint="eastAsia" w:ascii="宋体" w:hAnsi="宋体" w:cs="宋体"/>
          <w:sz w:val="18"/>
          <w:szCs w:val="18"/>
        </w:rPr>
        <w:t>公司始终将产品质量的稳定和提升作为公司日常运营的关键目标，持续强化质量文化建设，通过产品、法规、质量工具、管理能力等全方位培训提升全员对产品质量水平的重视。公司根据《中华人民共和国药品安全法》以及《药品生产质量管理规范》等药品安全生产相关法律规定建立了一整套严格的产品生产质量保证体系，从源头原料药生产及采购开始，到产品生产、研发管理、临床研究等，均符合</w:t>
      </w:r>
      <w:r>
        <w:rPr>
          <w:sz w:val="18"/>
          <w:szCs w:val="18"/>
        </w:rPr>
        <w:t>GMP</w:t>
      </w:r>
      <w:r>
        <w:rPr>
          <w:rFonts w:hint="eastAsia" w:ascii="宋体" w:hAnsi="宋体" w:cs="宋体"/>
          <w:sz w:val="18"/>
          <w:szCs w:val="18"/>
        </w:rPr>
        <w:t>生产要求的质量控制标准，并通过关键指标的控制，保证质量管理体系持续、稳定的运行。</w:t>
      </w:r>
    </w:p>
    <w:p w14:paraId="258D44D0">
      <w:pPr>
        <w:keepNext/>
        <w:keepLines/>
        <w:spacing w:before="300" w:after="300" w:line="320" w:lineRule="exact"/>
        <w:jc w:val="left"/>
        <w:outlineLvl w:val="1"/>
        <w:rPr>
          <w:rFonts w:ascii="宋体" w:hAnsi="宋体" w:eastAsia="宋体" w:cs="宋体"/>
          <w:b/>
          <w:bCs/>
          <w:sz w:val="24"/>
          <w:szCs w:val="24"/>
        </w:rPr>
      </w:pPr>
      <w:bookmarkStart w:id="18" w:name="_Toc988905"/>
      <w:r>
        <w:rPr>
          <w:rFonts w:ascii="宋体" w:hAnsi="宋体" w:eastAsia="宋体" w:cs="宋体"/>
          <w:b/>
          <w:bCs/>
          <w:sz w:val="24"/>
          <w:szCs w:val="24"/>
        </w:rPr>
        <w:t>四、主营业务分析</w:t>
      </w:r>
      <w:bookmarkEnd w:id="18"/>
    </w:p>
    <w:p w14:paraId="59B74DAD">
      <w:pPr>
        <w:keepNext/>
        <w:keepLines/>
        <w:spacing w:before="300" w:after="300" w:line="280" w:lineRule="exact"/>
        <w:jc w:val="left"/>
        <w:outlineLvl w:val="2"/>
        <w:rPr>
          <w:rFonts w:ascii="宋体" w:hAnsi="宋体" w:eastAsia="宋体" w:cs="宋体"/>
          <w:b/>
          <w:bCs/>
          <w:sz w:val="21"/>
          <w:szCs w:val="21"/>
        </w:rPr>
      </w:pPr>
      <w:bookmarkStart w:id="19" w:name="_Toc988906"/>
      <w:r>
        <w:rPr>
          <w:rFonts w:ascii="宋体" w:hAnsi="宋体" w:eastAsia="宋体" w:cs="宋体"/>
          <w:b/>
          <w:bCs/>
          <w:sz w:val="21"/>
          <w:szCs w:val="21"/>
        </w:rPr>
        <w:t>1、概述</w:t>
      </w:r>
      <w:bookmarkEnd w:id="19"/>
    </w:p>
    <w:p w14:paraId="29EBF677">
      <w:pPr>
        <w:pStyle w:val="2"/>
        <w:widowControl/>
        <w:spacing w:beforeAutospacing="0" w:afterAutospacing="0"/>
        <w:ind w:firstLine="360"/>
        <w:jc w:val="both"/>
        <w:rPr>
          <w:rFonts w:hint="eastAsia" w:ascii="宋体" w:hAnsi="宋体" w:cs="宋体"/>
          <w:szCs w:val="24"/>
        </w:rPr>
      </w:pPr>
      <w:r>
        <w:rPr>
          <w:rFonts w:hint="eastAsia" w:ascii="宋体" w:hAnsi="宋体" w:cs="宋体"/>
          <w:sz w:val="18"/>
          <w:szCs w:val="18"/>
        </w:rPr>
        <w:t>2024年，公司始终坚持创新发展核心战略，持续推进创新药临床研究进展并取得突破，同时积极开拓市场，加强营销能力建设，实现公司整体营业收入和综合毛利率双提升。报告期内，受集采政策持续影响，乙肝产品毛利率承压，且前期建设项目转固和药品获批上市导致无形资产增加，相应资产折旧及摊销增加，此外市场拓展及团队建设强化相关投入增加，叠加创新药战略投入维持高强度、财务费用增加及资产减值损失计提等综合影响，归属于上市公司股东净利润仍然亏损，但公司经营质量有所改善，营收继续保持增长，综合毛利率提升超过4个百分点，经营活动产生的现金流量净额转正，业绩亏损同比大幅收窄55.16%。</w:t>
      </w:r>
    </w:p>
    <w:p w14:paraId="1B1B84F3">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报告期内，公司持续保持研发投入，聚力推动乙肝创新药物的临床进展，成果斐然。乙肝治疗创新药GST-HG141完成临床II期，展现出明显的临床优势数据，被纳入国家突破性治疗品种名单。公司积极与国家药品监督管理局药品审评中心就III 期临床试验方案进行了深入的沟通交流会，并顺利取得会议纪要，目前正积极推进III期临床相关准备工作。GST-HG131也取得重大进展，已于2025年1月完成临床II期全部计划例数的患者入组，GST-HG131联合GST-HG141项目于2025年3月纳入优化创新药临床试验审评审批试点项目并获得临床试验申请受理。GST-HG141和GST-HG131的研发成果还获得国际权威学术机构美国肝病研究协会（AASLD）认可，被接受为最新突破摘要(Late-breaking Abstract)，不仅提升了公司在国际学术领域的知名度和影响力，也为公司后续的国际合作与交流创造了有利条件。</w:t>
      </w:r>
    </w:p>
    <w:p w14:paraId="6087BB52">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报告期内，公司在产业合作方面也取得了关键性进展。2024 年11 月，公司控股股东福建奥华集团有限公司与漳州圆山大健康产业投资基金合伙企业(有限合伙)（简称“圆山基金”）签署了《股份转让协议》，并于2025年1月完成过户登记，圆山基金成为公司持股5%以上大股东。双方将共同推动广生堂与漳州大健康产业链的产业合作共建，增强产业协同发展、优势互补，促进公司深化中药板块战略布局，提升公司在大健康领域的竞争力和影响力。公司也将以此为契机，加强与漳州大健康产业链企业品牌、渠道合作，推动中药传统名方引入和产业化，努力打造新的业绩增长极，为公司发展注入新的活力。</w:t>
      </w:r>
    </w:p>
    <w:p w14:paraId="372FAF5B">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总体而言，2024年公司在创新发展、产业合作等方面均取得了显著成效，同时也积极应对各种挑战，为公司发展奠定了坚实基础。</w:t>
      </w:r>
    </w:p>
    <w:p w14:paraId="1D1A62F5">
      <w:pPr>
        <w:keepNext/>
        <w:keepLines/>
        <w:spacing w:before="300" w:after="300" w:line="280" w:lineRule="exact"/>
        <w:jc w:val="left"/>
        <w:outlineLvl w:val="2"/>
        <w:rPr>
          <w:rFonts w:ascii="宋体" w:hAnsi="宋体" w:eastAsia="宋体" w:cs="宋体"/>
          <w:b/>
          <w:bCs/>
          <w:sz w:val="21"/>
          <w:szCs w:val="21"/>
        </w:rPr>
      </w:pPr>
      <w:bookmarkStart w:id="20" w:name="_Toc988907"/>
      <w:r>
        <w:rPr>
          <w:rFonts w:ascii="宋体" w:hAnsi="宋体" w:eastAsia="宋体" w:cs="宋体"/>
          <w:b/>
          <w:bCs/>
          <w:sz w:val="21"/>
          <w:szCs w:val="21"/>
        </w:rPr>
        <w:t>2、收入与成本</w:t>
      </w:r>
      <w:bookmarkEnd w:id="20"/>
    </w:p>
    <w:p w14:paraId="61C4AFE4">
      <w:pPr>
        <w:keepNext/>
        <w:keepLines/>
        <w:spacing w:before="300" w:after="300" w:line="280" w:lineRule="exact"/>
        <w:jc w:val="left"/>
        <w:outlineLvl w:val="3"/>
        <w:rPr>
          <w:rFonts w:ascii="宋体" w:hAnsi="宋体" w:eastAsia="宋体" w:cs="宋体"/>
          <w:b/>
          <w:bCs/>
          <w:sz w:val="21"/>
          <w:szCs w:val="21"/>
        </w:rPr>
      </w:pPr>
      <w:bookmarkStart w:id="21" w:name="_Toc988908"/>
      <w:r>
        <w:rPr>
          <w:rFonts w:ascii="宋体" w:hAnsi="宋体" w:eastAsia="宋体" w:cs="宋体"/>
          <w:b/>
          <w:bCs/>
          <w:sz w:val="21"/>
          <w:szCs w:val="21"/>
        </w:rPr>
        <w:t>（1） 营业收入构成</w:t>
      </w:r>
      <w:bookmarkEnd w:id="21"/>
    </w:p>
    <w:p w14:paraId="12A3AE54">
      <w:pPr>
        <w:spacing w:before="100" w:after="100" w:line="240" w:lineRule="exact"/>
        <w:jc w:val="left"/>
        <w:rPr>
          <w:rFonts w:ascii="宋体" w:hAnsi="宋体" w:eastAsia="宋体" w:cs="宋体"/>
          <w:sz w:val="18"/>
          <w:szCs w:val="18"/>
        </w:rPr>
      </w:pPr>
      <w:r>
        <w:rPr>
          <w:rFonts w:ascii="宋体" w:hAnsi="宋体" w:eastAsia="宋体" w:cs="宋体"/>
          <w:sz w:val="18"/>
          <w:szCs w:val="18"/>
        </w:rPr>
        <w:t>营业收入整体情况</w:t>
      </w:r>
    </w:p>
    <w:p w14:paraId="7512DD9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1FB611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4BD1774"/>
        </w:tc>
        <w:tc>
          <w:tcPr>
            <w:tcW w:w="321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FB5ADB9">
            <w:pPr>
              <w:spacing w:before="40" w:after="40" w:line="240" w:lineRule="exact"/>
              <w:jc w:val="center"/>
              <w:rPr>
                <w:rFonts w:ascii="宋体" w:hAnsi="宋体" w:eastAsia="宋体" w:cs="宋体"/>
                <w:sz w:val="18"/>
                <w:szCs w:val="18"/>
              </w:rPr>
            </w:pPr>
            <w:r>
              <w:rPr>
                <w:rFonts w:ascii="宋体" w:hAnsi="宋体" w:eastAsia="宋体" w:cs="宋体"/>
                <w:sz w:val="18"/>
                <w:szCs w:val="18"/>
              </w:rPr>
              <w:t>2024年</w:t>
            </w:r>
          </w:p>
        </w:tc>
        <w:tc>
          <w:tcPr>
            <w:tcW w:w="321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A2CCD53">
            <w:pPr>
              <w:spacing w:before="40" w:after="40" w:line="240" w:lineRule="exact"/>
              <w:jc w:val="center"/>
              <w:rPr>
                <w:rFonts w:ascii="宋体" w:hAnsi="宋体" w:eastAsia="宋体" w:cs="宋体"/>
                <w:sz w:val="18"/>
                <w:szCs w:val="18"/>
              </w:rPr>
            </w:pPr>
            <w:r>
              <w:rPr>
                <w:rFonts w:ascii="宋体" w:hAnsi="宋体" w:eastAsia="宋体" w:cs="宋体"/>
                <w:sz w:val="18"/>
                <w:szCs w:val="18"/>
              </w:rPr>
              <w:t>2023年</w:t>
            </w:r>
          </w:p>
        </w:tc>
        <w:tc>
          <w:tcPr>
            <w:tcW w:w="160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90B7942">
            <w:pPr>
              <w:spacing w:before="40" w:after="40" w:line="240" w:lineRule="exact"/>
              <w:jc w:val="center"/>
              <w:rPr>
                <w:rFonts w:ascii="宋体" w:hAnsi="宋体" w:eastAsia="宋体" w:cs="宋体"/>
                <w:sz w:val="18"/>
                <w:szCs w:val="18"/>
              </w:rPr>
            </w:pPr>
            <w:r>
              <w:rPr>
                <w:rFonts w:ascii="宋体" w:hAnsi="宋体" w:eastAsia="宋体" w:cs="宋体"/>
                <w:sz w:val="18"/>
                <w:szCs w:val="18"/>
              </w:rPr>
              <w:t>同比增减</w:t>
            </w:r>
          </w:p>
        </w:tc>
      </w:tr>
      <w:tr w14:paraId="15BF6B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E21DF27"/>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806CC23">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D436545">
            <w:pPr>
              <w:spacing w:before="40" w:after="40" w:line="240" w:lineRule="exact"/>
              <w:jc w:val="center"/>
              <w:rPr>
                <w:rFonts w:ascii="宋体" w:hAnsi="宋体" w:eastAsia="宋体" w:cs="宋体"/>
                <w:sz w:val="18"/>
                <w:szCs w:val="18"/>
              </w:rPr>
            </w:pPr>
            <w:r>
              <w:rPr>
                <w:rFonts w:ascii="宋体" w:hAnsi="宋体" w:eastAsia="宋体" w:cs="宋体"/>
                <w:sz w:val="18"/>
                <w:szCs w:val="18"/>
              </w:rPr>
              <w:t>占营业收入比重</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B9C2EB1">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5521C9D">
            <w:pPr>
              <w:spacing w:before="40" w:after="40" w:line="240" w:lineRule="exact"/>
              <w:jc w:val="center"/>
              <w:rPr>
                <w:rFonts w:ascii="宋体" w:hAnsi="宋体" w:eastAsia="宋体" w:cs="宋体"/>
                <w:sz w:val="18"/>
                <w:szCs w:val="18"/>
              </w:rPr>
            </w:pPr>
            <w:r>
              <w:rPr>
                <w:rFonts w:ascii="宋体" w:hAnsi="宋体" w:eastAsia="宋体" w:cs="宋体"/>
                <w:sz w:val="18"/>
                <w:szCs w:val="18"/>
              </w:rPr>
              <w:t>占营业收入比重</w:t>
            </w:r>
          </w:p>
        </w:tc>
        <w:tc>
          <w:tcPr>
            <w:tcW w:w="160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7BC99EE"/>
        </w:tc>
      </w:tr>
      <w:tr w14:paraId="7E55B3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401E0AD">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营业收入合计</w:t>
            </w:r>
          </w:p>
        </w:tc>
        <w:tc>
          <w:tcPr>
            <w:tcW w:w="1606" w:type="dxa"/>
            <w:tcBorders>
              <w:top w:val="single" w:color="auto" w:sz="2" w:space="0"/>
              <w:left w:val="single" w:color="auto" w:sz="2" w:space="0"/>
              <w:bottom w:val="single" w:color="auto" w:sz="2" w:space="0"/>
              <w:right w:val="single" w:color="auto" w:sz="2" w:space="0"/>
            </w:tcBorders>
            <w:vAlign w:val="center"/>
          </w:tcPr>
          <w:p w14:paraId="0034E529">
            <w:pPr>
              <w:spacing w:before="0" w:after="0" w:line="240" w:lineRule="exact"/>
              <w:jc w:val="right"/>
              <w:rPr>
                <w:rFonts w:ascii="宋体" w:hAnsi="宋体" w:eastAsia="宋体" w:cs="宋体"/>
                <w:sz w:val="18"/>
                <w:szCs w:val="18"/>
              </w:rPr>
            </w:pPr>
            <w:r>
              <w:rPr>
                <w:rFonts w:ascii="宋体" w:hAnsi="宋体" w:eastAsia="宋体" w:cs="宋体"/>
                <w:sz w:val="18"/>
                <w:szCs w:val="18"/>
              </w:rPr>
              <w:t>441,457,673.77</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6208516">
            <w:pPr>
              <w:spacing w:before="40" w:after="40" w:line="240" w:lineRule="exact"/>
              <w:jc w:val="right"/>
              <w:rPr>
                <w:rFonts w:ascii="宋体" w:hAnsi="宋体" w:eastAsia="宋体" w:cs="宋体"/>
                <w:sz w:val="18"/>
                <w:szCs w:val="18"/>
                <w:shd w:val="clear" w:color="auto" w:fill="D3D3D3"/>
              </w:rPr>
            </w:pPr>
            <w:r>
              <w:rPr>
                <w:rFonts w:ascii="宋体" w:hAnsi="宋体" w:eastAsia="宋体" w:cs="宋体"/>
                <w:sz w:val="18"/>
                <w:szCs w:val="18"/>
                <w:shd w:val="clear" w:color="auto" w:fill="D3D3D3"/>
              </w:rPr>
              <w:t>100%</w:t>
            </w:r>
          </w:p>
        </w:tc>
        <w:tc>
          <w:tcPr>
            <w:tcW w:w="1606" w:type="dxa"/>
            <w:tcBorders>
              <w:top w:val="single" w:color="auto" w:sz="2" w:space="0"/>
              <w:left w:val="single" w:color="auto" w:sz="2" w:space="0"/>
              <w:bottom w:val="single" w:color="auto" w:sz="2" w:space="0"/>
              <w:right w:val="single" w:color="auto" w:sz="2" w:space="0"/>
            </w:tcBorders>
            <w:vAlign w:val="center"/>
          </w:tcPr>
          <w:p w14:paraId="74449469">
            <w:pPr>
              <w:spacing w:before="0" w:after="0" w:line="240" w:lineRule="exact"/>
              <w:jc w:val="right"/>
              <w:rPr>
                <w:rFonts w:ascii="宋体" w:hAnsi="宋体" w:eastAsia="宋体" w:cs="宋体"/>
                <w:sz w:val="18"/>
                <w:szCs w:val="18"/>
              </w:rPr>
            </w:pPr>
            <w:r>
              <w:rPr>
                <w:rFonts w:ascii="宋体" w:hAnsi="宋体" w:eastAsia="宋体" w:cs="宋体"/>
                <w:sz w:val="18"/>
                <w:szCs w:val="18"/>
              </w:rPr>
              <w:t>422,714,889.10</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78131B9">
            <w:pPr>
              <w:spacing w:before="40" w:after="40" w:line="240" w:lineRule="exact"/>
              <w:jc w:val="right"/>
              <w:rPr>
                <w:rFonts w:ascii="宋体" w:hAnsi="宋体" w:eastAsia="宋体" w:cs="宋体"/>
                <w:sz w:val="18"/>
                <w:szCs w:val="18"/>
                <w:shd w:val="clear" w:color="auto" w:fill="D3D3D3"/>
              </w:rPr>
            </w:pPr>
            <w:r>
              <w:rPr>
                <w:rFonts w:ascii="宋体" w:hAnsi="宋体" w:eastAsia="宋体" w:cs="宋体"/>
                <w:sz w:val="18"/>
                <w:szCs w:val="18"/>
                <w:shd w:val="clear" w:color="auto" w:fill="D3D3D3"/>
              </w:rPr>
              <w:t>100%</w:t>
            </w:r>
          </w:p>
        </w:tc>
        <w:tc>
          <w:tcPr>
            <w:tcW w:w="1606" w:type="dxa"/>
            <w:tcBorders>
              <w:top w:val="single" w:color="auto" w:sz="2" w:space="0"/>
              <w:left w:val="single" w:color="auto" w:sz="2" w:space="0"/>
              <w:bottom w:val="single" w:color="auto" w:sz="2" w:space="0"/>
              <w:right w:val="single" w:color="auto" w:sz="2" w:space="0"/>
            </w:tcBorders>
            <w:vAlign w:val="center"/>
          </w:tcPr>
          <w:p w14:paraId="1D8BA8AC">
            <w:pPr>
              <w:spacing w:before="0" w:after="0" w:line="240" w:lineRule="exact"/>
              <w:jc w:val="right"/>
              <w:rPr>
                <w:rFonts w:ascii="宋体" w:hAnsi="宋体" w:eastAsia="宋体" w:cs="宋体"/>
                <w:sz w:val="18"/>
                <w:szCs w:val="18"/>
              </w:rPr>
            </w:pPr>
            <w:r>
              <w:rPr>
                <w:rFonts w:ascii="宋体" w:hAnsi="宋体" w:eastAsia="宋体" w:cs="宋体"/>
                <w:sz w:val="18"/>
                <w:szCs w:val="18"/>
              </w:rPr>
              <w:t>4.43%</w:t>
            </w:r>
          </w:p>
        </w:tc>
      </w:tr>
      <w:tr w14:paraId="310030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3AFB9203">
            <w:pPr>
              <w:spacing w:before="40" w:after="40" w:line="240" w:lineRule="exact"/>
              <w:jc w:val="left"/>
              <w:rPr>
                <w:rFonts w:ascii="宋体" w:hAnsi="宋体" w:eastAsia="宋体" w:cs="宋体"/>
                <w:sz w:val="18"/>
                <w:szCs w:val="18"/>
              </w:rPr>
            </w:pPr>
            <w:r>
              <w:rPr>
                <w:rFonts w:ascii="宋体" w:hAnsi="宋体" w:eastAsia="宋体" w:cs="宋体"/>
                <w:sz w:val="18"/>
                <w:szCs w:val="18"/>
              </w:rPr>
              <w:t>分行业</w:t>
            </w:r>
          </w:p>
        </w:tc>
      </w:tr>
      <w:tr w14:paraId="3DA08A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3C9E6571">
            <w:pPr>
              <w:spacing w:before="0" w:after="0" w:line="240" w:lineRule="exact"/>
              <w:jc w:val="left"/>
              <w:rPr>
                <w:rFonts w:ascii="宋体" w:hAnsi="宋体" w:eastAsia="宋体" w:cs="宋体"/>
                <w:sz w:val="18"/>
                <w:szCs w:val="18"/>
              </w:rPr>
            </w:pPr>
            <w:r>
              <w:rPr>
                <w:rFonts w:ascii="宋体" w:hAnsi="宋体" w:eastAsia="宋体" w:cs="宋体"/>
                <w:sz w:val="18"/>
                <w:szCs w:val="18"/>
              </w:rPr>
              <w:t>医药制造</w:t>
            </w:r>
          </w:p>
        </w:tc>
        <w:tc>
          <w:tcPr>
            <w:tcW w:w="1606" w:type="dxa"/>
            <w:tcBorders>
              <w:top w:val="single" w:color="auto" w:sz="2" w:space="0"/>
              <w:left w:val="single" w:color="auto" w:sz="2" w:space="0"/>
              <w:bottom w:val="single" w:color="auto" w:sz="2" w:space="0"/>
              <w:right w:val="single" w:color="auto" w:sz="2" w:space="0"/>
            </w:tcBorders>
            <w:vAlign w:val="center"/>
          </w:tcPr>
          <w:p w14:paraId="20CB8EE2">
            <w:pPr>
              <w:spacing w:before="0" w:after="0" w:line="240" w:lineRule="exact"/>
              <w:jc w:val="right"/>
              <w:rPr>
                <w:rFonts w:ascii="宋体" w:hAnsi="宋体" w:eastAsia="宋体" w:cs="宋体"/>
                <w:sz w:val="18"/>
                <w:szCs w:val="18"/>
              </w:rPr>
            </w:pPr>
            <w:r>
              <w:rPr>
                <w:rFonts w:ascii="宋体" w:hAnsi="宋体" w:eastAsia="宋体" w:cs="宋体"/>
                <w:sz w:val="18"/>
                <w:szCs w:val="18"/>
              </w:rPr>
              <w:t>437,081,749.35</w:t>
            </w:r>
          </w:p>
        </w:tc>
        <w:tc>
          <w:tcPr>
            <w:tcW w:w="1606" w:type="dxa"/>
            <w:tcBorders>
              <w:top w:val="single" w:color="auto" w:sz="2" w:space="0"/>
              <w:left w:val="single" w:color="auto" w:sz="2" w:space="0"/>
              <w:bottom w:val="single" w:color="auto" w:sz="2" w:space="0"/>
              <w:right w:val="single" w:color="auto" w:sz="2" w:space="0"/>
            </w:tcBorders>
            <w:vAlign w:val="center"/>
          </w:tcPr>
          <w:p w14:paraId="312BB6F3">
            <w:pPr>
              <w:spacing w:before="0" w:after="0" w:line="240" w:lineRule="exact"/>
              <w:jc w:val="right"/>
              <w:rPr>
                <w:rFonts w:ascii="宋体" w:hAnsi="宋体" w:eastAsia="宋体" w:cs="宋体"/>
                <w:sz w:val="18"/>
                <w:szCs w:val="18"/>
              </w:rPr>
            </w:pPr>
            <w:r>
              <w:rPr>
                <w:rFonts w:ascii="宋体" w:hAnsi="宋体" w:eastAsia="宋体" w:cs="宋体"/>
                <w:sz w:val="18"/>
                <w:szCs w:val="18"/>
              </w:rPr>
              <w:t>99.01%</w:t>
            </w:r>
          </w:p>
        </w:tc>
        <w:tc>
          <w:tcPr>
            <w:tcW w:w="1606" w:type="dxa"/>
            <w:tcBorders>
              <w:top w:val="single" w:color="auto" w:sz="2" w:space="0"/>
              <w:left w:val="single" w:color="auto" w:sz="2" w:space="0"/>
              <w:bottom w:val="single" w:color="auto" w:sz="2" w:space="0"/>
              <w:right w:val="single" w:color="auto" w:sz="2" w:space="0"/>
            </w:tcBorders>
            <w:vAlign w:val="center"/>
          </w:tcPr>
          <w:p w14:paraId="25523F55">
            <w:pPr>
              <w:spacing w:before="0" w:after="0" w:line="240" w:lineRule="exact"/>
              <w:jc w:val="right"/>
              <w:rPr>
                <w:rFonts w:ascii="宋体" w:hAnsi="宋体" w:eastAsia="宋体" w:cs="宋体"/>
                <w:sz w:val="18"/>
                <w:szCs w:val="18"/>
              </w:rPr>
            </w:pPr>
            <w:r>
              <w:rPr>
                <w:rFonts w:ascii="宋体" w:hAnsi="宋体" w:eastAsia="宋体" w:cs="宋体"/>
                <w:sz w:val="18"/>
                <w:szCs w:val="18"/>
              </w:rPr>
              <w:t>413,317,589.19</w:t>
            </w:r>
          </w:p>
        </w:tc>
        <w:tc>
          <w:tcPr>
            <w:tcW w:w="1606" w:type="dxa"/>
            <w:tcBorders>
              <w:top w:val="single" w:color="auto" w:sz="2" w:space="0"/>
              <w:left w:val="single" w:color="auto" w:sz="2" w:space="0"/>
              <w:bottom w:val="single" w:color="auto" w:sz="2" w:space="0"/>
              <w:right w:val="single" w:color="auto" w:sz="2" w:space="0"/>
            </w:tcBorders>
            <w:vAlign w:val="center"/>
          </w:tcPr>
          <w:p w14:paraId="65197E3B">
            <w:pPr>
              <w:spacing w:before="0" w:after="0" w:line="240" w:lineRule="exact"/>
              <w:jc w:val="right"/>
              <w:rPr>
                <w:rFonts w:ascii="宋体" w:hAnsi="宋体" w:eastAsia="宋体" w:cs="宋体"/>
                <w:sz w:val="18"/>
                <w:szCs w:val="18"/>
              </w:rPr>
            </w:pPr>
            <w:r>
              <w:rPr>
                <w:rFonts w:ascii="宋体" w:hAnsi="宋体" w:eastAsia="宋体" w:cs="宋体"/>
                <w:sz w:val="18"/>
                <w:szCs w:val="18"/>
              </w:rPr>
              <w:t>97.78%</w:t>
            </w:r>
          </w:p>
        </w:tc>
        <w:tc>
          <w:tcPr>
            <w:tcW w:w="1606" w:type="dxa"/>
            <w:tcBorders>
              <w:top w:val="single" w:color="auto" w:sz="2" w:space="0"/>
              <w:left w:val="single" w:color="auto" w:sz="2" w:space="0"/>
              <w:bottom w:val="single" w:color="auto" w:sz="2" w:space="0"/>
              <w:right w:val="single" w:color="auto" w:sz="2" w:space="0"/>
            </w:tcBorders>
            <w:vAlign w:val="center"/>
          </w:tcPr>
          <w:p w14:paraId="32D0C961">
            <w:pPr>
              <w:spacing w:before="0" w:after="0" w:line="240" w:lineRule="exact"/>
              <w:jc w:val="right"/>
              <w:rPr>
                <w:rFonts w:ascii="宋体" w:hAnsi="宋体" w:eastAsia="宋体" w:cs="宋体"/>
                <w:sz w:val="18"/>
                <w:szCs w:val="18"/>
              </w:rPr>
            </w:pPr>
            <w:r>
              <w:rPr>
                <w:rFonts w:ascii="宋体" w:hAnsi="宋体" w:eastAsia="宋体" w:cs="宋体"/>
                <w:sz w:val="18"/>
                <w:szCs w:val="18"/>
              </w:rPr>
              <w:t>5.75%</w:t>
            </w:r>
          </w:p>
        </w:tc>
      </w:tr>
      <w:tr w14:paraId="413C1C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258D6CB8">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1606" w:type="dxa"/>
            <w:tcBorders>
              <w:top w:val="single" w:color="auto" w:sz="2" w:space="0"/>
              <w:left w:val="single" w:color="auto" w:sz="2" w:space="0"/>
              <w:bottom w:val="single" w:color="auto" w:sz="2" w:space="0"/>
              <w:right w:val="single" w:color="auto" w:sz="2" w:space="0"/>
            </w:tcBorders>
            <w:vAlign w:val="center"/>
          </w:tcPr>
          <w:p w14:paraId="0C590A51">
            <w:pPr>
              <w:spacing w:before="0" w:after="0" w:line="240" w:lineRule="exact"/>
              <w:jc w:val="right"/>
              <w:rPr>
                <w:rFonts w:ascii="宋体" w:hAnsi="宋体" w:eastAsia="宋体" w:cs="宋体"/>
                <w:sz w:val="18"/>
                <w:szCs w:val="18"/>
              </w:rPr>
            </w:pPr>
            <w:r>
              <w:rPr>
                <w:rFonts w:ascii="宋体" w:hAnsi="宋体" w:eastAsia="宋体" w:cs="宋体"/>
                <w:sz w:val="18"/>
                <w:szCs w:val="18"/>
              </w:rPr>
              <w:t>4,375,924.42</w:t>
            </w:r>
          </w:p>
        </w:tc>
        <w:tc>
          <w:tcPr>
            <w:tcW w:w="1606" w:type="dxa"/>
            <w:tcBorders>
              <w:top w:val="single" w:color="auto" w:sz="2" w:space="0"/>
              <w:left w:val="single" w:color="auto" w:sz="2" w:space="0"/>
              <w:bottom w:val="single" w:color="auto" w:sz="2" w:space="0"/>
              <w:right w:val="single" w:color="auto" w:sz="2" w:space="0"/>
            </w:tcBorders>
            <w:vAlign w:val="center"/>
          </w:tcPr>
          <w:p w14:paraId="5ED9B4AD">
            <w:pPr>
              <w:spacing w:before="0" w:after="0" w:line="240" w:lineRule="exact"/>
              <w:jc w:val="right"/>
              <w:rPr>
                <w:rFonts w:ascii="宋体" w:hAnsi="宋体" w:eastAsia="宋体" w:cs="宋体"/>
                <w:sz w:val="18"/>
                <w:szCs w:val="18"/>
              </w:rPr>
            </w:pPr>
            <w:r>
              <w:rPr>
                <w:rFonts w:ascii="宋体" w:hAnsi="宋体" w:eastAsia="宋体" w:cs="宋体"/>
                <w:sz w:val="18"/>
                <w:szCs w:val="18"/>
              </w:rPr>
              <w:t>0.99%</w:t>
            </w:r>
          </w:p>
        </w:tc>
        <w:tc>
          <w:tcPr>
            <w:tcW w:w="1606" w:type="dxa"/>
            <w:tcBorders>
              <w:top w:val="single" w:color="auto" w:sz="2" w:space="0"/>
              <w:left w:val="single" w:color="auto" w:sz="2" w:space="0"/>
              <w:bottom w:val="single" w:color="auto" w:sz="2" w:space="0"/>
              <w:right w:val="single" w:color="auto" w:sz="2" w:space="0"/>
            </w:tcBorders>
            <w:vAlign w:val="center"/>
          </w:tcPr>
          <w:p w14:paraId="5A877CB3">
            <w:pPr>
              <w:spacing w:before="0" w:after="0" w:line="240" w:lineRule="exact"/>
              <w:jc w:val="right"/>
              <w:rPr>
                <w:rFonts w:ascii="宋体" w:hAnsi="宋体" w:eastAsia="宋体" w:cs="宋体"/>
                <w:sz w:val="18"/>
                <w:szCs w:val="18"/>
              </w:rPr>
            </w:pPr>
            <w:r>
              <w:rPr>
                <w:rFonts w:ascii="宋体" w:hAnsi="宋体" w:eastAsia="宋体" w:cs="宋体"/>
                <w:sz w:val="18"/>
                <w:szCs w:val="18"/>
              </w:rPr>
              <w:t>9,397,299.91</w:t>
            </w:r>
          </w:p>
        </w:tc>
        <w:tc>
          <w:tcPr>
            <w:tcW w:w="1606" w:type="dxa"/>
            <w:tcBorders>
              <w:top w:val="single" w:color="auto" w:sz="2" w:space="0"/>
              <w:left w:val="single" w:color="auto" w:sz="2" w:space="0"/>
              <w:bottom w:val="single" w:color="auto" w:sz="2" w:space="0"/>
              <w:right w:val="single" w:color="auto" w:sz="2" w:space="0"/>
            </w:tcBorders>
            <w:vAlign w:val="center"/>
          </w:tcPr>
          <w:p w14:paraId="28364609">
            <w:pPr>
              <w:spacing w:before="0" w:after="0" w:line="240" w:lineRule="exact"/>
              <w:jc w:val="right"/>
              <w:rPr>
                <w:rFonts w:ascii="宋体" w:hAnsi="宋体" w:eastAsia="宋体" w:cs="宋体"/>
                <w:sz w:val="18"/>
                <w:szCs w:val="18"/>
              </w:rPr>
            </w:pPr>
            <w:r>
              <w:rPr>
                <w:rFonts w:ascii="宋体" w:hAnsi="宋体" w:eastAsia="宋体" w:cs="宋体"/>
                <w:sz w:val="18"/>
                <w:szCs w:val="18"/>
              </w:rPr>
              <w:t>2.22%</w:t>
            </w:r>
          </w:p>
        </w:tc>
        <w:tc>
          <w:tcPr>
            <w:tcW w:w="1606" w:type="dxa"/>
            <w:tcBorders>
              <w:top w:val="single" w:color="auto" w:sz="2" w:space="0"/>
              <w:left w:val="single" w:color="auto" w:sz="2" w:space="0"/>
              <w:bottom w:val="single" w:color="auto" w:sz="2" w:space="0"/>
              <w:right w:val="single" w:color="auto" w:sz="2" w:space="0"/>
            </w:tcBorders>
            <w:vAlign w:val="center"/>
          </w:tcPr>
          <w:p w14:paraId="76581425">
            <w:pPr>
              <w:spacing w:before="0" w:after="0" w:line="240" w:lineRule="exact"/>
              <w:jc w:val="right"/>
              <w:rPr>
                <w:rFonts w:ascii="宋体" w:hAnsi="宋体" w:eastAsia="宋体" w:cs="宋体"/>
                <w:sz w:val="18"/>
                <w:szCs w:val="18"/>
              </w:rPr>
            </w:pPr>
            <w:r>
              <w:rPr>
                <w:rFonts w:ascii="宋体" w:hAnsi="宋体" w:eastAsia="宋体" w:cs="宋体"/>
                <w:sz w:val="18"/>
                <w:szCs w:val="18"/>
              </w:rPr>
              <w:t>-53.43%</w:t>
            </w:r>
          </w:p>
        </w:tc>
      </w:tr>
      <w:tr w14:paraId="365DC9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4720817F">
            <w:pPr>
              <w:spacing w:before="40" w:after="40" w:line="240" w:lineRule="exact"/>
              <w:jc w:val="left"/>
              <w:rPr>
                <w:rFonts w:ascii="宋体" w:hAnsi="宋体" w:eastAsia="宋体" w:cs="宋体"/>
                <w:sz w:val="18"/>
                <w:szCs w:val="18"/>
              </w:rPr>
            </w:pPr>
            <w:r>
              <w:rPr>
                <w:rFonts w:ascii="宋体" w:hAnsi="宋体" w:eastAsia="宋体" w:cs="宋体"/>
                <w:sz w:val="18"/>
                <w:szCs w:val="18"/>
              </w:rPr>
              <w:t>分产品</w:t>
            </w:r>
          </w:p>
        </w:tc>
      </w:tr>
      <w:tr w14:paraId="482316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3B8FC739">
            <w:pPr>
              <w:spacing w:before="0" w:after="0" w:line="240" w:lineRule="exact"/>
              <w:jc w:val="left"/>
              <w:rPr>
                <w:rFonts w:ascii="宋体" w:hAnsi="宋体" w:eastAsia="宋体" w:cs="宋体"/>
                <w:sz w:val="18"/>
                <w:szCs w:val="18"/>
              </w:rPr>
            </w:pPr>
            <w:r>
              <w:rPr>
                <w:rFonts w:ascii="宋体" w:hAnsi="宋体" w:eastAsia="宋体" w:cs="宋体"/>
                <w:sz w:val="18"/>
                <w:szCs w:val="18"/>
              </w:rPr>
              <w:t>肝胆疾病药物</w:t>
            </w:r>
          </w:p>
        </w:tc>
        <w:tc>
          <w:tcPr>
            <w:tcW w:w="1606" w:type="dxa"/>
            <w:tcBorders>
              <w:top w:val="single" w:color="auto" w:sz="2" w:space="0"/>
              <w:left w:val="single" w:color="auto" w:sz="2" w:space="0"/>
              <w:bottom w:val="single" w:color="auto" w:sz="2" w:space="0"/>
              <w:right w:val="single" w:color="auto" w:sz="2" w:space="0"/>
            </w:tcBorders>
            <w:vAlign w:val="center"/>
          </w:tcPr>
          <w:p w14:paraId="3217F83A">
            <w:pPr>
              <w:spacing w:before="0" w:after="0" w:line="240" w:lineRule="exact"/>
              <w:jc w:val="right"/>
              <w:rPr>
                <w:rFonts w:ascii="宋体" w:hAnsi="宋体" w:eastAsia="宋体" w:cs="宋体"/>
                <w:sz w:val="18"/>
                <w:szCs w:val="18"/>
              </w:rPr>
            </w:pPr>
            <w:r>
              <w:rPr>
                <w:rFonts w:ascii="宋体" w:hAnsi="宋体" w:eastAsia="宋体" w:cs="宋体"/>
                <w:sz w:val="18"/>
                <w:szCs w:val="18"/>
              </w:rPr>
              <w:t>325,474,079.23</w:t>
            </w:r>
          </w:p>
        </w:tc>
        <w:tc>
          <w:tcPr>
            <w:tcW w:w="1606" w:type="dxa"/>
            <w:tcBorders>
              <w:top w:val="single" w:color="auto" w:sz="2" w:space="0"/>
              <w:left w:val="single" w:color="auto" w:sz="2" w:space="0"/>
              <w:bottom w:val="single" w:color="auto" w:sz="2" w:space="0"/>
              <w:right w:val="single" w:color="auto" w:sz="2" w:space="0"/>
            </w:tcBorders>
            <w:vAlign w:val="center"/>
          </w:tcPr>
          <w:p w14:paraId="61083BCA">
            <w:pPr>
              <w:spacing w:before="0" w:after="0" w:line="240" w:lineRule="exact"/>
              <w:jc w:val="right"/>
              <w:rPr>
                <w:rFonts w:ascii="宋体" w:hAnsi="宋体" w:eastAsia="宋体" w:cs="宋体"/>
                <w:sz w:val="18"/>
                <w:szCs w:val="18"/>
              </w:rPr>
            </w:pPr>
            <w:r>
              <w:rPr>
                <w:rFonts w:ascii="宋体" w:hAnsi="宋体" w:eastAsia="宋体" w:cs="宋体"/>
                <w:sz w:val="18"/>
                <w:szCs w:val="18"/>
              </w:rPr>
              <w:t>73.73%</w:t>
            </w:r>
          </w:p>
        </w:tc>
        <w:tc>
          <w:tcPr>
            <w:tcW w:w="1606" w:type="dxa"/>
            <w:tcBorders>
              <w:top w:val="single" w:color="auto" w:sz="2" w:space="0"/>
              <w:left w:val="single" w:color="auto" w:sz="2" w:space="0"/>
              <w:bottom w:val="single" w:color="auto" w:sz="2" w:space="0"/>
              <w:right w:val="single" w:color="auto" w:sz="2" w:space="0"/>
            </w:tcBorders>
            <w:vAlign w:val="center"/>
          </w:tcPr>
          <w:p w14:paraId="3E2D2B41">
            <w:pPr>
              <w:spacing w:before="0" w:after="0" w:line="240" w:lineRule="exact"/>
              <w:jc w:val="right"/>
              <w:rPr>
                <w:rFonts w:ascii="宋体" w:hAnsi="宋体" w:eastAsia="宋体" w:cs="宋体"/>
                <w:sz w:val="18"/>
                <w:szCs w:val="18"/>
              </w:rPr>
            </w:pPr>
            <w:r>
              <w:rPr>
                <w:rFonts w:ascii="宋体" w:hAnsi="宋体" w:eastAsia="宋体" w:cs="宋体"/>
                <w:sz w:val="18"/>
                <w:szCs w:val="18"/>
              </w:rPr>
              <w:t>324,381,500.80</w:t>
            </w:r>
          </w:p>
        </w:tc>
        <w:tc>
          <w:tcPr>
            <w:tcW w:w="1606" w:type="dxa"/>
            <w:tcBorders>
              <w:top w:val="single" w:color="auto" w:sz="2" w:space="0"/>
              <w:left w:val="single" w:color="auto" w:sz="2" w:space="0"/>
              <w:bottom w:val="single" w:color="auto" w:sz="2" w:space="0"/>
              <w:right w:val="single" w:color="auto" w:sz="2" w:space="0"/>
            </w:tcBorders>
            <w:vAlign w:val="center"/>
          </w:tcPr>
          <w:p w14:paraId="3E4B91C2">
            <w:pPr>
              <w:spacing w:before="0" w:after="0" w:line="240" w:lineRule="exact"/>
              <w:jc w:val="right"/>
              <w:rPr>
                <w:rFonts w:ascii="宋体" w:hAnsi="宋体" w:eastAsia="宋体" w:cs="宋体"/>
                <w:sz w:val="18"/>
                <w:szCs w:val="18"/>
              </w:rPr>
            </w:pPr>
            <w:r>
              <w:rPr>
                <w:rFonts w:ascii="宋体" w:hAnsi="宋体" w:eastAsia="宋体" w:cs="宋体"/>
                <w:sz w:val="18"/>
                <w:szCs w:val="18"/>
              </w:rPr>
              <w:t>76.74%</w:t>
            </w:r>
          </w:p>
        </w:tc>
        <w:tc>
          <w:tcPr>
            <w:tcW w:w="1606" w:type="dxa"/>
            <w:tcBorders>
              <w:top w:val="single" w:color="auto" w:sz="2" w:space="0"/>
              <w:left w:val="single" w:color="auto" w:sz="2" w:space="0"/>
              <w:bottom w:val="single" w:color="auto" w:sz="2" w:space="0"/>
              <w:right w:val="single" w:color="auto" w:sz="2" w:space="0"/>
            </w:tcBorders>
            <w:vAlign w:val="center"/>
          </w:tcPr>
          <w:p w14:paraId="0266E04A">
            <w:pPr>
              <w:spacing w:before="0" w:after="0" w:line="240" w:lineRule="exact"/>
              <w:jc w:val="right"/>
              <w:rPr>
                <w:rFonts w:ascii="宋体" w:hAnsi="宋体" w:eastAsia="宋体" w:cs="宋体"/>
                <w:sz w:val="18"/>
                <w:szCs w:val="18"/>
              </w:rPr>
            </w:pPr>
            <w:r>
              <w:rPr>
                <w:rFonts w:ascii="宋体" w:hAnsi="宋体" w:eastAsia="宋体" w:cs="宋体"/>
                <w:sz w:val="18"/>
                <w:szCs w:val="18"/>
              </w:rPr>
              <w:t>0.34%</w:t>
            </w:r>
          </w:p>
        </w:tc>
      </w:tr>
      <w:tr w14:paraId="0B732E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703D71C6">
            <w:pPr>
              <w:spacing w:before="0" w:after="0" w:line="240" w:lineRule="exact"/>
              <w:jc w:val="left"/>
              <w:rPr>
                <w:rFonts w:ascii="宋体" w:hAnsi="宋体" w:eastAsia="宋体" w:cs="宋体"/>
                <w:sz w:val="18"/>
                <w:szCs w:val="18"/>
              </w:rPr>
            </w:pPr>
            <w:r>
              <w:rPr>
                <w:rFonts w:ascii="宋体" w:hAnsi="宋体" w:eastAsia="宋体" w:cs="宋体"/>
                <w:sz w:val="18"/>
                <w:szCs w:val="18"/>
              </w:rPr>
              <w:t>消化系统药物</w:t>
            </w:r>
          </w:p>
        </w:tc>
        <w:tc>
          <w:tcPr>
            <w:tcW w:w="1606" w:type="dxa"/>
            <w:tcBorders>
              <w:top w:val="single" w:color="auto" w:sz="2" w:space="0"/>
              <w:left w:val="single" w:color="auto" w:sz="2" w:space="0"/>
              <w:bottom w:val="single" w:color="auto" w:sz="2" w:space="0"/>
              <w:right w:val="single" w:color="auto" w:sz="2" w:space="0"/>
            </w:tcBorders>
            <w:vAlign w:val="center"/>
          </w:tcPr>
          <w:p w14:paraId="4EC31B15">
            <w:pPr>
              <w:spacing w:before="0" w:after="0" w:line="240" w:lineRule="exact"/>
              <w:jc w:val="right"/>
              <w:rPr>
                <w:rFonts w:ascii="宋体" w:hAnsi="宋体" w:eastAsia="宋体" w:cs="宋体"/>
                <w:sz w:val="18"/>
                <w:szCs w:val="18"/>
              </w:rPr>
            </w:pPr>
            <w:r>
              <w:rPr>
                <w:rFonts w:ascii="宋体" w:hAnsi="宋体" w:eastAsia="宋体" w:cs="宋体"/>
                <w:sz w:val="18"/>
                <w:szCs w:val="18"/>
              </w:rPr>
              <w:t>11,215,142.14</w:t>
            </w:r>
          </w:p>
        </w:tc>
        <w:tc>
          <w:tcPr>
            <w:tcW w:w="1606" w:type="dxa"/>
            <w:tcBorders>
              <w:top w:val="single" w:color="auto" w:sz="2" w:space="0"/>
              <w:left w:val="single" w:color="auto" w:sz="2" w:space="0"/>
              <w:bottom w:val="single" w:color="auto" w:sz="2" w:space="0"/>
              <w:right w:val="single" w:color="auto" w:sz="2" w:space="0"/>
            </w:tcBorders>
            <w:vAlign w:val="center"/>
          </w:tcPr>
          <w:p w14:paraId="59B76473">
            <w:pPr>
              <w:spacing w:before="0" w:after="0" w:line="240" w:lineRule="exact"/>
              <w:jc w:val="right"/>
              <w:rPr>
                <w:rFonts w:ascii="宋体" w:hAnsi="宋体" w:eastAsia="宋体" w:cs="宋体"/>
                <w:sz w:val="18"/>
                <w:szCs w:val="18"/>
              </w:rPr>
            </w:pPr>
            <w:r>
              <w:rPr>
                <w:rFonts w:ascii="宋体" w:hAnsi="宋体" w:eastAsia="宋体" w:cs="宋体"/>
                <w:sz w:val="18"/>
                <w:szCs w:val="18"/>
              </w:rPr>
              <w:t>2.54%</w:t>
            </w:r>
          </w:p>
        </w:tc>
        <w:tc>
          <w:tcPr>
            <w:tcW w:w="1606" w:type="dxa"/>
            <w:tcBorders>
              <w:top w:val="single" w:color="auto" w:sz="2" w:space="0"/>
              <w:left w:val="single" w:color="auto" w:sz="2" w:space="0"/>
              <w:bottom w:val="single" w:color="auto" w:sz="2" w:space="0"/>
              <w:right w:val="single" w:color="auto" w:sz="2" w:space="0"/>
            </w:tcBorders>
            <w:vAlign w:val="center"/>
          </w:tcPr>
          <w:p w14:paraId="3173E5C6">
            <w:pPr>
              <w:spacing w:before="0" w:after="0" w:line="240" w:lineRule="exact"/>
              <w:jc w:val="right"/>
              <w:rPr>
                <w:rFonts w:ascii="宋体" w:hAnsi="宋体" w:eastAsia="宋体" w:cs="宋体"/>
                <w:sz w:val="18"/>
                <w:szCs w:val="18"/>
              </w:rPr>
            </w:pPr>
            <w:r>
              <w:rPr>
                <w:rFonts w:ascii="宋体" w:hAnsi="宋体" w:eastAsia="宋体" w:cs="宋体"/>
                <w:sz w:val="18"/>
                <w:szCs w:val="18"/>
              </w:rPr>
              <w:t>18,881,922.26</w:t>
            </w:r>
          </w:p>
        </w:tc>
        <w:tc>
          <w:tcPr>
            <w:tcW w:w="1606" w:type="dxa"/>
            <w:tcBorders>
              <w:top w:val="single" w:color="auto" w:sz="2" w:space="0"/>
              <w:left w:val="single" w:color="auto" w:sz="2" w:space="0"/>
              <w:bottom w:val="single" w:color="auto" w:sz="2" w:space="0"/>
              <w:right w:val="single" w:color="auto" w:sz="2" w:space="0"/>
            </w:tcBorders>
            <w:vAlign w:val="center"/>
          </w:tcPr>
          <w:p w14:paraId="3CA9C3D7">
            <w:pPr>
              <w:spacing w:before="0" w:after="0" w:line="240" w:lineRule="exact"/>
              <w:jc w:val="right"/>
              <w:rPr>
                <w:rFonts w:ascii="宋体" w:hAnsi="宋体" w:eastAsia="宋体" w:cs="宋体"/>
                <w:sz w:val="18"/>
                <w:szCs w:val="18"/>
              </w:rPr>
            </w:pPr>
            <w:r>
              <w:rPr>
                <w:rFonts w:ascii="宋体" w:hAnsi="宋体" w:eastAsia="宋体" w:cs="宋体"/>
                <w:sz w:val="18"/>
                <w:szCs w:val="18"/>
              </w:rPr>
              <w:t>4.47%</w:t>
            </w:r>
          </w:p>
        </w:tc>
        <w:tc>
          <w:tcPr>
            <w:tcW w:w="1606" w:type="dxa"/>
            <w:tcBorders>
              <w:top w:val="single" w:color="auto" w:sz="2" w:space="0"/>
              <w:left w:val="single" w:color="auto" w:sz="2" w:space="0"/>
              <w:bottom w:val="single" w:color="auto" w:sz="2" w:space="0"/>
              <w:right w:val="single" w:color="auto" w:sz="2" w:space="0"/>
            </w:tcBorders>
            <w:vAlign w:val="center"/>
          </w:tcPr>
          <w:p w14:paraId="322A9FCB">
            <w:pPr>
              <w:spacing w:before="0" w:after="0" w:line="240" w:lineRule="exact"/>
              <w:jc w:val="right"/>
              <w:rPr>
                <w:rFonts w:ascii="宋体" w:hAnsi="宋体" w:eastAsia="宋体" w:cs="宋体"/>
                <w:sz w:val="18"/>
                <w:szCs w:val="18"/>
              </w:rPr>
            </w:pPr>
            <w:r>
              <w:rPr>
                <w:rFonts w:ascii="宋体" w:hAnsi="宋体" w:eastAsia="宋体" w:cs="宋体"/>
                <w:sz w:val="18"/>
                <w:szCs w:val="18"/>
              </w:rPr>
              <w:t>-40.60%</w:t>
            </w:r>
          </w:p>
        </w:tc>
      </w:tr>
      <w:tr w14:paraId="5A1F5F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63C2C2F7">
            <w:pPr>
              <w:spacing w:before="0" w:after="0" w:line="240" w:lineRule="exact"/>
              <w:jc w:val="left"/>
              <w:rPr>
                <w:rFonts w:ascii="宋体" w:hAnsi="宋体" w:eastAsia="宋体" w:cs="宋体"/>
                <w:sz w:val="18"/>
                <w:szCs w:val="18"/>
              </w:rPr>
            </w:pPr>
            <w:r>
              <w:rPr>
                <w:rFonts w:ascii="宋体" w:hAnsi="宋体" w:eastAsia="宋体" w:cs="宋体"/>
                <w:sz w:val="18"/>
                <w:szCs w:val="18"/>
              </w:rPr>
              <w:t>呼吸系统药物</w:t>
            </w:r>
          </w:p>
        </w:tc>
        <w:tc>
          <w:tcPr>
            <w:tcW w:w="1606" w:type="dxa"/>
            <w:tcBorders>
              <w:top w:val="single" w:color="auto" w:sz="2" w:space="0"/>
              <w:left w:val="single" w:color="auto" w:sz="2" w:space="0"/>
              <w:bottom w:val="single" w:color="auto" w:sz="2" w:space="0"/>
              <w:right w:val="single" w:color="auto" w:sz="2" w:space="0"/>
            </w:tcBorders>
            <w:vAlign w:val="center"/>
          </w:tcPr>
          <w:p w14:paraId="4DC939DF">
            <w:pPr>
              <w:spacing w:before="0" w:after="0" w:line="240" w:lineRule="exact"/>
              <w:jc w:val="right"/>
              <w:rPr>
                <w:rFonts w:ascii="宋体" w:hAnsi="宋体" w:eastAsia="宋体" w:cs="宋体"/>
                <w:sz w:val="18"/>
                <w:szCs w:val="18"/>
              </w:rPr>
            </w:pPr>
            <w:r>
              <w:rPr>
                <w:rFonts w:ascii="宋体" w:hAnsi="宋体" w:eastAsia="宋体" w:cs="宋体"/>
                <w:sz w:val="18"/>
                <w:szCs w:val="18"/>
              </w:rPr>
              <w:t>29,610,336.05</w:t>
            </w:r>
          </w:p>
        </w:tc>
        <w:tc>
          <w:tcPr>
            <w:tcW w:w="1606" w:type="dxa"/>
            <w:tcBorders>
              <w:top w:val="single" w:color="auto" w:sz="2" w:space="0"/>
              <w:left w:val="single" w:color="auto" w:sz="2" w:space="0"/>
              <w:bottom w:val="single" w:color="auto" w:sz="2" w:space="0"/>
              <w:right w:val="single" w:color="auto" w:sz="2" w:space="0"/>
            </w:tcBorders>
            <w:vAlign w:val="center"/>
          </w:tcPr>
          <w:p w14:paraId="1DA8889E">
            <w:pPr>
              <w:spacing w:before="0" w:after="0" w:line="240" w:lineRule="exact"/>
              <w:jc w:val="right"/>
              <w:rPr>
                <w:rFonts w:ascii="宋体" w:hAnsi="宋体" w:eastAsia="宋体" w:cs="宋体"/>
                <w:sz w:val="18"/>
                <w:szCs w:val="18"/>
              </w:rPr>
            </w:pPr>
            <w:r>
              <w:rPr>
                <w:rFonts w:ascii="宋体" w:hAnsi="宋体" w:eastAsia="宋体" w:cs="宋体"/>
                <w:sz w:val="18"/>
                <w:szCs w:val="18"/>
              </w:rPr>
              <w:t>6.71%</w:t>
            </w:r>
          </w:p>
        </w:tc>
        <w:tc>
          <w:tcPr>
            <w:tcW w:w="1606" w:type="dxa"/>
            <w:tcBorders>
              <w:top w:val="single" w:color="auto" w:sz="2" w:space="0"/>
              <w:left w:val="single" w:color="auto" w:sz="2" w:space="0"/>
              <w:bottom w:val="single" w:color="auto" w:sz="2" w:space="0"/>
              <w:right w:val="single" w:color="auto" w:sz="2" w:space="0"/>
            </w:tcBorders>
            <w:vAlign w:val="center"/>
          </w:tcPr>
          <w:p w14:paraId="615D4453">
            <w:pPr>
              <w:spacing w:before="0" w:after="0" w:line="240" w:lineRule="exact"/>
              <w:jc w:val="right"/>
              <w:rPr>
                <w:rFonts w:ascii="宋体" w:hAnsi="宋体" w:eastAsia="宋体" w:cs="宋体"/>
                <w:sz w:val="18"/>
                <w:szCs w:val="18"/>
              </w:rPr>
            </w:pPr>
            <w:r>
              <w:rPr>
                <w:rFonts w:ascii="宋体" w:hAnsi="宋体" w:eastAsia="宋体" w:cs="宋体"/>
                <w:sz w:val="18"/>
                <w:szCs w:val="18"/>
              </w:rPr>
              <w:t>24,063,366.04</w:t>
            </w:r>
          </w:p>
        </w:tc>
        <w:tc>
          <w:tcPr>
            <w:tcW w:w="1606" w:type="dxa"/>
            <w:tcBorders>
              <w:top w:val="single" w:color="auto" w:sz="2" w:space="0"/>
              <w:left w:val="single" w:color="auto" w:sz="2" w:space="0"/>
              <w:bottom w:val="single" w:color="auto" w:sz="2" w:space="0"/>
              <w:right w:val="single" w:color="auto" w:sz="2" w:space="0"/>
            </w:tcBorders>
            <w:vAlign w:val="center"/>
          </w:tcPr>
          <w:p w14:paraId="2848BDB5">
            <w:pPr>
              <w:spacing w:before="0" w:after="0" w:line="240" w:lineRule="exact"/>
              <w:jc w:val="right"/>
              <w:rPr>
                <w:rFonts w:ascii="宋体" w:hAnsi="宋体" w:eastAsia="宋体" w:cs="宋体"/>
                <w:sz w:val="18"/>
                <w:szCs w:val="18"/>
              </w:rPr>
            </w:pPr>
            <w:r>
              <w:rPr>
                <w:rFonts w:ascii="宋体" w:hAnsi="宋体" w:eastAsia="宋体" w:cs="宋体"/>
                <w:sz w:val="18"/>
                <w:szCs w:val="18"/>
              </w:rPr>
              <w:t>5.69%</w:t>
            </w:r>
          </w:p>
        </w:tc>
        <w:tc>
          <w:tcPr>
            <w:tcW w:w="1606" w:type="dxa"/>
            <w:tcBorders>
              <w:top w:val="single" w:color="auto" w:sz="2" w:space="0"/>
              <w:left w:val="single" w:color="auto" w:sz="2" w:space="0"/>
              <w:bottom w:val="single" w:color="auto" w:sz="2" w:space="0"/>
              <w:right w:val="single" w:color="auto" w:sz="2" w:space="0"/>
            </w:tcBorders>
            <w:vAlign w:val="center"/>
          </w:tcPr>
          <w:p w14:paraId="0A0A5839">
            <w:pPr>
              <w:spacing w:before="0" w:after="0" w:line="240" w:lineRule="exact"/>
              <w:jc w:val="right"/>
              <w:rPr>
                <w:rFonts w:ascii="宋体" w:hAnsi="宋体" w:eastAsia="宋体" w:cs="宋体"/>
                <w:sz w:val="18"/>
                <w:szCs w:val="18"/>
              </w:rPr>
            </w:pPr>
            <w:r>
              <w:rPr>
                <w:rFonts w:ascii="宋体" w:hAnsi="宋体" w:eastAsia="宋体" w:cs="宋体"/>
                <w:sz w:val="18"/>
                <w:szCs w:val="18"/>
              </w:rPr>
              <w:t>23.05%</w:t>
            </w:r>
          </w:p>
        </w:tc>
      </w:tr>
      <w:tr w14:paraId="32B7FD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6C119745">
            <w:pPr>
              <w:spacing w:before="0" w:after="0" w:line="240" w:lineRule="exact"/>
              <w:jc w:val="left"/>
              <w:rPr>
                <w:rFonts w:ascii="宋体" w:hAnsi="宋体" w:eastAsia="宋体" w:cs="宋体"/>
                <w:sz w:val="18"/>
                <w:szCs w:val="18"/>
              </w:rPr>
            </w:pPr>
            <w:r>
              <w:rPr>
                <w:rFonts w:ascii="宋体" w:hAnsi="宋体" w:eastAsia="宋体" w:cs="宋体"/>
                <w:sz w:val="18"/>
                <w:szCs w:val="18"/>
              </w:rPr>
              <w:t>心血管药物</w:t>
            </w:r>
          </w:p>
        </w:tc>
        <w:tc>
          <w:tcPr>
            <w:tcW w:w="1606" w:type="dxa"/>
            <w:tcBorders>
              <w:top w:val="single" w:color="auto" w:sz="2" w:space="0"/>
              <w:left w:val="single" w:color="auto" w:sz="2" w:space="0"/>
              <w:bottom w:val="single" w:color="auto" w:sz="2" w:space="0"/>
              <w:right w:val="single" w:color="auto" w:sz="2" w:space="0"/>
            </w:tcBorders>
            <w:vAlign w:val="center"/>
          </w:tcPr>
          <w:p w14:paraId="2D955B8D">
            <w:pPr>
              <w:spacing w:before="0" w:after="0" w:line="240" w:lineRule="exact"/>
              <w:jc w:val="right"/>
              <w:rPr>
                <w:rFonts w:ascii="宋体" w:hAnsi="宋体" w:eastAsia="宋体" w:cs="宋体"/>
                <w:sz w:val="18"/>
                <w:szCs w:val="18"/>
              </w:rPr>
            </w:pPr>
            <w:r>
              <w:rPr>
                <w:rFonts w:ascii="宋体" w:hAnsi="宋体" w:eastAsia="宋体" w:cs="宋体"/>
                <w:sz w:val="18"/>
                <w:szCs w:val="18"/>
              </w:rPr>
              <w:t>48,697,319.42</w:t>
            </w:r>
          </w:p>
        </w:tc>
        <w:tc>
          <w:tcPr>
            <w:tcW w:w="1606" w:type="dxa"/>
            <w:tcBorders>
              <w:top w:val="single" w:color="auto" w:sz="2" w:space="0"/>
              <w:left w:val="single" w:color="auto" w:sz="2" w:space="0"/>
              <w:bottom w:val="single" w:color="auto" w:sz="2" w:space="0"/>
              <w:right w:val="single" w:color="auto" w:sz="2" w:space="0"/>
            </w:tcBorders>
            <w:vAlign w:val="center"/>
          </w:tcPr>
          <w:p w14:paraId="6AA28497">
            <w:pPr>
              <w:spacing w:before="0" w:after="0" w:line="240" w:lineRule="exact"/>
              <w:jc w:val="right"/>
              <w:rPr>
                <w:rFonts w:ascii="宋体" w:hAnsi="宋体" w:eastAsia="宋体" w:cs="宋体"/>
                <w:sz w:val="18"/>
                <w:szCs w:val="18"/>
              </w:rPr>
            </w:pPr>
            <w:r>
              <w:rPr>
                <w:rFonts w:ascii="宋体" w:hAnsi="宋体" w:eastAsia="宋体" w:cs="宋体"/>
                <w:sz w:val="18"/>
                <w:szCs w:val="18"/>
              </w:rPr>
              <w:t>11.03%</w:t>
            </w:r>
          </w:p>
        </w:tc>
        <w:tc>
          <w:tcPr>
            <w:tcW w:w="1606" w:type="dxa"/>
            <w:tcBorders>
              <w:top w:val="single" w:color="auto" w:sz="2" w:space="0"/>
              <w:left w:val="single" w:color="auto" w:sz="2" w:space="0"/>
              <w:bottom w:val="single" w:color="auto" w:sz="2" w:space="0"/>
              <w:right w:val="single" w:color="auto" w:sz="2" w:space="0"/>
            </w:tcBorders>
            <w:vAlign w:val="center"/>
          </w:tcPr>
          <w:p w14:paraId="406AF6E4">
            <w:pPr>
              <w:spacing w:before="0" w:after="0" w:line="240" w:lineRule="exact"/>
              <w:jc w:val="right"/>
              <w:rPr>
                <w:rFonts w:ascii="宋体" w:hAnsi="宋体" w:eastAsia="宋体" w:cs="宋体"/>
                <w:sz w:val="18"/>
                <w:szCs w:val="18"/>
              </w:rPr>
            </w:pPr>
            <w:r>
              <w:rPr>
                <w:rFonts w:ascii="宋体" w:hAnsi="宋体" w:eastAsia="宋体" w:cs="宋体"/>
                <w:sz w:val="18"/>
                <w:szCs w:val="18"/>
              </w:rPr>
              <w:t>35,572,196.34</w:t>
            </w:r>
          </w:p>
        </w:tc>
        <w:tc>
          <w:tcPr>
            <w:tcW w:w="1606" w:type="dxa"/>
            <w:tcBorders>
              <w:top w:val="single" w:color="auto" w:sz="2" w:space="0"/>
              <w:left w:val="single" w:color="auto" w:sz="2" w:space="0"/>
              <w:bottom w:val="single" w:color="auto" w:sz="2" w:space="0"/>
              <w:right w:val="single" w:color="auto" w:sz="2" w:space="0"/>
            </w:tcBorders>
            <w:vAlign w:val="center"/>
          </w:tcPr>
          <w:p w14:paraId="2E823789">
            <w:pPr>
              <w:spacing w:before="0" w:after="0" w:line="240" w:lineRule="exact"/>
              <w:jc w:val="right"/>
              <w:rPr>
                <w:rFonts w:ascii="宋体" w:hAnsi="宋体" w:eastAsia="宋体" w:cs="宋体"/>
                <w:sz w:val="18"/>
                <w:szCs w:val="18"/>
              </w:rPr>
            </w:pPr>
            <w:r>
              <w:rPr>
                <w:rFonts w:ascii="宋体" w:hAnsi="宋体" w:eastAsia="宋体" w:cs="宋体"/>
                <w:sz w:val="18"/>
                <w:szCs w:val="18"/>
              </w:rPr>
              <w:t>8.42%</w:t>
            </w:r>
          </w:p>
        </w:tc>
        <w:tc>
          <w:tcPr>
            <w:tcW w:w="1606" w:type="dxa"/>
            <w:tcBorders>
              <w:top w:val="single" w:color="auto" w:sz="2" w:space="0"/>
              <w:left w:val="single" w:color="auto" w:sz="2" w:space="0"/>
              <w:bottom w:val="single" w:color="auto" w:sz="2" w:space="0"/>
              <w:right w:val="single" w:color="auto" w:sz="2" w:space="0"/>
            </w:tcBorders>
            <w:vAlign w:val="center"/>
          </w:tcPr>
          <w:p w14:paraId="1BF4B0C2">
            <w:pPr>
              <w:spacing w:before="0" w:after="0" w:line="240" w:lineRule="exact"/>
              <w:jc w:val="right"/>
              <w:rPr>
                <w:rFonts w:ascii="宋体" w:hAnsi="宋体" w:eastAsia="宋体" w:cs="宋体"/>
                <w:sz w:val="18"/>
                <w:szCs w:val="18"/>
              </w:rPr>
            </w:pPr>
            <w:r>
              <w:rPr>
                <w:rFonts w:ascii="宋体" w:hAnsi="宋体" w:eastAsia="宋体" w:cs="宋体"/>
                <w:sz w:val="18"/>
                <w:szCs w:val="18"/>
              </w:rPr>
              <w:t>36.90%</w:t>
            </w:r>
          </w:p>
        </w:tc>
      </w:tr>
      <w:tr w14:paraId="3615D9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332C64FC">
            <w:pPr>
              <w:spacing w:before="0" w:after="0" w:line="240" w:lineRule="exact"/>
              <w:jc w:val="left"/>
              <w:rPr>
                <w:rFonts w:ascii="宋体" w:hAnsi="宋体" w:eastAsia="宋体" w:cs="宋体"/>
                <w:sz w:val="18"/>
                <w:szCs w:val="18"/>
              </w:rPr>
            </w:pPr>
            <w:r>
              <w:rPr>
                <w:rFonts w:ascii="宋体" w:hAnsi="宋体" w:eastAsia="宋体" w:cs="宋体"/>
                <w:sz w:val="18"/>
                <w:szCs w:val="18"/>
              </w:rPr>
              <w:t>男性健康产品</w:t>
            </w:r>
          </w:p>
        </w:tc>
        <w:tc>
          <w:tcPr>
            <w:tcW w:w="1606" w:type="dxa"/>
            <w:tcBorders>
              <w:top w:val="single" w:color="auto" w:sz="2" w:space="0"/>
              <w:left w:val="single" w:color="auto" w:sz="2" w:space="0"/>
              <w:bottom w:val="single" w:color="auto" w:sz="2" w:space="0"/>
              <w:right w:val="single" w:color="auto" w:sz="2" w:space="0"/>
            </w:tcBorders>
            <w:vAlign w:val="center"/>
          </w:tcPr>
          <w:p w14:paraId="62CCCD3A">
            <w:pPr>
              <w:spacing w:before="0" w:after="0" w:line="240" w:lineRule="exact"/>
              <w:jc w:val="right"/>
              <w:rPr>
                <w:rFonts w:ascii="宋体" w:hAnsi="宋体" w:eastAsia="宋体" w:cs="宋体"/>
                <w:sz w:val="18"/>
                <w:szCs w:val="18"/>
              </w:rPr>
            </w:pPr>
            <w:r>
              <w:rPr>
                <w:rFonts w:ascii="宋体" w:hAnsi="宋体" w:eastAsia="宋体" w:cs="宋体"/>
                <w:sz w:val="18"/>
                <w:szCs w:val="18"/>
              </w:rPr>
              <w:t>22,084,872.50</w:t>
            </w:r>
          </w:p>
        </w:tc>
        <w:tc>
          <w:tcPr>
            <w:tcW w:w="1606" w:type="dxa"/>
            <w:tcBorders>
              <w:top w:val="single" w:color="auto" w:sz="2" w:space="0"/>
              <w:left w:val="single" w:color="auto" w:sz="2" w:space="0"/>
              <w:bottom w:val="single" w:color="auto" w:sz="2" w:space="0"/>
              <w:right w:val="single" w:color="auto" w:sz="2" w:space="0"/>
            </w:tcBorders>
            <w:vAlign w:val="center"/>
          </w:tcPr>
          <w:p w14:paraId="32D8E4A0">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c>
          <w:tcPr>
            <w:tcW w:w="1606" w:type="dxa"/>
            <w:tcBorders>
              <w:top w:val="single" w:color="auto" w:sz="2" w:space="0"/>
              <w:left w:val="single" w:color="auto" w:sz="2" w:space="0"/>
              <w:bottom w:val="single" w:color="auto" w:sz="2" w:space="0"/>
              <w:right w:val="single" w:color="auto" w:sz="2" w:space="0"/>
            </w:tcBorders>
            <w:vAlign w:val="center"/>
          </w:tcPr>
          <w:p w14:paraId="50020140">
            <w:pPr>
              <w:spacing w:before="0" w:after="0" w:line="240" w:lineRule="exact"/>
              <w:jc w:val="right"/>
              <w:rPr>
                <w:rFonts w:ascii="宋体" w:hAnsi="宋体" w:eastAsia="宋体" w:cs="宋体"/>
                <w:sz w:val="18"/>
                <w:szCs w:val="18"/>
              </w:rPr>
            </w:pPr>
            <w:r>
              <w:rPr>
                <w:rFonts w:ascii="宋体" w:hAnsi="宋体" w:eastAsia="宋体" w:cs="宋体"/>
                <w:sz w:val="18"/>
                <w:szCs w:val="18"/>
              </w:rPr>
              <w:t>10,418,603.75</w:t>
            </w:r>
          </w:p>
        </w:tc>
        <w:tc>
          <w:tcPr>
            <w:tcW w:w="1606" w:type="dxa"/>
            <w:tcBorders>
              <w:top w:val="single" w:color="auto" w:sz="2" w:space="0"/>
              <w:left w:val="single" w:color="auto" w:sz="2" w:space="0"/>
              <w:bottom w:val="single" w:color="auto" w:sz="2" w:space="0"/>
              <w:right w:val="single" w:color="auto" w:sz="2" w:space="0"/>
            </w:tcBorders>
            <w:vAlign w:val="center"/>
          </w:tcPr>
          <w:p w14:paraId="541F1638">
            <w:pPr>
              <w:spacing w:before="0" w:after="0" w:line="240" w:lineRule="exact"/>
              <w:jc w:val="right"/>
              <w:rPr>
                <w:rFonts w:ascii="宋体" w:hAnsi="宋体" w:eastAsia="宋体" w:cs="宋体"/>
                <w:sz w:val="18"/>
                <w:szCs w:val="18"/>
              </w:rPr>
            </w:pPr>
            <w:r>
              <w:rPr>
                <w:rFonts w:ascii="宋体" w:hAnsi="宋体" w:eastAsia="宋体" w:cs="宋体"/>
                <w:sz w:val="18"/>
                <w:szCs w:val="18"/>
              </w:rPr>
              <w:t>2.46%</w:t>
            </w:r>
          </w:p>
        </w:tc>
        <w:tc>
          <w:tcPr>
            <w:tcW w:w="1606" w:type="dxa"/>
            <w:tcBorders>
              <w:top w:val="single" w:color="auto" w:sz="2" w:space="0"/>
              <w:left w:val="single" w:color="auto" w:sz="2" w:space="0"/>
              <w:bottom w:val="single" w:color="auto" w:sz="2" w:space="0"/>
              <w:right w:val="single" w:color="auto" w:sz="2" w:space="0"/>
            </w:tcBorders>
            <w:vAlign w:val="center"/>
          </w:tcPr>
          <w:p w14:paraId="40060439">
            <w:pPr>
              <w:spacing w:before="0" w:after="0" w:line="240" w:lineRule="exact"/>
              <w:jc w:val="right"/>
              <w:rPr>
                <w:rFonts w:ascii="宋体" w:hAnsi="宋体" w:eastAsia="宋体" w:cs="宋体"/>
                <w:sz w:val="18"/>
                <w:szCs w:val="18"/>
              </w:rPr>
            </w:pPr>
            <w:r>
              <w:rPr>
                <w:rFonts w:ascii="宋体" w:hAnsi="宋体" w:eastAsia="宋体" w:cs="宋体"/>
                <w:sz w:val="18"/>
                <w:szCs w:val="18"/>
              </w:rPr>
              <w:t>111.98%</w:t>
            </w:r>
          </w:p>
        </w:tc>
      </w:tr>
      <w:tr w14:paraId="08A680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35FAD2D7">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1606" w:type="dxa"/>
            <w:tcBorders>
              <w:top w:val="single" w:color="auto" w:sz="2" w:space="0"/>
              <w:left w:val="single" w:color="auto" w:sz="2" w:space="0"/>
              <w:bottom w:val="single" w:color="auto" w:sz="2" w:space="0"/>
              <w:right w:val="single" w:color="auto" w:sz="2" w:space="0"/>
            </w:tcBorders>
            <w:vAlign w:val="center"/>
          </w:tcPr>
          <w:p w14:paraId="382EA322">
            <w:pPr>
              <w:spacing w:before="0" w:after="0" w:line="240" w:lineRule="exact"/>
              <w:jc w:val="right"/>
              <w:rPr>
                <w:rFonts w:ascii="宋体" w:hAnsi="宋体" w:eastAsia="宋体" w:cs="宋体"/>
                <w:sz w:val="18"/>
                <w:szCs w:val="18"/>
              </w:rPr>
            </w:pPr>
            <w:r>
              <w:rPr>
                <w:rFonts w:ascii="宋体" w:hAnsi="宋体" w:eastAsia="宋体" w:cs="宋体"/>
                <w:sz w:val="18"/>
                <w:szCs w:val="18"/>
              </w:rPr>
              <w:t>4,375,924.43</w:t>
            </w:r>
          </w:p>
        </w:tc>
        <w:tc>
          <w:tcPr>
            <w:tcW w:w="1606" w:type="dxa"/>
            <w:tcBorders>
              <w:top w:val="single" w:color="auto" w:sz="2" w:space="0"/>
              <w:left w:val="single" w:color="auto" w:sz="2" w:space="0"/>
              <w:bottom w:val="single" w:color="auto" w:sz="2" w:space="0"/>
              <w:right w:val="single" w:color="auto" w:sz="2" w:space="0"/>
            </w:tcBorders>
            <w:vAlign w:val="center"/>
          </w:tcPr>
          <w:p w14:paraId="0E84FFDA">
            <w:pPr>
              <w:spacing w:before="0" w:after="0" w:line="240" w:lineRule="exact"/>
              <w:jc w:val="right"/>
              <w:rPr>
                <w:rFonts w:ascii="宋体" w:hAnsi="宋体" w:eastAsia="宋体" w:cs="宋体"/>
                <w:sz w:val="18"/>
                <w:szCs w:val="18"/>
              </w:rPr>
            </w:pPr>
            <w:r>
              <w:rPr>
                <w:rFonts w:ascii="宋体" w:hAnsi="宋体" w:eastAsia="宋体" w:cs="宋体"/>
                <w:sz w:val="18"/>
                <w:szCs w:val="18"/>
              </w:rPr>
              <w:t>0.99%</w:t>
            </w:r>
          </w:p>
        </w:tc>
        <w:tc>
          <w:tcPr>
            <w:tcW w:w="1606" w:type="dxa"/>
            <w:tcBorders>
              <w:top w:val="single" w:color="auto" w:sz="2" w:space="0"/>
              <w:left w:val="single" w:color="auto" w:sz="2" w:space="0"/>
              <w:bottom w:val="single" w:color="auto" w:sz="2" w:space="0"/>
              <w:right w:val="single" w:color="auto" w:sz="2" w:space="0"/>
            </w:tcBorders>
            <w:vAlign w:val="center"/>
          </w:tcPr>
          <w:p w14:paraId="3F761904">
            <w:pPr>
              <w:spacing w:before="0" w:after="0" w:line="240" w:lineRule="exact"/>
              <w:jc w:val="right"/>
              <w:rPr>
                <w:rFonts w:ascii="宋体" w:hAnsi="宋体" w:eastAsia="宋体" w:cs="宋体"/>
                <w:sz w:val="18"/>
                <w:szCs w:val="18"/>
              </w:rPr>
            </w:pPr>
            <w:r>
              <w:rPr>
                <w:rFonts w:ascii="宋体" w:hAnsi="宋体" w:eastAsia="宋体" w:cs="宋体"/>
                <w:sz w:val="18"/>
                <w:szCs w:val="18"/>
              </w:rPr>
              <w:t>9,397,299.91</w:t>
            </w:r>
          </w:p>
        </w:tc>
        <w:tc>
          <w:tcPr>
            <w:tcW w:w="1606" w:type="dxa"/>
            <w:tcBorders>
              <w:top w:val="single" w:color="auto" w:sz="2" w:space="0"/>
              <w:left w:val="single" w:color="auto" w:sz="2" w:space="0"/>
              <w:bottom w:val="single" w:color="auto" w:sz="2" w:space="0"/>
              <w:right w:val="single" w:color="auto" w:sz="2" w:space="0"/>
            </w:tcBorders>
            <w:vAlign w:val="center"/>
          </w:tcPr>
          <w:p w14:paraId="3484F492">
            <w:pPr>
              <w:spacing w:before="0" w:after="0" w:line="240" w:lineRule="exact"/>
              <w:jc w:val="right"/>
              <w:rPr>
                <w:rFonts w:ascii="宋体" w:hAnsi="宋体" w:eastAsia="宋体" w:cs="宋体"/>
                <w:sz w:val="18"/>
                <w:szCs w:val="18"/>
              </w:rPr>
            </w:pPr>
            <w:r>
              <w:rPr>
                <w:rFonts w:ascii="宋体" w:hAnsi="宋体" w:eastAsia="宋体" w:cs="宋体"/>
                <w:sz w:val="18"/>
                <w:szCs w:val="18"/>
              </w:rPr>
              <w:t>2.22%</w:t>
            </w:r>
          </w:p>
        </w:tc>
        <w:tc>
          <w:tcPr>
            <w:tcW w:w="1606" w:type="dxa"/>
            <w:tcBorders>
              <w:top w:val="single" w:color="auto" w:sz="2" w:space="0"/>
              <w:left w:val="single" w:color="auto" w:sz="2" w:space="0"/>
              <w:bottom w:val="single" w:color="auto" w:sz="2" w:space="0"/>
              <w:right w:val="single" w:color="auto" w:sz="2" w:space="0"/>
            </w:tcBorders>
            <w:vAlign w:val="center"/>
          </w:tcPr>
          <w:p w14:paraId="30588F95">
            <w:pPr>
              <w:spacing w:before="0" w:after="0" w:line="240" w:lineRule="exact"/>
              <w:jc w:val="right"/>
              <w:rPr>
                <w:rFonts w:ascii="宋体" w:hAnsi="宋体" w:eastAsia="宋体" w:cs="宋体"/>
                <w:sz w:val="18"/>
                <w:szCs w:val="18"/>
              </w:rPr>
            </w:pPr>
            <w:r>
              <w:rPr>
                <w:rFonts w:ascii="宋体" w:hAnsi="宋体" w:eastAsia="宋体" w:cs="宋体"/>
                <w:sz w:val="18"/>
                <w:szCs w:val="18"/>
              </w:rPr>
              <w:t>-53.43%</w:t>
            </w:r>
          </w:p>
        </w:tc>
      </w:tr>
      <w:tr w14:paraId="5B3B5C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5E8FE82D">
            <w:pPr>
              <w:spacing w:before="40" w:after="40" w:line="240" w:lineRule="exact"/>
              <w:jc w:val="left"/>
              <w:rPr>
                <w:rFonts w:ascii="宋体" w:hAnsi="宋体" w:eastAsia="宋体" w:cs="宋体"/>
                <w:sz w:val="18"/>
                <w:szCs w:val="18"/>
              </w:rPr>
            </w:pPr>
            <w:r>
              <w:rPr>
                <w:rFonts w:ascii="宋体" w:hAnsi="宋体" w:eastAsia="宋体" w:cs="宋体"/>
                <w:sz w:val="18"/>
                <w:szCs w:val="18"/>
              </w:rPr>
              <w:t>分地区</w:t>
            </w:r>
          </w:p>
        </w:tc>
      </w:tr>
      <w:tr w14:paraId="16F058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54095BEB">
            <w:pPr>
              <w:spacing w:before="0" w:after="0" w:line="240" w:lineRule="exact"/>
              <w:jc w:val="left"/>
              <w:rPr>
                <w:rFonts w:ascii="宋体" w:hAnsi="宋体" w:eastAsia="宋体" w:cs="宋体"/>
                <w:sz w:val="18"/>
                <w:szCs w:val="18"/>
              </w:rPr>
            </w:pPr>
            <w:r>
              <w:rPr>
                <w:rFonts w:ascii="宋体" w:hAnsi="宋体" w:eastAsia="宋体" w:cs="宋体"/>
                <w:sz w:val="18"/>
                <w:szCs w:val="18"/>
              </w:rPr>
              <w:t>北区</w:t>
            </w:r>
          </w:p>
        </w:tc>
        <w:tc>
          <w:tcPr>
            <w:tcW w:w="1606" w:type="dxa"/>
            <w:tcBorders>
              <w:top w:val="single" w:color="auto" w:sz="2" w:space="0"/>
              <w:left w:val="single" w:color="auto" w:sz="2" w:space="0"/>
              <w:bottom w:val="single" w:color="auto" w:sz="2" w:space="0"/>
              <w:right w:val="single" w:color="auto" w:sz="2" w:space="0"/>
            </w:tcBorders>
            <w:vAlign w:val="center"/>
          </w:tcPr>
          <w:p w14:paraId="33A1CBD9">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 xml:space="preserve"> 133,524,424.72 </w:t>
            </w:r>
          </w:p>
        </w:tc>
        <w:tc>
          <w:tcPr>
            <w:tcW w:w="1606" w:type="dxa"/>
            <w:tcBorders>
              <w:top w:val="single" w:color="auto" w:sz="2" w:space="0"/>
              <w:left w:val="single" w:color="auto" w:sz="2" w:space="0"/>
              <w:bottom w:val="single" w:color="auto" w:sz="2" w:space="0"/>
              <w:right w:val="single" w:color="auto" w:sz="2" w:space="0"/>
            </w:tcBorders>
            <w:vAlign w:val="center"/>
          </w:tcPr>
          <w:p w14:paraId="32A954D5">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30.25%</w:t>
            </w:r>
          </w:p>
        </w:tc>
        <w:tc>
          <w:tcPr>
            <w:tcW w:w="1606" w:type="dxa"/>
            <w:tcBorders>
              <w:top w:val="single" w:color="auto" w:sz="2" w:space="0"/>
              <w:left w:val="single" w:color="auto" w:sz="2" w:space="0"/>
              <w:bottom w:val="single" w:color="auto" w:sz="2" w:space="0"/>
              <w:right w:val="single" w:color="auto" w:sz="2" w:space="0"/>
            </w:tcBorders>
            <w:vAlign w:val="center"/>
          </w:tcPr>
          <w:p w14:paraId="06829342">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134,126,525.50</w:t>
            </w:r>
          </w:p>
        </w:tc>
        <w:tc>
          <w:tcPr>
            <w:tcW w:w="1606" w:type="dxa"/>
            <w:tcBorders>
              <w:top w:val="single" w:color="auto" w:sz="2" w:space="0"/>
              <w:left w:val="single" w:color="auto" w:sz="2" w:space="0"/>
              <w:bottom w:val="single" w:color="auto" w:sz="2" w:space="0"/>
              <w:right w:val="single" w:color="auto" w:sz="2" w:space="0"/>
            </w:tcBorders>
            <w:vAlign w:val="center"/>
          </w:tcPr>
          <w:p w14:paraId="752C618B">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31.73%</w:t>
            </w:r>
          </w:p>
        </w:tc>
        <w:tc>
          <w:tcPr>
            <w:tcW w:w="1606" w:type="dxa"/>
            <w:tcBorders>
              <w:top w:val="single" w:color="auto" w:sz="2" w:space="0"/>
              <w:left w:val="single" w:color="auto" w:sz="2" w:space="0"/>
              <w:bottom w:val="single" w:color="auto" w:sz="2" w:space="0"/>
              <w:right w:val="single" w:color="auto" w:sz="2" w:space="0"/>
            </w:tcBorders>
            <w:vAlign w:val="center"/>
          </w:tcPr>
          <w:p w14:paraId="05EABCEF">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-0.45%</w:t>
            </w:r>
          </w:p>
        </w:tc>
      </w:tr>
      <w:tr w14:paraId="59903D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5DE42AEC">
            <w:pPr>
              <w:spacing w:before="0" w:after="0" w:line="240" w:lineRule="exact"/>
              <w:jc w:val="left"/>
              <w:rPr>
                <w:rFonts w:ascii="宋体" w:hAnsi="宋体" w:eastAsia="宋体" w:cs="宋体"/>
                <w:sz w:val="18"/>
                <w:szCs w:val="18"/>
              </w:rPr>
            </w:pPr>
            <w:r>
              <w:rPr>
                <w:rFonts w:ascii="宋体" w:hAnsi="宋体" w:eastAsia="宋体" w:cs="宋体"/>
                <w:sz w:val="18"/>
                <w:szCs w:val="18"/>
              </w:rPr>
              <w:t>东区</w:t>
            </w:r>
          </w:p>
        </w:tc>
        <w:tc>
          <w:tcPr>
            <w:tcW w:w="1606" w:type="dxa"/>
            <w:tcBorders>
              <w:top w:val="single" w:color="auto" w:sz="2" w:space="0"/>
              <w:left w:val="single" w:color="auto" w:sz="2" w:space="0"/>
              <w:bottom w:val="single" w:color="auto" w:sz="2" w:space="0"/>
              <w:right w:val="single" w:color="auto" w:sz="2" w:space="0"/>
            </w:tcBorders>
            <w:vAlign w:val="center"/>
          </w:tcPr>
          <w:p w14:paraId="67AD53FA">
            <w:pPr>
              <w:spacing w:before="0" w:after="0" w:line="240" w:lineRule="exact"/>
              <w:jc w:val="right"/>
              <w:rPr>
                <w:rFonts w:ascii="宋体" w:hAnsi="宋体" w:eastAsia="宋体" w:cs="宋体"/>
                <w:sz w:val="18"/>
                <w:szCs w:val="18"/>
              </w:rPr>
            </w:pPr>
            <w:r>
              <w:rPr>
                <w:rFonts w:ascii="宋体" w:hAnsi="宋体" w:eastAsia="宋体" w:cs="宋体"/>
                <w:sz w:val="18"/>
                <w:szCs w:val="18"/>
              </w:rPr>
              <w:t>143,937,166.76</w:t>
            </w:r>
          </w:p>
        </w:tc>
        <w:tc>
          <w:tcPr>
            <w:tcW w:w="1606" w:type="dxa"/>
            <w:tcBorders>
              <w:top w:val="single" w:color="auto" w:sz="2" w:space="0"/>
              <w:left w:val="single" w:color="auto" w:sz="2" w:space="0"/>
              <w:bottom w:val="single" w:color="auto" w:sz="2" w:space="0"/>
              <w:right w:val="single" w:color="auto" w:sz="2" w:space="0"/>
            </w:tcBorders>
            <w:vAlign w:val="center"/>
          </w:tcPr>
          <w:p w14:paraId="45ABF405">
            <w:pPr>
              <w:spacing w:before="0" w:after="0" w:line="240" w:lineRule="exact"/>
              <w:jc w:val="right"/>
              <w:rPr>
                <w:rFonts w:ascii="宋体" w:hAnsi="宋体" w:eastAsia="宋体" w:cs="宋体"/>
                <w:sz w:val="18"/>
                <w:szCs w:val="18"/>
              </w:rPr>
            </w:pPr>
            <w:r>
              <w:rPr>
                <w:rFonts w:ascii="宋体" w:hAnsi="宋体" w:eastAsia="宋体" w:cs="宋体"/>
                <w:sz w:val="18"/>
                <w:szCs w:val="18"/>
              </w:rPr>
              <w:t>32.60%</w:t>
            </w:r>
          </w:p>
        </w:tc>
        <w:tc>
          <w:tcPr>
            <w:tcW w:w="1606" w:type="dxa"/>
            <w:tcBorders>
              <w:top w:val="single" w:color="auto" w:sz="2" w:space="0"/>
              <w:left w:val="single" w:color="auto" w:sz="2" w:space="0"/>
              <w:bottom w:val="single" w:color="auto" w:sz="2" w:space="0"/>
              <w:right w:val="single" w:color="auto" w:sz="2" w:space="0"/>
            </w:tcBorders>
            <w:vAlign w:val="center"/>
          </w:tcPr>
          <w:p w14:paraId="003B4193">
            <w:pPr>
              <w:spacing w:before="0" w:after="0" w:line="240" w:lineRule="exact"/>
              <w:jc w:val="right"/>
              <w:rPr>
                <w:rFonts w:ascii="宋体" w:hAnsi="宋体" w:eastAsia="宋体" w:cs="宋体"/>
                <w:sz w:val="18"/>
                <w:szCs w:val="18"/>
              </w:rPr>
            </w:pPr>
            <w:r>
              <w:rPr>
                <w:rFonts w:ascii="宋体" w:hAnsi="宋体" w:eastAsia="宋体" w:cs="宋体"/>
                <w:sz w:val="18"/>
                <w:szCs w:val="18"/>
              </w:rPr>
              <w:t>133,941,977.38</w:t>
            </w:r>
          </w:p>
        </w:tc>
        <w:tc>
          <w:tcPr>
            <w:tcW w:w="1606" w:type="dxa"/>
            <w:tcBorders>
              <w:top w:val="single" w:color="auto" w:sz="2" w:space="0"/>
              <w:left w:val="single" w:color="auto" w:sz="2" w:space="0"/>
              <w:bottom w:val="single" w:color="auto" w:sz="2" w:space="0"/>
              <w:right w:val="single" w:color="auto" w:sz="2" w:space="0"/>
            </w:tcBorders>
            <w:vAlign w:val="center"/>
          </w:tcPr>
          <w:p w14:paraId="6C5A079D">
            <w:pPr>
              <w:spacing w:before="0" w:after="0" w:line="240" w:lineRule="exact"/>
              <w:jc w:val="right"/>
              <w:rPr>
                <w:rFonts w:ascii="宋体" w:hAnsi="宋体" w:eastAsia="宋体" w:cs="宋体"/>
                <w:sz w:val="18"/>
                <w:szCs w:val="18"/>
              </w:rPr>
            </w:pPr>
            <w:r>
              <w:rPr>
                <w:rFonts w:ascii="宋体" w:hAnsi="宋体" w:eastAsia="宋体" w:cs="宋体"/>
                <w:sz w:val="18"/>
                <w:szCs w:val="18"/>
              </w:rPr>
              <w:t>31.69%</w:t>
            </w:r>
          </w:p>
        </w:tc>
        <w:tc>
          <w:tcPr>
            <w:tcW w:w="1606" w:type="dxa"/>
            <w:tcBorders>
              <w:top w:val="single" w:color="auto" w:sz="2" w:space="0"/>
              <w:left w:val="single" w:color="auto" w:sz="2" w:space="0"/>
              <w:bottom w:val="single" w:color="auto" w:sz="2" w:space="0"/>
              <w:right w:val="single" w:color="auto" w:sz="2" w:space="0"/>
            </w:tcBorders>
            <w:vAlign w:val="center"/>
          </w:tcPr>
          <w:p w14:paraId="1972CD5E">
            <w:pPr>
              <w:spacing w:before="0" w:after="0" w:line="240" w:lineRule="exact"/>
              <w:jc w:val="right"/>
              <w:rPr>
                <w:rFonts w:ascii="宋体" w:hAnsi="宋体" w:eastAsia="宋体" w:cs="宋体"/>
                <w:sz w:val="18"/>
                <w:szCs w:val="18"/>
              </w:rPr>
            </w:pPr>
            <w:r>
              <w:rPr>
                <w:rFonts w:ascii="宋体" w:hAnsi="宋体" w:eastAsia="宋体" w:cs="宋体"/>
                <w:sz w:val="18"/>
                <w:szCs w:val="18"/>
              </w:rPr>
              <w:t>7.46%</w:t>
            </w:r>
          </w:p>
        </w:tc>
      </w:tr>
      <w:tr w14:paraId="3A6C0A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3812BCAC">
            <w:pPr>
              <w:spacing w:before="0" w:after="0" w:line="240" w:lineRule="exact"/>
              <w:jc w:val="left"/>
              <w:rPr>
                <w:rFonts w:ascii="宋体" w:hAnsi="宋体" w:eastAsia="宋体" w:cs="宋体"/>
                <w:sz w:val="18"/>
                <w:szCs w:val="18"/>
              </w:rPr>
            </w:pPr>
            <w:r>
              <w:rPr>
                <w:rFonts w:ascii="宋体" w:hAnsi="宋体" w:eastAsia="宋体" w:cs="宋体"/>
                <w:sz w:val="18"/>
                <w:szCs w:val="18"/>
              </w:rPr>
              <w:t>南区</w:t>
            </w:r>
          </w:p>
        </w:tc>
        <w:tc>
          <w:tcPr>
            <w:tcW w:w="1606" w:type="dxa"/>
            <w:tcBorders>
              <w:top w:val="single" w:color="auto" w:sz="2" w:space="0"/>
              <w:left w:val="single" w:color="auto" w:sz="2" w:space="0"/>
              <w:bottom w:val="single" w:color="auto" w:sz="2" w:space="0"/>
              <w:right w:val="single" w:color="auto" w:sz="2" w:space="0"/>
            </w:tcBorders>
            <w:vAlign w:val="center"/>
          </w:tcPr>
          <w:p w14:paraId="7C3712E9">
            <w:pPr>
              <w:spacing w:before="0" w:after="0" w:line="240" w:lineRule="exact"/>
              <w:jc w:val="right"/>
              <w:rPr>
                <w:rFonts w:ascii="宋体" w:hAnsi="宋体" w:eastAsia="宋体" w:cs="宋体"/>
                <w:sz w:val="18"/>
                <w:szCs w:val="18"/>
              </w:rPr>
            </w:pPr>
            <w:r>
              <w:rPr>
                <w:rFonts w:ascii="宋体" w:hAnsi="宋体" w:eastAsia="宋体" w:cs="宋体"/>
                <w:sz w:val="18"/>
                <w:szCs w:val="18"/>
              </w:rPr>
              <w:t>82,250,735.45</w:t>
            </w:r>
          </w:p>
        </w:tc>
        <w:tc>
          <w:tcPr>
            <w:tcW w:w="1606" w:type="dxa"/>
            <w:tcBorders>
              <w:top w:val="single" w:color="auto" w:sz="2" w:space="0"/>
              <w:left w:val="single" w:color="auto" w:sz="2" w:space="0"/>
              <w:bottom w:val="single" w:color="auto" w:sz="2" w:space="0"/>
              <w:right w:val="single" w:color="auto" w:sz="2" w:space="0"/>
            </w:tcBorders>
            <w:vAlign w:val="center"/>
          </w:tcPr>
          <w:p w14:paraId="21E0A12A">
            <w:pPr>
              <w:spacing w:before="0" w:after="0" w:line="240" w:lineRule="exact"/>
              <w:jc w:val="right"/>
              <w:rPr>
                <w:rFonts w:ascii="宋体" w:hAnsi="宋体" w:eastAsia="宋体" w:cs="宋体"/>
                <w:sz w:val="18"/>
                <w:szCs w:val="18"/>
              </w:rPr>
            </w:pPr>
            <w:r>
              <w:rPr>
                <w:rFonts w:ascii="宋体" w:hAnsi="宋体" w:eastAsia="宋体" w:cs="宋体"/>
                <w:sz w:val="18"/>
                <w:szCs w:val="18"/>
              </w:rPr>
              <w:t>18.63%</w:t>
            </w:r>
          </w:p>
        </w:tc>
        <w:tc>
          <w:tcPr>
            <w:tcW w:w="1606" w:type="dxa"/>
            <w:tcBorders>
              <w:top w:val="single" w:color="auto" w:sz="2" w:space="0"/>
              <w:left w:val="single" w:color="auto" w:sz="2" w:space="0"/>
              <w:bottom w:val="single" w:color="auto" w:sz="2" w:space="0"/>
              <w:right w:val="single" w:color="auto" w:sz="2" w:space="0"/>
            </w:tcBorders>
            <w:vAlign w:val="center"/>
          </w:tcPr>
          <w:p w14:paraId="7716F9C6">
            <w:pPr>
              <w:spacing w:before="0" w:after="0" w:line="240" w:lineRule="exact"/>
              <w:jc w:val="right"/>
              <w:rPr>
                <w:rFonts w:ascii="宋体" w:hAnsi="宋体" w:eastAsia="宋体" w:cs="宋体"/>
                <w:sz w:val="18"/>
                <w:szCs w:val="18"/>
              </w:rPr>
            </w:pPr>
            <w:r>
              <w:rPr>
                <w:rFonts w:ascii="宋体" w:hAnsi="宋体" w:eastAsia="宋体" w:cs="宋体"/>
                <w:sz w:val="18"/>
                <w:szCs w:val="18"/>
              </w:rPr>
              <w:t>77,958,549.23</w:t>
            </w:r>
          </w:p>
        </w:tc>
        <w:tc>
          <w:tcPr>
            <w:tcW w:w="1606" w:type="dxa"/>
            <w:tcBorders>
              <w:top w:val="single" w:color="auto" w:sz="2" w:space="0"/>
              <w:left w:val="single" w:color="auto" w:sz="2" w:space="0"/>
              <w:bottom w:val="single" w:color="auto" w:sz="2" w:space="0"/>
              <w:right w:val="single" w:color="auto" w:sz="2" w:space="0"/>
            </w:tcBorders>
            <w:vAlign w:val="center"/>
          </w:tcPr>
          <w:p w14:paraId="3ACF9CC5">
            <w:pPr>
              <w:spacing w:before="0" w:after="0" w:line="240" w:lineRule="exact"/>
              <w:jc w:val="right"/>
              <w:rPr>
                <w:rFonts w:ascii="宋体" w:hAnsi="宋体" w:eastAsia="宋体" w:cs="宋体"/>
                <w:sz w:val="18"/>
                <w:szCs w:val="18"/>
              </w:rPr>
            </w:pPr>
            <w:r>
              <w:rPr>
                <w:rFonts w:ascii="宋体" w:hAnsi="宋体" w:eastAsia="宋体" w:cs="宋体"/>
                <w:sz w:val="18"/>
                <w:szCs w:val="18"/>
              </w:rPr>
              <w:t>18.44%</w:t>
            </w:r>
          </w:p>
        </w:tc>
        <w:tc>
          <w:tcPr>
            <w:tcW w:w="1606" w:type="dxa"/>
            <w:tcBorders>
              <w:top w:val="single" w:color="auto" w:sz="2" w:space="0"/>
              <w:left w:val="single" w:color="auto" w:sz="2" w:space="0"/>
              <w:bottom w:val="single" w:color="auto" w:sz="2" w:space="0"/>
              <w:right w:val="single" w:color="auto" w:sz="2" w:space="0"/>
            </w:tcBorders>
            <w:vAlign w:val="center"/>
          </w:tcPr>
          <w:p w14:paraId="7C03730D">
            <w:pPr>
              <w:spacing w:before="0" w:after="0" w:line="240" w:lineRule="exact"/>
              <w:jc w:val="right"/>
              <w:rPr>
                <w:rFonts w:ascii="宋体" w:hAnsi="宋体" w:eastAsia="宋体" w:cs="宋体"/>
                <w:sz w:val="18"/>
                <w:szCs w:val="18"/>
              </w:rPr>
            </w:pPr>
            <w:r>
              <w:rPr>
                <w:rFonts w:ascii="宋体" w:hAnsi="宋体" w:eastAsia="宋体" w:cs="宋体"/>
                <w:sz w:val="18"/>
                <w:szCs w:val="18"/>
              </w:rPr>
              <w:t>5.51%</w:t>
            </w:r>
          </w:p>
        </w:tc>
      </w:tr>
      <w:tr w14:paraId="2C7A3E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06275FEF">
            <w:pPr>
              <w:spacing w:before="0" w:after="0" w:line="240" w:lineRule="exact"/>
              <w:jc w:val="left"/>
              <w:rPr>
                <w:rFonts w:ascii="宋体" w:hAnsi="宋体" w:eastAsia="宋体" w:cs="宋体"/>
                <w:sz w:val="18"/>
                <w:szCs w:val="18"/>
              </w:rPr>
            </w:pPr>
            <w:r>
              <w:rPr>
                <w:rFonts w:ascii="宋体" w:hAnsi="宋体" w:eastAsia="宋体" w:cs="宋体"/>
                <w:sz w:val="18"/>
                <w:szCs w:val="18"/>
              </w:rPr>
              <w:t>西北区</w:t>
            </w:r>
          </w:p>
        </w:tc>
        <w:tc>
          <w:tcPr>
            <w:tcW w:w="1606" w:type="dxa"/>
            <w:tcBorders>
              <w:top w:val="single" w:color="auto" w:sz="2" w:space="0"/>
              <w:left w:val="single" w:color="auto" w:sz="2" w:space="0"/>
              <w:bottom w:val="single" w:color="auto" w:sz="2" w:space="0"/>
              <w:right w:val="single" w:color="auto" w:sz="2" w:space="0"/>
            </w:tcBorders>
            <w:vAlign w:val="center"/>
          </w:tcPr>
          <w:p w14:paraId="5282052C">
            <w:pPr>
              <w:spacing w:before="0" w:after="0" w:line="240" w:lineRule="exact"/>
              <w:jc w:val="right"/>
              <w:rPr>
                <w:rFonts w:ascii="宋体" w:hAnsi="宋体" w:eastAsia="宋体" w:cs="宋体"/>
                <w:sz w:val="18"/>
                <w:szCs w:val="18"/>
              </w:rPr>
            </w:pPr>
            <w:r>
              <w:rPr>
                <w:rFonts w:ascii="宋体" w:hAnsi="宋体" w:eastAsia="宋体" w:cs="宋体"/>
                <w:sz w:val="18"/>
                <w:szCs w:val="18"/>
              </w:rPr>
              <w:t>44,399,046.30</w:t>
            </w:r>
          </w:p>
        </w:tc>
        <w:tc>
          <w:tcPr>
            <w:tcW w:w="1606" w:type="dxa"/>
            <w:tcBorders>
              <w:top w:val="single" w:color="auto" w:sz="2" w:space="0"/>
              <w:left w:val="single" w:color="auto" w:sz="2" w:space="0"/>
              <w:bottom w:val="single" w:color="auto" w:sz="2" w:space="0"/>
              <w:right w:val="single" w:color="auto" w:sz="2" w:space="0"/>
            </w:tcBorders>
            <w:vAlign w:val="center"/>
          </w:tcPr>
          <w:p w14:paraId="59F1A0A5">
            <w:pPr>
              <w:spacing w:before="0" w:after="0" w:line="240" w:lineRule="exact"/>
              <w:jc w:val="right"/>
              <w:rPr>
                <w:rFonts w:ascii="宋体" w:hAnsi="宋体" w:eastAsia="宋体" w:cs="宋体"/>
                <w:sz w:val="18"/>
                <w:szCs w:val="18"/>
              </w:rPr>
            </w:pPr>
            <w:r>
              <w:rPr>
                <w:rFonts w:ascii="宋体" w:hAnsi="宋体" w:eastAsia="宋体" w:cs="宋体"/>
                <w:sz w:val="18"/>
                <w:szCs w:val="18"/>
              </w:rPr>
              <w:t>10.06%</w:t>
            </w:r>
          </w:p>
        </w:tc>
        <w:tc>
          <w:tcPr>
            <w:tcW w:w="1606" w:type="dxa"/>
            <w:tcBorders>
              <w:top w:val="single" w:color="auto" w:sz="2" w:space="0"/>
              <w:left w:val="single" w:color="auto" w:sz="2" w:space="0"/>
              <w:bottom w:val="single" w:color="auto" w:sz="2" w:space="0"/>
              <w:right w:val="single" w:color="auto" w:sz="2" w:space="0"/>
            </w:tcBorders>
            <w:vAlign w:val="center"/>
          </w:tcPr>
          <w:p w14:paraId="4B43F5C5">
            <w:pPr>
              <w:spacing w:before="0" w:after="0" w:line="240" w:lineRule="exact"/>
              <w:jc w:val="right"/>
              <w:rPr>
                <w:rFonts w:ascii="宋体" w:hAnsi="宋体" w:eastAsia="宋体" w:cs="宋体"/>
                <w:sz w:val="18"/>
                <w:szCs w:val="18"/>
              </w:rPr>
            </w:pPr>
            <w:r>
              <w:rPr>
                <w:rFonts w:ascii="宋体" w:hAnsi="宋体" w:eastAsia="宋体" w:cs="宋体"/>
                <w:sz w:val="18"/>
                <w:szCs w:val="18"/>
              </w:rPr>
              <w:t>36,087,156.40</w:t>
            </w:r>
          </w:p>
        </w:tc>
        <w:tc>
          <w:tcPr>
            <w:tcW w:w="1606" w:type="dxa"/>
            <w:tcBorders>
              <w:top w:val="single" w:color="auto" w:sz="2" w:space="0"/>
              <w:left w:val="single" w:color="auto" w:sz="2" w:space="0"/>
              <w:bottom w:val="single" w:color="auto" w:sz="2" w:space="0"/>
              <w:right w:val="single" w:color="auto" w:sz="2" w:space="0"/>
            </w:tcBorders>
            <w:vAlign w:val="center"/>
          </w:tcPr>
          <w:p w14:paraId="65F1C157">
            <w:pPr>
              <w:spacing w:before="0" w:after="0" w:line="240" w:lineRule="exact"/>
              <w:jc w:val="right"/>
              <w:rPr>
                <w:rFonts w:ascii="宋体" w:hAnsi="宋体" w:eastAsia="宋体" w:cs="宋体"/>
                <w:sz w:val="18"/>
                <w:szCs w:val="18"/>
              </w:rPr>
            </w:pPr>
            <w:r>
              <w:rPr>
                <w:rFonts w:ascii="宋体" w:hAnsi="宋体" w:eastAsia="宋体" w:cs="宋体"/>
                <w:sz w:val="18"/>
                <w:szCs w:val="18"/>
              </w:rPr>
              <w:t>8.54%</w:t>
            </w:r>
          </w:p>
        </w:tc>
        <w:tc>
          <w:tcPr>
            <w:tcW w:w="1606" w:type="dxa"/>
            <w:tcBorders>
              <w:top w:val="single" w:color="auto" w:sz="2" w:space="0"/>
              <w:left w:val="single" w:color="auto" w:sz="2" w:space="0"/>
              <w:bottom w:val="single" w:color="auto" w:sz="2" w:space="0"/>
              <w:right w:val="single" w:color="auto" w:sz="2" w:space="0"/>
            </w:tcBorders>
            <w:vAlign w:val="center"/>
          </w:tcPr>
          <w:p w14:paraId="0C07BBE6">
            <w:pPr>
              <w:spacing w:before="0" w:after="0" w:line="240" w:lineRule="exact"/>
              <w:jc w:val="right"/>
              <w:rPr>
                <w:rFonts w:ascii="宋体" w:hAnsi="宋体" w:eastAsia="宋体" w:cs="宋体"/>
                <w:sz w:val="18"/>
                <w:szCs w:val="18"/>
              </w:rPr>
            </w:pPr>
            <w:r>
              <w:rPr>
                <w:rFonts w:ascii="宋体" w:hAnsi="宋体" w:eastAsia="宋体" w:cs="宋体"/>
                <w:sz w:val="18"/>
                <w:szCs w:val="18"/>
              </w:rPr>
              <w:t>23.03%</w:t>
            </w:r>
          </w:p>
        </w:tc>
      </w:tr>
      <w:tr w14:paraId="2B20AD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26DA32A6">
            <w:pPr>
              <w:spacing w:before="0" w:after="0" w:line="240" w:lineRule="exact"/>
              <w:jc w:val="left"/>
              <w:rPr>
                <w:rFonts w:ascii="宋体" w:hAnsi="宋体" w:eastAsia="宋体" w:cs="宋体"/>
                <w:sz w:val="18"/>
                <w:szCs w:val="18"/>
              </w:rPr>
            </w:pPr>
            <w:r>
              <w:rPr>
                <w:rFonts w:ascii="宋体" w:hAnsi="宋体" w:eastAsia="宋体" w:cs="宋体"/>
                <w:sz w:val="18"/>
                <w:szCs w:val="18"/>
              </w:rPr>
              <w:t>西南区</w:t>
            </w:r>
          </w:p>
        </w:tc>
        <w:tc>
          <w:tcPr>
            <w:tcW w:w="1606" w:type="dxa"/>
            <w:tcBorders>
              <w:top w:val="single" w:color="auto" w:sz="2" w:space="0"/>
              <w:left w:val="single" w:color="auto" w:sz="2" w:space="0"/>
              <w:bottom w:val="single" w:color="auto" w:sz="2" w:space="0"/>
              <w:right w:val="single" w:color="auto" w:sz="2" w:space="0"/>
            </w:tcBorders>
            <w:vAlign w:val="center"/>
          </w:tcPr>
          <w:p w14:paraId="7B13E747">
            <w:pPr>
              <w:spacing w:before="0" w:after="0" w:line="240" w:lineRule="exact"/>
              <w:jc w:val="right"/>
              <w:rPr>
                <w:rFonts w:ascii="宋体" w:hAnsi="宋体" w:eastAsia="宋体" w:cs="宋体"/>
                <w:sz w:val="18"/>
                <w:szCs w:val="18"/>
              </w:rPr>
            </w:pPr>
            <w:r>
              <w:rPr>
                <w:rFonts w:ascii="宋体" w:hAnsi="宋体" w:eastAsia="宋体" w:cs="宋体"/>
                <w:sz w:val="18"/>
                <w:szCs w:val="18"/>
              </w:rPr>
              <w:t>32,970,376.12</w:t>
            </w:r>
          </w:p>
        </w:tc>
        <w:tc>
          <w:tcPr>
            <w:tcW w:w="1606" w:type="dxa"/>
            <w:tcBorders>
              <w:top w:val="single" w:color="auto" w:sz="2" w:space="0"/>
              <w:left w:val="single" w:color="auto" w:sz="2" w:space="0"/>
              <w:bottom w:val="single" w:color="auto" w:sz="2" w:space="0"/>
              <w:right w:val="single" w:color="auto" w:sz="2" w:space="0"/>
            </w:tcBorders>
            <w:vAlign w:val="center"/>
          </w:tcPr>
          <w:p w14:paraId="16ACC530">
            <w:pPr>
              <w:spacing w:before="0" w:after="0" w:line="240" w:lineRule="exact"/>
              <w:jc w:val="right"/>
              <w:rPr>
                <w:rFonts w:ascii="宋体" w:hAnsi="宋体" w:eastAsia="宋体" w:cs="宋体"/>
                <w:sz w:val="18"/>
                <w:szCs w:val="18"/>
              </w:rPr>
            </w:pPr>
            <w:r>
              <w:rPr>
                <w:rFonts w:ascii="宋体" w:hAnsi="宋体" w:eastAsia="宋体" w:cs="宋体"/>
                <w:sz w:val="18"/>
                <w:szCs w:val="18"/>
              </w:rPr>
              <w:t>7.47%</w:t>
            </w:r>
          </w:p>
        </w:tc>
        <w:tc>
          <w:tcPr>
            <w:tcW w:w="1606" w:type="dxa"/>
            <w:tcBorders>
              <w:top w:val="single" w:color="auto" w:sz="2" w:space="0"/>
              <w:left w:val="single" w:color="auto" w:sz="2" w:space="0"/>
              <w:bottom w:val="single" w:color="auto" w:sz="2" w:space="0"/>
              <w:right w:val="single" w:color="auto" w:sz="2" w:space="0"/>
            </w:tcBorders>
            <w:vAlign w:val="center"/>
          </w:tcPr>
          <w:p w14:paraId="4EE54095">
            <w:pPr>
              <w:spacing w:before="0" w:after="0" w:line="240" w:lineRule="exact"/>
              <w:jc w:val="right"/>
              <w:rPr>
                <w:rFonts w:ascii="宋体" w:hAnsi="宋体" w:eastAsia="宋体" w:cs="宋体"/>
                <w:sz w:val="18"/>
                <w:szCs w:val="18"/>
              </w:rPr>
            </w:pPr>
            <w:r>
              <w:rPr>
                <w:rFonts w:ascii="宋体" w:hAnsi="宋体" w:eastAsia="宋体" w:cs="宋体"/>
                <w:sz w:val="18"/>
                <w:szCs w:val="18"/>
              </w:rPr>
              <w:t>31,203,380.68</w:t>
            </w:r>
          </w:p>
        </w:tc>
        <w:tc>
          <w:tcPr>
            <w:tcW w:w="1606" w:type="dxa"/>
            <w:tcBorders>
              <w:top w:val="single" w:color="auto" w:sz="2" w:space="0"/>
              <w:left w:val="single" w:color="auto" w:sz="2" w:space="0"/>
              <w:bottom w:val="single" w:color="auto" w:sz="2" w:space="0"/>
              <w:right w:val="single" w:color="auto" w:sz="2" w:space="0"/>
            </w:tcBorders>
            <w:vAlign w:val="center"/>
          </w:tcPr>
          <w:p w14:paraId="0671D8A3">
            <w:pPr>
              <w:spacing w:before="0" w:after="0" w:line="240" w:lineRule="exact"/>
              <w:jc w:val="right"/>
              <w:rPr>
                <w:rFonts w:ascii="宋体" w:hAnsi="宋体" w:eastAsia="宋体" w:cs="宋体"/>
                <w:sz w:val="18"/>
                <w:szCs w:val="18"/>
              </w:rPr>
            </w:pPr>
            <w:r>
              <w:rPr>
                <w:rFonts w:ascii="宋体" w:hAnsi="宋体" w:eastAsia="宋体" w:cs="宋体"/>
                <w:sz w:val="18"/>
                <w:szCs w:val="18"/>
              </w:rPr>
              <w:t>7.38%</w:t>
            </w:r>
          </w:p>
        </w:tc>
        <w:tc>
          <w:tcPr>
            <w:tcW w:w="1606" w:type="dxa"/>
            <w:tcBorders>
              <w:top w:val="single" w:color="auto" w:sz="2" w:space="0"/>
              <w:left w:val="single" w:color="auto" w:sz="2" w:space="0"/>
              <w:bottom w:val="single" w:color="auto" w:sz="2" w:space="0"/>
              <w:right w:val="single" w:color="auto" w:sz="2" w:space="0"/>
            </w:tcBorders>
            <w:vAlign w:val="center"/>
          </w:tcPr>
          <w:p w14:paraId="2CBB9B18">
            <w:pPr>
              <w:spacing w:before="0" w:after="0" w:line="240" w:lineRule="exact"/>
              <w:jc w:val="right"/>
              <w:rPr>
                <w:rFonts w:ascii="宋体" w:hAnsi="宋体" w:eastAsia="宋体" w:cs="宋体"/>
                <w:sz w:val="18"/>
                <w:szCs w:val="18"/>
              </w:rPr>
            </w:pPr>
            <w:r>
              <w:rPr>
                <w:rFonts w:ascii="宋体" w:hAnsi="宋体" w:eastAsia="宋体" w:cs="宋体"/>
                <w:sz w:val="18"/>
                <w:szCs w:val="18"/>
              </w:rPr>
              <w:t>5.66%</w:t>
            </w:r>
          </w:p>
        </w:tc>
      </w:tr>
      <w:tr w14:paraId="15CC44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CF18F64">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1606" w:type="dxa"/>
            <w:tcBorders>
              <w:top w:val="single" w:color="auto" w:sz="2" w:space="0"/>
              <w:left w:val="single" w:color="auto" w:sz="2" w:space="0"/>
              <w:bottom w:val="single" w:color="auto" w:sz="2" w:space="0"/>
              <w:right w:val="single" w:color="auto" w:sz="2" w:space="0"/>
            </w:tcBorders>
            <w:vAlign w:val="center"/>
          </w:tcPr>
          <w:p w14:paraId="6EC8FD63">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 xml:space="preserve"> 4,375,924.42 </w:t>
            </w:r>
          </w:p>
        </w:tc>
        <w:tc>
          <w:tcPr>
            <w:tcW w:w="1606" w:type="dxa"/>
            <w:tcBorders>
              <w:top w:val="single" w:color="auto" w:sz="2" w:space="0"/>
              <w:left w:val="single" w:color="auto" w:sz="2" w:space="0"/>
              <w:bottom w:val="single" w:color="auto" w:sz="2" w:space="0"/>
              <w:right w:val="single" w:color="auto" w:sz="2" w:space="0"/>
            </w:tcBorders>
            <w:vAlign w:val="center"/>
          </w:tcPr>
          <w:p w14:paraId="6886A444">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0.99%</w:t>
            </w:r>
          </w:p>
        </w:tc>
        <w:tc>
          <w:tcPr>
            <w:tcW w:w="1606" w:type="dxa"/>
            <w:tcBorders>
              <w:top w:val="single" w:color="auto" w:sz="2" w:space="0"/>
              <w:left w:val="single" w:color="auto" w:sz="2" w:space="0"/>
              <w:bottom w:val="single" w:color="auto" w:sz="2" w:space="0"/>
              <w:right w:val="single" w:color="auto" w:sz="2" w:space="0"/>
            </w:tcBorders>
            <w:vAlign w:val="center"/>
          </w:tcPr>
          <w:p w14:paraId="5A021D10">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9,397,299.91</w:t>
            </w:r>
          </w:p>
        </w:tc>
        <w:tc>
          <w:tcPr>
            <w:tcW w:w="1606" w:type="dxa"/>
            <w:tcBorders>
              <w:top w:val="single" w:color="auto" w:sz="2" w:space="0"/>
              <w:left w:val="single" w:color="auto" w:sz="2" w:space="0"/>
              <w:bottom w:val="single" w:color="auto" w:sz="2" w:space="0"/>
              <w:right w:val="single" w:color="auto" w:sz="2" w:space="0"/>
            </w:tcBorders>
            <w:vAlign w:val="center"/>
          </w:tcPr>
          <w:p w14:paraId="6FE2DC39">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2.22%</w:t>
            </w:r>
          </w:p>
        </w:tc>
        <w:tc>
          <w:tcPr>
            <w:tcW w:w="1606" w:type="dxa"/>
            <w:tcBorders>
              <w:top w:val="single" w:color="auto" w:sz="2" w:space="0"/>
              <w:left w:val="single" w:color="auto" w:sz="2" w:space="0"/>
              <w:bottom w:val="single" w:color="auto" w:sz="2" w:space="0"/>
              <w:right w:val="single" w:color="auto" w:sz="2" w:space="0"/>
            </w:tcBorders>
            <w:vAlign w:val="center"/>
          </w:tcPr>
          <w:p w14:paraId="27F5B372">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-53.43%</w:t>
            </w:r>
          </w:p>
        </w:tc>
      </w:tr>
      <w:tr w14:paraId="7F589C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5F0D2287">
            <w:pPr>
              <w:spacing w:before="40" w:after="40" w:line="240" w:lineRule="exact"/>
              <w:jc w:val="left"/>
              <w:rPr>
                <w:rFonts w:ascii="宋体" w:hAnsi="宋体" w:eastAsia="宋体" w:cs="宋体"/>
                <w:sz w:val="18"/>
                <w:szCs w:val="18"/>
              </w:rPr>
            </w:pPr>
            <w:r>
              <w:rPr>
                <w:rFonts w:ascii="宋体" w:hAnsi="宋体" w:eastAsia="宋体" w:cs="宋体"/>
                <w:sz w:val="18"/>
                <w:szCs w:val="18"/>
              </w:rPr>
              <w:t>分销售模式</w:t>
            </w:r>
          </w:p>
        </w:tc>
      </w:tr>
      <w:tr w14:paraId="208BEE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4B07DBA0">
            <w:pPr>
              <w:spacing w:before="0" w:after="0" w:line="240" w:lineRule="exact"/>
              <w:jc w:val="left"/>
              <w:rPr>
                <w:rFonts w:ascii="宋体" w:hAnsi="宋体" w:eastAsia="宋体" w:cs="宋体"/>
                <w:sz w:val="18"/>
                <w:szCs w:val="18"/>
              </w:rPr>
            </w:pPr>
            <w:r>
              <w:rPr>
                <w:rFonts w:ascii="宋体" w:hAnsi="宋体" w:eastAsia="宋体" w:cs="宋体"/>
                <w:sz w:val="18"/>
                <w:szCs w:val="18"/>
              </w:rPr>
              <w:t>直销</w:t>
            </w:r>
          </w:p>
        </w:tc>
        <w:tc>
          <w:tcPr>
            <w:tcW w:w="1606" w:type="dxa"/>
            <w:tcBorders>
              <w:top w:val="single" w:color="auto" w:sz="2" w:space="0"/>
              <w:left w:val="single" w:color="auto" w:sz="2" w:space="0"/>
              <w:bottom w:val="single" w:color="auto" w:sz="2" w:space="0"/>
              <w:right w:val="single" w:color="auto" w:sz="2" w:space="0"/>
            </w:tcBorders>
            <w:vAlign w:val="center"/>
          </w:tcPr>
          <w:p w14:paraId="18FCF594">
            <w:pPr>
              <w:spacing w:before="0" w:after="0" w:line="240" w:lineRule="exact"/>
              <w:jc w:val="right"/>
              <w:rPr>
                <w:rFonts w:ascii="宋体" w:hAnsi="宋体" w:eastAsia="宋体" w:cs="宋体"/>
                <w:sz w:val="18"/>
                <w:szCs w:val="18"/>
              </w:rPr>
            </w:pPr>
            <w:r>
              <w:rPr>
                <w:rFonts w:ascii="宋体" w:hAnsi="宋体" w:eastAsia="宋体" w:cs="宋体"/>
                <w:sz w:val="18"/>
                <w:szCs w:val="18"/>
              </w:rPr>
              <w:t>288,861,159.96</w:t>
            </w:r>
          </w:p>
        </w:tc>
        <w:tc>
          <w:tcPr>
            <w:tcW w:w="1606" w:type="dxa"/>
            <w:tcBorders>
              <w:top w:val="single" w:color="auto" w:sz="2" w:space="0"/>
              <w:left w:val="single" w:color="auto" w:sz="2" w:space="0"/>
              <w:bottom w:val="single" w:color="auto" w:sz="2" w:space="0"/>
              <w:right w:val="single" w:color="auto" w:sz="2" w:space="0"/>
            </w:tcBorders>
            <w:vAlign w:val="center"/>
          </w:tcPr>
          <w:p w14:paraId="483BD629">
            <w:pPr>
              <w:spacing w:before="0" w:after="0" w:line="240" w:lineRule="exact"/>
              <w:jc w:val="right"/>
              <w:rPr>
                <w:rFonts w:ascii="宋体" w:hAnsi="宋体" w:eastAsia="宋体" w:cs="宋体"/>
                <w:sz w:val="18"/>
                <w:szCs w:val="18"/>
              </w:rPr>
            </w:pPr>
            <w:r>
              <w:rPr>
                <w:rFonts w:ascii="宋体" w:hAnsi="宋体" w:eastAsia="宋体" w:cs="宋体"/>
                <w:sz w:val="18"/>
                <w:szCs w:val="18"/>
              </w:rPr>
              <w:t>65.43%</w:t>
            </w:r>
          </w:p>
        </w:tc>
        <w:tc>
          <w:tcPr>
            <w:tcW w:w="1606" w:type="dxa"/>
            <w:tcBorders>
              <w:top w:val="single" w:color="auto" w:sz="2" w:space="0"/>
              <w:left w:val="single" w:color="auto" w:sz="2" w:space="0"/>
              <w:bottom w:val="single" w:color="auto" w:sz="2" w:space="0"/>
              <w:right w:val="single" w:color="auto" w:sz="2" w:space="0"/>
            </w:tcBorders>
            <w:vAlign w:val="center"/>
          </w:tcPr>
          <w:p w14:paraId="1773D408">
            <w:pPr>
              <w:spacing w:before="0" w:after="0" w:line="240" w:lineRule="exact"/>
              <w:jc w:val="right"/>
              <w:rPr>
                <w:rFonts w:ascii="宋体" w:hAnsi="宋体" w:eastAsia="宋体" w:cs="宋体"/>
                <w:sz w:val="18"/>
                <w:szCs w:val="18"/>
              </w:rPr>
            </w:pPr>
            <w:r>
              <w:rPr>
                <w:rFonts w:ascii="宋体" w:hAnsi="宋体" w:eastAsia="宋体" w:cs="宋体"/>
                <w:sz w:val="18"/>
                <w:szCs w:val="18"/>
              </w:rPr>
              <w:t>282,573,879.44</w:t>
            </w:r>
          </w:p>
        </w:tc>
        <w:tc>
          <w:tcPr>
            <w:tcW w:w="1606" w:type="dxa"/>
            <w:tcBorders>
              <w:top w:val="single" w:color="auto" w:sz="2" w:space="0"/>
              <w:left w:val="single" w:color="auto" w:sz="2" w:space="0"/>
              <w:bottom w:val="single" w:color="auto" w:sz="2" w:space="0"/>
              <w:right w:val="single" w:color="auto" w:sz="2" w:space="0"/>
            </w:tcBorders>
            <w:vAlign w:val="center"/>
          </w:tcPr>
          <w:p w14:paraId="7F8E24A2">
            <w:pPr>
              <w:spacing w:before="0" w:after="0" w:line="240" w:lineRule="exact"/>
              <w:jc w:val="right"/>
              <w:rPr>
                <w:rFonts w:ascii="宋体" w:hAnsi="宋体" w:eastAsia="宋体" w:cs="宋体"/>
                <w:sz w:val="18"/>
                <w:szCs w:val="18"/>
              </w:rPr>
            </w:pPr>
            <w:r>
              <w:rPr>
                <w:rFonts w:ascii="宋体" w:hAnsi="宋体" w:eastAsia="宋体" w:cs="宋体"/>
                <w:sz w:val="18"/>
                <w:szCs w:val="18"/>
              </w:rPr>
              <w:t>66.85%</w:t>
            </w:r>
          </w:p>
        </w:tc>
        <w:tc>
          <w:tcPr>
            <w:tcW w:w="1606" w:type="dxa"/>
            <w:tcBorders>
              <w:top w:val="single" w:color="auto" w:sz="2" w:space="0"/>
              <w:left w:val="single" w:color="auto" w:sz="2" w:space="0"/>
              <w:bottom w:val="single" w:color="auto" w:sz="2" w:space="0"/>
              <w:right w:val="single" w:color="auto" w:sz="2" w:space="0"/>
            </w:tcBorders>
            <w:vAlign w:val="center"/>
          </w:tcPr>
          <w:p w14:paraId="54904399">
            <w:pPr>
              <w:spacing w:before="0" w:after="0" w:line="240" w:lineRule="exact"/>
              <w:jc w:val="right"/>
              <w:rPr>
                <w:rFonts w:ascii="宋体" w:hAnsi="宋体" w:eastAsia="宋体" w:cs="宋体"/>
                <w:sz w:val="18"/>
                <w:szCs w:val="18"/>
              </w:rPr>
            </w:pPr>
            <w:r>
              <w:rPr>
                <w:rFonts w:ascii="宋体" w:hAnsi="宋体" w:eastAsia="宋体" w:cs="宋体"/>
                <w:sz w:val="18"/>
                <w:szCs w:val="18"/>
              </w:rPr>
              <w:t>2.23%</w:t>
            </w:r>
          </w:p>
        </w:tc>
      </w:tr>
      <w:tr w14:paraId="3F2EC2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FFB8108">
            <w:pPr>
              <w:spacing w:before="0" w:after="0" w:line="240" w:lineRule="exact"/>
              <w:jc w:val="left"/>
              <w:rPr>
                <w:rFonts w:ascii="宋体" w:hAnsi="宋体" w:eastAsia="宋体" w:cs="宋体"/>
                <w:sz w:val="18"/>
                <w:szCs w:val="18"/>
              </w:rPr>
            </w:pPr>
            <w:r>
              <w:rPr>
                <w:rFonts w:ascii="宋体" w:hAnsi="宋体" w:eastAsia="宋体" w:cs="宋体"/>
                <w:sz w:val="18"/>
                <w:szCs w:val="18"/>
              </w:rPr>
              <w:t>经销</w:t>
            </w:r>
          </w:p>
        </w:tc>
        <w:tc>
          <w:tcPr>
            <w:tcW w:w="1606" w:type="dxa"/>
            <w:tcBorders>
              <w:top w:val="single" w:color="auto" w:sz="2" w:space="0"/>
              <w:left w:val="single" w:color="auto" w:sz="2" w:space="0"/>
              <w:bottom w:val="single" w:color="auto" w:sz="2" w:space="0"/>
              <w:right w:val="single" w:color="auto" w:sz="2" w:space="0"/>
            </w:tcBorders>
            <w:vAlign w:val="center"/>
          </w:tcPr>
          <w:p w14:paraId="4AF2C20D">
            <w:pPr>
              <w:spacing w:before="0" w:after="0" w:line="240" w:lineRule="exact"/>
              <w:jc w:val="right"/>
              <w:rPr>
                <w:rFonts w:ascii="宋体" w:hAnsi="宋体" w:eastAsia="宋体" w:cs="宋体"/>
                <w:sz w:val="18"/>
                <w:szCs w:val="18"/>
              </w:rPr>
            </w:pPr>
            <w:r>
              <w:rPr>
                <w:rFonts w:ascii="宋体" w:hAnsi="宋体" w:eastAsia="宋体" w:cs="宋体"/>
                <w:sz w:val="18"/>
                <w:szCs w:val="18"/>
              </w:rPr>
              <w:t>46,028,220.85</w:t>
            </w:r>
          </w:p>
        </w:tc>
        <w:tc>
          <w:tcPr>
            <w:tcW w:w="1606" w:type="dxa"/>
            <w:tcBorders>
              <w:top w:val="single" w:color="auto" w:sz="2" w:space="0"/>
              <w:left w:val="single" w:color="auto" w:sz="2" w:space="0"/>
              <w:bottom w:val="single" w:color="auto" w:sz="2" w:space="0"/>
              <w:right w:val="single" w:color="auto" w:sz="2" w:space="0"/>
            </w:tcBorders>
            <w:vAlign w:val="center"/>
          </w:tcPr>
          <w:p w14:paraId="4A523262">
            <w:pPr>
              <w:spacing w:before="0" w:after="0" w:line="240" w:lineRule="exact"/>
              <w:jc w:val="right"/>
              <w:rPr>
                <w:rFonts w:ascii="宋体" w:hAnsi="宋体" w:eastAsia="宋体" w:cs="宋体"/>
                <w:sz w:val="18"/>
                <w:szCs w:val="18"/>
              </w:rPr>
            </w:pPr>
            <w:r>
              <w:rPr>
                <w:rFonts w:ascii="宋体" w:hAnsi="宋体" w:eastAsia="宋体" w:cs="宋体"/>
                <w:sz w:val="18"/>
                <w:szCs w:val="18"/>
              </w:rPr>
              <w:t>10.43%</w:t>
            </w:r>
          </w:p>
        </w:tc>
        <w:tc>
          <w:tcPr>
            <w:tcW w:w="1606" w:type="dxa"/>
            <w:tcBorders>
              <w:top w:val="single" w:color="auto" w:sz="2" w:space="0"/>
              <w:left w:val="single" w:color="auto" w:sz="2" w:space="0"/>
              <w:bottom w:val="single" w:color="auto" w:sz="2" w:space="0"/>
              <w:right w:val="single" w:color="auto" w:sz="2" w:space="0"/>
            </w:tcBorders>
            <w:vAlign w:val="center"/>
          </w:tcPr>
          <w:p w14:paraId="0C5BF803">
            <w:pPr>
              <w:spacing w:before="0" w:after="0" w:line="240" w:lineRule="exact"/>
              <w:jc w:val="right"/>
              <w:rPr>
                <w:rFonts w:ascii="宋体" w:hAnsi="宋体" w:eastAsia="宋体" w:cs="宋体"/>
                <w:sz w:val="18"/>
                <w:szCs w:val="18"/>
              </w:rPr>
            </w:pPr>
            <w:r>
              <w:rPr>
                <w:rFonts w:ascii="宋体" w:hAnsi="宋体" w:eastAsia="宋体" w:cs="宋体"/>
                <w:sz w:val="18"/>
                <w:szCs w:val="18"/>
              </w:rPr>
              <w:t>43,158,373.41</w:t>
            </w:r>
          </w:p>
        </w:tc>
        <w:tc>
          <w:tcPr>
            <w:tcW w:w="1606" w:type="dxa"/>
            <w:tcBorders>
              <w:top w:val="single" w:color="auto" w:sz="2" w:space="0"/>
              <w:left w:val="single" w:color="auto" w:sz="2" w:space="0"/>
              <w:bottom w:val="single" w:color="auto" w:sz="2" w:space="0"/>
              <w:right w:val="single" w:color="auto" w:sz="2" w:space="0"/>
            </w:tcBorders>
            <w:vAlign w:val="center"/>
          </w:tcPr>
          <w:p w14:paraId="527CF7B9">
            <w:pPr>
              <w:spacing w:before="0" w:after="0" w:line="240" w:lineRule="exact"/>
              <w:jc w:val="right"/>
              <w:rPr>
                <w:rFonts w:ascii="宋体" w:hAnsi="宋体" w:eastAsia="宋体" w:cs="宋体"/>
                <w:sz w:val="18"/>
                <w:szCs w:val="18"/>
              </w:rPr>
            </w:pPr>
            <w:r>
              <w:rPr>
                <w:rFonts w:ascii="宋体" w:hAnsi="宋体" w:eastAsia="宋体" w:cs="宋体"/>
                <w:sz w:val="18"/>
                <w:szCs w:val="18"/>
              </w:rPr>
              <w:t>10.21%</w:t>
            </w:r>
          </w:p>
        </w:tc>
        <w:tc>
          <w:tcPr>
            <w:tcW w:w="1606" w:type="dxa"/>
            <w:tcBorders>
              <w:top w:val="single" w:color="auto" w:sz="2" w:space="0"/>
              <w:left w:val="single" w:color="auto" w:sz="2" w:space="0"/>
              <w:bottom w:val="single" w:color="auto" w:sz="2" w:space="0"/>
              <w:right w:val="single" w:color="auto" w:sz="2" w:space="0"/>
            </w:tcBorders>
            <w:vAlign w:val="center"/>
          </w:tcPr>
          <w:p w14:paraId="4502BABD">
            <w:pPr>
              <w:spacing w:before="0" w:after="0" w:line="240" w:lineRule="exact"/>
              <w:jc w:val="right"/>
              <w:rPr>
                <w:rFonts w:ascii="宋体" w:hAnsi="宋体" w:eastAsia="宋体" w:cs="宋体"/>
                <w:sz w:val="18"/>
                <w:szCs w:val="18"/>
              </w:rPr>
            </w:pPr>
            <w:r>
              <w:rPr>
                <w:rFonts w:ascii="宋体" w:hAnsi="宋体" w:eastAsia="宋体" w:cs="宋体"/>
                <w:sz w:val="18"/>
                <w:szCs w:val="18"/>
              </w:rPr>
              <w:t>6.65%</w:t>
            </w:r>
          </w:p>
        </w:tc>
      </w:tr>
      <w:tr w14:paraId="071451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5A0A1419">
            <w:pPr>
              <w:spacing w:before="0" w:after="0" w:line="240" w:lineRule="exact"/>
              <w:jc w:val="left"/>
              <w:rPr>
                <w:rFonts w:ascii="宋体" w:hAnsi="宋体" w:eastAsia="宋体" w:cs="宋体"/>
                <w:sz w:val="18"/>
                <w:szCs w:val="18"/>
              </w:rPr>
            </w:pPr>
            <w:r>
              <w:rPr>
                <w:rFonts w:ascii="宋体" w:hAnsi="宋体" w:eastAsia="宋体" w:cs="宋体"/>
                <w:sz w:val="18"/>
                <w:szCs w:val="18"/>
              </w:rPr>
              <w:t>政府采购</w:t>
            </w:r>
          </w:p>
        </w:tc>
        <w:tc>
          <w:tcPr>
            <w:tcW w:w="1606" w:type="dxa"/>
            <w:tcBorders>
              <w:top w:val="single" w:color="auto" w:sz="2" w:space="0"/>
              <w:left w:val="single" w:color="auto" w:sz="2" w:space="0"/>
              <w:bottom w:val="single" w:color="auto" w:sz="2" w:space="0"/>
              <w:right w:val="single" w:color="auto" w:sz="2" w:space="0"/>
            </w:tcBorders>
            <w:vAlign w:val="center"/>
          </w:tcPr>
          <w:p w14:paraId="3FF284A5">
            <w:pPr>
              <w:spacing w:before="0" w:after="0" w:line="240" w:lineRule="exact"/>
              <w:jc w:val="right"/>
              <w:rPr>
                <w:rFonts w:ascii="宋体" w:hAnsi="宋体" w:eastAsia="宋体" w:cs="宋体"/>
                <w:sz w:val="18"/>
                <w:szCs w:val="18"/>
              </w:rPr>
            </w:pPr>
            <w:r>
              <w:rPr>
                <w:rFonts w:ascii="宋体" w:hAnsi="宋体" w:eastAsia="宋体" w:cs="宋体"/>
                <w:sz w:val="18"/>
                <w:szCs w:val="18"/>
              </w:rPr>
              <w:t>102,192,368.54</w:t>
            </w:r>
          </w:p>
        </w:tc>
        <w:tc>
          <w:tcPr>
            <w:tcW w:w="1606" w:type="dxa"/>
            <w:tcBorders>
              <w:top w:val="single" w:color="auto" w:sz="2" w:space="0"/>
              <w:left w:val="single" w:color="auto" w:sz="2" w:space="0"/>
              <w:bottom w:val="single" w:color="auto" w:sz="2" w:space="0"/>
              <w:right w:val="single" w:color="auto" w:sz="2" w:space="0"/>
            </w:tcBorders>
            <w:vAlign w:val="center"/>
          </w:tcPr>
          <w:p w14:paraId="7EEA8112">
            <w:pPr>
              <w:spacing w:before="0" w:after="0" w:line="240" w:lineRule="exact"/>
              <w:jc w:val="right"/>
              <w:rPr>
                <w:rFonts w:ascii="宋体" w:hAnsi="宋体" w:eastAsia="宋体" w:cs="宋体"/>
                <w:sz w:val="18"/>
                <w:szCs w:val="18"/>
              </w:rPr>
            </w:pPr>
            <w:r>
              <w:rPr>
                <w:rFonts w:ascii="宋体" w:hAnsi="宋体" w:eastAsia="宋体" w:cs="宋体"/>
                <w:sz w:val="18"/>
                <w:szCs w:val="18"/>
              </w:rPr>
              <w:t>23.15%</w:t>
            </w:r>
          </w:p>
        </w:tc>
        <w:tc>
          <w:tcPr>
            <w:tcW w:w="1606" w:type="dxa"/>
            <w:tcBorders>
              <w:top w:val="single" w:color="auto" w:sz="2" w:space="0"/>
              <w:left w:val="single" w:color="auto" w:sz="2" w:space="0"/>
              <w:bottom w:val="single" w:color="auto" w:sz="2" w:space="0"/>
              <w:right w:val="single" w:color="auto" w:sz="2" w:space="0"/>
            </w:tcBorders>
            <w:vAlign w:val="center"/>
          </w:tcPr>
          <w:p w14:paraId="7B770D03">
            <w:pPr>
              <w:spacing w:before="0" w:after="0" w:line="240" w:lineRule="exact"/>
              <w:jc w:val="right"/>
              <w:rPr>
                <w:rFonts w:ascii="宋体" w:hAnsi="宋体" w:eastAsia="宋体" w:cs="宋体"/>
                <w:sz w:val="18"/>
                <w:szCs w:val="18"/>
              </w:rPr>
            </w:pPr>
            <w:r>
              <w:rPr>
                <w:rFonts w:ascii="宋体" w:hAnsi="宋体" w:eastAsia="宋体" w:cs="宋体"/>
                <w:sz w:val="18"/>
                <w:szCs w:val="18"/>
              </w:rPr>
              <w:t>87,585,336.34</w:t>
            </w:r>
          </w:p>
        </w:tc>
        <w:tc>
          <w:tcPr>
            <w:tcW w:w="1606" w:type="dxa"/>
            <w:tcBorders>
              <w:top w:val="single" w:color="auto" w:sz="2" w:space="0"/>
              <w:left w:val="single" w:color="auto" w:sz="2" w:space="0"/>
              <w:bottom w:val="single" w:color="auto" w:sz="2" w:space="0"/>
              <w:right w:val="single" w:color="auto" w:sz="2" w:space="0"/>
            </w:tcBorders>
            <w:vAlign w:val="center"/>
          </w:tcPr>
          <w:p w14:paraId="567CCCC2">
            <w:pPr>
              <w:spacing w:before="0" w:after="0" w:line="240" w:lineRule="exact"/>
              <w:jc w:val="right"/>
              <w:rPr>
                <w:rFonts w:ascii="宋体" w:hAnsi="宋体" w:eastAsia="宋体" w:cs="宋体"/>
                <w:sz w:val="18"/>
                <w:szCs w:val="18"/>
              </w:rPr>
            </w:pPr>
            <w:r>
              <w:rPr>
                <w:rFonts w:ascii="宋体" w:hAnsi="宋体" w:eastAsia="宋体" w:cs="宋体"/>
                <w:sz w:val="18"/>
                <w:szCs w:val="18"/>
              </w:rPr>
              <w:t>20.72%</w:t>
            </w:r>
          </w:p>
        </w:tc>
        <w:tc>
          <w:tcPr>
            <w:tcW w:w="1606" w:type="dxa"/>
            <w:tcBorders>
              <w:top w:val="single" w:color="auto" w:sz="2" w:space="0"/>
              <w:left w:val="single" w:color="auto" w:sz="2" w:space="0"/>
              <w:bottom w:val="single" w:color="auto" w:sz="2" w:space="0"/>
              <w:right w:val="single" w:color="auto" w:sz="2" w:space="0"/>
            </w:tcBorders>
            <w:vAlign w:val="center"/>
          </w:tcPr>
          <w:p w14:paraId="0B410D75">
            <w:pPr>
              <w:spacing w:before="0" w:after="0" w:line="240" w:lineRule="exact"/>
              <w:jc w:val="right"/>
              <w:rPr>
                <w:rFonts w:ascii="宋体" w:hAnsi="宋体" w:eastAsia="宋体" w:cs="宋体"/>
                <w:sz w:val="18"/>
                <w:szCs w:val="18"/>
              </w:rPr>
            </w:pPr>
            <w:r>
              <w:rPr>
                <w:rFonts w:ascii="宋体" w:hAnsi="宋体" w:eastAsia="宋体" w:cs="宋体"/>
                <w:sz w:val="18"/>
                <w:szCs w:val="18"/>
              </w:rPr>
              <w:t>16.68%</w:t>
            </w:r>
          </w:p>
        </w:tc>
      </w:tr>
      <w:tr w14:paraId="08DFB2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3723D15D">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1606" w:type="dxa"/>
            <w:tcBorders>
              <w:top w:val="single" w:color="auto" w:sz="2" w:space="0"/>
              <w:left w:val="single" w:color="auto" w:sz="2" w:space="0"/>
              <w:bottom w:val="single" w:color="auto" w:sz="2" w:space="0"/>
              <w:right w:val="single" w:color="auto" w:sz="2" w:space="0"/>
            </w:tcBorders>
            <w:vAlign w:val="center"/>
          </w:tcPr>
          <w:p w14:paraId="66E83DEF">
            <w:pPr>
              <w:spacing w:before="0" w:after="0" w:line="240" w:lineRule="exact"/>
              <w:jc w:val="right"/>
              <w:rPr>
                <w:rFonts w:ascii="宋体" w:hAnsi="宋体" w:eastAsia="宋体" w:cs="宋体"/>
                <w:sz w:val="18"/>
                <w:szCs w:val="18"/>
              </w:rPr>
            </w:pPr>
            <w:r>
              <w:rPr>
                <w:rFonts w:ascii="宋体" w:hAnsi="宋体" w:eastAsia="宋体" w:cs="宋体"/>
                <w:sz w:val="18"/>
                <w:szCs w:val="18"/>
              </w:rPr>
              <w:t>4,375,924.42</w:t>
            </w:r>
          </w:p>
        </w:tc>
        <w:tc>
          <w:tcPr>
            <w:tcW w:w="1606" w:type="dxa"/>
            <w:tcBorders>
              <w:top w:val="single" w:color="auto" w:sz="2" w:space="0"/>
              <w:left w:val="single" w:color="auto" w:sz="2" w:space="0"/>
              <w:bottom w:val="single" w:color="auto" w:sz="2" w:space="0"/>
              <w:right w:val="single" w:color="auto" w:sz="2" w:space="0"/>
            </w:tcBorders>
            <w:vAlign w:val="center"/>
          </w:tcPr>
          <w:p w14:paraId="2BEE3FEC">
            <w:pPr>
              <w:spacing w:before="0" w:after="0" w:line="240" w:lineRule="exact"/>
              <w:jc w:val="right"/>
              <w:rPr>
                <w:rFonts w:ascii="宋体" w:hAnsi="宋体" w:eastAsia="宋体" w:cs="宋体"/>
                <w:sz w:val="18"/>
                <w:szCs w:val="18"/>
              </w:rPr>
            </w:pPr>
            <w:r>
              <w:rPr>
                <w:rFonts w:ascii="宋体" w:hAnsi="宋体" w:eastAsia="宋体" w:cs="宋体"/>
                <w:sz w:val="18"/>
                <w:szCs w:val="18"/>
              </w:rPr>
              <w:t>0.99%</w:t>
            </w:r>
          </w:p>
        </w:tc>
        <w:tc>
          <w:tcPr>
            <w:tcW w:w="1606" w:type="dxa"/>
            <w:tcBorders>
              <w:top w:val="single" w:color="auto" w:sz="2" w:space="0"/>
              <w:left w:val="single" w:color="auto" w:sz="2" w:space="0"/>
              <w:bottom w:val="single" w:color="auto" w:sz="2" w:space="0"/>
              <w:right w:val="single" w:color="auto" w:sz="2" w:space="0"/>
            </w:tcBorders>
            <w:vAlign w:val="center"/>
          </w:tcPr>
          <w:p w14:paraId="428CF5B1">
            <w:pPr>
              <w:spacing w:before="0" w:after="0" w:line="240" w:lineRule="exact"/>
              <w:jc w:val="right"/>
              <w:rPr>
                <w:rFonts w:ascii="宋体" w:hAnsi="宋体" w:eastAsia="宋体" w:cs="宋体"/>
                <w:sz w:val="18"/>
                <w:szCs w:val="18"/>
              </w:rPr>
            </w:pPr>
            <w:r>
              <w:rPr>
                <w:rFonts w:ascii="宋体" w:hAnsi="宋体" w:eastAsia="宋体" w:cs="宋体"/>
                <w:sz w:val="18"/>
                <w:szCs w:val="18"/>
              </w:rPr>
              <w:t>9,397,299.91</w:t>
            </w:r>
          </w:p>
        </w:tc>
        <w:tc>
          <w:tcPr>
            <w:tcW w:w="1606" w:type="dxa"/>
            <w:tcBorders>
              <w:top w:val="single" w:color="auto" w:sz="2" w:space="0"/>
              <w:left w:val="single" w:color="auto" w:sz="2" w:space="0"/>
              <w:bottom w:val="single" w:color="auto" w:sz="2" w:space="0"/>
              <w:right w:val="single" w:color="auto" w:sz="2" w:space="0"/>
            </w:tcBorders>
            <w:vAlign w:val="center"/>
          </w:tcPr>
          <w:p w14:paraId="4D294FA1">
            <w:pPr>
              <w:spacing w:before="0" w:after="0" w:line="240" w:lineRule="exact"/>
              <w:jc w:val="right"/>
              <w:rPr>
                <w:rFonts w:ascii="宋体" w:hAnsi="宋体" w:eastAsia="宋体" w:cs="宋体"/>
                <w:sz w:val="18"/>
                <w:szCs w:val="18"/>
              </w:rPr>
            </w:pPr>
            <w:r>
              <w:rPr>
                <w:rFonts w:ascii="宋体" w:hAnsi="宋体" w:eastAsia="宋体" w:cs="宋体"/>
                <w:sz w:val="18"/>
                <w:szCs w:val="18"/>
              </w:rPr>
              <w:t>2.22%</w:t>
            </w:r>
          </w:p>
        </w:tc>
        <w:tc>
          <w:tcPr>
            <w:tcW w:w="1606" w:type="dxa"/>
            <w:tcBorders>
              <w:top w:val="single" w:color="auto" w:sz="2" w:space="0"/>
              <w:left w:val="single" w:color="auto" w:sz="2" w:space="0"/>
              <w:bottom w:val="single" w:color="auto" w:sz="2" w:space="0"/>
              <w:right w:val="single" w:color="auto" w:sz="2" w:space="0"/>
            </w:tcBorders>
            <w:vAlign w:val="center"/>
          </w:tcPr>
          <w:p w14:paraId="3F199EC0">
            <w:pPr>
              <w:spacing w:before="0" w:after="0" w:line="240" w:lineRule="exact"/>
              <w:jc w:val="right"/>
              <w:rPr>
                <w:rFonts w:ascii="宋体" w:hAnsi="宋体" w:eastAsia="宋体" w:cs="宋体"/>
                <w:sz w:val="18"/>
                <w:szCs w:val="18"/>
              </w:rPr>
            </w:pPr>
            <w:r>
              <w:rPr>
                <w:rFonts w:ascii="宋体" w:hAnsi="宋体" w:eastAsia="宋体" w:cs="宋体"/>
                <w:sz w:val="18"/>
                <w:szCs w:val="18"/>
              </w:rPr>
              <w:t>-53.43%</w:t>
            </w:r>
          </w:p>
        </w:tc>
      </w:tr>
    </w:tbl>
    <w:p w14:paraId="7A0B8D46">
      <w:pPr>
        <w:keepNext/>
        <w:keepLines/>
        <w:spacing w:before="300" w:after="300" w:line="280" w:lineRule="exact"/>
        <w:jc w:val="left"/>
        <w:outlineLvl w:val="3"/>
        <w:rPr>
          <w:rFonts w:ascii="宋体" w:hAnsi="宋体" w:eastAsia="宋体" w:cs="宋体"/>
          <w:b/>
          <w:bCs/>
          <w:sz w:val="18"/>
          <w:szCs w:val="18"/>
        </w:rPr>
      </w:pPr>
      <w:bookmarkStart w:id="22" w:name="_Toc988909"/>
      <w:r>
        <w:rPr>
          <w:rFonts w:ascii="宋体" w:hAnsi="宋体" w:eastAsia="宋体" w:cs="宋体"/>
          <w:b/>
          <w:bCs/>
          <w:sz w:val="18"/>
          <w:szCs w:val="18"/>
        </w:rPr>
        <w:t>（2） 占公司营业收入或营业利润10%以上的行业、产品、地区、销售模式的情况</w:t>
      </w:r>
      <w:bookmarkEnd w:id="22"/>
    </w:p>
    <w:p w14:paraId="4F893237">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08795D1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620"/>
        <w:gridCol w:w="1600"/>
        <w:gridCol w:w="911"/>
        <w:gridCol w:w="1377"/>
        <w:gridCol w:w="1377"/>
        <w:gridCol w:w="1377"/>
      </w:tblGrid>
      <w:tr w14:paraId="63951E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4D6B22A"/>
        </w:tc>
        <w:tc>
          <w:tcPr>
            <w:tcW w:w="1620" w:type="dxa"/>
            <w:tcBorders>
              <w:top w:val="single" w:color="auto" w:sz="2" w:space="0"/>
              <w:left w:val="single" w:color="auto" w:sz="2" w:space="0"/>
              <w:bottom w:val="single" w:color="auto" w:sz="2" w:space="0"/>
              <w:right w:val="single" w:color="auto" w:sz="2" w:space="0"/>
            </w:tcBorders>
            <w:shd w:val="clear" w:color="auto" w:fill="D3D3D3"/>
            <w:vAlign w:val="center"/>
          </w:tcPr>
          <w:p w14:paraId="51DA8665">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600" w:type="dxa"/>
            <w:tcBorders>
              <w:top w:val="single" w:color="auto" w:sz="2" w:space="0"/>
              <w:left w:val="single" w:color="auto" w:sz="2" w:space="0"/>
              <w:bottom w:val="single" w:color="auto" w:sz="2" w:space="0"/>
              <w:right w:val="single" w:color="auto" w:sz="2" w:space="0"/>
            </w:tcBorders>
            <w:shd w:val="clear" w:color="auto" w:fill="D3D3D3"/>
            <w:vAlign w:val="center"/>
          </w:tcPr>
          <w:p w14:paraId="59085666">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w:t>
            </w:r>
          </w:p>
        </w:tc>
        <w:tc>
          <w:tcPr>
            <w:tcW w:w="911" w:type="dxa"/>
            <w:tcBorders>
              <w:top w:val="single" w:color="auto" w:sz="2" w:space="0"/>
              <w:left w:val="single" w:color="auto" w:sz="2" w:space="0"/>
              <w:bottom w:val="single" w:color="auto" w:sz="2" w:space="0"/>
              <w:right w:val="single" w:color="auto" w:sz="2" w:space="0"/>
            </w:tcBorders>
            <w:shd w:val="clear" w:color="auto" w:fill="D3D3D3"/>
            <w:vAlign w:val="center"/>
          </w:tcPr>
          <w:p w14:paraId="6B7A34C6">
            <w:pPr>
              <w:spacing w:before="40" w:after="40" w:line="240" w:lineRule="exact"/>
              <w:jc w:val="center"/>
              <w:rPr>
                <w:rFonts w:ascii="宋体" w:hAnsi="宋体" w:eastAsia="宋体" w:cs="宋体"/>
                <w:sz w:val="18"/>
                <w:szCs w:val="18"/>
              </w:rPr>
            </w:pPr>
            <w:r>
              <w:rPr>
                <w:rFonts w:ascii="宋体" w:hAnsi="宋体" w:eastAsia="宋体" w:cs="宋体"/>
                <w:sz w:val="18"/>
                <w:szCs w:val="18"/>
              </w:rPr>
              <w:t>毛利率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7BBD5F9">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营业收入比上年同期增减</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9F89668">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营业成本比上年同期增减</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6ECC59D">
            <w:pPr>
              <w:spacing w:before="40" w:after="40" w:line="240" w:lineRule="exact"/>
              <w:jc w:val="center"/>
              <w:rPr>
                <w:rFonts w:ascii="宋体" w:hAnsi="宋体" w:eastAsia="宋体" w:cs="宋体"/>
                <w:sz w:val="18"/>
                <w:szCs w:val="18"/>
              </w:rPr>
            </w:pPr>
            <w:r>
              <w:rPr>
                <w:rFonts w:ascii="宋体" w:hAnsi="宋体" w:eastAsia="宋体" w:cs="宋体"/>
                <w:sz w:val="18"/>
                <w:szCs w:val="18"/>
              </w:rPr>
              <w:t>毛利率比上年同期增减</w:t>
            </w:r>
          </w:p>
        </w:tc>
      </w:tr>
      <w:tr w14:paraId="2C3228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14:paraId="3464B93E">
            <w:pPr>
              <w:spacing w:before="40" w:after="40" w:line="240" w:lineRule="exact"/>
              <w:jc w:val="left"/>
              <w:rPr>
                <w:rFonts w:ascii="宋体" w:hAnsi="宋体" w:eastAsia="宋体" w:cs="宋体"/>
                <w:sz w:val="18"/>
                <w:szCs w:val="18"/>
              </w:rPr>
            </w:pPr>
            <w:r>
              <w:rPr>
                <w:rFonts w:ascii="宋体" w:hAnsi="宋体" w:eastAsia="宋体" w:cs="宋体"/>
                <w:sz w:val="18"/>
                <w:szCs w:val="18"/>
              </w:rPr>
              <w:t>分行业</w:t>
            </w:r>
          </w:p>
        </w:tc>
      </w:tr>
      <w:tr w14:paraId="065024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40D1DB63">
            <w:pPr>
              <w:spacing w:before="0" w:after="0" w:line="240" w:lineRule="exact"/>
              <w:jc w:val="left"/>
              <w:rPr>
                <w:rFonts w:ascii="宋体" w:hAnsi="宋体" w:eastAsia="宋体" w:cs="宋体"/>
                <w:sz w:val="18"/>
                <w:szCs w:val="18"/>
              </w:rPr>
            </w:pPr>
            <w:r>
              <w:rPr>
                <w:rFonts w:ascii="宋体" w:hAnsi="宋体" w:eastAsia="宋体" w:cs="宋体"/>
                <w:sz w:val="18"/>
                <w:szCs w:val="18"/>
              </w:rPr>
              <w:t>医药制造</w:t>
            </w:r>
          </w:p>
        </w:tc>
        <w:tc>
          <w:tcPr>
            <w:tcW w:w="1620" w:type="dxa"/>
            <w:tcBorders>
              <w:top w:val="single" w:color="auto" w:sz="2" w:space="0"/>
              <w:left w:val="single" w:color="auto" w:sz="2" w:space="0"/>
              <w:bottom w:val="single" w:color="auto" w:sz="2" w:space="0"/>
              <w:right w:val="single" w:color="auto" w:sz="2" w:space="0"/>
            </w:tcBorders>
            <w:vAlign w:val="center"/>
          </w:tcPr>
          <w:p w14:paraId="65CBB040">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437,081,749.35</w:t>
            </w:r>
          </w:p>
        </w:tc>
        <w:tc>
          <w:tcPr>
            <w:tcW w:w="1600" w:type="dxa"/>
            <w:tcBorders>
              <w:top w:val="single" w:color="auto" w:sz="2" w:space="0"/>
              <w:left w:val="single" w:color="auto" w:sz="2" w:space="0"/>
              <w:bottom w:val="single" w:color="auto" w:sz="2" w:space="0"/>
              <w:right w:val="single" w:color="auto" w:sz="2" w:space="0"/>
            </w:tcBorders>
            <w:vAlign w:val="center"/>
          </w:tcPr>
          <w:p w14:paraId="10EC4336">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163,552,883.31</w:t>
            </w:r>
          </w:p>
        </w:tc>
        <w:tc>
          <w:tcPr>
            <w:tcW w:w="911" w:type="dxa"/>
            <w:tcBorders>
              <w:top w:val="single" w:color="auto" w:sz="2" w:space="0"/>
              <w:left w:val="single" w:color="auto" w:sz="2" w:space="0"/>
              <w:bottom w:val="single" w:color="auto" w:sz="2" w:space="0"/>
              <w:right w:val="single" w:color="auto" w:sz="2" w:space="0"/>
            </w:tcBorders>
            <w:vAlign w:val="center"/>
          </w:tcPr>
          <w:p w14:paraId="06C6544C">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62.58%</w:t>
            </w:r>
          </w:p>
        </w:tc>
        <w:tc>
          <w:tcPr>
            <w:tcW w:w="1377" w:type="dxa"/>
            <w:tcBorders>
              <w:top w:val="single" w:color="auto" w:sz="2" w:space="0"/>
              <w:left w:val="single" w:color="auto" w:sz="2" w:space="0"/>
              <w:bottom w:val="single" w:color="auto" w:sz="2" w:space="0"/>
              <w:right w:val="single" w:color="auto" w:sz="2" w:space="0"/>
            </w:tcBorders>
            <w:vAlign w:val="center"/>
          </w:tcPr>
          <w:p w14:paraId="3AE02464">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5.75%</w:t>
            </w:r>
          </w:p>
        </w:tc>
        <w:tc>
          <w:tcPr>
            <w:tcW w:w="1377" w:type="dxa"/>
            <w:tcBorders>
              <w:top w:val="single" w:color="auto" w:sz="2" w:space="0"/>
              <w:left w:val="single" w:color="auto" w:sz="2" w:space="0"/>
              <w:bottom w:val="single" w:color="auto" w:sz="2" w:space="0"/>
              <w:right w:val="single" w:color="auto" w:sz="2" w:space="0"/>
            </w:tcBorders>
            <w:vAlign w:val="center"/>
          </w:tcPr>
          <w:p w14:paraId="49AA5E68">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-5.04%</w:t>
            </w:r>
          </w:p>
        </w:tc>
        <w:tc>
          <w:tcPr>
            <w:tcW w:w="1377" w:type="dxa"/>
            <w:tcBorders>
              <w:top w:val="single" w:color="auto" w:sz="2" w:space="0"/>
              <w:left w:val="single" w:color="auto" w:sz="2" w:space="0"/>
              <w:bottom w:val="single" w:color="auto" w:sz="2" w:space="0"/>
              <w:right w:val="single" w:color="auto" w:sz="2" w:space="0"/>
            </w:tcBorders>
            <w:vAlign w:val="center"/>
          </w:tcPr>
          <w:p w14:paraId="1BDCEBDF">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4.25%</w:t>
            </w:r>
          </w:p>
        </w:tc>
      </w:tr>
      <w:tr w14:paraId="0CC411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14:paraId="2DAC5179">
            <w:pPr>
              <w:spacing w:before="40" w:after="40" w:line="240" w:lineRule="exact"/>
              <w:jc w:val="left"/>
              <w:rPr>
                <w:rFonts w:hint="eastAsia" w:ascii="宋体" w:hAnsi="宋体" w:eastAsia="宋体" w:cs="宋体"/>
                <w:sz w:val="18"/>
                <w:szCs w:val="18"/>
              </w:rPr>
            </w:pPr>
            <w:r>
              <w:rPr>
                <w:rFonts w:hint="eastAsia" w:ascii="宋体" w:hAnsi="宋体" w:eastAsia="宋体" w:cs="宋体"/>
                <w:sz w:val="18"/>
                <w:szCs w:val="18"/>
              </w:rPr>
              <w:t>分产品</w:t>
            </w:r>
          </w:p>
        </w:tc>
      </w:tr>
      <w:tr w14:paraId="6B8130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51EC185B">
            <w:pPr>
              <w:spacing w:before="0" w:after="0" w:line="240" w:lineRule="exact"/>
              <w:jc w:val="left"/>
              <w:rPr>
                <w:rFonts w:ascii="宋体" w:hAnsi="宋体" w:eastAsia="宋体" w:cs="宋体"/>
                <w:sz w:val="18"/>
                <w:szCs w:val="18"/>
              </w:rPr>
            </w:pPr>
            <w:r>
              <w:rPr>
                <w:rFonts w:ascii="宋体" w:hAnsi="宋体" w:eastAsia="宋体" w:cs="宋体"/>
                <w:sz w:val="18"/>
                <w:szCs w:val="18"/>
              </w:rPr>
              <w:t>肝胆疾病药物</w:t>
            </w:r>
          </w:p>
        </w:tc>
        <w:tc>
          <w:tcPr>
            <w:tcW w:w="1620" w:type="dxa"/>
            <w:tcBorders>
              <w:top w:val="single" w:color="auto" w:sz="2" w:space="0"/>
              <w:left w:val="single" w:color="auto" w:sz="2" w:space="0"/>
              <w:bottom w:val="single" w:color="auto" w:sz="2" w:space="0"/>
              <w:right w:val="single" w:color="auto" w:sz="2" w:space="0"/>
            </w:tcBorders>
            <w:vAlign w:val="center"/>
          </w:tcPr>
          <w:p w14:paraId="2A9B2852">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325,474,079.23</w:t>
            </w:r>
          </w:p>
        </w:tc>
        <w:tc>
          <w:tcPr>
            <w:tcW w:w="1600" w:type="dxa"/>
            <w:tcBorders>
              <w:top w:val="single" w:color="auto" w:sz="2" w:space="0"/>
              <w:left w:val="single" w:color="auto" w:sz="2" w:space="0"/>
              <w:bottom w:val="single" w:color="auto" w:sz="2" w:space="0"/>
              <w:right w:val="single" w:color="auto" w:sz="2" w:space="0"/>
            </w:tcBorders>
            <w:vAlign w:val="center"/>
          </w:tcPr>
          <w:p w14:paraId="0FD21173">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101,833,147.53</w:t>
            </w:r>
          </w:p>
        </w:tc>
        <w:tc>
          <w:tcPr>
            <w:tcW w:w="911" w:type="dxa"/>
            <w:tcBorders>
              <w:top w:val="single" w:color="auto" w:sz="2" w:space="0"/>
              <w:left w:val="single" w:color="auto" w:sz="2" w:space="0"/>
              <w:bottom w:val="single" w:color="auto" w:sz="2" w:space="0"/>
              <w:right w:val="single" w:color="auto" w:sz="2" w:space="0"/>
            </w:tcBorders>
            <w:vAlign w:val="center"/>
          </w:tcPr>
          <w:p w14:paraId="3172ACCB">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68.71%</w:t>
            </w:r>
          </w:p>
        </w:tc>
        <w:tc>
          <w:tcPr>
            <w:tcW w:w="1377" w:type="dxa"/>
            <w:tcBorders>
              <w:top w:val="single" w:color="auto" w:sz="2" w:space="0"/>
              <w:left w:val="single" w:color="auto" w:sz="2" w:space="0"/>
              <w:bottom w:val="single" w:color="auto" w:sz="2" w:space="0"/>
              <w:right w:val="single" w:color="auto" w:sz="2" w:space="0"/>
            </w:tcBorders>
            <w:vAlign w:val="center"/>
          </w:tcPr>
          <w:p w14:paraId="5C59223D">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0.34%</w:t>
            </w:r>
          </w:p>
        </w:tc>
        <w:tc>
          <w:tcPr>
            <w:tcW w:w="1377" w:type="dxa"/>
            <w:tcBorders>
              <w:top w:val="single" w:color="auto" w:sz="2" w:space="0"/>
              <w:left w:val="single" w:color="auto" w:sz="2" w:space="0"/>
              <w:bottom w:val="single" w:color="auto" w:sz="2" w:space="0"/>
              <w:right w:val="single" w:color="auto" w:sz="2" w:space="0"/>
            </w:tcBorders>
            <w:vAlign w:val="center"/>
          </w:tcPr>
          <w:p w14:paraId="370384D7">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-7.80%</w:t>
            </w:r>
          </w:p>
        </w:tc>
        <w:tc>
          <w:tcPr>
            <w:tcW w:w="1377" w:type="dxa"/>
            <w:tcBorders>
              <w:top w:val="single" w:color="auto" w:sz="2" w:space="0"/>
              <w:left w:val="single" w:color="auto" w:sz="2" w:space="0"/>
              <w:bottom w:val="single" w:color="auto" w:sz="2" w:space="0"/>
              <w:right w:val="single" w:color="auto" w:sz="2" w:space="0"/>
            </w:tcBorders>
            <w:vAlign w:val="center"/>
          </w:tcPr>
          <w:p w14:paraId="6298C7B6">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2.76%</w:t>
            </w:r>
          </w:p>
        </w:tc>
      </w:tr>
      <w:tr w14:paraId="4D8A95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52FBAE93">
            <w:pPr>
              <w:spacing w:before="0" w:after="0" w:line="240" w:lineRule="exact"/>
              <w:jc w:val="left"/>
              <w:rPr>
                <w:rFonts w:ascii="宋体" w:hAnsi="宋体" w:eastAsia="宋体" w:cs="宋体"/>
                <w:sz w:val="18"/>
                <w:szCs w:val="18"/>
              </w:rPr>
            </w:pPr>
            <w:r>
              <w:rPr>
                <w:rFonts w:ascii="宋体" w:hAnsi="宋体" w:eastAsia="宋体" w:cs="宋体"/>
                <w:sz w:val="18"/>
                <w:szCs w:val="18"/>
              </w:rPr>
              <w:t>心血管药物</w:t>
            </w:r>
          </w:p>
        </w:tc>
        <w:tc>
          <w:tcPr>
            <w:tcW w:w="1620" w:type="dxa"/>
            <w:tcBorders>
              <w:top w:val="single" w:color="auto" w:sz="2" w:space="0"/>
              <w:left w:val="single" w:color="auto" w:sz="2" w:space="0"/>
              <w:bottom w:val="single" w:color="auto" w:sz="2" w:space="0"/>
              <w:right w:val="single" w:color="auto" w:sz="2" w:space="0"/>
            </w:tcBorders>
            <w:vAlign w:val="center"/>
          </w:tcPr>
          <w:p w14:paraId="4D648614">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48,697,319.42</w:t>
            </w:r>
          </w:p>
        </w:tc>
        <w:tc>
          <w:tcPr>
            <w:tcW w:w="1600" w:type="dxa"/>
            <w:tcBorders>
              <w:top w:val="single" w:color="auto" w:sz="2" w:space="0"/>
              <w:left w:val="single" w:color="auto" w:sz="2" w:space="0"/>
              <w:bottom w:val="single" w:color="auto" w:sz="2" w:space="0"/>
              <w:right w:val="single" w:color="auto" w:sz="2" w:space="0"/>
            </w:tcBorders>
            <w:vAlign w:val="center"/>
          </w:tcPr>
          <w:p w14:paraId="5660418F">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17,444,486.04</w:t>
            </w:r>
          </w:p>
        </w:tc>
        <w:tc>
          <w:tcPr>
            <w:tcW w:w="911" w:type="dxa"/>
            <w:tcBorders>
              <w:top w:val="single" w:color="auto" w:sz="2" w:space="0"/>
              <w:left w:val="single" w:color="auto" w:sz="2" w:space="0"/>
              <w:bottom w:val="single" w:color="auto" w:sz="2" w:space="0"/>
              <w:right w:val="single" w:color="auto" w:sz="2" w:space="0"/>
            </w:tcBorders>
            <w:vAlign w:val="center"/>
          </w:tcPr>
          <w:p w14:paraId="7B7D5D00">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64.18%</w:t>
            </w:r>
          </w:p>
        </w:tc>
        <w:tc>
          <w:tcPr>
            <w:tcW w:w="1377" w:type="dxa"/>
            <w:tcBorders>
              <w:top w:val="single" w:color="auto" w:sz="2" w:space="0"/>
              <w:left w:val="single" w:color="auto" w:sz="2" w:space="0"/>
              <w:bottom w:val="single" w:color="auto" w:sz="2" w:space="0"/>
              <w:right w:val="single" w:color="auto" w:sz="2" w:space="0"/>
            </w:tcBorders>
            <w:vAlign w:val="center"/>
          </w:tcPr>
          <w:p w14:paraId="2780CEB8">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36.90%</w:t>
            </w:r>
          </w:p>
        </w:tc>
        <w:tc>
          <w:tcPr>
            <w:tcW w:w="1377" w:type="dxa"/>
            <w:tcBorders>
              <w:top w:val="single" w:color="auto" w:sz="2" w:space="0"/>
              <w:left w:val="single" w:color="auto" w:sz="2" w:space="0"/>
              <w:bottom w:val="single" w:color="auto" w:sz="2" w:space="0"/>
              <w:right w:val="single" w:color="auto" w:sz="2" w:space="0"/>
            </w:tcBorders>
            <w:vAlign w:val="center"/>
          </w:tcPr>
          <w:p w14:paraId="5885596B">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-20.54%</w:t>
            </w:r>
          </w:p>
        </w:tc>
        <w:tc>
          <w:tcPr>
            <w:tcW w:w="1377" w:type="dxa"/>
            <w:tcBorders>
              <w:top w:val="single" w:color="auto" w:sz="2" w:space="0"/>
              <w:left w:val="single" w:color="auto" w:sz="2" w:space="0"/>
              <w:bottom w:val="single" w:color="auto" w:sz="2" w:space="0"/>
              <w:right w:val="single" w:color="auto" w:sz="2" w:space="0"/>
            </w:tcBorders>
            <w:vAlign w:val="center"/>
          </w:tcPr>
          <w:p w14:paraId="23B0E33A">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25.90%</w:t>
            </w:r>
          </w:p>
        </w:tc>
      </w:tr>
      <w:tr w14:paraId="59219A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14:paraId="3A8DF67A">
            <w:pPr>
              <w:spacing w:before="40" w:after="40" w:line="240" w:lineRule="exact"/>
              <w:jc w:val="left"/>
              <w:rPr>
                <w:rFonts w:hint="eastAsia" w:ascii="宋体" w:hAnsi="宋体" w:eastAsia="宋体" w:cs="宋体"/>
                <w:sz w:val="18"/>
                <w:szCs w:val="18"/>
              </w:rPr>
            </w:pPr>
            <w:r>
              <w:rPr>
                <w:rFonts w:hint="eastAsia" w:ascii="宋体" w:hAnsi="宋体" w:eastAsia="宋体" w:cs="宋体"/>
                <w:sz w:val="18"/>
                <w:szCs w:val="18"/>
              </w:rPr>
              <w:t>分地区</w:t>
            </w:r>
          </w:p>
        </w:tc>
      </w:tr>
      <w:tr w14:paraId="57FCE2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315D6BD">
            <w:pPr>
              <w:spacing w:before="0" w:after="0" w:line="240" w:lineRule="exact"/>
              <w:jc w:val="left"/>
              <w:rPr>
                <w:rFonts w:ascii="宋体" w:hAnsi="宋体" w:eastAsia="宋体" w:cs="宋体"/>
                <w:sz w:val="18"/>
                <w:szCs w:val="18"/>
              </w:rPr>
            </w:pPr>
            <w:r>
              <w:rPr>
                <w:rFonts w:ascii="宋体" w:hAnsi="宋体" w:eastAsia="宋体" w:cs="宋体"/>
                <w:sz w:val="18"/>
                <w:szCs w:val="18"/>
              </w:rPr>
              <w:t>北区</w:t>
            </w:r>
          </w:p>
        </w:tc>
        <w:tc>
          <w:tcPr>
            <w:tcW w:w="1620" w:type="dxa"/>
            <w:tcBorders>
              <w:top w:val="single" w:color="auto" w:sz="2" w:space="0"/>
              <w:left w:val="single" w:color="auto" w:sz="2" w:space="0"/>
              <w:bottom w:val="single" w:color="auto" w:sz="2" w:space="0"/>
              <w:right w:val="single" w:color="auto" w:sz="2" w:space="0"/>
            </w:tcBorders>
            <w:vAlign w:val="center"/>
          </w:tcPr>
          <w:p w14:paraId="0FF39C28">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 xml:space="preserve"> 133,524,424.72 </w:t>
            </w:r>
          </w:p>
        </w:tc>
        <w:tc>
          <w:tcPr>
            <w:tcW w:w="1600" w:type="dxa"/>
            <w:tcBorders>
              <w:top w:val="single" w:color="auto" w:sz="2" w:space="0"/>
              <w:left w:val="single" w:color="auto" w:sz="2" w:space="0"/>
              <w:bottom w:val="single" w:color="auto" w:sz="2" w:space="0"/>
              <w:right w:val="single" w:color="auto" w:sz="2" w:space="0"/>
            </w:tcBorders>
            <w:vAlign w:val="center"/>
          </w:tcPr>
          <w:p w14:paraId="66A73FE2">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46,721,966.79</w:t>
            </w:r>
          </w:p>
        </w:tc>
        <w:tc>
          <w:tcPr>
            <w:tcW w:w="911" w:type="dxa"/>
            <w:tcBorders>
              <w:top w:val="single" w:color="auto" w:sz="2" w:space="0"/>
              <w:left w:val="single" w:color="auto" w:sz="2" w:space="0"/>
              <w:bottom w:val="single" w:color="auto" w:sz="2" w:space="0"/>
              <w:right w:val="single" w:color="auto" w:sz="2" w:space="0"/>
            </w:tcBorders>
            <w:vAlign w:val="center"/>
          </w:tcPr>
          <w:p w14:paraId="374081BA">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65.01%</w:t>
            </w:r>
          </w:p>
        </w:tc>
        <w:tc>
          <w:tcPr>
            <w:tcW w:w="1377" w:type="dxa"/>
            <w:tcBorders>
              <w:top w:val="single" w:color="auto" w:sz="2" w:space="0"/>
              <w:left w:val="single" w:color="auto" w:sz="2" w:space="0"/>
              <w:bottom w:val="single" w:color="auto" w:sz="2" w:space="0"/>
              <w:right w:val="single" w:color="auto" w:sz="2" w:space="0"/>
            </w:tcBorders>
            <w:vAlign w:val="center"/>
          </w:tcPr>
          <w:p w14:paraId="204391A0">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-0.45%</w:t>
            </w:r>
          </w:p>
        </w:tc>
        <w:tc>
          <w:tcPr>
            <w:tcW w:w="1377" w:type="dxa"/>
            <w:tcBorders>
              <w:top w:val="single" w:color="auto" w:sz="2" w:space="0"/>
              <w:left w:val="single" w:color="auto" w:sz="2" w:space="0"/>
              <w:bottom w:val="single" w:color="auto" w:sz="2" w:space="0"/>
              <w:right w:val="single" w:color="auto" w:sz="2" w:space="0"/>
            </w:tcBorders>
            <w:vAlign w:val="center"/>
          </w:tcPr>
          <w:p w14:paraId="1809FD32">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-8.12%</w:t>
            </w:r>
          </w:p>
        </w:tc>
        <w:tc>
          <w:tcPr>
            <w:tcW w:w="1377" w:type="dxa"/>
            <w:tcBorders>
              <w:top w:val="single" w:color="auto" w:sz="2" w:space="0"/>
              <w:left w:val="single" w:color="auto" w:sz="2" w:space="0"/>
              <w:bottom w:val="single" w:color="auto" w:sz="2" w:space="0"/>
              <w:right w:val="single" w:color="auto" w:sz="2" w:space="0"/>
            </w:tcBorders>
            <w:vAlign w:val="center"/>
          </w:tcPr>
          <w:p w14:paraId="43CF1908">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2.92%</w:t>
            </w:r>
          </w:p>
        </w:tc>
      </w:tr>
      <w:tr w14:paraId="288C49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44417373">
            <w:pPr>
              <w:spacing w:before="0" w:after="0" w:line="240" w:lineRule="exact"/>
              <w:jc w:val="left"/>
              <w:rPr>
                <w:rFonts w:ascii="宋体" w:hAnsi="宋体" w:eastAsia="宋体" w:cs="宋体"/>
                <w:sz w:val="18"/>
                <w:szCs w:val="18"/>
              </w:rPr>
            </w:pPr>
            <w:r>
              <w:rPr>
                <w:rFonts w:ascii="宋体" w:hAnsi="宋体" w:eastAsia="宋体" w:cs="宋体"/>
                <w:sz w:val="18"/>
                <w:szCs w:val="18"/>
              </w:rPr>
              <w:t>东区</w:t>
            </w:r>
          </w:p>
        </w:tc>
        <w:tc>
          <w:tcPr>
            <w:tcW w:w="1620" w:type="dxa"/>
            <w:tcBorders>
              <w:top w:val="single" w:color="auto" w:sz="2" w:space="0"/>
              <w:left w:val="single" w:color="auto" w:sz="2" w:space="0"/>
              <w:bottom w:val="single" w:color="auto" w:sz="2" w:space="0"/>
              <w:right w:val="single" w:color="auto" w:sz="2" w:space="0"/>
            </w:tcBorders>
            <w:vAlign w:val="center"/>
          </w:tcPr>
          <w:p w14:paraId="7F2B94FC">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 xml:space="preserve"> 143,937,166.76 </w:t>
            </w:r>
          </w:p>
        </w:tc>
        <w:tc>
          <w:tcPr>
            <w:tcW w:w="1600" w:type="dxa"/>
            <w:tcBorders>
              <w:top w:val="single" w:color="auto" w:sz="2" w:space="0"/>
              <w:left w:val="single" w:color="auto" w:sz="2" w:space="0"/>
              <w:bottom w:val="single" w:color="auto" w:sz="2" w:space="0"/>
              <w:right w:val="single" w:color="auto" w:sz="2" w:space="0"/>
            </w:tcBorders>
            <w:vAlign w:val="center"/>
          </w:tcPr>
          <w:p w14:paraId="23938EFE">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46,016,775.79</w:t>
            </w:r>
          </w:p>
        </w:tc>
        <w:tc>
          <w:tcPr>
            <w:tcW w:w="911" w:type="dxa"/>
            <w:tcBorders>
              <w:top w:val="single" w:color="auto" w:sz="2" w:space="0"/>
              <w:left w:val="single" w:color="auto" w:sz="2" w:space="0"/>
              <w:bottom w:val="single" w:color="auto" w:sz="2" w:space="0"/>
              <w:right w:val="single" w:color="auto" w:sz="2" w:space="0"/>
            </w:tcBorders>
            <w:vAlign w:val="center"/>
          </w:tcPr>
          <w:p w14:paraId="6AC396EB">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68.03%</w:t>
            </w:r>
          </w:p>
        </w:tc>
        <w:tc>
          <w:tcPr>
            <w:tcW w:w="1377" w:type="dxa"/>
            <w:tcBorders>
              <w:top w:val="single" w:color="auto" w:sz="2" w:space="0"/>
              <w:left w:val="single" w:color="auto" w:sz="2" w:space="0"/>
              <w:bottom w:val="single" w:color="auto" w:sz="2" w:space="0"/>
              <w:right w:val="single" w:color="auto" w:sz="2" w:space="0"/>
            </w:tcBorders>
            <w:vAlign w:val="center"/>
          </w:tcPr>
          <w:p w14:paraId="2086B14E">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7.46%</w:t>
            </w:r>
          </w:p>
        </w:tc>
        <w:tc>
          <w:tcPr>
            <w:tcW w:w="1377" w:type="dxa"/>
            <w:tcBorders>
              <w:top w:val="single" w:color="auto" w:sz="2" w:space="0"/>
              <w:left w:val="single" w:color="auto" w:sz="2" w:space="0"/>
              <w:bottom w:val="single" w:color="auto" w:sz="2" w:space="0"/>
              <w:right w:val="single" w:color="auto" w:sz="2" w:space="0"/>
            </w:tcBorders>
            <w:vAlign w:val="center"/>
          </w:tcPr>
          <w:p w14:paraId="00E388B3">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-4.57%</w:t>
            </w:r>
          </w:p>
        </w:tc>
        <w:tc>
          <w:tcPr>
            <w:tcW w:w="1377" w:type="dxa"/>
            <w:tcBorders>
              <w:top w:val="single" w:color="auto" w:sz="2" w:space="0"/>
              <w:left w:val="single" w:color="auto" w:sz="2" w:space="0"/>
              <w:bottom w:val="single" w:color="auto" w:sz="2" w:space="0"/>
              <w:right w:val="single" w:color="auto" w:sz="2" w:space="0"/>
            </w:tcBorders>
            <w:vAlign w:val="center"/>
          </w:tcPr>
          <w:p w14:paraId="40637B50">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4.03%</w:t>
            </w:r>
          </w:p>
        </w:tc>
      </w:tr>
      <w:tr w14:paraId="5AA1DD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086CABBC">
            <w:pPr>
              <w:spacing w:before="0" w:after="0" w:line="240" w:lineRule="exact"/>
              <w:jc w:val="left"/>
              <w:rPr>
                <w:rFonts w:ascii="宋体" w:hAnsi="宋体" w:eastAsia="宋体" w:cs="宋体"/>
                <w:sz w:val="18"/>
                <w:szCs w:val="18"/>
              </w:rPr>
            </w:pPr>
            <w:r>
              <w:rPr>
                <w:rFonts w:ascii="宋体" w:hAnsi="宋体" w:eastAsia="宋体" w:cs="宋体"/>
                <w:sz w:val="18"/>
                <w:szCs w:val="18"/>
              </w:rPr>
              <w:t>南区</w:t>
            </w:r>
          </w:p>
        </w:tc>
        <w:tc>
          <w:tcPr>
            <w:tcW w:w="1620" w:type="dxa"/>
            <w:tcBorders>
              <w:top w:val="single" w:color="auto" w:sz="2" w:space="0"/>
              <w:left w:val="single" w:color="auto" w:sz="2" w:space="0"/>
              <w:bottom w:val="single" w:color="auto" w:sz="2" w:space="0"/>
              <w:right w:val="single" w:color="auto" w:sz="2" w:space="0"/>
            </w:tcBorders>
            <w:vAlign w:val="center"/>
          </w:tcPr>
          <w:p w14:paraId="7EC98EC1">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 xml:space="preserve"> 82,250,735.45 </w:t>
            </w:r>
          </w:p>
        </w:tc>
        <w:tc>
          <w:tcPr>
            <w:tcW w:w="1600" w:type="dxa"/>
            <w:tcBorders>
              <w:top w:val="single" w:color="auto" w:sz="2" w:space="0"/>
              <w:left w:val="single" w:color="auto" w:sz="2" w:space="0"/>
              <w:bottom w:val="single" w:color="auto" w:sz="2" w:space="0"/>
              <w:right w:val="single" w:color="auto" w:sz="2" w:space="0"/>
            </w:tcBorders>
            <w:vAlign w:val="center"/>
          </w:tcPr>
          <w:p w14:paraId="08ED7665">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39,076,719.48</w:t>
            </w:r>
          </w:p>
        </w:tc>
        <w:tc>
          <w:tcPr>
            <w:tcW w:w="911" w:type="dxa"/>
            <w:tcBorders>
              <w:top w:val="single" w:color="auto" w:sz="2" w:space="0"/>
              <w:left w:val="single" w:color="auto" w:sz="2" w:space="0"/>
              <w:bottom w:val="single" w:color="auto" w:sz="2" w:space="0"/>
              <w:right w:val="single" w:color="auto" w:sz="2" w:space="0"/>
            </w:tcBorders>
            <w:vAlign w:val="center"/>
          </w:tcPr>
          <w:p w14:paraId="256DD32E">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52.49%</w:t>
            </w:r>
          </w:p>
        </w:tc>
        <w:tc>
          <w:tcPr>
            <w:tcW w:w="1377" w:type="dxa"/>
            <w:tcBorders>
              <w:top w:val="single" w:color="auto" w:sz="2" w:space="0"/>
              <w:left w:val="single" w:color="auto" w:sz="2" w:space="0"/>
              <w:bottom w:val="single" w:color="auto" w:sz="2" w:space="0"/>
              <w:right w:val="single" w:color="auto" w:sz="2" w:space="0"/>
            </w:tcBorders>
            <w:vAlign w:val="center"/>
          </w:tcPr>
          <w:p w14:paraId="7ACD5F24">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5.51%</w:t>
            </w:r>
          </w:p>
        </w:tc>
        <w:tc>
          <w:tcPr>
            <w:tcW w:w="1377" w:type="dxa"/>
            <w:tcBorders>
              <w:top w:val="single" w:color="auto" w:sz="2" w:space="0"/>
              <w:left w:val="single" w:color="auto" w:sz="2" w:space="0"/>
              <w:bottom w:val="single" w:color="auto" w:sz="2" w:space="0"/>
              <w:right w:val="single" w:color="auto" w:sz="2" w:space="0"/>
            </w:tcBorders>
            <w:vAlign w:val="center"/>
          </w:tcPr>
          <w:p w14:paraId="0B4B61BF">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0.42%</w:t>
            </w:r>
          </w:p>
        </w:tc>
        <w:tc>
          <w:tcPr>
            <w:tcW w:w="1377" w:type="dxa"/>
            <w:tcBorders>
              <w:top w:val="single" w:color="auto" w:sz="2" w:space="0"/>
              <w:left w:val="single" w:color="auto" w:sz="2" w:space="0"/>
              <w:bottom w:val="single" w:color="auto" w:sz="2" w:space="0"/>
              <w:right w:val="single" w:color="auto" w:sz="2" w:space="0"/>
            </w:tcBorders>
            <w:vAlign w:val="center"/>
          </w:tcPr>
          <w:p w14:paraId="7D33E660">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2.40%</w:t>
            </w:r>
          </w:p>
        </w:tc>
      </w:tr>
      <w:tr w14:paraId="3C3435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179772C7">
            <w:pPr>
              <w:spacing w:before="0" w:after="0" w:line="240" w:lineRule="exact"/>
              <w:jc w:val="left"/>
              <w:rPr>
                <w:rFonts w:ascii="宋体" w:hAnsi="宋体" w:eastAsia="宋体" w:cs="宋体"/>
                <w:sz w:val="18"/>
                <w:szCs w:val="18"/>
              </w:rPr>
            </w:pPr>
            <w:r>
              <w:rPr>
                <w:rFonts w:ascii="宋体" w:hAnsi="宋体" w:eastAsia="宋体" w:cs="宋体"/>
                <w:sz w:val="18"/>
                <w:szCs w:val="18"/>
              </w:rPr>
              <w:t>西北区</w:t>
            </w:r>
          </w:p>
        </w:tc>
        <w:tc>
          <w:tcPr>
            <w:tcW w:w="1620" w:type="dxa"/>
            <w:tcBorders>
              <w:top w:val="single" w:color="auto" w:sz="2" w:space="0"/>
              <w:left w:val="single" w:color="auto" w:sz="2" w:space="0"/>
              <w:bottom w:val="single" w:color="auto" w:sz="2" w:space="0"/>
              <w:right w:val="single" w:color="auto" w:sz="2" w:space="0"/>
            </w:tcBorders>
            <w:vAlign w:val="center"/>
          </w:tcPr>
          <w:p w14:paraId="7C7453EB">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 xml:space="preserve"> 44,399,046.30 </w:t>
            </w:r>
          </w:p>
        </w:tc>
        <w:tc>
          <w:tcPr>
            <w:tcW w:w="1600" w:type="dxa"/>
            <w:tcBorders>
              <w:top w:val="single" w:color="auto" w:sz="2" w:space="0"/>
              <w:left w:val="single" w:color="auto" w:sz="2" w:space="0"/>
              <w:bottom w:val="single" w:color="auto" w:sz="2" w:space="0"/>
              <w:right w:val="single" w:color="auto" w:sz="2" w:space="0"/>
            </w:tcBorders>
            <w:vAlign w:val="center"/>
          </w:tcPr>
          <w:p w14:paraId="78889679">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18,639,595.62</w:t>
            </w:r>
          </w:p>
        </w:tc>
        <w:tc>
          <w:tcPr>
            <w:tcW w:w="911" w:type="dxa"/>
            <w:tcBorders>
              <w:top w:val="single" w:color="auto" w:sz="2" w:space="0"/>
              <w:left w:val="single" w:color="auto" w:sz="2" w:space="0"/>
              <w:bottom w:val="single" w:color="auto" w:sz="2" w:space="0"/>
              <w:right w:val="single" w:color="auto" w:sz="2" w:space="0"/>
            </w:tcBorders>
            <w:vAlign w:val="center"/>
          </w:tcPr>
          <w:p w14:paraId="3F57D45F">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58.02%</w:t>
            </w:r>
          </w:p>
        </w:tc>
        <w:tc>
          <w:tcPr>
            <w:tcW w:w="1377" w:type="dxa"/>
            <w:tcBorders>
              <w:top w:val="single" w:color="auto" w:sz="2" w:space="0"/>
              <w:left w:val="single" w:color="auto" w:sz="2" w:space="0"/>
              <w:bottom w:val="single" w:color="auto" w:sz="2" w:space="0"/>
              <w:right w:val="single" w:color="auto" w:sz="2" w:space="0"/>
            </w:tcBorders>
            <w:vAlign w:val="center"/>
          </w:tcPr>
          <w:p w14:paraId="3E54FDF2">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23.03%</w:t>
            </w:r>
          </w:p>
        </w:tc>
        <w:tc>
          <w:tcPr>
            <w:tcW w:w="1377" w:type="dxa"/>
            <w:tcBorders>
              <w:top w:val="single" w:color="auto" w:sz="2" w:space="0"/>
              <w:left w:val="single" w:color="auto" w:sz="2" w:space="0"/>
              <w:bottom w:val="single" w:color="auto" w:sz="2" w:space="0"/>
              <w:right w:val="single" w:color="auto" w:sz="2" w:space="0"/>
            </w:tcBorders>
            <w:vAlign w:val="center"/>
          </w:tcPr>
          <w:p w14:paraId="5B8CAEC6">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-8.49%</w:t>
            </w:r>
          </w:p>
        </w:tc>
        <w:tc>
          <w:tcPr>
            <w:tcW w:w="1377" w:type="dxa"/>
            <w:tcBorders>
              <w:top w:val="single" w:color="auto" w:sz="2" w:space="0"/>
              <w:left w:val="single" w:color="auto" w:sz="2" w:space="0"/>
              <w:bottom w:val="single" w:color="auto" w:sz="2" w:space="0"/>
              <w:right w:val="single" w:color="auto" w:sz="2" w:space="0"/>
            </w:tcBorders>
            <w:vAlign w:val="center"/>
          </w:tcPr>
          <w:p w14:paraId="43AB1EB1">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14.46%</w:t>
            </w:r>
          </w:p>
        </w:tc>
      </w:tr>
      <w:tr w14:paraId="4C7CAA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6A5C429">
            <w:pPr>
              <w:spacing w:before="0" w:after="0" w:line="240" w:lineRule="exact"/>
              <w:jc w:val="left"/>
              <w:rPr>
                <w:rFonts w:ascii="宋体" w:hAnsi="宋体" w:eastAsia="宋体" w:cs="宋体"/>
                <w:sz w:val="18"/>
                <w:szCs w:val="18"/>
              </w:rPr>
            </w:pPr>
            <w:r>
              <w:rPr>
                <w:rFonts w:ascii="宋体" w:hAnsi="宋体" w:eastAsia="宋体" w:cs="宋体"/>
                <w:sz w:val="18"/>
                <w:szCs w:val="18"/>
              </w:rPr>
              <w:t>西南区</w:t>
            </w:r>
          </w:p>
        </w:tc>
        <w:tc>
          <w:tcPr>
            <w:tcW w:w="1620" w:type="dxa"/>
            <w:tcBorders>
              <w:top w:val="single" w:color="auto" w:sz="2" w:space="0"/>
              <w:left w:val="single" w:color="auto" w:sz="2" w:space="0"/>
              <w:bottom w:val="single" w:color="auto" w:sz="2" w:space="0"/>
              <w:right w:val="single" w:color="auto" w:sz="2" w:space="0"/>
            </w:tcBorders>
            <w:vAlign w:val="center"/>
          </w:tcPr>
          <w:p w14:paraId="76E90346">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 xml:space="preserve"> 32,970,376.12 </w:t>
            </w:r>
          </w:p>
        </w:tc>
        <w:tc>
          <w:tcPr>
            <w:tcW w:w="1600" w:type="dxa"/>
            <w:tcBorders>
              <w:top w:val="single" w:color="auto" w:sz="2" w:space="0"/>
              <w:left w:val="single" w:color="auto" w:sz="2" w:space="0"/>
              <w:bottom w:val="single" w:color="auto" w:sz="2" w:space="0"/>
              <w:right w:val="single" w:color="auto" w:sz="2" w:space="0"/>
            </w:tcBorders>
            <w:vAlign w:val="center"/>
          </w:tcPr>
          <w:p w14:paraId="6DE2A217">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13,097,825.62</w:t>
            </w:r>
          </w:p>
        </w:tc>
        <w:tc>
          <w:tcPr>
            <w:tcW w:w="911" w:type="dxa"/>
            <w:tcBorders>
              <w:top w:val="single" w:color="auto" w:sz="2" w:space="0"/>
              <w:left w:val="single" w:color="auto" w:sz="2" w:space="0"/>
              <w:bottom w:val="single" w:color="auto" w:sz="2" w:space="0"/>
              <w:right w:val="single" w:color="auto" w:sz="2" w:space="0"/>
            </w:tcBorders>
            <w:vAlign w:val="center"/>
          </w:tcPr>
          <w:p w14:paraId="13AA2C2E">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60.27%</w:t>
            </w:r>
          </w:p>
        </w:tc>
        <w:tc>
          <w:tcPr>
            <w:tcW w:w="1377" w:type="dxa"/>
            <w:tcBorders>
              <w:top w:val="single" w:color="auto" w:sz="2" w:space="0"/>
              <w:left w:val="single" w:color="auto" w:sz="2" w:space="0"/>
              <w:bottom w:val="single" w:color="auto" w:sz="2" w:space="0"/>
              <w:right w:val="single" w:color="auto" w:sz="2" w:space="0"/>
            </w:tcBorders>
            <w:vAlign w:val="center"/>
          </w:tcPr>
          <w:p w14:paraId="500FA6A4">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5.66%</w:t>
            </w:r>
          </w:p>
        </w:tc>
        <w:tc>
          <w:tcPr>
            <w:tcW w:w="1377" w:type="dxa"/>
            <w:tcBorders>
              <w:top w:val="single" w:color="auto" w:sz="2" w:space="0"/>
              <w:left w:val="single" w:color="auto" w:sz="2" w:space="0"/>
              <w:bottom w:val="single" w:color="auto" w:sz="2" w:space="0"/>
              <w:right w:val="single" w:color="auto" w:sz="2" w:space="0"/>
            </w:tcBorders>
            <w:vAlign w:val="center"/>
          </w:tcPr>
          <w:p w14:paraId="38D4FFB7">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-5.71%</w:t>
            </w:r>
          </w:p>
        </w:tc>
        <w:tc>
          <w:tcPr>
            <w:tcW w:w="1377" w:type="dxa"/>
            <w:tcBorders>
              <w:top w:val="single" w:color="auto" w:sz="2" w:space="0"/>
              <w:left w:val="single" w:color="auto" w:sz="2" w:space="0"/>
              <w:bottom w:val="single" w:color="auto" w:sz="2" w:space="0"/>
              <w:right w:val="single" w:color="auto" w:sz="2" w:space="0"/>
            </w:tcBorders>
            <w:vAlign w:val="center"/>
          </w:tcPr>
          <w:p w14:paraId="66F0BD24">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4.79%</w:t>
            </w:r>
          </w:p>
        </w:tc>
      </w:tr>
      <w:tr w14:paraId="56D43C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14:paraId="2E753570">
            <w:pPr>
              <w:spacing w:before="40" w:after="40" w:line="240" w:lineRule="exact"/>
              <w:jc w:val="left"/>
              <w:rPr>
                <w:rFonts w:hint="eastAsia" w:ascii="宋体" w:hAnsi="宋体" w:eastAsia="宋体" w:cs="宋体"/>
                <w:sz w:val="18"/>
                <w:szCs w:val="18"/>
              </w:rPr>
            </w:pPr>
            <w:r>
              <w:rPr>
                <w:rFonts w:hint="eastAsia" w:ascii="宋体" w:hAnsi="宋体" w:eastAsia="宋体" w:cs="宋体"/>
                <w:sz w:val="18"/>
                <w:szCs w:val="18"/>
              </w:rPr>
              <w:t>分销售模式</w:t>
            </w:r>
          </w:p>
        </w:tc>
      </w:tr>
      <w:tr w14:paraId="66A5B3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3ACAFBC7">
            <w:pPr>
              <w:spacing w:before="0" w:after="0" w:line="240" w:lineRule="exact"/>
              <w:jc w:val="left"/>
              <w:rPr>
                <w:rFonts w:ascii="宋体" w:hAnsi="宋体" w:eastAsia="宋体" w:cs="宋体"/>
                <w:sz w:val="18"/>
                <w:szCs w:val="18"/>
              </w:rPr>
            </w:pPr>
            <w:r>
              <w:rPr>
                <w:rFonts w:ascii="宋体" w:hAnsi="宋体" w:eastAsia="宋体" w:cs="宋体"/>
                <w:sz w:val="18"/>
                <w:szCs w:val="18"/>
              </w:rPr>
              <w:t>直销</w:t>
            </w:r>
          </w:p>
        </w:tc>
        <w:tc>
          <w:tcPr>
            <w:tcW w:w="1620" w:type="dxa"/>
            <w:tcBorders>
              <w:top w:val="single" w:color="auto" w:sz="2" w:space="0"/>
              <w:left w:val="single" w:color="auto" w:sz="2" w:space="0"/>
              <w:bottom w:val="single" w:color="auto" w:sz="2" w:space="0"/>
              <w:right w:val="single" w:color="auto" w:sz="2" w:space="0"/>
            </w:tcBorders>
            <w:vAlign w:val="center"/>
          </w:tcPr>
          <w:p w14:paraId="056792C3">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288,861,159.96</w:t>
            </w:r>
          </w:p>
        </w:tc>
        <w:tc>
          <w:tcPr>
            <w:tcW w:w="1600" w:type="dxa"/>
            <w:tcBorders>
              <w:top w:val="single" w:color="auto" w:sz="2" w:space="0"/>
              <w:left w:val="single" w:color="auto" w:sz="2" w:space="0"/>
              <w:bottom w:val="single" w:color="auto" w:sz="2" w:space="0"/>
              <w:right w:val="single" w:color="auto" w:sz="2" w:space="0"/>
            </w:tcBorders>
            <w:vAlign w:val="center"/>
          </w:tcPr>
          <w:p w14:paraId="1C33F843">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61,251,449.98</w:t>
            </w:r>
          </w:p>
        </w:tc>
        <w:tc>
          <w:tcPr>
            <w:tcW w:w="911" w:type="dxa"/>
            <w:tcBorders>
              <w:top w:val="single" w:color="auto" w:sz="2" w:space="0"/>
              <w:left w:val="single" w:color="auto" w:sz="2" w:space="0"/>
              <w:bottom w:val="single" w:color="auto" w:sz="2" w:space="0"/>
              <w:right w:val="single" w:color="auto" w:sz="2" w:space="0"/>
            </w:tcBorders>
            <w:vAlign w:val="center"/>
          </w:tcPr>
          <w:p w14:paraId="6C2ACABB">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78.80%</w:t>
            </w:r>
          </w:p>
        </w:tc>
        <w:tc>
          <w:tcPr>
            <w:tcW w:w="1377" w:type="dxa"/>
            <w:tcBorders>
              <w:top w:val="single" w:color="auto" w:sz="2" w:space="0"/>
              <w:left w:val="single" w:color="auto" w:sz="2" w:space="0"/>
              <w:bottom w:val="single" w:color="auto" w:sz="2" w:space="0"/>
              <w:right w:val="single" w:color="auto" w:sz="2" w:space="0"/>
            </w:tcBorders>
            <w:vAlign w:val="center"/>
          </w:tcPr>
          <w:p w14:paraId="3BDF3B00">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2.23%</w:t>
            </w:r>
          </w:p>
        </w:tc>
        <w:tc>
          <w:tcPr>
            <w:tcW w:w="1377" w:type="dxa"/>
            <w:tcBorders>
              <w:top w:val="single" w:color="auto" w:sz="2" w:space="0"/>
              <w:left w:val="single" w:color="auto" w:sz="2" w:space="0"/>
              <w:bottom w:val="single" w:color="auto" w:sz="2" w:space="0"/>
              <w:right w:val="single" w:color="auto" w:sz="2" w:space="0"/>
            </w:tcBorders>
            <w:vAlign w:val="center"/>
          </w:tcPr>
          <w:p w14:paraId="07CDF06C">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-11.89%</w:t>
            </w:r>
          </w:p>
        </w:tc>
        <w:tc>
          <w:tcPr>
            <w:tcW w:w="1377" w:type="dxa"/>
            <w:tcBorders>
              <w:top w:val="single" w:color="auto" w:sz="2" w:space="0"/>
              <w:left w:val="single" w:color="auto" w:sz="2" w:space="0"/>
              <w:bottom w:val="single" w:color="auto" w:sz="2" w:space="0"/>
              <w:right w:val="single" w:color="auto" w:sz="2" w:space="0"/>
            </w:tcBorders>
            <w:vAlign w:val="center"/>
          </w:tcPr>
          <w:p w14:paraId="62D847DB">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3.40%</w:t>
            </w:r>
          </w:p>
        </w:tc>
      </w:tr>
      <w:tr w14:paraId="7BB25B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0BC3238C">
            <w:pPr>
              <w:spacing w:before="0" w:after="0" w:line="240" w:lineRule="exact"/>
              <w:jc w:val="left"/>
              <w:rPr>
                <w:rFonts w:ascii="宋体" w:hAnsi="宋体" w:eastAsia="宋体" w:cs="宋体"/>
                <w:sz w:val="18"/>
                <w:szCs w:val="18"/>
              </w:rPr>
            </w:pPr>
            <w:r>
              <w:rPr>
                <w:rFonts w:ascii="宋体" w:hAnsi="宋体" w:eastAsia="宋体" w:cs="宋体"/>
                <w:sz w:val="18"/>
                <w:szCs w:val="18"/>
              </w:rPr>
              <w:t>经销</w:t>
            </w:r>
          </w:p>
        </w:tc>
        <w:tc>
          <w:tcPr>
            <w:tcW w:w="1620" w:type="dxa"/>
            <w:tcBorders>
              <w:top w:val="single" w:color="auto" w:sz="2" w:space="0"/>
              <w:left w:val="single" w:color="auto" w:sz="2" w:space="0"/>
              <w:bottom w:val="single" w:color="auto" w:sz="2" w:space="0"/>
              <w:right w:val="single" w:color="auto" w:sz="2" w:space="0"/>
            </w:tcBorders>
            <w:vAlign w:val="center"/>
          </w:tcPr>
          <w:p w14:paraId="5F41D5A9">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46,028,220.85</w:t>
            </w:r>
          </w:p>
        </w:tc>
        <w:tc>
          <w:tcPr>
            <w:tcW w:w="1600" w:type="dxa"/>
            <w:tcBorders>
              <w:top w:val="single" w:color="auto" w:sz="2" w:space="0"/>
              <w:left w:val="single" w:color="auto" w:sz="2" w:space="0"/>
              <w:bottom w:val="single" w:color="auto" w:sz="2" w:space="0"/>
              <w:right w:val="single" w:color="auto" w:sz="2" w:space="0"/>
            </w:tcBorders>
            <w:vAlign w:val="center"/>
          </w:tcPr>
          <w:p w14:paraId="7CB96A81">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37,297,379.11</w:t>
            </w:r>
          </w:p>
        </w:tc>
        <w:tc>
          <w:tcPr>
            <w:tcW w:w="911" w:type="dxa"/>
            <w:tcBorders>
              <w:top w:val="single" w:color="auto" w:sz="2" w:space="0"/>
              <w:left w:val="single" w:color="auto" w:sz="2" w:space="0"/>
              <w:bottom w:val="single" w:color="auto" w:sz="2" w:space="0"/>
              <w:right w:val="single" w:color="auto" w:sz="2" w:space="0"/>
            </w:tcBorders>
            <w:vAlign w:val="center"/>
          </w:tcPr>
          <w:p w14:paraId="683BF041">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18.97%</w:t>
            </w:r>
          </w:p>
        </w:tc>
        <w:tc>
          <w:tcPr>
            <w:tcW w:w="1377" w:type="dxa"/>
            <w:tcBorders>
              <w:top w:val="single" w:color="auto" w:sz="2" w:space="0"/>
              <w:left w:val="single" w:color="auto" w:sz="2" w:space="0"/>
              <w:bottom w:val="single" w:color="auto" w:sz="2" w:space="0"/>
              <w:right w:val="single" w:color="auto" w:sz="2" w:space="0"/>
            </w:tcBorders>
            <w:vAlign w:val="center"/>
          </w:tcPr>
          <w:p w14:paraId="1D47ECDA">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6.65%</w:t>
            </w:r>
          </w:p>
        </w:tc>
        <w:tc>
          <w:tcPr>
            <w:tcW w:w="1377" w:type="dxa"/>
            <w:tcBorders>
              <w:top w:val="single" w:color="auto" w:sz="2" w:space="0"/>
              <w:left w:val="single" w:color="auto" w:sz="2" w:space="0"/>
              <w:bottom w:val="single" w:color="auto" w:sz="2" w:space="0"/>
              <w:right w:val="single" w:color="auto" w:sz="2" w:space="0"/>
            </w:tcBorders>
            <w:vAlign w:val="center"/>
          </w:tcPr>
          <w:p w14:paraId="01FD385E">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24.70%</w:t>
            </w:r>
          </w:p>
        </w:tc>
        <w:tc>
          <w:tcPr>
            <w:tcW w:w="1377" w:type="dxa"/>
            <w:tcBorders>
              <w:top w:val="single" w:color="auto" w:sz="2" w:space="0"/>
              <w:left w:val="single" w:color="auto" w:sz="2" w:space="0"/>
              <w:bottom w:val="single" w:color="auto" w:sz="2" w:space="0"/>
              <w:right w:val="single" w:color="auto" w:sz="2" w:space="0"/>
            </w:tcBorders>
            <w:vAlign w:val="center"/>
          </w:tcPr>
          <w:p w14:paraId="0EDFF92E">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-11.73%</w:t>
            </w:r>
          </w:p>
        </w:tc>
      </w:tr>
      <w:tr w14:paraId="56A7C5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24FC2FBF">
            <w:pPr>
              <w:spacing w:before="0" w:after="0" w:line="240" w:lineRule="exact"/>
              <w:jc w:val="left"/>
              <w:rPr>
                <w:rFonts w:ascii="宋体" w:hAnsi="宋体" w:eastAsia="宋体" w:cs="宋体"/>
                <w:sz w:val="18"/>
                <w:szCs w:val="18"/>
              </w:rPr>
            </w:pPr>
            <w:r>
              <w:rPr>
                <w:rFonts w:ascii="宋体" w:hAnsi="宋体" w:eastAsia="宋体" w:cs="宋体"/>
                <w:sz w:val="18"/>
                <w:szCs w:val="18"/>
              </w:rPr>
              <w:t>政府采购</w:t>
            </w:r>
          </w:p>
        </w:tc>
        <w:tc>
          <w:tcPr>
            <w:tcW w:w="1620" w:type="dxa"/>
            <w:tcBorders>
              <w:top w:val="single" w:color="auto" w:sz="2" w:space="0"/>
              <w:left w:val="single" w:color="auto" w:sz="2" w:space="0"/>
              <w:bottom w:val="single" w:color="auto" w:sz="2" w:space="0"/>
              <w:right w:val="single" w:color="auto" w:sz="2" w:space="0"/>
            </w:tcBorders>
            <w:vAlign w:val="center"/>
          </w:tcPr>
          <w:p w14:paraId="17F71453">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102,192,368.54</w:t>
            </w:r>
          </w:p>
        </w:tc>
        <w:tc>
          <w:tcPr>
            <w:tcW w:w="1600" w:type="dxa"/>
            <w:tcBorders>
              <w:top w:val="single" w:color="auto" w:sz="2" w:space="0"/>
              <w:left w:val="single" w:color="auto" w:sz="2" w:space="0"/>
              <w:bottom w:val="single" w:color="auto" w:sz="2" w:space="0"/>
              <w:right w:val="single" w:color="auto" w:sz="2" w:space="0"/>
            </w:tcBorders>
            <w:vAlign w:val="center"/>
          </w:tcPr>
          <w:p w14:paraId="0B3C6CD8">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65,004,054.21</w:t>
            </w:r>
          </w:p>
        </w:tc>
        <w:tc>
          <w:tcPr>
            <w:tcW w:w="911" w:type="dxa"/>
            <w:tcBorders>
              <w:top w:val="single" w:color="auto" w:sz="2" w:space="0"/>
              <w:left w:val="single" w:color="auto" w:sz="2" w:space="0"/>
              <w:bottom w:val="single" w:color="auto" w:sz="2" w:space="0"/>
              <w:right w:val="single" w:color="auto" w:sz="2" w:space="0"/>
            </w:tcBorders>
            <w:vAlign w:val="center"/>
          </w:tcPr>
          <w:p w14:paraId="46EB3E21">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36.39%</w:t>
            </w:r>
          </w:p>
        </w:tc>
        <w:tc>
          <w:tcPr>
            <w:tcW w:w="1377" w:type="dxa"/>
            <w:tcBorders>
              <w:top w:val="single" w:color="auto" w:sz="2" w:space="0"/>
              <w:left w:val="single" w:color="auto" w:sz="2" w:space="0"/>
              <w:bottom w:val="single" w:color="auto" w:sz="2" w:space="0"/>
              <w:right w:val="single" w:color="auto" w:sz="2" w:space="0"/>
            </w:tcBorders>
            <w:vAlign w:val="center"/>
          </w:tcPr>
          <w:p w14:paraId="20775C16">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16.68%</w:t>
            </w:r>
          </w:p>
        </w:tc>
        <w:tc>
          <w:tcPr>
            <w:tcW w:w="1377" w:type="dxa"/>
            <w:tcBorders>
              <w:top w:val="single" w:color="auto" w:sz="2" w:space="0"/>
              <w:left w:val="single" w:color="auto" w:sz="2" w:space="0"/>
              <w:bottom w:val="single" w:color="auto" w:sz="2" w:space="0"/>
              <w:right w:val="single" w:color="auto" w:sz="2" w:space="0"/>
            </w:tcBorders>
            <w:vAlign w:val="center"/>
          </w:tcPr>
          <w:p w14:paraId="7975A151">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-10.73%</w:t>
            </w:r>
          </w:p>
        </w:tc>
        <w:tc>
          <w:tcPr>
            <w:tcW w:w="1377" w:type="dxa"/>
            <w:tcBorders>
              <w:top w:val="single" w:color="auto" w:sz="2" w:space="0"/>
              <w:left w:val="single" w:color="auto" w:sz="2" w:space="0"/>
              <w:bottom w:val="single" w:color="auto" w:sz="2" w:space="0"/>
              <w:right w:val="single" w:color="auto" w:sz="2" w:space="0"/>
            </w:tcBorders>
            <w:vAlign w:val="center"/>
          </w:tcPr>
          <w:p w14:paraId="294EF1BC">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19.53%</w:t>
            </w:r>
          </w:p>
        </w:tc>
      </w:tr>
    </w:tbl>
    <w:p w14:paraId="6B8C5E91">
      <w:pPr>
        <w:spacing w:before="100" w:after="100" w:line="240" w:lineRule="exact"/>
        <w:jc w:val="left"/>
        <w:rPr>
          <w:rFonts w:ascii="宋体" w:hAnsi="宋体" w:eastAsia="宋体" w:cs="宋体"/>
          <w:sz w:val="18"/>
          <w:szCs w:val="18"/>
        </w:rPr>
      </w:pPr>
      <w:r>
        <w:rPr>
          <w:rFonts w:ascii="宋体" w:hAnsi="宋体" w:eastAsia="宋体" w:cs="宋体"/>
          <w:sz w:val="18"/>
          <w:szCs w:val="18"/>
        </w:rPr>
        <w:t>公司主营业务数据统计口径在报告期发生调整的情况下，公司最近1年按报告期末口径调整后的主营业务数据</w:t>
      </w:r>
    </w:p>
    <w:p w14:paraId="5C1669E8">
      <w:pPr>
        <w:spacing w:before="40" w:after="4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2EA63BBA">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620"/>
        <w:gridCol w:w="1660"/>
        <w:gridCol w:w="851"/>
        <w:gridCol w:w="1377"/>
        <w:gridCol w:w="1377"/>
        <w:gridCol w:w="1377"/>
      </w:tblGrid>
      <w:tr w14:paraId="7CFDEC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0743F93"/>
        </w:tc>
        <w:tc>
          <w:tcPr>
            <w:tcW w:w="1620" w:type="dxa"/>
            <w:tcBorders>
              <w:top w:val="single" w:color="auto" w:sz="2" w:space="0"/>
              <w:left w:val="single" w:color="auto" w:sz="2" w:space="0"/>
              <w:bottom w:val="single" w:color="auto" w:sz="2" w:space="0"/>
              <w:right w:val="single" w:color="auto" w:sz="2" w:space="0"/>
            </w:tcBorders>
            <w:shd w:val="clear" w:color="auto" w:fill="D3D3D3"/>
            <w:vAlign w:val="center"/>
          </w:tcPr>
          <w:p w14:paraId="4AB61E7B">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660" w:type="dxa"/>
            <w:tcBorders>
              <w:top w:val="single" w:color="auto" w:sz="2" w:space="0"/>
              <w:left w:val="single" w:color="auto" w:sz="2" w:space="0"/>
              <w:bottom w:val="single" w:color="auto" w:sz="2" w:space="0"/>
              <w:right w:val="single" w:color="auto" w:sz="2" w:space="0"/>
            </w:tcBorders>
            <w:shd w:val="clear" w:color="auto" w:fill="D3D3D3"/>
            <w:vAlign w:val="center"/>
          </w:tcPr>
          <w:p w14:paraId="69BE4B94">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w:t>
            </w:r>
          </w:p>
        </w:tc>
        <w:tc>
          <w:tcPr>
            <w:tcW w:w="851" w:type="dxa"/>
            <w:tcBorders>
              <w:top w:val="single" w:color="auto" w:sz="2" w:space="0"/>
              <w:left w:val="single" w:color="auto" w:sz="2" w:space="0"/>
              <w:bottom w:val="single" w:color="auto" w:sz="2" w:space="0"/>
              <w:right w:val="single" w:color="auto" w:sz="2" w:space="0"/>
            </w:tcBorders>
            <w:shd w:val="clear" w:color="auto" w:fill="D3D3D3"/>
            <w:vAlign w:val="center"/>
          </w:tcPr>
          <w:p w14:paraId="494269A6">
            <w:pPr>
              <w:spacing w:before="40" w:after="40" w:line="240" w:lineRule="exact"/>
              <w:jc w:val="center"/>
              <w:rPr>
                <w:rFonts w:ascii="宋体" w:hAnsi="宋体" w:eastAsia="宋体" w:cs="宋体"/>
                <w:sz w:val="18"/>
                <w:szCs w:val="18"/>
              </w:rPr>
            </w:pPr>
            <w:r>
              <w:rPr>
                <w:rFonts w:ascii="宋体" w:hAnsi="宋体" w:eastAsia="宋体" w:cs="宋体"/>
                <w:sz w:val="18"/>
                <w:szCs w:val="18"/>
              </w:rPr>
              <w:t>毛利率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D25DC0F">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营业收入比上年同期增减</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FCDCD6F">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营业成本比上年同期增减</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674D243">
            <w:pPr>
              <w:spacing w:before="40" w:after="40" w:line="240" w:lineRule="exact"/>
              <w:jc w:val="center"/>
              <w:rPr>
                <w:rFonts w:ascii="宋体" w:hAnsi="宋体" w:eastAsia="宋体" w:cs="宋体"/>
                <w:sz w:val="18"/>
                <w:szCs w:val="18"/>
              </w:rPr>
            </w:pPr>
            <w:r>
              <w:rPr>
                <w:rFonts w:ascii="宋体" w:hAnsi="宋体" w:eastAsia="宋体" w:cs="宋体"/>
                <w:sz w:val="18"/>
                <w:szCs w:val="18"/>
              </w:rPr>
              <w:t>毛利率比上年同期增减</w:t>
            </w:r>
          </w:p>
        </w:tc>
      </w:tr>
      <w:tr w14:paraId="0A8E7E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14:paraId="61A88079">
            <w:pPr>
              <w:spacing w:before="40" w:after="40" w:line="240" w:lineRule="exact"/>
              <w:jc w:val="left"/>
              <w:rPr>
                <w:rFonts w:ascii="宋体" w:hAnsi="宋体" w:eastAsia="宋体" w:cs="宋体"/>
                <w:sz w:val="18"/>
                <w:szCs w:val="18"/>
              </w:rPr>
            </w:pPr>
            <w:r>
              <w:rPr>
                <w:rFonts w:ascii="宋体" w:hAnsi="宋体" w:eastAsia="宋体" w:cs="宋体"/>
                <w:sz w:val="18"/>
                <w:szCs w:val="18"/>
              </w:rPr>
              <w:t>分行业</w:t>
            </w:r>
          </w:p>
        </w:tc>
      </w:tr>
      <w:tr w14:paraId="038260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CF7E57D">
            <w:pPr>
              <w:spacing w:before="0" w:after="0" w:line="240" w:lineRule="exact"/>
              <w:jc w:val="left"/>
              <w:rPr>
                <w:rFonts w:ascii="宋体" w:hAnsi="宋体" w:eastAsia="宋体" w:cs="宋体"/>
                <w:sz w:val="18"/>
                <w:szCs w:val="18"/>
              </w:rPr>
            </w:pPr>
            <w:r>
              <w:rPr>
                <w:rFonts w:ascii="宋体" w:hAnsi="宋体" w:eastAsia="宋体" w:cs="宋体"/>
                <w:sz w:val="18"/>
                <w:szCs w:val="18"/>
              </w:rPr>
              <w:t>医药制造</w:t>
            </w:r>
          </w:p>
        </w:tc>
        <w:tc>
          <w:tcPr>
            <w:tcW w:w="1620" w:type="dxa"/>
            <w:tcBorders>
              <w:top w:val="single" w:color="auto" w:sz="2" w:space="0"/>
              <w:left w:val="single" w:color="auto" w:sz="2" w:space="0"/>
              <w:bottom w:val="single" w:color="auto" w:sz="2" w:space="0"/>
              <w:right w:val="single" w:color="auto" w:sz="2" w:space="0"/>
            </w:tcBorders>
            <w:vAlign w:val="center"/>
          </w:tcPr>
          <w:p w14:paraId="446ED808">
            <w:pPr>
              <w:spacing w:line="240" w:lineRule="exact"/>
              <w:jc w:val="right"/>
              <w:rPr>
                <w:rFonts w:ascii="宋体" w:hAnsi="宋体" w:eastAsia="宋体" w:cs="宋体"/>
                <w:sz w:val="18"/>
                <w:szCs w:val="18"/>
              </w:rPr>
            </w:pPr>
            <w:r>
              <w:rPr>
                <w:rFonts w:ascii="宋体" w:hAnsi="宋体" w:cs="宋体"/>
                <w:sz w:val="18"/>
                <w:szCs w:val="18"/>
              </w:rPr>
              <w:t>413,317,589.19</w:t>
            </w:r>
          </w:p>
        </w:tc>
        <w:tc>
          <w:tcPr>
            <w:tcW w:w="1660" w:type="dxa"/>
            <w:tcBorders>
              <w:top w:val="single" w:color="auto" w:sz="2" w:space="0"/>
              <w:left w:val="single" w:color="auto" w:sz="2" w:space="0"/>
              <w:bottom w:val="single" w:color="auto" w:sz="2" w:space="0"/>
              <w:right w:val="single" w:color="auto" w:sz="2" w:space="0"/>
            </w:tcBorders>
            <w:vAlign w:val="center"/>
          </w:tcPr>
          <w:p w14:paraId="6FB5DB01">
            <w:pPr>
              <w:spacing w:line="240" w:lineRule="exact"/>
              <w:jc w:val="right"/>
              <w:rPr>
                <w:rFonts w:ascii="宋体" w:hAnsi="宋体" w:eastAsia="宋体" w:cs="宋体"/>
                <w:sz w:val="18"/>
                <w:szCs w:val="18"/>
              </w:rPr>
            </w:pPr>
            <w:r>
              <w:rPr>
                <w:rFonts w:ascii="宋体" w:hAnsi="宋体" w:cs="宋体"/>
                <w:sz w:val="18"/>
                <w:szCs w:val="18"/>
              </w:rPr>
              <w:t>172,242,402.80</w:t>
            </w:r>
          </w:p>
        </w:tc>
        <w:tc>
          <w:tcPr>
            <w:tcW w:w="851" w:type="dxa"/>
            <w:tcBorders>
              <w:top w:val="single" w:color="auto" w:sz="2" w:space="0"/>
              <w:left w:val="single" w:color="auto" w:sz="2" w:space="0"/>
              <w:bottom w:val="single" w:color="auto" w:sz="2" w:space="0"/>
              <w:right w:val="single" w:color="auto" w:sz="2" w:space="0"/>
            </w:tcBorders>
            <w:vAlign w:val="center"/>
          </w:tcPr>
          <w:p w14:paraId="7A77F75B">
            <w:pPr>
              <w:spacing w:line="240" w:lineRule="exact"/>
              <w:jc w:val="right"/>
              <w:rPr>
                <w:rFonts w:ascii="宋体" w:hAnsi="宋体" w:eastAsia="宋体" w:cs="宋体"/>
                <w:sz w:val="18"/>
                <w:szCs w:val="18"/>
              </w:rPr>
            </w:pPr>
            <w:r>
              <w:rPr>
                <w:rFonts w:ascii="宋体" w:hAnsi="宋体" w:cs="宋体"/>
                <w:sz w:val="18"/>
                <w:szCs w:val="18"/>
              </w:rPr>
              <w:t>58.33%</w:t>
            </w:r>
          </w:p>
        </w:tc>
        <w:tc>
          <w:tcPr>
            <w:tcW w:w="1377" w:type="dxa"/>
            <w:tcBorders>
              <w:top w:val="single" w:color="auto" w:sz="2" w:space="0"/>
              <w:left w:val="single" w:color="auto" w:sz="2" w:space="0"/>
              <w:bottom w:val="single" w:color="auto" w:sz="2" w:space="0"/>
              <w:right w:val="single" w:color="auto" w:sz="2" w:space="0"/>
            </w:tcBorders>
            <w:vAlign w:val="center"/>
          </w:tcPr>
          <w:p w14:paraId="6AB142AE">
            <w:pPr>
              <w:spacing w:line="240" w:lineRule="exact"/>
              <w:jc w:val="right"/>
              <w:rPr>
                <w:rFonts w:ascii="宋体" w:hAnsi="宋体" w:eastAsia="宋体" w:cs="宋体"/>
                <w:sz w:val="18"/>
                <w:szCs w:val="18"/>
              </w:rPr>
            </w:pPr>
            <w:r>
              <w:rPr>
                <w:rFonts w:ascii="宋体" w:hAnsi="宋体" w:cs="宋体"/>
                <w:sz w:val="18"/>
                <w:szCs w:val="18"/>
              </w:rPr>
              <w:t>8.84%</w:t>
            </w:r>
          </w:p>
        </w:tc>
        <w:tc>
          <w:tcPr>
            <w:tcW w:w="1377" w:type="dxa"/>
            <w:tcBorders>
              <w:top w:val="single" w:color="auto" w:sz="2" w:space="0"/>
              <w:left w:val="single" w:color="auto" w:sz="2" w:space="0"/>
              <w:bottom w:val="single" w:color="auto" w:sz="2" w:space="0"/>
              <w:right w:val="single" w:color="auto" w:sz="2" w:space="0"/>
            </w:tcBorders>
            <w:vAlign w:val="center"/>
          </w:tcPr>
          <w:p w14:paraId="25FD4E1A">
            <w:pPr>
              <w:spacing w:line="240" w:lineRule="exact"/>
              <w:jc w:val="right"/>
              <w:rPr>
                <w:rFonts w:ascii="宋体" w:hAnsi="宋体" w:eastAsia="宋体" w:cs="宋体"/>
                <w:sz w:val="18"/>
                <w:szCs w:val="18"/>
              </w:rPr>
            </w:pPr>
            <w:r>
              <w:rPr>
                <w:rFonts w:ascii="宋体" w:hAnsi="宋体" w:cs="宋体"/>
                <w:sz w:val="18"/>
                <w:szCs w:val="18"/>
              </w:rPr>
              <w:t>11.21%</w:t>
            </w:r>
          </w:p>
        </w:tc>
        <w:tc>
          <w:tcPr>
            <w:tcW w:w="1377" w:type="dxa"/>
            <w:tcBorders>
              <w:top w:val="single" w:color="auto" w:sz="2" w:space="0"/>
              <w:left w:val="single" w:color="auto" w:sz="2" w:space="0"/>
              <w:bottom w:val="single" w:color="auto" w:sz="2" w:space="0"/>
              <w:right w:val="single" w:color="auto" w:sz="2" w:space="0"/>
            </w:tcBorders>
            <w:vAlign w:val="center"/>
          </w:tcPr>
          <w:p w14:paraId="67276098">
            <w:pPr>
              <w:spacing w:line="240" w:lineRule="exact"/>
              <w:jc w:val="right"/>
              <w:rPr>
                <w:rFonts w:ascii="宋体" w:hAnsi="宋体" w:eastAsia="宋体" w:cs="宋体"/>
                <w:sz w:val="18"/>
                <w:szCs w:val="18"/>
              </w:rPr>
            </w:pPr>
            <w:r>
              <w:rPr>
                <w:rFonts w:ascii="宋体" w:hAnsi="宋体" w:cs="宋体"/>
                <w:sz w:val="18"/>
                <w:szCs w:val="18"/>
              </w:rPr>
              <w:t>-0.88%</w:t>
            </w:r>
          </w:p>
        </w:tc>
      </w:tr>
      <w:tr w14:paraId="30F5B3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14:paraId="5A00F268">
            <w:pPr>
              <w:spacing w:before="40" w:after="40" w:line="240" w:lineRule="exact"/>
              <w:jc w:val="left"/>
              <w:rPr>
                <w:rFonts w:ascii="宋体" w:hAnsi="宋体" w:eastAsia="宋体" w:cs="宋体"/>
                <w:sz w:val="18"/>
                <w:szCs w:val="18"/>
              </w:rPr>
            </w:pPr>
            <w:r>
              <w:rPr>
                <w:rFonts w:ascii="宋体" w:hAnsi="宋体" w:eastAsia="宋体" w:cs="宋体"/>
                <w:sz w:val="18"/>
                <w:szCs w:val="18"/>
              </w:rPr>
              <w:t>分产品</w:t>
            </w:r>
          </w:p>
        </w:tc>
      </w:tr>
      <w:tr w14:paraId="47BD8A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7B5BADFC">
            <w:pPr>
              <w:spacing w:before="0" w:after="0" w:line="240" w:lineRule="exact"/>
              <w:jc w:val="left"/>
              <w:rPr>
                <w:rFonts w:ascii="宋体" w:hAnsi="宋体" w:eastAsia="宋体" w:cs="宋体"/>
                <w:sz w:val="18"/>
                <w:szCs w:val="18"/>
              </w:rPr>
            </w:pPr>
            <w:r>
              <w:rPr>
                <w:rFonts w:ascii="宋体" w:hAnsi="宋体" w:eastAsia="宋体" w:cs="宋体"/>
                <w:sz w:val="18"/>
                <w:szCs w:val="18"/>
              </w:rPr>
              <w:t>肝胆疾病药物</w:t>
            </w:r>
          </w:p>
        </w:tc>
        <w:tc>
          <w:tcPr>
            <w:tcW w:w="1620" w:type="dxa"/>
            <w:tcBorders>
              <w:top w:val="single" w:color="auto" w:sz="2" w:space="0"/>
              <w:left w:val="single" w:color="auto" w:sz="2" w:space="0"/>
              <w:bottom w:val="single" w:color="auto" w:sz="2" w:space="0"/>
              <w:right w:val="single" w:color="auto" w:sz="2" w:space="0"/>
            </w:tcBorders>
            <w:vAlign w:val="center"/>
          </w:tcPr>
          <w:p w14:paraId="61BBA8E3">
            <w:pPr>
              <w:spacing w:line="240" w:lineRule="exact"/>
              <w:jc w:val="right"/>
              <w:rPr>
                <w:rFonts w:ascii="宋体" w:hAnsi="宋体" w:eastAsia="宋体" w:cs="宋体"/>
                <w:sz w:val="18"/>
                <w:szCs w:val="18"/>
              </w:rPr>
            </w:pPr>
            <w:r>
              <w:rPr>
                <w:rFonts w:ascii="宋体" w:hAnsi="宋体" w:cs="宋体"/>
                <w:sz w:val="18"/>
                <w:szCs w:val="18"/>
              </w:rPr>
              <w:t>324,381,500.80</w:t>
            </w:r>
          </w:p>
        </w:tc>
        <w:tc>
          <w:tcPr>
            <w:tcW w:w="1660" w:type="dxa"/>
            <w:tcBorders>
              <w:top w:val="single" w:color="auto" w:sz="2" w:space="0"/>
              <w:left w:val="single" w:color="auto" w:sz="2" w:space="0"/>
              <w:bottom w:val="single" w:color="auto" w:sz="2" w:space="0"/>
              <w:right w:val="single" w:color="auto" w:sz="2" w:space="0"/>
            </w:tcBorders>
            <w:vAlign w:val="center"/>
          </w:tcPr>
          <w:p w14:paraId="2984F0A5">
            <w:pPr>
              <w:spacing w:line="240" w:lineRule="exact"/>
              <w:jc w:val="right"/>
              <w:rPr>
                <w:rFonts w:ascii="宋体" w:hAnsi="宋体" w:eastAsia="宋体" w:cs="宋体"/>
                <w:sz w:val="18"/>
                <w:szCs w:val="18"/>
              </w:rPr>
            </w:pPr>
            <w:r>
              <w:rPr>
                <w:rFonts w:ascii="宋体" w:hAnsi="宋体" w:cs="宋体"/>
                <w:sz w:val="18"/>
                <w:szCs w:val="18"/>
              </w:rPr>
              <w:t>110,449,730.33</w:t>
            </w:r>
          </w:p>
        </w:tc>
        <w:tc>
          <w:tcPr>
            <w:tcW w:w="851" w:type="dxa"/>
            <w:tcBorders>
              <w:top w:val="single" w:color="auto" w:sz="2" w:space="0"/>
              <w:left w:val="single" w:color="auto" w:sz="2" w:space="0"/>
              <w:bottom w:val="single" w:color="auto" w:sz="2" w:space="0"/>
              <w:right w:val="single" w:color="auto" w:sz="2" w:space="0"/>
            </w:tcBorders>
            <w:vAlign w:val="center"/>
          </w:tcPr>
          <w:p w14:paraId="120FBB2B">
            <w:pPr>
              <w:spacing w:line="240" w:lineRule="exact"/>
              <w:jc w:val="right"/>
              <w:rPr>
                <w:rFonts w:ascii="宋体" w:hAnsi="宋体" w:eastAsia="宋体" w:cs="宋体"/>
                <w:sz w:val="18"/>
                <w:szCs w:val="18"/>
              </w:rPr>
            </w:pPr>
            <w:r>
              <w:rPr>
                <w:rFonts w:ascii="宋体" w:hAnsi="宋体" w:cs="宋体"/>
                <w:sz w:val="18"/>
                <w:szCs w:val="18"/>
              </w:rPr>
              <w:t>65.95%</w:t>
            </w:r>
          </w:p>
        </w:tc>
        <w:tc>
          <w:tcPr>
            <w:tcW w:w="1377" w:type="dxa"/>
            <w:tcBorders>
              <w:top w:val="single" w:color="auto" w:sz="2" w:space="0"/>
              <w:left w:val="single" w:color="auto" w:sz="2" w:space="0"/>
              <w:bottom w:val="single" w:color="auto" w:sz="2" w:space="0"/>
              <w:right w:val="single" w:color="auto" w:sz="2" w:space="0"/>
            </w:tcBorders>
            <w:vAlign w:val="center"/>
          </w:tcPr>
          <w:p w14:paraId="4CC90B10">
            <w:pPr>
              <w:spacing w:line="240" w:lineRule="exact"/>
              <w:jc w:val="right"/>
              <w:rPr>
                <w:rFonts w:ascii="宋体" w:hAnsi="宋体" w:eastAsia="宋体" w:cs="宋体"/>
                <w:sz w:val="18"/>
                <w:szCs w:val="18"/>
              </w:rPr>
            </w:pPr>
            <w:r>
              <w:rPr>
                <w:rFonts w:ascii="宋体" w:hAnsi="宋体" w:cs="宋体"/>
                <w:sz w:val="18"/>
                <w:szCs w:val="18"/>
              </w:rPr>
              <w:t>-2.58%</w:t>
            </w:r>
          </w:p>
        </w:tc>
        <w:tc>
          <w:tcPr>
            <w:tcW w:w="1377" w:type="dxa"/>
            <w:tcBorders>
              <w:top w:val="single" w:color="auto" w:sz="2" w:space="0"/>
              <w:left w:val="single" w:color="auto" w:sz="2" w:space="0"/>
              <w:bottom w:val="single" w:color="auto" w:sz="2" w:space="0"/>
              <w:right w:val="single" w:color="auto" w:sz="2" w:space="0"/>
            </w:tcBorders>
            <w:vAlign w:val="center"/>
          </w:tcPr>
          <w:p w14:paraId="0C573ED3">
            <w:pPr>
              <w:spacing w:line="240" w:lineRule="exact"/>
              <w:jc w:val="right"/>
              <w:rPr>
                <w:rFonts w:ascii="宋体" w:hAnsi="宋体" w:eastAsia="宋体" w:cs="宋体"/>
                <w:sz w:val="18"/>
                <w:szCs w:val="18"/>
              </w:rPr>
            </w:pPr>
            <w:r>
              <w:rPr>
                <w:rFonts w:ascii="宋体" w:hAnsi="宋体" w:cs="宋体"/>
                <w:sz w:val="18"/>
                <w:szCs w:val="18"/>
              </w:rPr>
              <w:t>-8.54%</w:t>
            </w:r>
          </w:p>
        </w:tc>
        <w:tc>
          <w:tcPr>
            <w:tcW w:w="1377" w:type="dxa"/>
            <w:tcBorders>
              <w:top w:val="single" w:color="auto" w:sz="2" w:space="0"/>
              <w:left w:val="single" w:color="auto" w:sz="2" w:space="0"/>
              <w:bottom w:val="single" w:color="auto" w:sz="2" w:space="0"/>
              <w:right w:val="single" w:color="auto" w:sz="2" w:space="0"/>
            </w:tcBorders>
            <w:vAlign w:val="center"/>
          </w:tcPr>
          <w:p w14:paraId="2DCB2745">
            <w:pPr>
              <w:spacing w:line="240" w:lineRule="exact"/>
              <w:jc w:val="right"/>
              <w:rPr>
                <w:rFonts w:ascii="宋体" w:hAnsi="宋体" w:eastAsia="宋体" w:cs="宋体"/>
                <w:sz w:val="18"/>
                <w:szCs w:val="18"/>
              </w:rPr>
            </w:pPr>
            <w:r>
              <w:rPr>
                <w:rFonts w:ascii="宋体" w:hAnsi="宋体" w:cs="宋体"/>
                <w:sz w:val="18"/>
                <w:szCs w:val="18"/>
              </w:rPr>
              <w:t>2.22%</w:t>
            </w:r>
          </w:p>
        </w:tc>
      </w:tr>
      <w:tr w14:paraId="3F2BC7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14:paraId="1EE9AD54">
            <w:pPr>
              <w:spacing w:before="40" w:after="40" w:line="240" w:lineRule="exact"/>
              <w:jc w:val="left"/>
              <w:rPr>
                <w:rFonts w:ascii="宋体" w:hAnsi="宋体" w:eastAsia="宋体" w:cs="宋体"/>
                <w:sz w:val="18"/>
                <w:szCs w:val="18"/>
              </w:rPr>
            </w:pPr>
            <w:r>
              <w:rPr>
                <w:rFonts w:ascii="宋体" w:hAnsi="宋体" w:eastAsia="宋体" w:cs="宋体"/>
                <w:sz w:val="18"/>
                <w:szCs w:val="18"/>
              </w:rPr>
              <w:t>分地区</w:t>
            </w:r>
          </w:p>
        </w:tc>
      </w:tr>
      <w:tr w14:paraId="0F4D91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7823E614">
            <w:pPr>
              <w:spacing w:before="0" w:after="0" w:line="240" w:lineRule="exact"/>
              <w:jc w:val="left"/>
              <w:rPr>
                <w:rFonts w:ascii="宋体" w:hAnsi="宋体" w:eastAsia="宋体" w:cs="宋体"/>
                <w:sz w:val="18"/>
                <w:szCs w:val="18"/>
              </w:rPr>
            </w:pPr>
            <w:r>
              <w:rPr>
                <w:rFonts w:ascii="宋体" w:hAnsi="宋体" w:eastAsia="宋体" w:cs="宋体"/>
                <w:sz w:val="18"/>
                <w:szCs w:val="18"/>
              </w:rPr>
              <w:t>北区</w:t>
            </w:r>
          </w:p>
        </w:tc>
        <w:tc>
          <w:tcPr>
            <w:tcW w:w="1620" w:type="dxa"/>
            <w:tcBorders>
              <w:top w:val="single" w:color="auto" w:sz="2" w:space="0"/>
              <w:left w:val="single" w:color="auto" w:sz="2" w:space="0"/>
              <w:bottom w:val="single" w:color="auto" w:sz="2" w:space="0"/>
              <w:right w:val="single" w:color="auto" w:sz="2" w:space="0"/>
            </w:tcBorders>
            <w:vAlign w:val="center"/>
          </w:tcPr>
          <w:p w14:paraId="15CCC832">
            <w:pPr>
              <w:spacing w:line="240" w:lineRule="exact"/>
              <w:jc w:val="right"/>
              <w:rPr>
                <w:rFonts w:ascii="宋体" w:hAnsi="宋体" w:eastAsia="宋体" w:cs="宋体"/>
                <w:sz w:val="18"/>
                <w:szCs w:val="18"/>
              </w:rPr>
            </w:pPr>
            <w:r>
              <w:rPr>
                <w:rFonts w:ascii="宋体" w:hAnsi="宋体" w:cs="宋体"/>
                <w:sz w:val="18"/>
                <w:szCs w:val="18"/>
              </w:rPr>
              <w:t>134,126,525.50</w:t>
            </w:r>
          </w:p>
        </w:tc>
        <w:tc>
          <w:tcPr>
            <w:tcW w:w="1660" w:type="dxa"/>
            <w:tcBorders>
              <w:top w:val="single" w:color="auto" w:sz="2" w:space="0"/>
              <w:left w:val="single" w:color="auto" w:sz="2" w:space="0"/>
              <w:bottom w:val="single" w:color="auto" w:sz="2" w:space="0"/>
              <w:right w:val="single" w:color="auto" w:sz="2" w:space="0"/>
            </w:tcBorders>
            <w:vAlign w:val="center"/>
          </w:tcPr>
          <w:p w14:paraId="6842E944">
            <w:pPr>
              <w:spacing w:line="240" w:lineRule="exact"/>
              <w:jc w:val="right"/>
              <w:rPr>
                <w:rFonts w:ascii="宋体" w:hAnsi="宋体" w:eastAsia="宋体" w:cs="宋体"/>
                <w:sz w:val="18"/>
                <w:szCs w:val="18"/>
              </w:rPr>
            </w:pPr>
            <w:r>
              <w:rPr>
                <w:rFonts w:ascii="宋体" w:hAnsi="宋体" w:cs="宋体"/>
                <w:sz w:val="18"/>
                <w:szCs w:val="18"/>
              </w:rPr>
              <w:t>50,850,682.53</w:t>
            </w:r>
          </w:p>
        </w:tc>
        <w:tc>
          <w:tcPr>
            <w:tcW w:w="851" w:type="dxa"/>
            <w:tcBorders>
              <w:top w:val="single" w:color="auto" w:sz="2" w:space="0"/>
              <w:left w:val="single" w:color="auto" w:sz="2" w:space="0"/>
              <w:bottom w:val="single" w:color="auto" w:sz="2" w:space="0"/>
              <w:right w:val="single" w:color="auto" w:sz="2" w:space="0"/>
            </w:tcBorders>
            <w:vAlign w:val="center"/>
          </w:tcPr>
          <w:p w14:paraId="7D64262A">
            <w:pPr>
              <w:spacing w:line="240" w:lineRule="exact"/>
              <w:jc w:val="right"/>
              <w:rPr>
                <w:rFonts w:ascii="宋体" w:hAnsi="宋体" w:eastAsia="宋体" w:cs="宋体"/>
                <w:sz w:val="18"/>
                <w:szCs w:val="18"/>
              </w:rPr>
            </w:pPr>
            <w:r>
              <w:rPr>
                <w:rFonts w:ascii="宋体" w:hAnsi="宋体" w:cs="宋体"/>
                <w:sz w:val="18"/>
                <w:szCs w:val="18"/>
              </w:rPr>
              <w:t>62.09%</w:t>
            </w:r>
          </w:p>
        </w:tc>
        <w:tc>
          <w:tcPr>
            <w:tcW w:w="1377" w:type="dxa"/>
            <w:tcBorders>
              <w:top w:val="single" w:color="auto" w:sz="2" w:space="0"/>
              <w:left w:val="single" w:color="auto" w:sz="2" w:space="0"/>
              <w:bottom w:val="single" w:color="auto" w:sz="2" w:space="0"/>
              <w:right w:val="single" w:color="auto" w:sz="2" w:space="0"/>
            </w:tcBorders>
            <w:vAlign w:val="center"/>
          </w:tcPr>
          <w:p w14:paraId="7A040F62">
            <w:pPr>
              <w:spacing w:line="240" w:lineRule="exact"/>
              <w:jc w:val="right"/>
              <w:rPr>
                <w:rFonts w:ascii="宋体" w:hAnsi="宋体" w:eastAsia="宋体" w:cs="宋体"/>
                <w:sz w:val="18"/>
                <w:szCs w:val="18"/>
              </w:rPr>
            </w:pPr>
            <w:r>
              <w:rPr>
                <w:rFonts w:ascii="宋体" w:hAnsi="宋体" w:cs="宋体"/>
                <w:sz w:val="18"/>
                <w:szCs w:val="18"/>
              </w:rPr>
              <w:t>28.00%</w:t>
            </w:r>
          </w:p>
        </w:tc>
        <w:tc>
          <w:tcPr>
            <w:tcW w:w="1377" w:type="dxa"/>
            <w:tcBorders>
              <w:top w:val="single" w:color="auto" w:sz="2" w:space="0"/>
              <w:left w:val="single" w:color="auto" w:sz="2" w:space="0"/>
              <w:bottom w:val="single" w:color="auto" w:sz="2" w:space="0"/>
              <w:right w:val="single" w:color="auto" w:sz="2" w:space="0"/>
            </w:tcBorders>
            <w:vAlign w:val="center"/>
          </w:tcPr>
          <w:p w14:paraId="302E77AA">
            <w:pPr>
              <w:spacing w:line="240" w:lineRule="exact"/>
              <w:jc w:val="right"/>
              <w:rPr>
                <w:rFonts w:ascii="宋体" w:hAnsi="宋体" w:eastAsia="宋体" w:cs="宋体"/>
                <w:sz w:val="18"/>
                <w:szCs w:val="18"/>
              </w:rPr>
            </w:pPr>
            <w:r>
              <w:rPr>
                <w:rFonts w:ascii="宋体" w:hAnsi="宋体" w:cs="宋体"/>
                <w:sz w:val="18"/>
                <w:szCs w:val="18"/>
              </w:rPr>
              <w:t>30.31%</w:t>
            </w:r>
          </w:p>
        </w:tc>
        <w:tc>
          <w:tcPr>
            <w:tcW w:w="1377" w:type="dxa"/>
            <w:tcBorders>
              <w:top w:val="single" w:color="auto" w:sz="2" w:space="0"/>
              <w:left w:val="single" w:color="auto" w:sz="2" w:space="0"/>
              <w:bottom w:val="single" w:color="auto" w:sz="2" w:space="0"/>
              <w:right w:val="single" w:color="auto" w:sz="2" w:space="0"/>
            </w:tcBorders>
            <w:vAlign w:val="center"/>
          </w:tcPr>
          <w:p w14:paraId="6F937E04">
            <w:pPr>
              <w:spacing w:line="240" w:lineRule="exact"/>
              <w:jc w:val="right"/>
              <w:rPr>
                <w:rFonts w:ascii="宋体" w:hAnsi="宋体" w:eastAsia="宋体" w:cs="宋体"/>
                <w:sz w:val="18"/>
                <w:szCs w:val="18"/>
              </w:rPr>
            </w:pPr>
            <w:r>
              <w:rPr>
                <w:rFonts w:ascii="宋体" w:hAnsi="宋体" w:cs="宋体"/>
                <w:sz w:val="18"/>
                <w:szCs w:val="18"/>
              </w:rPr>
              <w:t>-0.67%</w:t>
            </w:r>
          </w:p>
        </w:tc>
      </w:tr>
      <w:tr w14:paraId="364973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53525386">
            <w:pPr>
              <w:spacing w:before="0" w:after="0" w:line="240" w:lineRule="exact"/>
              <w:jc w:val="left"/>
              <w:rPr>
                <w:rFonts w:ascii="宋体" w:hAnsi="宋体" w:eastAsia="宋体" w:cs="宋体"/>
                <w:sz w:val="18"/>
                <w:szCs w:val="18"/>
              </w:rPr>
            </w:pPr>
            <w:r>
              <w:rPr>
                <w:rFonts w:ascii="宋体" w:hAnsi="宋体" w:eastAsia="宋体" w:cs="宋体"/>
                <w:sz w:val="18"/>
                <w:szCs w:val="18"/>
              </w:rPr>
              <w:t>东区</w:t>
            </w:r>
          </w:p>
        </w:tc>
        <w:tc>
          <w:tcPr>
            <w:tcW w:w="1620" w:type="dxa"/>
            <w:tcBorders>
              <w:top w:val="single" w:color="auto" w:sz="2" w:space="0"/>
              <w:left w:val="single" w:color="auto" w:sz="2" w:space="0"/>
              <w:bottom w:val="single" w:color="auto" w:sz="2" w:space="0"/>
              <w:right w:val="single" w:color="auto" w:sz="2" w:space="0"/>
            </w:tcBorders>
            <w:vAlign w:val="center"/>
          </w:tcPr>
          <w:p w14:paraId="54404C20">
            <w:pPr>
              <w:spacing w:line="240" w:lineRule="exact"/>
              <w:jc w:val="right"/>
              <w:rPr>
                <w:rFonts w:ascii="宋体" w:hAnsi="宋体" w:eastAsia="宋体" w:cs="宋体"/>
                <w:sz w:val="18"/>
                <w:szCs w:val="18"/>
              </w:rPr>
            </w:pPr>
            <w:r>
              <w:rPr>
                <w:rFonts w:ascii="宋体" w:hAnsi="宋体" w:cs="宋体"/>
                <w:sz w:val="18"/>
                <w:szCs w:val="18"/>
              </w:rPr>
              <w:t>133,941,977.37</w:t>
            </w:r>
          </w:p>
        </w:tc>
        <w:tc>
          <w:tcPr>
            <w:tcW w:w="1660" w:type="dxa"/>
            <w:tcBorders>
              <w:top w:val="single" w:color="auto" w:sz="2" w:space="0"/>
              <w:left w:val="single" w:color="auto" w:sz="2" w:space="0"/>
              <w:bottom w:val="single" w:color="auto" w:sz="2" w:space="0"/>
              <w:right w:val="single" w:color="auto" w:sz="2" w:space="0"/>
            </w:tcBorders>
            <w:vAlign w:val="center"/>
          </w:tcPr>
          <w:p w14:paraId="1F695AE7">
            <w:pPr>
              <w:spacing w:line="240" w:lineRule="exact"/>
              <w:jc w:val="right"/>
              <w:rPr>
                <w:rFonts w:ascii="宋体" w:hAnsi="宋体" w:eastAsia="宋体" w:cs="宋体"/>
                <w:sz w:val="18"/>
                <w:szCs w:val="18"/>
              </w:rPr>
            </w:pPr>
            <w:r>
              <w:rPr>
                <w:rFonts w:ascii="宋体" w:hAnsi="宋体" w:cs="宋体"/>
                <w:sz w:val="18"/>
                <w:szCs w:val="18"/>
              </w:rPr>
              <w:t>48,218,796.83</w:t>
            </w:r>
          </w:p>
        </w:tc>
        <w:tc>
          <w:tcPr>
            <w:tcW w:w="851" w:type="dxa"/>
            <w:tcBorders>
              <w:top w:val="single" w:color="auto" w:sz="2" w:space="0"/>
              <w:left w:val="single" w:color="auto" w:sz="2" w:space="0"/>
              <w:bottom w:val="single" w:color="auto" w:sz="2" w:space="0"/>
              <w:right w:val="single" w:color="auto" w:sz="2" w:space="0"/>
            </w:tcBorders>
            <w:vAlign w:val="center"/>
          </w:tcPr>
          <w:p w14:paraId="04AE3054">
            <w:pPr>
              <w:spacing w:line="240" w:lineRule="exact"/>
              <w:jc w:val="right"/>
              <w:rPr>
                <w:rFonts w:ascii="宋体" w:hAnsi="宋体" w:eastAsia="宋体" w:cs="宋体"/>
                <w:sz w:val="18"/>
                <w:szCs w:val="18"/>
              </w:rPr>
            </w:pPr>
            <w:r>
              <w:rPr>
                <w:rFonts w:ascii="宋体" w:hAnsi="宋体" w:cs="宋体"/>
                <w:sz w:val="18"/>
                <w:szCs w:val="18"/>
              </w:rPr>
              <w:t>64.00%</w:t>
            </w:r>
          </w:p>
        </w:tc>
        <w:tc>
          <w:tcPr>
            <w:tcW w:w="1377" w:type="dxa"/>
            <w:tcBorders>
              <w:top w:val="single" w:color="auto" w:sz="2" w:space="0"/>
              <w:left w:val="single" w:color="auto" w:sz="2" w:space="0"/>
              <w:bottom w:val="single" w:color="auto" w:sz="2" w:space="0"/>
              <w:right w:val="single" w:color="auto" w:sz="2" w:space="0"/>
            </w:tcBorders>
            <w:vAlign w:val="center"/>
          </w:tcPr>
          <w:p w14:paraId="66277717">
            <w:pPr>
              <w:spacing w:line="240" w:lineRule="exact"/>
              <w:jc w:val="right"/>
              <w:rPr>
                <w:rFonts w:ascii="宋体" w:hAnsi="宋体" w:eastAsia="宋体" w:cs="宋体"/>
                <w:sz w:val="18"/>
                <w:szCs w:val="18"/>
              </w:rPr>
            </w:pPr>
            <w:r>
              <w:rPr>
                <w:rFonts w:ascii="宋体" w:hAnsi="宋体" w:cs="宋体"/>
                <w:sz w:val="18"/>
                <w:szCs w:val="18"/>
              </w:rPr>
              <w:t>0.18%</w:t>
            </w:r>
          </w:p>
        </w:tc>
        <w:tc>
          <w:tcPr>
            <w:tcW w:w="1377" w:type="dxa"/>
            <w:tcBorders>
              <w:top w:val="single" w:color="auto" w:sz="2" w:space="0"/>
              <w:left w:val="single" w:color="auto" w:sz="2" w:space="0"/>
              <w:bottom w:val="single" w:color="auto" w:sz="2" w:space="0"/>
              <w:right w:val="single" w:color="auto" w:sz="2" w:space="0"/>
            </w:tcBorders>
            <w:vAlign w:val="center"/>
          </w:tcPr>
          <w:p w14:paraId="4DEE7BCA">
            <w:pPr>
              <w:spacing w:line="240" w:lineRule="exact"/>
              <w:jc w:val="right"/>
              <w:rPr>
                <w:rFonts w:ascii="宋体" w:hAnsi="宋体" w:eastAsia="宋体" w:cs="宋体"/>
                <w:sz w:val="18"/>
                <w:szCs w:val="18"/>
              </w:rPr>
            </w:pPr>
            <w:r>
              <w:rPr>
                <w:rFonts w:ascii="宋体" w:hAnsi="宋体" w:cs="宋体"/>
                <w:sz w:val="18"/>
                <w:szCs w:val="18"/>
              </w:rPr>
              <w:t>2.38%</w:t>
            </w:r>
          </w:p>
        </w:tc>
        <w:tc>
          <w:tcPr>
            <w:tcW w:w="1377" w:type="dxa"/>
            <w:tcBorders>
              <w:top w:val="single" w:color="auto" w:sz="2" w:space="0"/>
              <w:left w:val="single" w:color="auto" w:sz="2" w:space="0"/>
              <w:bottom w:val="single" w:color="auto" w:sz="2" w:space="0"/>
              <w:right w:val="single" w:color="auto" w:sz="2" w:space="0"/>
            </w:tcBorders>
            <w:vAlign w:val="center"/>
          </w:tcPr>
          <w:p w14:paraId="17A532D5">
            <w:pPr>
              <w:spacing w:line="240" w:lineRule="exact"/>
              <w:jc w:val="right"/>
              <w:rPr>
                <w:rFonts w:ascii="宋体" w:hAnsi="宋体" w:eastAsia="宋体" w:cs="宋体"/>
                <w:sz w:val="18"/>
                <w:szCs w:val="18"/>
              </w:rPr>
            </w:pPr>
            <w:r>
              <w:rPr>
                <w:rFonts w:ascii="宋体" w:hAnsi="宋体" w:cs="宋体"/>
                <w:sz w:val="18"/>
                <w:szCs w:val="18"/>
              </w:rPr>
              <w:t>-0.77%</w:t>
            </w:r>
          </w:p>
        </w:tc>
      </w:tr>
      <w:tr w14:paraId="072514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7179DC5B">
            <w:pPr>
              <w:spacing w:before="0" w:after="0" w:line="240" w:lineRule="exact"/>
              <w:jc w:val="left"/>
              <w:rPr>
                <w:rFonts w:ascii="宋体" w:hAnsi="宋体" w:eastAsia="宋体" w:cs="宋体"/>
                <w:sz w:val="18"/>
                <w:szCs w:val="18"/>
              </w:rPr>
            </w:pPr>
            <w:r>
              <w:rPr>
                <w:rFonts w:ascii="宋体" w:hAnsi="宋体" w:eastAsia="宋体" w:cs="宋体"/>
                <w:sz w:val="18"/>
                <w:szCs w:val="18"/>
              </w:rPr>
              <w:t>南区</w:t>
            </w:r>
          </w:p>
        </w:tc>
        <w:tc>
          <w:tcPr>
            <w:tcW w:w="1620" w:type="dxa"/>
            <w:tcBorders>
              <w:top w:val="single" w:color="auto" w:sz="2" w:space="0"/>
              <w:left w:val="single" w:color="auto" w:sz="2" w:space="0"/>
              <w:bottom w:val="single" w:color="auto" w:sz="2" w:space="0"/>
              <w:right w:val="single" w:color="auto" w:sz="2" w:space="0"/>
            </w:tcBorders>
            <w:vAlign w:val="center"/>
          </w:tcPr>
          <w:p w14:paraId="2B959EB6">
            <w:pPr>
              <w:spacing w:line="240" w:lineRule="exact"/>
              <w:jc w:val="right"/>
              <w:rPr>
                <w:rFonts w:ascii="宋体" w:hAnsi="宋体" w:eastAsia="宋体" w:cs="宋体"/>
                <w:sz w:val="18"/>
                <w:szCs w:val="18"/>
              </w:rPr>
            </w:pPr>
            <w:r>
              <w:rPr>
                <w:rFonts w:ascii="宋体" w:hAnsi="宋体" w:cs="宋体"/>
                <w:sz w:val="18"/>
                <w:szCs w:val="18"/>
              </w:rPr>
              <w:t>77,958,549.23</w:t>
            </w:r>
          </w:p>
        </w:tc>
        <w:tc>
          <w:tcPr>
            <w:tcW w:w="1660" w:type="dxa"/>
            <w:tcBorders>
              <w:top w:val="single" w:color="auto" w:sz="2" w:space="0"/>
              <w:left w:val="single" w:color="auto" w:sz="2" w:space="0"/>
              <w:bottom w:val="single" w:color="auto" w:sz="2" w:space="0"/>
              <w:right w:val="single" w:color="auto" w:sz="2" w:space="0"/>
            </w:tcBorders>
            <w:vAlign w:val="center"/>
          </w:tcPr>
          <w:p w14:paraId="28E2575F">
            <w:pPr>
              <w:spacing w:line="240" w:lineRule="exact"/>
              <w:jc w:val="right"/>
              <w:rPr>
                <w:rFonts w:ascii="宋体" w:hAnsi="宋体" w:eastAsia="宋体" w:cs="宋体"/>
                <w:sz w:val="18"/>
                <w:szCs w:val="18"/>
              </w:rPr>
            </w:pPr>
            <w:r>
              <w:rPr>
                <w:rFonts w:ascii="宋体" w:hAnsi="宋体" w:cs="宋体"/>
                <w:sz w:val="18"/>
                <w:szCs w:val="18"/>
              </w:rPr>
              <w:t>38,913,570.48</w:t>
            </w:r>
          </w:p>
        </w:tc>
        <w:tc>
          <w:tcPr>
            <w:tcW w:w="851" w:type="dxa"/>
            <w:tcBorders>
              <w:top w:val="single" w:color="auto" w:sz="2" w:space="0"/>
              <w:left w:val="single" w:color="auto" w:sz="2" w:space="0"/>
              <w:bottom w:val="single" w:color="auto" w:sz="2" w:space="0"/>
              <w:right w:val="single" w:color="auto" w:sz="2" w:space="0"/>
            </w:tcBorders>
            <w:vAlign w:val="center"/>
          </w:tcPr>
          <w:p w14:paraId="0CD18907">
            <w:pPr>
              <w:spacing w:line="240" w:lineRule="exact"/>
              <w:jc w:val="right"/>
              <w:rPr>
                <w:rFonts w:ascii="宋体" w:hAnsi="宋体" w:eastAsia="宋体" w:cs="宋体"/>
                <w:sz w:val="18"/>
                <w:szCs w:val="18"/>
              </w:rPr>
            </w:pPr>
            <w:r>
              <w:rPr>
                <w:rFonts w:ascii="宋体" w:hAnsi="宋体" w:cs="宋体"/>
                <w:sz w:val="18"/>
                <w:szCs w:val="18"/>
              </w:rPr>
              <w:t>50.08%</w:t>
            </w:r>
          </w:p>
        </w:tc>
        <w:tc>
          <w:tcPr>
            <w:tcW w:w="1377" w:type="dxa"/>
            <w:tcBorders>
              <w:top w:val="single" w:color="auto" w:sz="2" w:space="0"/>
              <w:left w:val="single" w:color="auto" w:sz="2" w:space="0"/>
              <w:bottom w:val="single" w:color="auto" w:sz="2" w:space="0"/>
              <w:right w:val="single" w:color="auto" w:sz="2" w:space="0"/>
            </w:tcBorders>
            <w:vAlign w:val="center"/>
          </w:tcPr>
          <w:p w14:paraId="1B9AA324">
            <w:pPr>
              <w:spacing w:line="240" w:lineRule="exact"/>
              <w:jc w:val="right"/>
              <w:rPr>
                <w:rFonts w:ascii="宋体" w:hAnsi="宋体" w:eastAsia="宋体" w:cs="宋体"/>
                <w:sz w:val="18"/>
                <w:szCs w:val="18"/>
              </w:rPr>
            </w:pPr>
            <w:r>
              <w:rPr>
                <w:rFonts w:ascii="宋体" w:hAnsi="宋体" w:cs="宋体"/>
                <w:sz w:val="18"/>
                <w:szCs w:val="18"/>
              </w:rPr>
              <w:t>11.24%</w:t>
            </w:r>
          </w:p>
        </w:tc>
        <w:tc>
          <w:tcPr>
            <w:tcW w:w="1377" w:type="dxa"/>
            <w:tcBorders>
              <w:top w:val="single" w:color="auto" w:sz="2" w:space="0"/>
              <w:left w:val="single" w:color="auto" w:sz="2" w:space="0"/>
              <w:bottom w:val="single" w:color="auto" w:sz="2" w:space="0"/>
              <w:right w:val="single" w:color="auto" w:sz="2" w:space="0"/>
            </w:tcBorders>
            <w:vAlign w:val="center"/>
          </w:tcPr>
          <w:p w14:paraId="31AA8E5B">
            <w:pPr>
              <w:spacing w:line="240" w:lineRule="exact"/>
              <w:jc w:val="right"/>
              <w:rPr>
                <w:rFonts w:ascii="宋体" w:hAnsi="宋体" w:eastAsia="宋体" w:cs="宋体"/>
                <w:sz w:val="18"/>
                <w:szCs w:val="18"/>
              </w:rPr>
            </w:pPr>
            <w:r>
              <w:rPr>
                <w:rFonts w:ascii="宋体" w:hAnsi="宋体" w:cs="宋体"/>
                <w:sz w:val="18"/>
                <w:szCs w:val="18"/>
              </w:rPr>
              <w:t>17.46%</w:t>
            </w:r>
          </w:p>
        </w:tc>
        <w:tc>
          <w:tcPr>
            <w:tcW w:w="1377" w:type="dxa"/>
            <w:tcBorders>
              <w:top w:val="single" w:color="auto" w:sz="2" w:space="0"/>
              <w:left w:val="single" w:color="auto" w:sz="2" w:space="0"/>
              <w:bottom w:val="single" w:color="auto" w:sz="2" w:space="0"/>
              <w:right w:val="single" w:color="auto" w:sz="2" w:space="0"/>
            </w:tcBorders>
            <w:vAlign w:val="center"/>
          </w:tcPr>
          <w:p w14:paraId="07304DA1">
            <w:pPr>
              <w:spacing w:line="240" w:lineRule="exact"/>
              <w:jc w:val="right"/>
              <w:rPr>
                <w:rFonts w:ascii="宋体" w:hAnsi="宋体" w:eastAsia="宋体" w:cs="宋体"/>
                <w:sz w:val="18"/>
                <w:szCs w:val="18"/>
              </w:rPr>
            </w:pPr>
            <w:r>
              <w:rPr>
                <w:rFonts w:ascii="宋体" w:hAnsi="宋体" w:cs="宋体"/>
                <w:sz w:val="18"/>
                <w:szCs w:val="18"/>
              </w:rPr>
              <w:t>-2.65%</w:t>
            </w:r>
          </w:p>
        </w:tc>
      </w:tr>
      <w:tr w14:paraId="4AFEE8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489D537">
            <w:pPr>
              <w:spacing w:before="0" w:after="0" w:line="240" w:lineRule="exact"/>
              <w:jc w:val="left"/>
              <w:rPr>
                <w:rFonts w:ascii="宋体" w:hAnsi="宋体" w:eastAsia="宋体" w:cs="宋体"/>
                <w:sz w:val="18"/>
                <w:szCs w:val="18"/>
              </w:rPr>
            </w:pPr>
            <w:r>
              <w:rPr>
                <w:rFonts w:ascii="宋体" w:hAnsi="宋体" w:eastAsia="宋体" w:cs="宋体"/>
                <w:sz w:val="18"/>
                <w:szCs w:val="18"/>
              </w:rPr>
              <w:t>西北区</w:t>
            </w:r>
          </w:p>
        </w:tc>
        <w:tc>
          <w:tcPr>
            <w:tcW w:w="1620" w:type="dxa"/>
            <w:tcBorders>
              <w:top w:val="single" w:color="auto" w:sz="2" w:space="0"/>
              <w:left w:val="single" w:color="auto" w:sz="2" w:space="0"/>
              <w:bottom w:val="single" w:color="auto" w:sz="2" w:space="0"/>
              <w:right w:val="single" w:color="auto" w:sz="2" w:space="0"/>
            </w:tcBorders>
            <w:vAlign w:val="center"/>
          </w:tcPr>
          <w:p w14:paraId="39C5F115">
            <w:pPr>
              <w:spacing w:line="240" w:lineRule="exact"/>
              <w:jc w:val="right"/>
              <w:rPr>
                <w:rFonts w:ascii="宋体" w:hAnsi="宋体" w:eastAsia="宋体" w:cs="宋体"/>
                <w:sz w:val="18"/>
                <w:szCs w:val="18"/>
              </w:rPr>
            </w:pPr>
            <w:r>
              <w:rPr>
                <w:rFonts w:ascii="宋体" w:hAnsi="宋体" w:cs="宋体"/>
                <w:sz w:val="18"/>
                <w:szCs w:val="18"/>
              </w:rPr>
              <w:t>36,087,156.40</w:t>
            </w:r>
          </w:p>
        </w:tc>
        <w:tc>
          <w:tcPr>
            <w:tcW w:w="1660" w:type="dxa"/>
            <w:tcBorders>
              <w:top w:val="single" w:color="auto" w:sz="2" w:space="0"/>
              <w:left w:val="single" w:color="auto" w:sz="2" w:space="0"/>
              <w:bottom w:val="single" w:color="auto" w:sz="2" w:space="0"/>
              <w:right w:val="single" w:color="auto" w:sz="2" w:space="0"/>
            </w:tcBorders>
            <w:vAlign w:val="center"/>
          </w:tcPr>
          <w:p w14:paraId="5B994EEE">
            <w:pPr>
              <w:spacing w:line="240" w:lineRule="exact"/>
              <w:jc w:val="right"/>
              <w:rPr>
                <w:rFonts w:ascii="宋体" w:hAnsi="宋体" w:eastAsia="宋体" w:cs="宋体"/>
                <w:sz w:val="18"/>
                <w:szCs w:val="18"/>
              </w:rPr>
            </w:pPr>
            <w:r>
              <w:rPr>
                <w:rFonts w:ascii="宋体" w:hAnsi="宋体" w:cs="宋体"/>
                <w:sz w:val="18"/>
                <w:szCs w:val="18"/>
              </w:rPr>
              <w:t>20,368,345.31</w:t>
            </w:r>
          </w:p>
        </w:tc>
        <w:tc>
          <w:tcPr>
            <w:tcW w:w="851" w:type="dxa"/>
            <w:tcBorders>
              <w:top w:val="single" w:color="auto" w:sz="2" w:space="0"/>
              <w:left w:val="single" w:color="auto" w:sz="2" w:space="0"/>
              <w:bottom w:val="single" w:color="auto" w:sz="2" w:space="0"/>
              <w:right w:val="single" w:color="auto" w:sz="2" w:space="0"/>
            </w:tcBorders>
            <w:vAlign w:val="center"/>
          </w:tcPr>
          <w:p w14:paraId="4205E0D0">
            <w:pPr>
              <w:spacing w:line="240" w:lineRule="exact"/>
              <w:jc w:val="right"/>
              <w:rPr>
                <w:rFonts w:ascii="宋体" w:hAnsi="宋体" w:eastAsia="宋体" w:cs="宋体"/>
                <w:sz w:val="18"/>
                <w:szCs w:val="18"/>
              </w:rPr>
            </w:pPr>
            <w:r>
              <w:rPr>
                <w:rFonts w:ascii="宋体" w:hAnsi="宋体" w:cs="宋体"/>
                <w:sz w:val="18"/>
                <w:szCs w:val="18"/>
              </w:rPr>
              <w:t>43.56%</w:t>
            </w:r>
          </w:p>
        </w:tc>
        <w:tc>
          <w:tcPr>
            <w:tcW w:w="1377" w:type="dxa"/>
            <w:tcBorders>
              <w:top w:val="single" w:color="auto" w:sz="2" w:space="0"/>
              <w:left w:val="single" w:color="auto" w:sz="2" w:space="0"/>
              <w:bottom w:val="single" w:color="auto" w:sz="2" w:space="0"/>
              <w:right w:val="single" w:color="auto" w:sz="2" w:space="0"/>
            </w:tcBorders>
            <w:vAlign w:val="center"/>
          </w:tcPr>
          <w:p w14:paraId="0F5CC8E8">
            <w:pPr>
              <w:spacing w:line="240" w:lineRule="exact"/>
              <w:jc w:val="right"/>
              <w:rPr>
                <w:rFonts w:ascii="宋体" w:hAnsi="宋体" w:eastAsia="宋体" w:cs="宋体"/>
                <w:sz w:val="18"/>
                <w:szCs w:val="18"/>
              </w:rPr>
            </w:pPr>
            <w:r>
              <w:rPr>
                <w:rFonts w:ascii="宋体" w:hAnsi="宋体" w:cs="宋体"/>
                <w:sz w:val="18"/>
                <w:szCs w:val="18"/>
              </w:rPr>
              <w:t>8.83%</w:t>
            </w:r>
          </w:p>
        </w:tc>
        <w:tc>
          <w:tcPr>
            <w:tcW w:w="1377" w:type="dxa"/>
            <w:tcBorders>
              <w:top w:val="single" w:color="auto" w:sz="2" w:space="0"/>
              <w:left w:val="single" w:color="auto" w:sz="2" w:space="0"/>
              <w:bottom w:val="single" w:color="auto" w:sz="2" w:space="0"/>
              <w:right w:val="single" w:color="auto" w:sz="2" w:space="0"/>
            </w:tcBorders>
            <w:vAlign w:val="center"/>
          </w:tcPr>
          <w:p w14:paraId="592EB055">
            <w:pPr>
              <w:spacing w:line="240" w:lineRule="exact"/>
              <w:jc w:val="right"/>
              <w:rPr>
                <w:rFonts w:ascii="宋体" w:hAnsi="宋体" w:eastAsia="宋体" w:cs="宋体"/>
                <w:sz w:val="18"/>
                <w:szCs w:val="18"/>
              </w:rPr>
            </w:pPr>
            <w:r>
              <w:rPr>
                <w:rFonts w:ascii="宋体" w:hAnsi="宋体" w:cs="宋体"/>
                <w:sz w:val="18"/>
                <w:szCs w:val="18"/>
              </w:rPr>
              <w:t>9.56%</w:t>
            </w:r>
          </w:p>
        </w:tc>
        <w:tc>
          <w:tcPr>
            <w:tcW w:w="1377" w:type="dxa"/>
            <w:tcBorders>
              <w:top w:val="single" w:color="auto" w:sz="2" w:space="0"/>
              <w:left w:val="single" w:color="auto" w:sz="2" w:space="0"/>
              <w:bottom w:val="single" w:color="auto" w:sz="2" w:space="0"/>
              <w:right w:val="single" w:color="auto" w:sz="2" w:space="0"/>
            </w:tcBorders>
            <w:vAlign w:val="center"/>
          </w:tcPr>
          <w:p w14:paraId="1F497B07">
            <w:pPr>
              <w:spacing w:line="240" w:lineRule="exact"/>
              <w:jc w:val="right"/>
              <w:rPr>
                <w:rFonts w:ascii="宋体" w:hAnsi="宋体" w:eastAsia="宋体" w:cs="宋体"/>
                <w:sz w:val="18"/>
                <w:szCs w:val="18"/>
              </w:rPr>
            </w:pPr>
            <w:r>
              <w:rPr>
                <w:rFonts w:ascii="宋体" w:hAnsi="宋体" w:cs="宋体"/>
                <w:sz w:val="18"/>
                <w:szCs w:val="18"/>
              </w:rPr>
              <w:t>-0.38%</w:t>
            </w:r>
          </w:p>
        </w:tc>
      </w:tr>
      <w:tr w14:paraId="43D44E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017A5285">
            <w:pPr>
              <w:spacing w:before="0" w:after="0" w:line="240" w:lineRule="exact"/>
              <w:jc w:val="left"/>
              <w:rPr>
                <w:rFonts w:ascii="宋体" w:hAnsi="宋体" w:eastAsia="宋体" w:cs="宋体"/>
                <w:sz w:val="18"/>
                <w:szCs w:val="18"/>
              </w:rPr>
            </w:pPr>
            <w:r>
              <w:rPr>
                <w:rFonts w:ascii="宋体" w:hAnsi="宋体" w:eastAsia="宋体" w:cs="宋体"/>
                <w:sz w:val="18"/>
                <w:szCs w:val="18"/>
              </w:rPr>
              <w:t>西南区</w:t>
            </w:r>
          </w:p>
        </w:tc>
        <w:tc>
          <w:tcPr>
            <w:tcW w:w="1620" w:type="dxa"/>
            <w:tcBorders>
              <w:top w:val="single" w:color="auto" w:sz="2" w:space="0"/>
              <w:left w:val="single" w:color="auto" w:sz="2" w:space="0"/>
              <w:bottom w:val="single" w:color="auto" w:sz="2" w:space="0"/>
              <w:right w:val="single" w:color="auto" w:sz="2" w:space="0"/>
            </w:tcBorders>
            <w:vAlign w:val="center"/>
          </w:tcPr>
          <w:p w14:paraId="2199C147">
            <w:pPr>
              <w:spacing w:line="240" w:lineRule="exact"/>
              <w:jc w:val="right"/>
              <w:rPr>
                <w:rFonts w:ascii="宋体" w:hAnsi="宋体" w:eastAsia="宋体" w:cs="宋体"/>
                <w:sz w:val="18"/>
                <w:szCs w:val="18"/>
              </w:rPr>
            </w:pPr>
            <w:r>
              <w:rPr>
                <w:rFonts w:ascii="宋体" w:hAnsi="宋体" w:cs="宋体"/>
                <w:sz w:val="18"/>
                <w:szCs w:val="18"/>
              </w:rPr>
              <w:t>31,203,380.68</w:t>
            </w:r>
          </w:p>
        </w:tc>
        <w:tc>
          <w:tcPr>
            <w:tcW w:w="1660" w:type="dxa"/>
            <w:tcBorders>
              <w:top w:val="single" w:color="auto" w:sz="2" w:space="0"/>
              <w:left w:val="single" w:color="auto" w:sz="2" w:space="0"/>
              <w:bottom w:val="single" w:color="auto" w:sz="2" w:space="0"/>
              <w:right w:val="single" w:color="auto" w:sz="2" w:space="0"/>
            </w:tcBorders>
            <w:vAlign w:val="center"/>
          </w:tcPr>
          <w:p w14:paraId="3B1EE10C">
            <w:pPr>
              <w:spacing w:line="240" w:lineRule="exact"/>
              <w:jc w:val="right"/>
              <w:rPr>
                <w:rFonts w:ascii="宋体" w:hAnsi="宋体" w:eastAsia="宋体" w:cs="宋体"/>
                <w:sz w:val="18"/>
                <w:szCs w:val="18"/>
              </w:rPr>
            </w:pPr>
            <w:r>
              <w:rPr>
                <w:rFonts w:ascii="宋体" w:hAnsi="宋体" w:cs="宋体"/>
                <w:sz w:val="18"/>
                <w:szCs w:val="18"/>
              </w:rPr>
              <w:t>13,891,007.65</w:t>
            </w:r>
          </w:p>
        </w:tc>
        <w:tc>
          <w:tcPr>
            <w:tcW w:w="851" w:type="dxa"/>
            <w:tcBorders>
              <w:top w:val="single" w:color="auto" w:sz="2" w:space="0"/>
              <w:left w:val="single" w:color="auto" w:sz="2" w:space="0"/>
              <w:bottom w:val="single" w:color="auto" w:sz="2" w:space="0"/>
              <w:right w:val="single" w:color="auto" w:sz="2" w:space="0"/>
            </w:tcBorders>
            <w:vAlign w:val="center"/>
          </w:tcPr>
          <w:p w14:paraId="0A79958C">
            <w:pPr>
              <w:spacing w:line="240" w:lineRule="exact"/>
              <w:jc w:val="right"/>
              <w:rPr>
                <w:rFonts w:ascii="宋体" w:hAnsi="宋体" w:eastAsia="宋体" w:cs="宋体"/>
                <w:sz w:val="18"/>
                <w:szCs w:val="18"/>
              </w:rPr>
            </w:pPr>
            <w:r>
              <w:rPr>
                <w:rFonts w:ascii="宋体" w:hAnsi="宋体" w:cs="宋体"/>
                <w:sz w:val="18"/>
                <w:szCs w:val="18"/>
              </w:rPr>
              <w:t>55.48%</w:t>
            </w:r>
          </w:p>
        </w:tc>
        <w:tc>
          <w:tcPr>
            <w:tcW w:w="1377" w:type="dxa"/>
            <w:tcBorders>
              <w:top w:val="single" w:color="auto" w:sz="2" w:space="0"/>
              <w:left w:val="single" w:color="auto" w:sz="2" w:space="0"/>
              <w:bottom w:val="single" w:color="auto" w:sz="2" w:space="0"/>
              <w:right w:val="single" w:color="auto" w:sz="2" w:space="0"/>
            </w:tcBorders>
            <w:vAlign w:val="center"/>
          </w:tcPr>
          <w:p w14:paraId="3DCF1774">
            <w:pPr>
              <w:spacing w:line="240" w:lineRule="exact"/>
              <w:jc w:val="right"/>
              <w:rPr>
                <w:rFonts w:ascii="宋体" w:hAnsi="宋体" w:eastAsia="宋体" w:cs="宋体"/>
                <w:sz w:val="18"/>
                <w:szCs w:val="18"/>
              </w:rPr>
            </w:pPr>
            <w:r>
              <w:rPr>
                <w:rFonts w:ascii="宋体" w:hAnsi="宋体" w:cs="宋体"/>
                <w:sz w:val="18"/>
                <w:szCs w:val="18"/>
              </w:rPr>
              <w:t>-17.94%</w:t>
            </w:r>
          </w:p>
        </w:tc>
        <w:tc>
          <w:tcPr>
            <w:tcW w:w="1377" w:type="dxa"/>
            <w:tcBorders>
              <w:top w:val="single" w:color="auto" w:sz="2" w:space="0"/>
              <w:left w:val="single" w:color="auto" w:sz="2" w:space="0"/>
              <w:bottom w:val="single" w:color="auto" w:sz="2" w:space="0"/>
              <w:right w:val="single" w:color="auto" w:sz="2" w:space="0"/>
            </w:tcBorders>
            <w:vAlign w:val="center"/>
          </w:tcPr>
          <w:p w14:paraId="5005E22A">
            <w:pPr>
              <w:spacing w:line="240" w:lineRule="exact"/>
              <w:jc w:val="right"/>
              <w:rPr>
                <w:rFonts w:ascii="宋体" w:hAnsi="宋体" w:eastAsia="宋体" w:cs="宋体"/>
                <w:sz w:val="18"/>
                <w:szCs w:val="18"/>
              </w:rPr>
            </w:pPr>
            <w:r>
              <w:rPr>
                <w:rFonts w:ascii="宋体" w:hAnsi="宋体" w:cs="宋体"/>
                <w:sz w:val="18"/>
                <w:szCs w:val="18"/>
              </w:rPr>
              <w:t>-18.50%</w:t>
            </w:r>
          </w:p>
        </w:tc>
        <w:tc>
          <w:tcPr>
            <w:tcW w:w="1377" w:type="dxa"/>
            <w:tcBorders>
              <w:top w:val="single" w:color="auto" w:sz="2" w:space="0"/>
              <w:left w:val="single" w:color="auto" w:sz="2" w:space="0"/>
              <w:bottom w:val="single" w:color="auto" w:sz="2" w:space="0"/>
              <w:right w:val="single" w:color="auto" w:sz="2" w:space="0"/>
            </w:tcBorders>
            <w:vAlign w:val="center"/>
          </w:tcPr>
          <w:p w14:paraId="225CF981">
            <w:pPr>
              <w:spacing w:line="240" w:lineRule="exact"/>
              <w:jc w:val="right"/>
              <w:rPr>
                <w:rFonts w:ascii="宋体" w:hAnsi="宋体" w:eastAsia="宋体" w:cs="宋体"/>
                <w:sz w:val="18"/>
                <w:szCs w:val="18"/>
              </w:rPr>
            </w:pPr>
            <w:r>
              <w:rPr>
                <w:rFonts w:ascii="宋体" w:hAnsi="宋体" w:cs="宋体"/>
                <w:sz w:val="18"/>
                <w:szCs w:val="18"/>
              </w:rPr>
              <w:t>0.31%</w:t>
            </w:r>
          </w:p>
        </w:tc>
      </w:tr>
      <w:tr w14:paraId="10ED7F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14:paraId="6DD55C5D">
            <w:pPr>
              <w:spacing w:before="40" w:after="40" w:line="240" w:lineRule="exact"/>
              <w:jc w:val="left"/>
              <w:rPr>
                <w:rFonts w:ascii="宋体" w:hAnsi="宋体" w:eastAsia="宋体" w:cs="宋体"/>
                <w:sz w:val="18"/>
                <w:szCs w:val="18"/>
              </w:rPr>
            </w:pPr>
            <w:r>
              <w:rPr>
                <w:rFonts w:ascii="宋体" w:hAnsi="宋体" w:eastAsia="宋体" w:cs="宋体"/>
                <w:sz w:val="18"/>
                <w:szCs w:val="18"/>
              </w:rPr>
              <w:t>分销售模式</w:t>
            </w:r>
          </w:p>
        </w:tc>
      </w:tr>
      <w:tr w14:paraId="381A43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51493C2B">
            <w:pPr>
              <w:spacing w:before="0" w:after="0" w:line="240" w:lineRule="exact"/>
              <w:jc w:val="left"/>
              <w:rPr>
                <w:rFonts w:ascii="宋体" w:hAnsi="宋体" w:eastAsia="宋体" w:cs="宋体"/>
                <w:sz w:val="18"/>
                <w:szCs w:val="18"/>
              </w:rPr>
            </w:pPr>
            <w:r>
              <w:rPr>
                <w:rFonts w:ascii="宋体" w:hAnsi="宋体" w:eastAsia="宋体" w:cs="宋体"/>
                <w:sz w:val="18"/>
                <w:szCs w:val="18"/>
              </w:rPr>
              <w:t>直销</w:t>
            </w:r>
          </w:p>
        </w:tc>
        <w:tc>
          <w:tcPr>
            <w:tcW w:w="1620" w:type="dxa"/>
            <w:tcBorders>
              <w:top w:val="single" w:color="auto" w:sz="2" w:space="0"/>
              <w:left w:val="single" w:color="auto" w:sz="2" w:space="0"/>
              <w:bottom w:val="single" w:color="auto" w:sz="2" w:space="0"/>
              <w:right w:val="single" w:color="auto" w:sz="2" w:space="0"/>
            </w:tcBorders>
            <w:vAlign w:val="center"/>
          </w:tcPr>
          <w:p w14:paraId="2426747A">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28</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573</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879</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44</w:t>
            </w:r>
          </w:p>
        </w:tc>
        <w:tc>
          <w:tcPr>
            <w:tcW w:w="1660" w:type="dxa"/>
            <w:tcBorders>
              <w:top w:val="single" w:color="auto" w:sz="2" w:space="0"/>
              <w:left w:val="single" w:color="auto" w:sz="2" w:space="0"/>
              <w:bottom w:val="single" w:color="auto" w:sz="2" w:space="0"/>
              <w:right w:val="single" w:color="auto" w:sz="2" w:space="0"/>
            </w:tcBorders>
            <w:vAlign w:val="center"/>
          </w:tcPr>
          <w:p w14:paraId="6302965A">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6</w:t>
            </w: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516</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876</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06</w:t>
            </w:r>
          </w:p>
        </w:tc>
        <w:tc>
          <w:tcPr>
            <w:tcW w:w="851" w:type="dxa"/>
            <w:tcBorders>
              <w:top w:val="single" w:color="auto" w:sz="2" w:space="0"/>
              <w:left w:val="single" w:color="auto" w:sz="2" w:space="0"/>
              <w:bottom w:val="single" w:color="auto" w:sz="2" w:space="0"/>
              <w:right w:val="single" w:color="auto" w:sz="2" w:space="0"/>
            </w:tcBorders>
            <w:vAlign w:val="center"/>
          </w:tcPr>
          <w:p w14:paraId="7F3234B6">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7</w:t>
            </w: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0%</w:t>
            </w:r>
          </w:p>
        </w:tc>
        <w:tc>
          <w:tcPr>
            <w:tcW w:w="1377" w:type="dxa"/>
            <w:tcBorders>
              <w:top w:val="single" w:color="auto" w:sz="2" w:space="0"/>
              <w:left w:val="single" w:color="auto" w:sz="2" w:space="0"/>
              <w:bottom w:val="single" w:color="auto" w:sz="2" w:space="0"/>
              <w:right w:val="single" w:color="auto" w:sz="2" w:space="0"/>
            </w:tcBorders>
            <w:vAlign w:val="center"/>
          </w:tcPr>
          <w:p w14:paraId="1FC980D6">
            <w:pPr>
              <w:keepNext w:val="0"/>
              <w:keepLines w:val="0"/>
              <w:widowControl/>
              <w:suppressLineNumbers w:val="0"/>
              <w:jc w:val="right"/>
              <w:textAlignment w:val="center"/>
              <w:rPr>
                <w:rFonts w:ascii="宋体" w:hAnsi="宋体" w:eastAsia="宋体" w:cs="宋体"/>
                <w:sz w:val="18"/>
                <w:szCs w:val="18"/>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25</w:t>
            </w:r>
            <w:r>
              <w:rPr>
                <w:rFonts w:hint="eastAsia" w:ascii="宋体" w:hAnsi="宋体" w:eastAsia="宋体" w:cs="宋体"/>
                <w:i w:val="0"/>
                <w:iCs w:val="0"/>
                <w:color w:val="000000"/>
                <w:kern w:val="0"/>
                <w:sz w:val="18"/>
                <w:szCs w:val="18"/>
                <w:u w:val="none"/>
                <w:lang w:val="en-US" w:eastAsia="zh-CN" w:bidi="ar"/>
              </w:rPr>
              <w:t>%</w:t>
            </w:r>
          </w:p>
        </w:tc>
        <w:tc>
          <w:tcPr>
            <w:tcW w:w="1377" w:type="dxa"/>
            <w:tcBorders>
              <w:top w:val="single" w:color="auto" w:sz="2" w:space="0"/>
              <w:left w:val="single" w:color="auto" w:sz="2" w:space="0"/>
              <w:bottom w:val="single" w:color="auto" w:sz="2" w:space="0"/>
              <w:right w:val="single" w:color="auto" w:sz="2" w:space="0"/>
            </w:tcBorders>
            <w:vAlign w:val="center"/>
          </w:tcPr>
          <w:p w14:paraId="0053601C">
            <w:pPr>
              <w:keepNext w:val="0"/>
              <w:keepLines w:val="0"/>
              <w:widowControl/>
              <w:suppressLineNumbers w:val="0"/>
              <w:jc w:val="right"/>
              <w:textAlignment w:val="center"/>
              <w:rPr>
                <w:rFonts w:ascii="宋体" w:hAnsi="宋体" w:eastAsia="宋体" w:cs="宋体"/>
                <w:sz w:val="18"/>
                <w:szCs w:val="18"/>
              </w:rPr>
            </w:pPr>
            <w:r>
              <w:rPr>
                <w:rFonts w:hint="eastAsia" w:ascii="宋体" w:hAnsi="宋体" w:cs="宋体"/>
                <w:i w:val="0"/>
                <w:iCs w:val="0"/>
                <w:color w:val="000000"/>
                <w:kern w:val="0"/>
                <w:sz w:val="18"/>
                <w:szCs w:val="18"/>
                <w:u w:val="none"/>
                <w:lang w:val="en-US" w:eastAsia="zh-CN" w:bidi="ar"/>
              </w:rPr>
              <w:t>18</w:t>
            </w:r>
            <w:r>
              <w:rPr>
                <w:rFonts w:hint="eastAsia" w:ascii="宋体" w:hAnsi="宋体" w:eastAsia="宋体" w:cs="宋体"/>
                <w:i w:val="0"/>
                <w:iCs w:val="0"/>
                <w:color w:val="000000"/>
                <w:kern w:val="0"/>
                <w:sz w:val="18"/>
                <w:szCs w:val="18"/>
                <w:u w:val="none"/>
                <w:lang w:val="en-US" w:eastAsia="zh-CN" w:bidi="ar"/>
              </w:rPr>
              <w:t>.8</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w:t>
            </w:r>
          </w:p>
        </w:tc>
        <w:tc>
          <w:tcPr>
            <w:tcW w:w="1377" w:type="dxa"/>
            <w:tcBorders>
              <w:top w:val="single" w:color="auto" w:sz="2" w:space="0"/>
              <w:left w:val="single" w:color="auto" w:sz="2" w:space="0"/>
              <w:bottom w:val="single" w:color="auto" w:sz="2" w:space="0"/>
              <w:right w:val="single" w:color="auto" w:sz="2" w:space="0"/>
            </w:tcBorders>
            <w:vAlign w:val="center"/>
          </w:tcPr>
          <w:p w14:paraId="2EAF1097">
            <w:pPr>
              <w:keepNext w:val="0"/>
              <w:keepLines w:val="0"/>
              <w:widowControl/>
              <w:suppressLineNumbers w:val="0"/>
              <w:jc w:val="right"/>
              <w:textAlignment w:val="center"/>
              <w:rPr>
                <w:rFonts w:ascii="宋体" w:hAnsi="宋体" w:eastAsia="宋体" w:cs="宋体"/>
                <w:sz w:val="18"/>
                <w:szCs w:val="18"/>
              </w:rPr>
            </w:pPr>
            <w:r>
              <w:rPr>
                <w:rFonts w:hint="eastAsia" w:ascii="宋体" w:hAnsi="宋体" w:cs="宋体"/>
                <w:i w:val="0"/>
                <w:iCs w:val="0"/>
                <w:color w:val="000000"/>
                <w:kern w:val="0"/>
                <w:sz w:val="18"/>
                <w:szCs w:val="18"/>
                <w:u w:val="none"/>
                <w:lang w:val="en-US" w:eastAsia="zh-CN" w:bidi="ar"/>
              </w:rPr>
              <w:t>-1.36</w:t>
            </w:r>
            <w:r>
              <w:rPr>
                <w:rFonts w:hint="eastAsia" w:ascii="宋体" w:hAnsi="宋体" w:eastAsia="宋体" w:cs="宋体"/>
                <w:i w:val="0"/>
                <w:iCs w:val="0"/>
                <w:color w:val="000000"/>
                <w:kern w:val="0"/>
                <w:sz w:val="18"/>
                <w:szCs w:val="18"/>
                <w:u w:val="none"/>
                <w:lang w:val="en-US" w:eastAsia="zh-CN" w:bidi="ar"/>
              </w:rPr>
              <w:t>%</w:t>
            </w:r>
          </w:p>
        </w:tc>
      </w:tr>
      <w:tr w14:paraId="26C387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53E9375">
            <w:pPr>
              <w:spacing w:before="0" w:after="0" w:line="240" w:lineRule="exact"/>
              <w:jc w:val="left"/>
              <w:rPr>
                <w:rFonts w:ascii="宋体" w:hAnsi="宋体" w:eastAsia="宋体" w:cs="宋体"/>
                <w:sz w:val="18"/>
                <w:szCs w:val="18"/>
              </w:rPr>
            </w:pPr>
            <w:r>
              <w:rPr>
                <w:rFonts w:ascii="宋体" w:hAnsi="宋体" w:eastAsia="宋体" w:cs="宋体"/>
                <w:sz w:val="18"/>
                <w:szCs w:val="18"/>
              </w:rPr>
              <w:t>经销</w:t>
            </w:r>
          </w:p>
        </w:tc>
        <w:tc>
          <w:tcPr>
            <w:tcW w:w="1620" w:type="dxa"/>
            <w:tcBorders>
              <w:top w:val="single" w:color="auto" w:sz="2" w:space="0"/>
              <w:left w:val="single" w:color="auto" w:sz="2" w:space="0"/>
              <w:bottom w:val="single" w:color="auto" w:sz="2" w:space="0"/>
              <w:right w:val="single" w:color="auto" w:sz="2" w:space="0"/>
            </w:tcBorders>
            <w:vAlign w:val="center"/>
          </w:tcPr>
          <w:p w14:paraId="4F250331">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158</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373</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41</w:t>
            </w:r>
          </w:p>
        </w:tc>
        <w:tc>
          <w:tcPr>
            <w:tcW w:w="1660" w:type="dxa"/>
            <w:tcBorders>
              <w:top w:val="single" w:color="auto" w:sz="2" w:space="0"/>
              <w:left w:val="single" w:color="auto" w:sz="2" w:space="0"/>
              <w:bottom w:val="single" w:color="auto" w:sz="2" w:space="0"/>
              <w:right w:val="single" w:color="auto" w:sz="2" w:space="0"/>
            </w:tcBorders>
            <w:vAlign w:val="center"/>
          </w:tcPr>
          <w:p w14:paraId="529E2DD5">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cs="宋体"/>
                <w:i w:val="0"/>
                <w:iCs w:val="0"/>
                <w:color w:val="000000"/>
                <w:kern w:val="0"/>
                <w:sz w:val="18"/>
                <w:szCs w:val="18"/>
                <w:u w:val="none"/>
                <w:lang w:val="en-US" w:eastAsia="zh-CN" w:bidi="ar"/>
              </w:rPr>
              <w:t>29</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909</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680</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80</w:t>
            </w:r>
          </w:p>
        </w:tc>
        <w:tc>
          <w:tcPr>
            <w:tcW w:w="851" w:type="dxa"/>
            <w:tcBorders>
              <w:top w:val="single" w:color="auto" w:sz="2" w:space="0"/>
              <w:left w:val="single" w:color="auto" w:sz="2" w:space="0"/>
              <w:bottom w:val="single" w:color="auto" w:sz="2" w:space="0"/>
              <w:right w:val="single" w:color="auto" w:sz="2" w:space="0"/>
            </w:tcBorders>
            <w:vAlign w:val="center"/>
          </w:tcPr>
          <w:p w14:paraId="0AE399BD">
            <w:pPr>
              <w:keepNext w:val="0"/>
              <w:keepLines w:val="0"/>
              <w:widowControl/>
              <w:suppressLineNumbers w:val="0"/>
              <w:jc w:val="right"/>
              <w:textAlignment w:val="center"/>
              <w:rPr>
                <w:rFonts w:ascii="宋体" w:hAnsi="宋体" w:eastAsia="宋体" w:cs="宋体"/>
                <w:sz w:val="18"/>
                <w:szCs w:val="18"/>
              </w:rPr>
            </w:pPr>
            <w:r>
              <w:rPr>
                <w:rFonts w:hint="eastAsia" w:ascii="宋体" w:hAnsi="宋体" w:cs="宋体"/>
                <w:i w:val="0"/>
                <w:iCs w:val="0"/>
                <w:color w:val="000000"/>
                <w:kern w:val="0"/>
                <w:sz w:val="18"/>
                <w:szCs w:val="18"/>
                <w:u w:val="none"/>
                <w:lang w:val="en-US" w:eastAsia="zh-CN" w:bidi="ar"/>
              </w:rPr>
              <w:t>30</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70</w:t>
            </w:r>
            <w:r>
              <w:rPr>
                <w:rFonts w:hint="eastAsia" w:ascii="宋体" w:hAnsi="宋体" w:eastAsia="宋体" w:cs="宋体"/>
                <w:i w:val="0"/>
                <w:iCs w:val="0"/>
                <w:color w:val="000000"/>
                <w:kern w:val="0"/>
                <w:sz w:val="18"/>
                <w:szCs w:val="18"/>
                <w:u w:val="none"/>
                <w:lang w:val="en-US" w:eastAsia="zh-CN" w:bidi="ar"/>
              </w:rPr>
              <w:t>%</w:t>
            </w:r>
          </w:p>
        </w:tc>
        <w:tc>
          <w:tcPr>
            <w:tcW w:w="1377" w:type="dxa"/>
            <w:tcBorders>
              <w:top w:val="single" w:color="auto" w:sz="2" w:space="0"/>
              <w:left w:val="single" w:color="auto" w:sz="2" w:space="0"/>
              <w:bottom w:val="single" w:color="auto" w:sz="2" w:space="0"/>
              <w:right w:val="single" w:color="auto" w:sz="2" w:space="0"/>
            </w:tcBorders>
            <w:vAlign w:val="center"/>
          </w:tcPr>
          <w:p w14:paraId="1729C87C">
            <w:pPr>
              <w:keepNext w:val="0"/>
              <w:keepLines w:val="0"/>
              <w:widowControl/>
              <w:suppressLineNumbers w:val="0"/>
              <w:jc w:val="right"/>
              <w:textAlignment w:val="center"/>
              <w:rPr>
                <w:rFonts w:ascii="宋体" w:hAnsi="宋体" w:eastAsia="宋体" w:cs="宋体"/>
                <w:sz w:val="18"/>
                <w:szCs w:val="18"/>
              </w:rPr>
            </w:pPr>
            <w:r>
              <w:rPr>
                <w:rFonts w:hint="eastAsia" w:ascii="宋体" w:hAnsi="宋体" w:cs="宋体"/>
                <w:i w:val="0"/>
                <w:iCs w:val="0"/>
                <w:color w:val="000000"/>
                <w:kern w:val="0"/>
                <w:sz w:val="18"/>
                <w:szCs w:val="18"/>
                <w:u w:val="none"/>
                <w:lang w:val="en-US" w:eastAsia="zh-CN" w:bidi="ar"/>
              </w:rPr>
              <w:t>22</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18</w:t>
            </w:r>
            <w:r>
              <w:rPr>
                <w:rFonts w:hint="eastAsia" w:ascii="宋体" w:hAnsi="宋体" w:eastAsia="宋体" w:cs="宋体"/>
                <w:i w:val="0"/>
                <w:iCs w:val="0"/>
                <w:color w:val="000000"/>
                <w:kern w:val="0"/>
                <w:sz w:val="18"/>
                <w:szCs w:val="18"/>
                <w:u w:val="none"/>
                <w:lang w:val="en-US" w:eastAsia="zh-CN" w:bidi="ar"/>
              </w:rPr>
              <w:t>%</w:t>
            </w:r>
          </w:p>
        </w:tc>
        <w:tc>
          <w:tcPr>
            <w:tcW w:w="1377" w:type="dxa"/>
            <w:tcBorders>
              <w:top w:val="single" w:color="auto" w:sz="2" w:space="0"/>
              <w:left w:val="single" w:color="auto" w:sz="2" w:space="0"/>
              <w:bottom w:val="single" w:color="auto" w:sz="2" w:space="0"/>
              <w:right w:val="single" w:color="auto" w:sz="2" w:space="0"/>
            </w:tcBorders>
            <w:vAlign w:val="center"/>
          </w:tcPr>
          <w:p w14:paraId="0CCAABA0">
            <w:pPr>
              <w:keepNext w:val="0"/>
              <w:keepLines w:val="0"/>
              <w:widowControl/>
              <w:suppressLineNumbers w:val="0"/>
              <w:jc w:val="right"/>
              <w:textAlignment w:val="center"/>
              <w:rPr>
                <w:rFonts w:ascii="宋体" w:hAnsi="宋体" w:eastAsia="宋体" w:cs="宋体"/>
                <w:sz w:val="18"/>
                <w:szCs w:val="18"/>
              </w:rPr>
            </w:pPr>
            <w:r>
              <w:rPr>
                <w:rFonts w:hint="eastAsia" w:ascii="宋体" w:hAnsi="宋体" w:cs="宋体"/>
                <w:i w:val="0"/>
                <w:iCs w:val="0"/>
                <w:color w:val="000000"/>
                <w:kern w:val="0"/>
                <w:sz w:val="18"/>
                <w:szCs w:val="18"/>
                <w:u w:val="none"/>
                <w:lang w:val="en-US" w:eastAsia="zh-CN" w:bidi="ar"/>
              </w:rPr>
              <w:t>35.27</w:t>
            </w:r>
            <w:r>
              <w:rPr>
                <w:rFonts w:hint="eastAsia" w:ascii="宋体" w:hAnsi="宋体" w:eastAsia="宋体" w:cs="宋体"/>
                <w:i w:val="0"/>
                <w:iCs w:val="0"/>
                <w:color w:val="000000"/>
                <w:kern w:val="0"/>
                <w:sz w:val="18"/>
                <w:szCs w:val="18"/>
                <w:u w:val="none"/>
                <w:lang w:val="en-US" w:eastAsia="zh-CN" w:bidi="ar"/>
              </w:rPr>
              <w:t>%</w:t>
            </w:r>
          </w:p>
        </w:tc>
        <w:tc>
          <w:tcPr>
            <w:tcW w:w="1377" w:type="dxa"/>
            <w:tcBorders>
              <w:top w:val="single" w:color="auto" w:sz="2" w:space="0"/>
              <w:left w:val="single" w:color="auto" w:sz="2" w:space="0"/>
              <w:bottom w:val="single" w:color="auto" w:sz="2" w:space="0"/>
              <w:right w:val="single" w:color="auto" w:sz="2" w:space="0"/>
            </w:tcBorders>
            <w:vAlign w:val="center"/>
          </w:tcPr>
          <w:p w14:paraId="11BE3397">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6.70</w:t>
            </w:r>
            <w:r>
              <w:rPr>
                <w:rFonts w:hint="eastAsia" w:ascii="宋体" w:hAnsi="宋体" w:eastAsia="宋体" w:cs="宋体"/>
                <w:i w:val="0"/>
                <w:iCs w:val="0"/>
                <w:color w:val="000000"/>
                <w:kern w:val="0"/>
                <w:sz w:val="18"/>
                <w:szCs w:val="18"/>
                <w:u w:val="none"/>
                <w:lang w:val="en-US" w:eastAsia="zh-CN" w:bidi="ar"/>
              </w:rPr>
              <w:t>%</w:t>
            </w:r>
          </w:p>
        </w:tc>
      </w:tr>
      <w:tr w14:paraId="42A750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708F677D">
            <w:pPr>
              <w:spacing w:before="0" w:after="0" w:line="240" w:lineRule="exact"/>
              <w:jc w:val="left"/>
              <w:rPr>
                <w:rFonts w:ascii="宋体" w:hAnsi="宋体" w:eastAsia="宋体" w:cs="宋体"/>
                <w:sz w:val="18"/>
                <w:szCs w:val="18"/>
              </w:rPr>
            </w:pPr>
            <w:r>
              <w:rPr>
                <w:rFonts w:ascii="宋体" w:hAnsi="宋体" w:eastAsia="宋体" w:cs="宋体"/>
                <w:sz w:val="18"/>
                <w:szCs w:val="18"/>
              </w:rPr>
              <w:t>政府采购</w:t>
            </w:r>
          </w:p>
        </w:tc>
        <w:tc>
          <w:tcPr>
            <w:tcW w:w="1620" w:type="dxa"/>
            <w:tcBorders>
              <w:top w:val="single" w:color="auto" w:sz="2" w:space="0"/>
              <w:left w:val="single" w:color="auto" w:sz="2" w:space="0"/>
              <w:bottom w:val="single" w:color="auto" w:sz="2" w:space="0"/>
              <w:right w:val="single" w:color="auto" w:sz="2" w:space="0"/>
            </w:tcBorders>
            <w:vAlign w:val="center"/>
          </w:tcPr>
          <w:p w14:paraId="37D7672D">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cs="宋体"/>
                <w:i w:val="0"/>
                <w:iCs w:val="0"/>
                <w:color w:val="000000"/>
                <w:kern w:val="0"/>
                <w:sz w:val="18"/>
                <w:szCs w:val="18"/>
                <w:u w:val="none"/>
                <w:lang w:val="en-US" w:eastAsia="zh-CN" w:bidi="ar"/>
              </w:rPr>
              <w:t>87</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585</w:t>
            </w:r>
            <w:r>
              <w:rPr>
                <w:rFonts w:hint="eastAsia" w:ascii="宋体" w:hAnsi="宋体" w:eastAsia="宋体" w:cs="宋体"/>
                <w:i w:val="0"/>
                <w:iCs w:val="0"/>
                <w:color w:val="000000"/>
                <w:kern w:val="0"/>
                <w:sz w:val="18"/>
                <w:szCs w:val="18"/>
                <w:u w:val="none"/>
                <w:lang w:val="en-US" w:eastAsia="zh-CN" w:bidi="ar"/>
              </w:rPr>
              <w:t>,3</w:t>
            </w:r>
            <w:r>
              <w:rPr>
                <w:rFonts w:hint="eastAsia" w:ascii="宋体" w:hAnsi="宋体" w:cs="宋体"/>
                <w:i w:val="0"/>
                <w:iCs w:val="0"/>
                <w:color w:val="000000"/>
                <w:kern w:val="0"/>
                <w:sz w:val="18"/>
                <w:szCs w:val="18"/>
                <w:u w:val="none"/>
                <w:lang w:val="en-US" w:eastAsia="zh-CN" w:bidi="ar"/>
              </w:rPr>
              <w:t>36</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34</w:t>
            </w:r>
          </w:p>
        </w:tc>
        <w:tc>
          <w:tcPr>
            <w:tcW w:w="1660" w:type="dxa"/>
            <w:tcBorders>
              <w:top w:val="single" w:color="auto" w:sz="2" w:space="0"/>
              <w:left w:val="single" w:color="auto" w:sz="2" w:space="0"/>
              <w:bottom w:val="single" w:color="auto" w:sz="2" w:space="0"/>
              <w:right w:val="single" w:color="auto" w:sz="2" w:space="0"/>
            </w:tcBorders>
            <w:vAlign w:val="center"/>
          </w:tcPr>
          <w:p w14:paraId="0170B8C7">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cs="宋体"/>
                <w:i w:val="0"/>
                <w:iCs w:val="0"/>
                <w:color w:val="000000"/>
                <w:kern w:val="0"/>
                <w:sz w:val="18"/>
                <w:szCs w:val="18"/>
                <w:u w:val="none"/>
                <w:lang w:val="en-US" w:eastAsia="zh-CN" w:bidi="ar"/>
              </w:rPr>
              <w:t>72</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815</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845</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93</w:t>
            </w:r>
          </w:p>
        </w:tc>
        <w:tc>
          <w:tcPr>
            <w:tcW w:w="851" w:type="dxa"/>
            <w:tcBorders>
              <w:top w:val="single" w:color="auto" w:sz="2" w:space="0"/>
              <w:left w:val="single" w:color="auto" w:sz="2" w:space="0"/>
              <w:bottom w:val="single" w:color="auto" w:sz="2" w:space="0"/>
              <w:right w:val="single" w:color="auto" w:sz="2" w:space="0"/>
            </w:tcBorders>
            <w:vAlign w:val="center"/>
          </w:tcPr>
          <w:p w14:paraId="06A434A6">
            <w:pPr>
              <w:keepNext w:val="0"/>
              <w:keepLines w:val="0"/>
              <w:widowControl/>
              <w:suppressLineNumbers w:val="0"/>
              <w:jc w:val="right"/>
              <w:textAlignment w:val="center"/>
              <w:rPr>
                <w:rFonts w:ascii="宋体" w:hAnsi="宋体" w:eastAsia="宋体" w:cs="宋体"/>
                <w:sz w:val="18"/>
                <w:szCs w:val="18"/>
              </w:rPr>
            </w:pPr>
            <w:r>
              <w:rPr>
                <w:rFonts w:hint="eastAsia" w:ascii="宋体" w:hAnsi="宋体" w:cs="宋体"/>
                <w:i w:val="0"/>
                <w:iCs w:val="0"/>
                <w:color w:val="000000"/>
                <w:kern w:val="0"/>
                <w:sz w:val="18"/>
                <w:szCs w:val="18"/>
                <w:u w:val="none"/>
                <w:lang w:val="en-US" w:eastAsia="zh-CN" w:bidi="ar"/>
              </w:rPr>
              <w:t>16</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86</w:t>
            </w:r>
            <w:r>
              <w:rPr>
                <w:rFonts w:hint="eastAsia" w:ascii="宋体" w:hAnsi="宋体" w:eastAsia="宋体" w:cs="宋体"/>
                <w:i w:val="0"/>
                <w:iCs w:val="0"/>
                <w:color w:val="000000"/>
                <w:kern w:val="0"/>
                <w:sz w:val="18"/>
                <w:szCs w:val="18"/>
                <w:u w:val="none"/>
                <w:lang w:val="en-US" w:eastAsia="zh-CN" w:bidi="ar"/>
              </w:rPr>
              <w:t>%</w:t>
            </w:r>
          </w:p>
        </w:tc>
        <w:tc>
          <w:tcPr>
            <w:tcW w:w="1377" w:type="dxa"/>
            <w:tcBorders>
              <w:top w:val="single" w:color="auto" w:sz="2" w:space="0"/>
              <w:left w:val="single" w:color="auto" w:sz="2" w:space="0"/>
              <w:bottom w:val="single" w:color="auto" w:sz="2" w:space="0"/>
              <w:right w:val="single" w:color="auto" w:sz="2" w:space="0"/>
            </w:tcBorders>
            <w:vAlign w:val="center"/>
          </w:tcPr>
          <w:p w14:paraId="27EF1376">
            <w:pPr>
              <w:keepNext w:val="0"/>
              <w:keepLines w:val="0"/>
              <w:widowControl/>
              <w:suppressLineNumbers w:val="0"/>
              <w:jc w:val="right"/>
              <w:textAlignment w:val="center"/>
              <w:rPr>
                <w:rFonts w:ascii="宋体" w:hAnsi="宋体" w:eastAsia="宋体" w:cs="宋体"/>
                <w:sz w:val="18"/>
                <w:szCs w:val="18"/>
              </w:rPr>
            </w:pPr>
            <w:r>
              <w:rPr>
                <w:rFonts w:hint="eastAsia" w:ascii="宋体" w:hAnsi="宋体" w:cs="宋体"/>
                <w:i w:val="0"/>
                <w:iCs w:val="0"/>
                <w:color w:val="000000"/>
                <w:kern w:val="0"/>
                <w:sz w:val="18"/>
                <w:szCs w:val="18"/>
                <w:u w:val="none"/>
                <w:lang w:val="en-US" w:eastAsia="zh-CN" w:bidi="ar"/>
              </w:rPr>
              <w:t>-5.51</w:t>
            </w:r>
            <w:r>
              <w:rPr>
                <w:rFonts w:hint="eastAsia" w:ascii="宋体" w:hAnsi="宋体" w:eastAsia="宋体" w:cs="宋体"/>
                <w:i w:val="0"/>
                <w:iCs w:val="0"/>
                <w:color w:val="000000"/>
                <w:kern w:val="0"/>
                <w:sz w:val="18"/>
                <w:szCs w:val="18"/>
                <w:u w:val="none"/>
                <w:lang w:val="en-US" w:eastAsia="zh-CN" w:bidi="ar"/>
              </w:rPr>
              <w:t>%</w:t>
            </w:r>
          </w:p>
        </w:tc>
        <w:tc>
          <w:tcPr>
            <w:tcW w:w="1377" w:type="dxa"/>
            <w:tcBorders>
              <w:top w:val="single" w:color="auto" w:sz="2" w:space="0"/>
              <w:left w:val="single" w:color="auto" w:sz="2" w:space="0"/>
              <w:bottom w:val="single" w:color="auto" w:sz="2" w:space="0"/>
              <w:right w:val="single" w:color="auto" w:sz="2" w:space="0"/>
            </w:tcBorders>
            <w:vAlign w:val="center"/>
          </w:tcPr>
          <w:p w14:paraId="0EA827F9">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i w:val="0"/>
                <w:iCs w:val="0"/>
                <w:color w:val="000000"/>
                <w:kern w:val="0"/>
                <w:sz w:val="18"/>
                <w:szCs w:val="18"/>
                <w:u w:val="none"/>
                <w:lang w:val="en-US" w:eastAsia="zh-CN" w:bidi="ar"/>
              </w:rPr>
              <w:t>1.97</w:t>
            </w:r>
            <w:r>
              <w:rPr>
                <w:rFonts w:hint="eastAsia" w:ascii="宋体" w:hAnsi="宋体" w:eastAsia="宋体" w:cs="宋体"/>
                <w:i w:val="0"/>
                <w:iCs w:val="0"/>
                <w:color w:val="000000"/>
                <w:kern w:val="0"/>
                <w:sz w:val="18"/>
                <w:szCs w:val="18"/>
                <w:u w:val="none"/>
                <w:lang w:val="en-US" w:eastAsia="zh-CN" w:bidi="ar"/>
              </w:rPr>
              <w:t>%</w:t>
            </w:r>
          </w:p>
        </w:tc>
        <w:tc>
          <w:tcPr>
            <w:tcW w:w="1377" w:type="dxa"/>
            <w:tcBorders>
              <w:top w:val="single" w:color="auto" w:sz="2" w:space="0"/>
              <w:left w:val="single" w:color="auto" w:sz="2" w:space="0"/>
              <w:bottom w:val="single" w:color="auto" w:sz="2" w:space="0"/>
              <w:right w:val="single" w:color="auto" w:sz="2" w:space="0"/>
            </w:tcBorders>
            <w:vAlign w:val="center"/>
          </w:tcPr>
          <w:p w14:paraId="1FAF2DCA">
            <w:pPr>
              <w:keepNext w:val="0"/>
              <w:keepLines w:val="0"/>
              <w:widowControl/>
              <w:suppressLineNumbers w:val="0"/>
              <w:jc w:val="right"/>
              <w:textAlignment w:val="center"/>
              <w:rPr>
                <w:rFonts w:ascii="宋体" w:hAnsi="宋体" w:eastAsia="宋体" w:cs="宋体"/>
                <w:sz w:val="18"/>
                <w:szCs w:val="18"/>
              </w:rPr>
            </w:pPr>
            <w:r>
              <w:rPr>
                <w:rFonts w:hint="eastAsia" w:ascii="宋体" w:hAnsi="宋体" w:cs="宋体"/>
                <w:i w:val="0"/>
                <w:iCs w:val="0"/>
                <w:color w:val="000000"/>
                <w:kern w:val="0"/>
                <w:sz w:val="18"/>
                <w:szCs w:val="18"/>
                <w:u w:val="none"/>
                <w:lang w:val="en-US" w:eastAsia="zh-CN" w:bidi="ar"/>
              </w:rPr>
              <w:t>-3.01</w:t>
            </w:r>
            <w:r>
              <w:rPr>
                <w:rFonts w:hint="eastAsia" w:ascii="宋体" w:hAnsi="宋体" w:eastAsia="宋体" w:cs="宋体"/>
                <w:i w:val="0"/>
                <w:iCs w:val="0"/>
                <w:color w:val="000000"/>
                <w:kern w:val="0"/>
                <w:sz w:val="18"/>
                <w:szCs w:val="18"/>
                <w:u w:val="none"/>
                <w:lang w:val="en-US" w:eastAsia="zh-CN" w:bidi="ar"/>
              </w:rPr>
              <w:t>%</w:t>
            </w:r>
          </w:p>
        </w:tc>
      </w:tr>
    </w:tbl>
    <w:p w14:paraId="727C0C7E">
      <w:pPr>
        <w:spacing w:before="100" w:after="100" w:line="240" w:lineRule="exact"/>
        <w:jc w:val="left"/>
        <w:rPr>
          <w:rFonts w:ascii="宋体" w:hAnsi="宋体" w:eastAsia="宋体" w:cs="宋体"/>
          <w:sz w:val="18"/>
          <w:szCs w:val="18"/>
        </w:rPr>
      </w:pPr>
      <w:r>
        <w:rPr>
          <w:rFonts w:ascii="宋体" w:hAnsi="宋体" w:eastAsia="宋体" w:cs="宋体"/>
          <w:sz w:val="18"/>
          <w:szCs w:val="18"/>
        </w:rPr>
        <w:t>变更口径的理由</w:t>
      </w:r>
    </w:p>
    <w:p w14:paraId="00589585">
      <w:pPr>
        <w:pStyle w:val="2"/>
        <w:keepNext w:val="0"/>
        <w:keepLines w:val="0"/>
        <w:widowControl/>
        <w:suppressLineNumbers w:val="0"/>
      </w:pPr>
      <w:r>
        <w:rPr>
          <w:rFonts w:hint="eastAsia" w:ascii="宋体" w:hAnsi="宋体" w:eastAsia="宋体" w:cs="宋体"/>
          <w:sz w:val="18"/>
          <w:szCs w:val="18"/>
        </w:rPr>
        <w:t>随着公司产品线的丰富，根据药品大类将原有“抗乙肝病毒药物”与“保肝护肝药物”合并为“</w:t>
      </w:r>
      <w:r>
        <w:rPr>
          <w:rFonts w:hint="eastAsia" w:ascii="宋体" w:hAnsi="宋体" w:eastAsia="宋体" w:cs="宋体"/>
          <w:color w:val="333333"/>
          <w:sz w:val="18"/>
          <w:szCs w:val="18"/>
          <w:shd w:val="clear" w:fill="FFFFFF"/>
        </w:rPr>
        <w:t>肝胆疾病药物”。</w:t>
      </w:r>
    </w:p>
    <w:p w14:paraId="1D7F1279">
      <w:pPr>
        <w:keepNext/>
        <w:keepLines/>
        <w:spacing w:before="300" w:after="300" w:line="280" w:lineRule="exact"/>
        <w:jc w:val="left"/>
        <w:outlineLvl w:val="3"/>
        <w:rPr>
          <w:rFonts w:ascii="宋体" w:hAnsi="宋体" w:eastAsia="宋体" w:cs="宋体"/>
          <w:b/>
          <w:bCs/>
          <w:sz w:val="18"/>
          <w:szCs w:val="18"/>
        </w:rPr>
      </w:pPr>
      <w:bookmarkStart w:id="23" w:name="_Toc988910"/>
      <w:r>
        <w:rPr>
          <w:rFonts w:ascii="宋体" w:hAnsi="宋体" w:eastAsia="宋体" w:cs="宋体"/>
          <w:b/>
          <w:bCs/>
          <w:sz w:val="18"/>
          <w:szCs w:val="18"/>
        </w:rPr>
        <w:t>（3） 公司实物销售收入是否大于劳务收入</w:t>
      </w:r>
      <w:bookmarkEnd w:id="23"/>
    </w:p>
    <w:p w14:paraId="63D7DEF9">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w:t>
      </w:r>
    </w:p>
    <w:tbl>
      <w:tblPr>
        <w:tblStyle w:val="3"/>
        <w:tblW w:w="963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7A5434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8A8F698">
            <w:pPr>
              <w:spacing w:before="40" w:after="40" w:line="240" w:lineRule="exact"/>
              <w:jc w:val="center"/>
              <w:rPr>
                <w:rFonts w:ascii="宋体" w:hAnsi="宋体" w:eastAsia="宋体" w:cs="宋体"/>
                <w:sz w:val="18"/>
                <w:szCs w:val="18"/>
              </w:rPr>
            </w:pPr>
            <w:r>
              <w:rPr>
                <w:rFonts w:ascii="宋体" w:hAnsi="宋体" w:eastAsia="宋体" w:cs="宋体"/>
                <w:sz w:val="18"/>
                <w:szCs w:val="18"/>
              </w:rPr>
              <w:t>行业分类</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89F9F35">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ADE0C88">
            <w:pPr>
              <w:spacing w:before="40" w:after="40" w:line="240" w:lineRule="exact"/>
              <w:jc w:val="center"/>
              <w:rPr>
                <w:rFonts w:ascii="宋体" w:hAnsi="宋体" w:eastAsia="宋体" w:cs="宋体"/>
                <w:sz w:val="18"/>
                <w:szCs w:val="18"/>
              </w:rPr>
            </w:pPr>
            <w:r>
              <w:rPr>
                <w:rFonts w:ascii="宋体" w:hAnsi="宋体" w:eastAsia="宋体" w:cs="宋体"/>
                <w:sz w:val="18"/>
                <w:szCs w:val="18"/>
              </w:rPr>
              <w:t>单位</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7120612">
            <w:pPr>
              <w:spacing w:before="40" w:after="40" w:line="240" w:lineRule="exact"/>
              <w:jc w:val="center"/>
              <w:rPr>
                <w:rFonts w:ascii="宋体" w:hAnsi="宋体" w:eastAsia="宋体" w:cs="宋体"/>
                <w:sz w:val="18"/>
                <w:szCs w:val="18"/>
              </w:rPr>
            </w:pPr>
            <w:r>
              <w:rPr>
                <w:rFonts w:ascii="宋体" w:hAnsi="宋体" w:eastAsia="宋体" w:cs="宋体"/>
                <w:sz w:val="18"/>
                <w:szCs w:val="18"/>
              </w:rPr>
              <w:t>2024年</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C29ED69">
            <w:pPr>
              <w:spacing w:before="40" w:after="40" w:line="240" w:lineRule="exact"/>
              <w:jc w:val="center"/>
              <w:rPr>
                <w:rFonts w:ascii="宋体" w:hAnsi="宋体" w:eastAsia="宋体" w:cs="宋体"/>
                <w:sz w:val="18"/>
                <w:szCs w:val="18"/>
              </w:rPr>
            </w:pPr>
            <w:r>
              <w:rPr>
                <w:rFonts w:ascii="宋体" w:hAnsi="宋体" w:eastAsia="宋体" w:cs="宋体"/>
                <w:sz w:val="18"/>
                <w:szCs w:val="18"/>
              </w:rPr>
              <w:t>2023年</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347D949">
            <w:pPr>
              <w:spacing w:before="40" w:after="40" w:line="240" w:lineRule="exact"/>
              <w:jc w:val="center"/>
              <w:rPr>
                <w:rFonts w:ascii="宋体" w:hAnsi="宋体" w:eastAsia="宋体" w:cs="宋体"/>
                <w:sz w:val="18"/>
                <w:szCs w:val="18"/>
              </w:rPr>
            </w:pPr>
            <w:r>
              <w:rPr>
                <w:rFonts w:ascii="宋体" w:hAnsi="宋体" w:eastAsia="宋体" w:cs="宋体"/>
                <w:sz w:val="18"/>
                <w:szCs w:val="18"/>
              </w:rPr>
              <w:t>同比增减</w:t>
            </w:r>
          </w:p>
        </w:tc>
      </w:tr>
      <w:tr w14:paraId="3052CB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restart"/>
            <w:tcBorders>
              <w:top w:val="single" w:color="auto" w:sz="2" w:space="0"/>
              <w:left w:val="single" w:color="auto" w:sz="2" w:space="0"/>
              <w:bottom w:val="single" w:color="auto" w:sz="2" w:space="0"/>
              <w:right w:val="single" w:color="auto" w:sz="2" w:space="0"/>
            </w:tcBorders>
            <w:vAlign w:val="center"/>
          </w:tcPr>
          <w:p w14:paraId="07F29B35">
            <w:pPr>
              <w:spacing w:before="0" w:after="0" w:line="240" w:lineRule="exact"/>
              <w:jc w:val="left"/>
              <w:rPr>
                <w:rFonts w:ascii="宋体" w:hAnsi="宋体" w:eastAsia="宋体" w:cs="宋体"/>
                <w:sz w:val="18"/>
                <w:szCs w:val="18"/>
              </w:rPr>
            </w:pPr>
            <w:r>
              <w:rPr>
                <w:rFonts w:ascii="宋体" w:hAnsi="宋体" w:eastAsia="宋体" w:cs="宋体"/>
                <w:sz w:val="18"/>
                <w:szCs w:val="18"/>
              </w:rPr>
              <w:t>医药制造（肝胆疾病药物）</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132F3CD">
            <w:pPr>
              <w:spacing w:before="40" w:after="40" w:line="240" w:lineRule="exact"/>
              <w:jc w:val="left"/>
              <w:rPr>
                <w:rFonts w:ascii="宋体" w:hAnsi="宋体" w:eastAsia="宋体" w:cs="宋体"/>
                <w:sz w:val="18"/>
                <w:szCs w:val="18"/>
              </w:rPr>
            </w:pPr>
            <w:r>
              <w:rPr>
                <w:rFonts w:ascii="宋体" w:hAnsi="宋体" w:eastAsia="宋体" w:cs="宋体"/>
                <w:sz w:val="18"/>
                <w:szCs w:val="18"/>
              </w:rPr>
              <w:t>销售量</w:t>
            </w:r>
          </w:p>
        </w:tc>
        <w:tc>
          <w:tcPr>
            <w:tcW w:w="1606" w:type="dxa"/>
            <w:tcBorders>
              <w:top w:val="single" w:color="auto" w:sz="2" w:space="0"/>
              <w:left w:val="single" w:color="auto" w:sz="2" w:space="0"/>
              <w:bottom w:val="single" w:color="auto" w:sz="2" w:space="0"/>
              <w:right w:val="single" w:color="auto" w:sz="2" w:space="0"/>
            </w:tcBorders>
            <w:vAlign w:val="center"/>
          </w:tcPr>
          <w:p w14:paraId="7D714F11">
            <w:pPr>
              <w:spacing w:before="0" w:after="0" w:line="240" w:lineRule="exact"/>
              <w:jc w:val="left"/>
              <w:rPr>
                <w:rFonts w:ascii="宋体" w:hAnsi="宋体" w:eastAsia="宋体" w:cs="宋体"/>
                <w:sz w:val="18"/>
                <w:szCs w:val="18"/>
              </w:rPr>
            </w:pPr>
            <w:r>
              <w:rPr>
                <w:rFonts w:ascii="宋体" w:hAnsi="宋体" w:eastAsia="宋体" w:cs="宋体"/>
                <w:sz w:val="18"/>
                <w:szCs w:val="18"/>
              </w:rPr>
              <w:t>万片(粒/袋)</w:t>
            </w:r>
          </w:p>
        </w:tc>
        <w:tc>
          <w:tcPr>
            <w:tcW w:w="1606" w:type="dxa"/>
            <w:tcBorders>
              <w:top w:val="single" w:color="auto" w:sz="2" w:space="0"/>
              <w:left w:val="single" w:color="auto" w:sz="2" w:space="0"/>
              <w:bottom w:val="single" w:color="auto" w:sz="2" w:space="0"/>
              <w:right w:val="single" w:color="auto" w:sz="2" w:space="0"/>
            </w:tcBorders>
            <w:vAlign w:val="center"/>
          </w:tcPr>
          <w:p w14:paraId="05406A2B">
            <w:pPr>
              <w:spacing w:before="0" w:after="0" w:line="240" w:lineRule="exact"/>
              <w:jc w:val="right"/>
              <w:rPr>
                <w:rFonts w:ascii="宋体" w:hAnsi="宋体" w:eastAsia="宋体" w:cs="宋体"/>
                <w:sz w:val="18"/>
                <w:szCs w:val="18"/>
              </w:rPr>
            </w:pPr>
            <w:r>
              <w:rPr>
                <w:rFonts w:ascii="宋体" w:hAnsi="宋体" w:eastAsia="宋体" w:cs="宋体"/>
                <w:sz w:val="18"/>
                <w:szCs w:val="18"/>
              </w:rPr>
              <w:t>83,758.73</w:t>
            </w:r>
          </w:p>
        </w:tc>
        <w:tc>
          <w:tcPr>
            <w:tcW w:w="1606" w:type="dxa"/>
            <w:tcBorders>
              <w:top w:val="single" w:color="auto" w:sz="2" w:space="0"/>
              <w:left w:val="single" w:color="auto" w:sz="2" w:space="0"/>
              <w:bottom w:val="single" w:color="auto" w:sz="2" w:space="0"/>
              <w:right w:val="single" w:color="auto" w:sz="2" w:space="0"/>
            </w:tcBorders>
            <w:vAlign w:val="center"/>
          </w:tcPr>
          <w:p w14:paraId="2D9C729A">
            <w:pPr>
              <w:spacing w:before="0" w:after="0" w:line="240" w:lineRule="exact"/>
              <w:jc w:val="right"/>
              <w:rPr>
                <w:rFonts w:ascii="宋体" w:hAnsi="宋体" w:eastAsia="宋体" w:cs="宋体"/>
                <w:sz w:val="18"/>
                <w:szCs w:val="18"/>
              </w:rPr>
            </w:pPr>
            <w:r>
              <w:rPr>
                <w:rFonts w:ascii="宋体" w:hAnsi="宋体" w:eastAsia="宋体" w:cs="宋体"/>
                <w:sz w:val="18"/>
                <w:szCs w:val="18"/>
              </w:rPr>
              <w:t>81,134.68</w:t>
            </w:r>
          </w:p>
        </w:tc>
        <w:tc>
          <w:tcPr>
            <w:tcW w:w="1606" w:type="dxa"/>
            <w:tcBorders>
              <w:top w:val="single" w:color="auto" w:sz="2" w:space="0"/>
              <w:left w:val="single" w:color="auto" w:sz="2" w:space="0"/>
              <w:bottom w:val="single" w:color="auto" w:sz="2" w:space="0"/>
              <w:right w:val="single" w:color="auto" w:sz="2" w:space="0"/>
            </w:tcBorders>
            <w:vAlign w:val="center"/>
          </w:tcPr>
          <w:p w14:paraId="4C053D53">
            <w:pPr>
              <w:spacing w:before="0" w:after="0" w:line="240" w:lineRule="exact"/>
              <w:jc w:val="right"/>
              <w:rPr>
                <w:rFonts w:ascii="宋体" w:hAnsi="宋体" w:eastAsia="宋体" w:cs="宋体"/>
                <w:sz w:val="18"/>
                <w:szCs w:val="18"/>
              </w:rPr>
            </w:pPr>
            <w:r>
              <w:rPr>
                <w:rFonts w:ascii="宋体" w:hAnsi="宋体" w:eastAsia="宋体" w:cs="宋体"/>
                <w:sz w:val="18"/>
                <w:szCs w:val="18"/>
              </w:rPr>
              <w:t>3.23%</w:t>
            </w:r>
          </w:p>
        </w:tc>
      </w:tr>
      <w:tr w14:paraId="1768B4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continue"/>
            <w:tcBorders>
              <w:top w:val="single" w:color="auto" w:sz="2" w:space="0"/>
              <w:left w:val="single" w:color="auto" w:sz="2" w:space="0"/>
              <w:bottom w:val="single" w:color="auto" w:sz="2" w:space="0"/>
              <w:right w:val="single" w:color="auto" w:sz="2" w:space="0"/>
            </w:tcBorders>
            <w:vAlign w:val="center"/>
          </w:tcPr>
          <w:p w14:paraId="440B30CA">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3FB4509">
            <w:pPr>
              <w:spacing w:before="40" w:after="40" w:line="240" w:lineRule="exact"/>
              <w:jc w:val="left"/>
              <w:rPr>
                <w:rFonts w:ascii="宋体" w:hAnsi="宋体" w:eastAsia="宋体" w:cs="宋体"/>
                <w:sz w:val="18"/>
                <w:szCs w:val="18"/>
              </w:rPr>
            </w:pPr>
            <w:r>
              <w:rPr>
                <w:rFonts w:ascii="宋体" w:hAnsi="宋体" w:eastAsia="宋体" w:cs="宋体"/>
                <w:sz w:val="18"/>
                <w:szCs w:val="18"/>
              </w:rPr>
              <w:t>生产量</w:t>
            </w:r>
          </w:p>
        </w:tc>
        <w:tc>
          <w:tcPr>
            <w:tcW w:w="1606" w:type="dxa"/>
            <w:tcBorders>
              <w:top w:val="single" w:color="auto" w:sz="2" w:space="0"/>
              <w:left w:val="single" w:color="auto" w:sz="2" w:space="0"/>
              <w:bottom w:val="single" w:color="auto" w:sz="2" w:space="0"/>
              <w:right w:val="single" w:color="auto" w:sz="2" w:space="0"/>
            </w:tcBorders>
            <w:vAlign w:val="center"/>
          </w:tcPr>
          <w:p w14:paraId="554170F4">
            <w:pPr>
              <w:spacing w:before="0" w:after="0" w:line="240" w:lineRule="exact"/>
              <w:jc w:val="left"/>
              <w:rPr>
                <w:rFonts w:ascii="宋体" w:hAnsi="宋体" w:eastAsia="宋体" w:cs="宋体"/>
                <w:sz w:val="18"/>
                <w:szCs w:val="18"/>
              </w:rPr>
            </w:pPr>
            <w:r>
              <w:rPr>
                <w:rFonts w:ascii="宋体" w:hAnsi="宋体" w:eastAsia="宋体" w:cs="宋体"/>
                <w:sz w:val="18"/>
                <w:szCs w:val="18"/>
              </w:rPr>
              <w:t>万片(粒/袋)</w:t>
            </w:r>
          </w:p>
        </w:tc>
        <w:tc>
          <w:tcPr>
            <w:tcW w:w="1606" w:type="dxa"/>
            <w:tcBorders>
              <w:top w:val="single" w:color="auto" w:sz="2" w:space="0"/>
              <w:left w:val="single" w:color="auto" w:sz="2" w:space="0"/>
              <w:bottom w:val="single" w:color="auto" w:sz="2" w:space="0"/>
              <w:right w:val="single" w:color="auto" w:sz="2" w:space="0"/>
            </w:tcBorders>
            <w:vAlign w:val="center"/>
          </w:tcPr>
          <w:p w14:paraId="19D4CD11">
            <w:pPr>
              <w:spacing w:before="0" w:after="0" w:line="240" w:lineRule="exact"/>
              <w:jc w:val="right"/>
              <w:rPr>
                <w:rFonts w:ascii="宋体" w:hAnsi="宋体" w:eastAsia="宋体" w:cs="宋体"/>
                <w:sz w:val="18"/>
                <w:szCs w:val="18"/>
              </w:rPr>
            </w:pPr>
            <w:r>
              <w:rPr>
                <w:rFonts w:ascii="宋体" w:hAnsi="宋体" w:eastAsia="宋体" w:cs="宋体"/>
                <w:sz w:val="18"/>
                <w:szCs w:val="18"/>
              </w:rPr>
              <w:t>85,115.20</w:t>
            </w:r>
          </w:p>
        </w:tc>
        <w:tc>
          <w:tcPr>
            <w:tcW w:w="1606" w:type="dxa"/>
            <w:tcBorders>
              <w:top w:val="single" w:color="auto" w:sz="2" w:space="0"/>
              <w:left w:val="single" w:color="auto" w:sz="2" w:space="0"/>
              <w:bottom w:val="single" w:color="auto" w:sz="2" w:space="0"/>
              <w:right w:val="single" w:color="auto" w:sz="2" w:space="0"/>
            </w:tcBorders>
            <w:vAlign w:val="center"/>
          </w:tcPr>
          <w:p w14:paraId="192AAB25">
            <w:pPr>
              <w:spacing w:before="0" w:after="0" w:line="240" w:lineRule="exact"/>
              <w:jc w:val="right"/>
              <w:rPr>
                <w:rFonts w:ascii="宋体" w:hAnsi="宋体" w:eastAsia="宋体" w:cs="宋体"/>
                <w:sz w:val="18"/>
                <w:szCs w:val="18"/>
              </w:rPr>
            </w:pPr>
            <w:r>
              <w:rPr>
                <w:rFonts w:ascii="宋体" w:hAnsi="宋体" w:eastAsia="宋体" w:cs="宋体"/>
                <w:sz w:val="18"/>
                <w:szCs w:val="18"/>
              </w:rPr>
              <w:t>79,044.33</w:t>
            </w:r>
          </w:p>
        </w:tc>
        <w:tc>
          <w:tcPr>
            <w:tcW w:w="1606" w:type="dxa"/>
            <w:tcBorders>
              <w:top w:val="single" w:color="auto" w:sz="2" w:space="0"/>
              <w:left w:val="single" w:color="auto" w:sz="2" w:space="0"/>
              <w:bottom w:val="single" w:color="auto" w:sz="2" w:space="0"/>
              <w:right w:val="single" w:color="auto" w:sz="2" w:space="0"/>
            </w:tcBorders>
            <w:vAlign w:val="center"/>
          </w:tcPr>
          <w:p w14:paraId="37282722">
            <w:pPr>
              <w:spacing w:before="0" w:after="0" w:line="240" w:lineRule="exact"/>
              <w:jc w:val="right"/>
              <w:rPr>
                <w:rFonts w:ascii="宋体" w:hAnsi="宋体" w:eastAsia="宋体" w:cs="宋体"/>
                <w:sz w:val="18"/>
                <w:szCs w:val="18"/>
              </w:rPr>
            </w:pPr>
            <w:r>
              <w:rPr>
                <w:rFonts w:ascii="宋体" w:hAnsi="宋体" w:eastAsia="宋体" w:cs="宋体"/>
                <w:sz w:val="18"/>
                <w:szCs w:val="18"/>
              </w:rPr>
              <w:t>7.68%</w:t>
            </w:r>
          </w:p>
        </w:tc>
      </w:tr>
      <w:tr w14:paraId="34E239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continue"/>
            <w:tcBorders>
              <w:top w:val="single" w:color="auto" w:sz="2" w:space="0"/>
              <w:left w:val="single" w:color="auto" w:sz="2" w:space="0"/>
              <w:bottom w:val="single" w:color="auto" w:sz="2" w:space="0"/>
              <w:right w:val="single" w:color="auto" w:sz="2" w:space="0"/>
            </w:tcBorders>
            <w:vAlign w:val="center"/>
          </w:tcPr>
          <w:p w14:paraId="74B542AF">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0390B86">
            <w:pPr>
              <w:spacing w:before="40" w:after="40" w:line="240" w:lineRule="exact"/>
              <w:jc w:val="left"/>
              <w:rPr>
                <w:rFonts w:ascii="宋体" w:hAnsi="宋体" w:eastAsia="宋体" w:cs="宋体"/>
                <w:sz w:val="18"/>
                <w:szCs w:val="18"/>
              </w:rPr>
            </w:pPr>
            <w:r>
              <w:rPr>
                <w:rFonts w:ascii="宋体" w:hAnsi="宋体" w:eastAsia="宋体" w:cs="宋体"/>
                <w:sz w:val="18"/>
                <w:szCs w:val="18"/>
              </w:rPr>
              <w:t>库存量</w:t>
            </w:r>
          </w:p>
        </w:tc>
        <w:tc>
          <w:tcPr>
            <w:tcW w:w="1606" w:type="dxa"/>
            <w:tcBorders>
              <w:top w:val="single" w:color="auto" w:sz="2" w:space="0"/>
              <w:left w:val="single" w:color="auto" w:sz="2" w:space="0"/>
              <w:bottom w:val="single" w:color="auto" w:sz="2" w:space="0"/>
              <w:right w:val="single" w:color="auto" w:sz="2" w:space="0"/>
            </w:tcBorders>
            <w:vAlign w:val="center"/>
          </w:tcPr>
          <w:p w14:paraId="7369AA53">
            <w:pPr>
              <w:spacing w:before="0" w:after="0" w:line="240" w:lineRule="exact"/>
              <w:jc w:val="left"/>
              <w:rPr>
                <w:rFonts w:ascii="宋体" w:hAnsi="宋体" w:eastAsia="宋体" w:cs="宋体"/>
                <w:sz w:val="18"/>
                <w:szCs w:val="18"/>
              </w:rPr>
            </w:pPr>
            <w:r>
              <w:rPr>
                <w:rFonts w:ascii="宋体" w:hAnsi="宋体" w:eastAsia="宋体" w:cs="宋体"/>
                <w:sz w:val="18"/>
                <w:szCs w:val="18"/>
              </w:rPr>
              <w:t>万片(粒/袋)</w:t>
            </w:r>
          </w:p>
        </w:tc>
        <w:tc>
          <w:tcPr>
            <w:tcW w:w="1606" w:type="dxa"/>
            <w:tcBorders>
              <w:top w:val="single" w:color="auto" w:sz="2" w:space="0"/>
              <w:left w:val="single" w:color="auto" w:sz="2" w:space="0"/>
              <w:bottom w:val="single" w:color="auto" w:sz="2" w:space="0"/>
              <w:right w:val="single" w:color="auto" w:sz="2" w:space="0"/>
            </w:tcBorders>
            <w:vAlign w:val="center"/>
          </w:tcPr>
          <w:p w14:paraId="259C6871">
            <w:pPr>
              <w:spacing w:before="0" w:after="0" w:line="240" w:lineRule="exact"/>
              <w:jc w:val="right"/>
              <w:rPr>
                <w:rFonts w:ascii="宋体" w:hAnsi="宋体" w:eastAsia="宋体" w:cs="宋体"/>
                <w:sz w:val="18"/>
                <w:szCs w:val="18"/>
              </w:rPr>
            </w:pPr>
            <w:r>
              <w:rPr>
                <w:rFonts w:ascii="宋体" w:hAnsi="宋体" w:eastAsia="宋体" w:cs="宋体"/>
                <w:sz w:val="18"/>
                <w:szCs w:val="18"/>
              </w:rPr>
              <w:t>4,976.36</w:t>
            </w:r>
          </w:p>
        </w:tc>
        <w:tc>
          <w:tcPr>
            <w:tcW w:w="1606" w:type="dxa"/>
            <w:tcBorders>
              <w:top w:val="single" w:color="auto" w:sz="2" w:space="0"/>
              <w:left w:val="single" w:color="auto" w:sz="2" w:space="0"/>
              <w:bottom w:val="single" w:color="auto" w:sz="2" w:space="0"/>
              <w:right w:val="single" w:color="auto" w:sz="2" w:space="0"/>
            </w:tcBorders>
            <w:vAlign w:val="center"/>
          </w:tcPr>
          <w:p w14:paraId="41C8716A">
            <w:pPr>
              <w:spacing w:before="0" w:after="0" w:line="240" w:lineRule="exact"/>
              <w:jc w:val="right"/>
              <w:rPr>
                <w:rFonts w:ascii="宋体" w:hAnsi="宋体" w:eastAsia="宋体" w:cs="宋体"/>
                <w:sz w:val="18"/>
                <w:szCs w:val="18"/>
              </w:rPr>
            </w:pPr>
            <w:r>
              <w:rPr>
                <w:rFonts w:ascii="宋体" w:hAnsi="宋体" w:eastAsia="宋体" w:cs="宋体"/>
                <w:sz w:val="18"/>
                <w:szCs w:val="18"/>
              </w:rPr>
              <w:t>3,647.37</w:t>
            </w:r>
          </w:p>
        </w:tc>
        <w:tc>
          <w:tcPr>
            <w:tcW w:w="1606" w:type="dxa"/>
            <w:tcBorders>
              <w:top w:val="single" w:color="auto" w:sz="2" w:space="0"/>
              <w:left w:val="single" w:color="auto" w:sz="2" w:space="0"/>
              <w:bottom w:val="single" w:color="auto" w:sz="2" w:space="0"/>
              <w:right w:val="single" w:color="auto" w:sz="2" w:space="0"/>
            </w:tcBorders>
            <w:vAlign w:val="center"/>
          </w:tcPr>
          <w:p w14:paraId="285D3F7E">
            <w:pPr>
              <w:spacing w:before="0" w:after="0" w:line="240" w:lineRule="exact"/>
              <w:jc w:val="right"/>
              <w:rPr>
                <w:rFonts w:ascii="宋体" w:hAnsi="宋体" w:eastAsia="宋体" w:cs="宋体"/>
                <w:sz w:val="18"/>
                <w:szCs w:val="18"/>
              </w:rPr>
            </w:pPr>
            <w:r>
              <w:rPr>
                <w:rFonts w:ascii="宋体" w:hAnsi="宋体" w:eastAsia="宋体" w:cs="宋体"/>
                <w:sz w:val="18"/>
                <w:szCs w:val="18"/>
              </w:rPr>
              <w:t>36.44%</w:t>
            </w:r>
          </w:p>
        </w:tc>
      </w:tr>
      <w:tr w14:paraId="76C48F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restart"/>
            <w:tcBorders>
              <w:top w:val="single" w:color="auto" w:sz="2" w:space="0"/>
              <w:left w:val="single" w:color="auto" w:sz="2" w:space="0"/>
              <w:bottom w:val="single" w:color="auto" w:sz="2" w:space="0"/>
              <w:right w:val="single" w:color="auto" w:sz="2" w:space="0"/>
            </w:tcBorders>
            <w:vAlign w:val="center"/>
          </w:tcPr>
          <w:p w14:paraId="4D2AC6CC">
            <w:pPr>
              <w:spacing w:before="0" w:after="0" w:line="240" w:lineRule="exact"/>
              <w:jc w:val="left"/>
              <w:rPr>
                <w:rFonts w:ascii="宋体" w:hAnsi="宋体" w:eastAsia="宋体" w:cs="宋体"/>
                <w:sz w:val="18"/>
                <w:szCs w:val="18"/>
              </w:rPr>
            </w:pPr>
            <w:r>
              <w:rPr>
                <w:rFonts w:ascii="宋体" w:hAnsi="宋体" w:eastAsia="宋体" w:cs="宋体"/>
                <w:sz w:val="18"/>
                <w:szCs w:val="18"/>
              </w:rPr>
              <w:t>医药制造（心血管药物）</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64E428D">
            <w:pPr>
              <w:spacing w:before="40" w:after="40" w:line="240" w:lineRule="exact"/>
              <w:jc w:val="left"/>
              <w:rPr>
                <w:rFonts w:ascii="宋体" w:hAnsi="宋体" w:eastAsia="宋体" w:cs="宋体"/>
                <w:sz w:val="18"/>
                <w:szCs w:val="18"/>
              </w:rPr>
            </w:pPr>
            <w:r>
              <w:rPr>
                <w:rFonts w:ascii="宋体" w:hAnsi="宋体" w:eastAsia="宋体" w:cs="宋体"/>
                <w:sz w:val="18"/>
                <w:szCs w:val="18"/>
              </w:rPr>
              <w:t>销售量</w:t>
            </w:r>
          </w:p>
        </w:tc>
        <w:tc>
          <w:tcPr>
            <w:tcW w:w="1606" w:type="dxa"/>
            <w:tcBorders>
              <w:top w:val="single" w:color="auto" w:sz="2" w:space="0"/>
              <w:left w:val="single" w:color="auto" w:sz="2" w:space="0"/>
              <w:bottom w:val="single" w:color="auto" w:sz="2" w:space="0"/>
              <w:right w:val="single" w:color="auto" w:sz="2" w:space="0"/>
            </w:tcBorders>
            <w:vAlign w:val="center"/>
          </w:tcPr>
          <w:p w14:paraId="3E541456">
            <w:pPr>
              <w:spacing w:before="0" w:after="0" w:line="240" w:lineRule="exact"/>
              <w:jc w:val="left"/>
              <w:rPr>
                <w:rFonts w:ascii="宋体" w:hAnsi="宋体" w:eastAsia="宋体" w:cs="宋体"/>
                <w:sz w:val="18"/>
                <w:szCs w:val="18"/>
              </w:rPr>
            </w:pPr>
            <w:r>
              <w:rPr>
                <w:rFonts w:ascii="宋体" w:hAnsi="宋体" w:eastAsia="宋体" w:cs="宋体"/>
                <w:sz w:val="18"/>
                <w:szCs w:val="18"/>
              </w:rPr>
              <w:t>万片(粒/袋)</w:t>
            </w:r>
          </w:p>
        </w:tc>
        <w:tc>
          <w:tcPr>
            <w:tcW w:w="1606" w:type="dxa"/>
            <w:tcBorders>
              <w:top w:val="single" w:color="auto" w:sz="2" w:space="0"/>
              <w:left w:val="single" w:color="auto" w:sz="2" w:space="0"/>
              <w:bottom w:val="single" w:color="auto" w:sz="2" w:space="0"/>
              <w:right w:val="single" w:color="auto" w:sz="2" w:space="0"/>
            </w:tcBorders>
            <w:vAlign w:val="center"/>
          </w:tcPr>
          <w:p w14:paraId="68805241">
            <w:pPr>
              <w:spacing w:before="0" w:after="0" w:line="240" w:lineRule="exact"/>
              <w:jc w:val="right"/>
              <w:rPr>
                <w:rFonts w:ascii="宋体" w:hAnsi="宋体" w:eastAsia="宋体" w:cs="宋体"/>
                <w:sz w:val="18"/>
                <w:szCs w:val="18"/>
              </w:rPr>
            </w:pPr>
            <w:r>
              <w:rPr>
                <w:rFonts w:ascii="宋体" w:hAnsi="宋体" w:eastAsia="宋体" w:cs="宋体"/>
                <w:sz w:val="18"/>
                <w:szCs w:val="18"/>
              </w:rPr>
              <w:t>5,251.54</w:t>
            </w:r>
          </w:p>
        </w:tc>
        <w:tc>
          <w:tcPr>
            <w:tcW w:w="1606" w:type="dxa"/>
            <w:tcBorders>
              <w:top w:val="single" w:color="auto" w:sz="2" w:space="0"/>
              <w:left w:val="single" w:color="auto" w:sz="2" w:space="0"/>
              <w:bottom w:val="single" w:color="auto" w:sz="2" w:space="0"/>
              <w:right w:val="single" w:color="auto" w:sz="2" w:space="0"/>
            </w:tcBorders>
            <w:vAlign w:val="center"/>
          </w:tcPr>
          <w:p w14:paraId="7744039A">
            <w:pPr>
              <w:spacing w:before="0" w:after="0" w:line="240" w:lineRule="exact"/>
              <w:jc w:val="right"/>
              <w:rPr>
                <w:rFonts w:ascii="宋体" w:hAnsi="宋体" w:eastAsia="宋体" w:cs="宋体"/>
                <w:sz w:val="18"/>
                <w:szCs w:val="18"/>
              </w:rPr>
            </w:pPr>
            <w:r>
              <w:rPr>
                <w:rFonts w:ascii="宋体" w:hAnsi="宋体" w:eastAsia="宋体" w:cs="宋体"/>
                <w:sz w:val="18"/>
                <w:szCs w:val="18"/>
              </w:rPr>
              <w:t>3,643.60</w:t>
            </w:r>
          </w:p>
        </w:tc>
        <w:tc>
          <w:tcPr>
            <w:tcW w:w="1606" w:type="dxa"/>
            <w:tcBorders>
              <w:top w:val="single" w:color="auto" w:sz="2" w:space="0"/>
              <w:left w:val="single" w:color="auto" w:sz="2" w:space="0"/>
              <w:bottom w:val="single" w:color="auto" w:sz="2" w:space="0"/>
              <w:right w:val="single" w:color="auto" w:sz="2" w:space="0"/>
            </w:tcBorders>
            <w:vAlign w:val="center"/>
          </w:tcPr>
          <w:p w14:paraId="1F055C67">
            <w:pPr>
              <w:spacing w:before="0" w:after="0" w:line="240" w:lineRule="exact"/>
              <w:jc w:val="right"/>
              <w:rPr>
                <w:rFonts w:ascii="宋体" w:hAnsi="宋体" w:eastAsia="宋体" w:cs="宋体"/>
                <w:sz w:val="18"/>
                <w:szCs w:val="18"/>
              </w:rPr>
            </w:pPr>
            <w:r>
              <w:rPr>
                <w:rFonts w:ascii="宋体" w:hAnsi="宋体" w:eastAsia="宋体" w:cs="宋体"/>
                <w:sz w:val="18"/>
                <w:szCs w:val="18"/>
              </w:rPr>
              <w:t>44.13%</w:t>
            </w:r>
          </w:p>
        </w:tc>
      </w:tr>
      <w:tr w14:paraId="5B885F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continue"/>
            <w:tcBorders>
              <w:top w:val="single" w:color="auto" w:sz="2" w:space="0"/>
              <w:left w:val="single" w:color="auto" w:sz="2" w:space="0"/>
              <w:bottom w:val="single" w:color="auto" w:sz="2" w:space="0"/>
              <w:right w:val="single" w:color="auto" w:sz="2" w:space="0"/>
            </w:tcBorders>
            <w:vAlign w:val="center"/>
          </w:tcPr>
          <w:p w14:paraId="30A42176">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443C5FC">
            <w:pPr>
              <w:spacing w:before="40" w:after="40" w:line="240" w:lineRule="exact"/>
              <w:jc w:val="left"/>
              <w:rPr>
                <w:rFonts w:ascii="宋体" w:hAnsi="宋体" w:eastAsia="宋体" w:cs="宋体"/>
                <w:sz w:val="18"/>
                <w:szCs w:val="18"/>
              </w:rPr>
            </w:pPr>
            <w:r>
              <w:rPr>
                <w:rFonts w:ascii="宋体" w:hAnsi="宋体" w:eastAsia="宋体" w:cs="宋体"/>
                <w:sz w:val="18"/>
                <w:szCs w:val="18"/>
              </w:rPr>
              <w:t>生产量</w:t>
            </w:r>
          </w:p>
        </w:tc>
        <w:tc>
          <w:tcPr>
            <w:tcW w:w="1606" w:type="dxa"/>
            <w:tcBorders>
              <w:top w:val="single" w:color="auto" w:sz="2" w:space="0"/>
              <w:left w:val="single" w:color="auto" w:sz="2" w:space="0"/>
              <w:bottom w:val="single" w:color="auto" w:sz="2" w:space="0"/>
              <w:right w:val="single" w:color="auto" w:sz="2" w:space="0"/>
            </w:tcBorders>
            <w:vAlign w:val="center"/>
          </w:tcPr>
          <w:p w14:paraId="450455C0">
            <w:pPr>
              <w:spacing w:before="0" w:after="0" w:line="240" w:lineRule="exact"/>
              <w:jc w:val="left"/>
              <w:rPr>
                <w:rFonts w:ascii="宋体" w:hAnsi="宋体" w:eastAsia="宋体" w:cs="宋体"/>
                <w:sz w:val="18"/>
                <w:szCs w:val="18"/>
              </w:rPr>
            </w:pPr>
            <w:r>
              <w:rPr>
                <w:rFonts w:ascii="宋体" w:hAnsi="宋体" w:eastAsia="宋体" w:cs="宋体"/>
                <w:sz w:val="18"/>
                <w:szCs w:val="18"/>
              </w:rPr>
              <w:t>万片(粒/袋)</w:t>
            </w:r>
          </w:p>
        </w:tc>
        <w:tc>
          <w:tcPr>
            <w:tcW w:w="1606" w:type="dxa"/>
            <w:tcBorders>
              <w:top w:val="single" w:color="auto" w:sz="2" w:space="0"/>
              <w:left w:val="single" w:color="auto" w:sz="2" w:space="0"/>
              <w:bottom w:val="single" w:color="auto" w:sz="2" w:space="0"/>
              <w:right w:val="single" w:color="auto" w:sz="2" w:space="0"/>
            </w:tcBorders>
            <w:vAlign w:val="center"/>
          </w:tcPr>
          <w:p w14:paraId="0AA4FCD4">
            <w:pPr>
              <w:spacing w:before="0" w:after="0" w:line="240" w:lineRule="exact"/>
              <w:jc w:val="right"/>
              <w:rPr>
                <w:rFonts w:ascii="宋体" w:hAnsi="宋体" w:eastAsia="宋体" w:cs="宋体"/>
                <w:sz w:val="18"/>
                <w:szCs w:val="18"/>
              </w:rPr>
            </w:pPr>
            <w:r>
              <w:rPr>
                <w:rFonts w:ascii="宋体" w:hAnsi="宋体" w:eastAsia="宋体" w:cs="宋体"/>
                <w:sz w:val="18"/>
                <w:szCs w:val="18"/>
              </w:rPr>
              <w:t>5,636.99</w:t>
            </w:r>
          </w:p>
        </w:tc>
        <w:tc>
          <w:tcPr>
            <w:tcW w:w="1606" w:type="dxa"/>
            <w:tcBorders>
              <w:top w:val="single" w:color="auto" w:sz="2" w:space="0"/>
              <w:left w:val="single" w:color="auto" w:sz="2" w:space="0"/>
              <w:bottom w:val="single" w:color="auto" w:sz="2" w:space="0"/>
              <w:right w:val="single" w:color="auto" w:sz="2" w:space="0"/>
            </w:tcBorders>
            <w:vAlign w:val="center"/>
          </w:tcPr>
          <w:p w14:paraId="3FC97332">
            <w:pPr>
              <w:spacing w:before="0" w:after="0" w:line="240" w:lineRule="exact"/>
              <w:jc w:val="right"/>
              <w:rPr>
                <w:rFonts w:ascii="宋体" w:hAnsi="宋体" w:eastAsia="宋体" w:cs="宋体"/>
                <w:sz w:val="18"/>
                <w:szCs w:val="18"/>
              </w:rPr>
            </w:pPr>
            <w:r>
              <w:rPr>
                <w:rFonts w:ascii="宋体" w:hAnsi="宋体" w:eastAsia="宋体" w:cs="宋体"/>
                <w:sz w:val="18"/>
                <w:szCs w:val="18"/>
              </w:rPr>
              <w:t>3,606.29</w:t>
            </w:r>
          </w:p>
        </w:tc>
        <w:tc>
          <w:tcPr>
            <w:tcW w:w="1606" w:type="dxa"/>
            <w:tcBorders>
              <w:top w:val="single" w:color="auto" w:sz="2" w:space="0"/>
              <w:left w:val="single" w:color="auto" w:sz="2" w:space="0"/>
              <w:bottom w:val="single" w:color="auto" w:sz="2" w:space="0"/>
              <w:right w:val="single" w:color="auto" w:sz="2" w:space="0"/>
            </w:tcBorders>
            <w:vAlign w:val="center"/>
          </w:tcPr>
          <w:p w14:paraId="2576000C">
            <w:pPr>
              <w:spacing w:before="0" w:after="0" w:line="240" w:lineRule="exact"/>
              <w:jc w:val="right"/>
              <w:rPr>
                <w:rFonts w:ascii="宋体" w:hAnsi="宋体" w:eastAsia="宋体" w:cs="宋体"/>
                <w:sz w:val="18"/>
                <w:szCs w:val="18"/>
              </w:rPr>
            </w:pPr>
            <w:r>
              <w:rPr>
                <w:rFonts w:ascii="宋体" w:hAnsi="宋体" w:eastAsia="宋体" w:cs="宋体"/>
                <w:sz w:val="18"/>
                <w:szCs w:val="18"/>
              </w:rPr>
              <w:t>56.31%</w:t>
            </w:r>
          </w:p>
        </w:tc>
      </w:tr>
      <w:tr w14:paraId="595898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continue"/>
            <w:tcBorders>
              <w:top w:val="single" w:color="auto" w:sz="2" w:space="0"/>
              <w:left w:val="single" w:color="auto" w:sz="2" w:space="0"/>
              <w:bottom w:val="single" w:color="auto" w:sz="2" w:space="0"/>
              <w:right w:val="single" w:color="auto" w:sz="2" w:space="0"/>
            </w:tcBorders>
            <w:vAlign w:val="center"/>
          </w:tcPr>
          <w:p w14:paraId="568E2E4F">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9EF9D3C">
            <w:pPr>
              <w:spacing w:before="40" w:after="40" w:line="240" w:lineRule="exact"/>
              <w:jc w:val="left"/>
              <w:rPr>
                <w:rFonts w:ascii="宋体" w:hAnsi="宋体" w:eastAsia="宋体" w:cs="宋体"/>
                <w:sz w:val="18"/>
                <w:szCs w:val="18"/>
              </w:rPr>
            </w:pPr>
            <w:r>
              <w:rPr>
                <w:rFonts w:ascii="宋体" w:hAnsi="宋体" w:eastAsia="宋体" w:cs="宋体"/>
                <w:sz w:val="18"/>
                <w:szCs w:val="18"/>
              </w:rPr>
              <w:t>库存量</w:t>
            </w:r>
          </w:p>
        </w:tc>
        <w:tc>
          <w:tcPr>
            <w:tcW w:w="1606" w:type="dxa"/>
            <w:tcBorders>
              <w:top w:val="single" w:color="auto" w:sz="2" w:space="0"/>
              <w:left w:val="single" w:color="auto" w:sz="2" w:space="0"/>
              <w:bottom w:val="single" w:color="auto" w:sz="2" w:space="0"/>
              <w:right w:val="single" w:color="auto" w:sz="2" w:space="0"/>
            </w:tcBorders>
            <w:vAlign w:val="center"/>
          </w:tcPr>
          <w:p w14:paraId="3C9298C8">
            <w:pPr>
              <w:spacing w:before="0" w:after="0" w:line="240" w:lineRule="exact"/>
              <w:jc w:val="left"/>
              <w:rPr>
                <w:rFonts w:ascii="宋体" w:hAnsi="宋体" w:eastAsia="宋体" w:cs="宋体"/>
                <w:sz w:val="18"/>
                <w:szCs w:val="18"/>
              </w:rPr>
            </w:pPr>
            <w:r>
              <w:rPr>
                <w:rFonts w:ascii="宋体" w:hAnsi="宋体" w:eastAsia="宋体" w:cs="宋体"/>
                <w:sz w:val="18"/>
                <w:szCs w:val="18"/>
              </w:rPr>
              <w:t>万片(粒/袋)</w:t>
            </w:r>
          </w:p>
        </w:tc>
        <w:tc>
          <w:tcPr>
            <w:tcW w:w="1606" w:type="dxa"/>
            <w:tcBorders>
              <w:top w:val="single" w:color="auto" w:sz="2" w:space="0"/>
              <w:left w:val="single" w:color="auto" w:sz="2" w:space="0"/>
              <w:bottom w:val="single" w:color="auto" w:sz="2" w:space="0"/>
              <w:right w:val="single" w:color="auto" w:sz="2" w:space="0"/>
            </w:tcBorders>
            <w:vAlign w:val="center"/>
          </w:tcPr>
          <w:p w14:paraId="202259A3">
            <w:pPr>
              <w:spacing w:before="0" w:after="0" w:line="240" w:lineRule="exact"/>
              <w:jc w:val="right"/>
              <w:rPr>
                <w:rFonts w:ascii="宋体" w:hAnsi="宋体" w:eastAsia="宋体" w:cs="宋体"/>
                <w:sz w:val="18"/>
                <w:szCs w:val="18"/>
              </w:rPr>
            </w:pPr>
            <w:r>
              <w:rPr>
                <w:rFonts w:ascii="宋体" w:hAnsi="宋体" w:eastAsia="宋体" w:cs="宋体"/>
                <w:sz w:val="18"/>
                <w:szCs w:val="18"/>
              </w:rPr>
              <w:t>653.82</w:t>
            </w:r>
          </w:p>
        </w:tc>
        <w:tc>
          <w:tcPr>
            <w:tcW w:w="1606" w:type="dxa"/>
            <w:tcBorders>
              <w:top w:val="single" w:color="auto" w:sz="2" w:space="0"/>
              <w:left w:val="single" w:color="auto" w:sz="2" w:space="0"/>
              <w:bottom w:val="single" w:color="auto" w:sz="2" w:space="0"/>
              <w:right w:val="single" w:color="auto" w:sz="2" w:space="0"/>
            </w:tcBorders>
            <w:vAlign w:val="center"/>
          </w:tcPr>
          <w:p w14:paraId="6A300F97">
            <w:pPr>
              <w:spacing w:before="0" w:after="0" w:line="240" w:lineRule="exact"/>
              <w:jc w:val="right"/>
              <w:rPr>
                <w:rFonts w:ascii="宋体" w:hAnsi="宋体" w:eastAsia="宋体" w:cs="宋体"/>
                <w:sz w:val="18"/>
                <w:szCs w:val="18"/>
              </w:rPr>
            </w:pPr>
            <w:r>
              <w:rPr>
                <w:rFonts w:ascii="宋体" w:hAnsi="宋体" w:eastAsia="宋体" w:cs="宋体"/>
                <w:sz w:val="18"/>
                <w:szCs w:val="18"/>
              </w:rPr>
              <w:t>269.44</w:t>
            </w:r>
          </w:p>
        </w:tc>
        <w:tc>
          <w:tcPr>
            <w:tcW w:w="1606" w:type="dxa"/>
            <w:tcBorders>
              <w:top w:val="single" w:color="auto" w:sz="2" w:space="0"/>
              <w:left w:val="single" w:color="auto" w:sz="2" w:space="0"/>
              <w:bottom w:val="single" w:color="auto" w:sz="2" w:space="0"/>
              <w:right w:val="single" w:color="auto" w:sz="2" w:space="0"/>
            </w:tcBorders>
            <w:vAlign w:val="center"/>
          </w:tcPr>
          <w:p w14:paraId="74872E48">
            <w:pPr>
              <w:spacing w:before="0" w:after="0" w:line="240" w:lineRule="exact"/>
              <w:jc w:val="right"/>
              <w:rPr>
                <w:rFonts w:ascii="宋体" w:hAnsi="宋体" w:eastAsia="宋体" w:cs="宋体"/>
                <w:sz w:val="18"/>
                <w:szCs w:val="18"/>
              </w:rPr>
            </w:pPr>
            <w:r>
              <w:rPr>
                <w:rFonts w:ascii="宋体" w:hAnsi="宋体" w:eastAsia="宋体" w:cs="宋体"/>
                <w:sz w:val="18"/>
                <w:szCs w:val="18"/>
              </w:rPr>
              <w:t>142.66%</w:t>
            </w:r>
          </w:p>
        </w:tc>
      </w:tr>
    </w:tbl>
    <w:p w14:paraId="796903A7">
      <w:pPr>
        <w:spacing w:before="100" w:after="100" w:line="240" w:lineRule="exact"/>
        <w:jc w:val="left"/>
        <w:rPr>
          <w:rFonts w:ascii="宋体" w:hAnsi="宋体" w:eastAsia="宋体" w:cs="宋体"/>
          <w:sz w:val="18"/>
          <w:szCs w:val="18"/>
        </w:rPr>
      </w:pPr>
      <w:r>
        <w:rPr>
          <w:rFonts w:ascii="宋体" w:hAnsi="宋体" w:eastAsia="宋体" w:cs="宋体"/>
          <w:sz w:val="18"/>
          <w:szCs w:val="18"/>
        </w:rPr>
        <w:t>相关数据同比发生变动30%以上的原因说明</w:t>
      </w:r>
    </w:p>
    <w:p w14:paraId="63098542">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790826F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right="0"/>
        <w:textAlignment w:val="auto"/>
        <w:rPr>
          <w:rFonts w:hint="eastAsia" w:ascii="宋体" w:hAnsi="宋体" w:eastAsia="宋体" w:cs="宋体"/>
          <w:sz w:val="24"/>
          <w:szCs w:val="24"/>
        </w:rPr>
      </w:pPr>
      <w:r>
        <w:rPr>
          <w:rFonts w:hint="eastAsia" w:ascii="宋体" w:hAnsi="宋体" w:eastAsia="宋体" w:cs="宋体"/>
          <w:sz w:val="18"/>
          <w:szCs w:val="18"/>
        </w:rPr>
        <w:t>1、公司心血管药物主要为集采模式，2024年销售数量大幅增长44.13%，相应生产量增长56.31%；</w:t>
      </w:r>
    </w:p>
    <w:p w14:paraId="235F8CE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right="0"/>
        <w:textAlignment w:val="auto"/>
        <w:rPr>
          <w:rFonts w:hint="eastAsia" w:ascii="宋体" w:hAnsi="宋体" w:eastAsia="宋体" w:cs="宋体"/>
          <w:sz w:val="24"/>
          <w:szCs w:val="24"/>
        </w:rPr>
      </w:pPr>
      <w:r>
        <w:rPr>
          <w:rFonts w:hint="eastAsia" w:ascii="宋体" w:hAnsi="宋体" w:eastAsia="宋体" w:cs="宋体"/>
          <w:sz w:val="18"/>
          <w:szCs w:val="18"/>
        </w:rPr>
        <w:t>2、公司产品期末库存数据变动</w:t>
      </w:r>
      <w:r>
        <w:rPr>
          <w:rFonts w:hint="default" w:ascii="Times New Roman" w:hAnsi="Times New Roman" w:eastAsia="宋体" w:cs="Times New Roman"/>
          <w:sz w:val="18"/>
          <w:szCs w:val="18"/>
        </w:rPr>
        <w:t>30%</w:t>
      </w:r>
      <w:r>
        <w:rPr>
          <w:rFonts w:hint="eastAsia" w:ascii="宋体" w:hAnsi="宋体" w:eastAsia="宋体" w:cs="宋体"/>
          <w:sz w:val="18"/>
          <w:szCs w:val="18"/>
        </w:rPr>
        <w:t>以上，主要为公司产品以销定产，基本保持</w:t>
      </w:r>
      <w:r>
        <w:rPr>
          <w:rFonts w:hint="default" w:ascii="Times New Roman" w:hAnsi="Times New Roman" w:eastAsia="宋体" w:cs="Times New Roman"/>
          <w:sz w:val="18"/>
          <w:szCs w:val="18"/>
        </w:rPr>
        <w:t>1-2</w:t>
      </w:r>
      <w:r>
        <w:rPr>
          <w:rFonts w:hint="eastAsia" w:ascii="宋体" w:hAnsi="宋体" w:eastAsia="宋体" w:cs="宋体"/>
          <w:sz w:val="18"/>
          <w:szCs w:val="18"/>
        </w:rPr>
        <w:t>个月的销售数量的库存。</w:t>
      </w:r>
    </w:p>
    <w:p w14:paraId="7ADC74EA">
      <w:pPr>
        <w:keepNext/>
        <w:keepLines/>
        <w:spacing w:before="300" w:after="300" w:line="280" w:lineRule="exact"/>
        <w:jc w:val="left"/>
        <w:outlineLvl w:val="3"/>
        <w:rPr>
          <w:rFonts w:ascii="宋体" w:hAnsi="宋体" w:eastAsia="宋体" w:cs="宋体"/>
          <w:b/>
          <w:bCs/>
          <w:sz w:val="18"/>
          <w:szCs w:val="18"/>
        </w:rPr>
      </w:pPr>
      <w:bookmarkStart w:id="24" w:name="_Toc988911"/>
      <w:r>
        <w:rPr>
          <w:rFonts w:ascii="宋体" w:hAnsi="宋体" w:eastAsia="宋体" w:cs="宋体"/>
          <w:b/>
          <w:bCs/>
          <w:sz w:val="18"/>
          <w:szCs w:val="18"/>
        </w:rPr>
        <w:t>（4） 公司已签订的重大销售合同、重大采购合同截至本报告期的履行情况</w:t>
      </w:r>
      <w:bookmarkEnd w:id="24"/>
    </w:p>
    <w:p w14:paraId="6858BB03">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569B1593">
      <w:pPr>
        <w:keepNext/>
        <w:keepLines/>
        <w:spacing w:before="300" w:after="300" w:line="280" w:lineRule="exact"/>
        <w:jc w:val="left"/>
        <w:outlineLvl w:val="3"/>
        <w:rPr>
          <w:rFonts w:ascii="宋体" w:hAnsi="宋体" w:eastAsia="宋体" w:cs="宋体"/>
          <w:b/>
          <w:bCs/>
          <w:sz w:val="18"/>
          <w:szCs w:val="18"/>
        </w:rPr>
      </w:pPr>
      <w:bookmarkStart w:id="25" w:name="_Toc988912"/>
      <w:r>
        <w:rPr>
          <w:rFonts w:ascii="宋体" w:hAnsi="宋体" w:eastAsia="宋体" w:cs="宋体"/>
          <w:b/>
          <w:bCs/>
          <w:sz w:val="18"/>
          <w:szCs w:val="18"/>
        </w:rPr>
        <w:t>（5） 营业成本构成</w:t>
      </w:r>
      <w:bookmarkEnd w:id="25"/>
    </w:p>
    <w:p w14:paraId="29D61C92">
      <w:pPr>
        <w:spacing w:before="40" w:after="40" w:line="240" w:lineRule="exact"/>
        <w:jc w:val="left"/>
        <w:rPr>
          <w:rFonts w:ascii="宋体" w:hAnsi="宋体" w:eastAsia="宋体" w:cs="宋体"/>
          <w:sz w:val="18"/>
          <w:szCs w:val="18"/>
        </w:rPr>
      </w:pPr>
      <w:r>
        <w:rPr>
          <w:rFonts w:ascii="宋体" w:hAnsi="宋体" w:eastAsia="宋体" w:cs="宋体"/>
          <w:sz w:val="18"/>
          <w:szCs w:val="18"/>
        </w:rPr>
        <w:t>行业分类</w:t>
      </w:r>
    </w:p>
    <w:p w14:paraId="2FF5D212">
      <w:pPr>
        <w:spacing w:before="100" w:after="100" w:line="240" w:lineRule="exact"/>
        <w:jc w:val="left"/>
        <w:rPr>
          <w:rFonts w:ascii="宋体" w:hAnsi="宋体" w:eastAsia="宋体" w:cs="宋体"/>
          <w:sz w:val="18"/>
          <w:szCs w:val="18"/>
        </w:rPr>
      </w:pPr>
      <w:r>
        <w:rPr>
          <w:rFonts w:ascii="宋体" w:hAnsi="宋体" w:eastAsia="宋体" w:cs="宋体"/>
          <w:sz w:val="18"/>
          <w:szCs w:val="18"/>
        </w:rPr>
        <w:t>行业分类</w:t>
      </w:r>
    </w:p>
    <w:p w14:paraId="087295E1">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240"/>
        <w:gridCol w:w="1514"/>
        <w:gridCol w:w="1586"/>
        <w:gridCol w:w="1540"/>
        <w:gridCol w:w="1500"/>
        <w:gridCol w:w="882"/>
      </w:tblGrid>
      <w:tr w14:paraId="1A2E79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961803F">
            <w:pPr>
              <w:spacing w:before="40" w:after="40" w:line="240" w:lineRule="exact"/>
              <w:jc w:val="center"/>
              <w:rPr>
                <w:rFonts w:ascii="宋体" w:hAnsi="宋体" w:eastAsia="宋体" w:cs="宋体"/>
                <w:sz w:val="18"/>
                <w:szCs w:val="18"/>
              </w:rPr>
            </w:pPr>
            <w:r>
              <w:rPr>
                <w:rFonts w:ascii="宋体" w:hAnsi="宋体" w:eastAsia="宋体" w:cs="宋体"/>
                <w:sz w:val="18"/>
                <w:szCs w:val="18"/>
              </w:rPr>
              <w:t>行业分类</w:t>
            </w:r>
          </w:p>
        </w:tc>
        <w:tc>
          <w:tcPr>
            <w:tcW w:w="124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DEC8C95">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10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2A01343">
            <w:pPr>
              <w:spacing w:before="40" w:after="40" w:line="240" w:lineRule="exact"/>
              <w:jc w:val="center"/>
              <w:rPr>
                <w:rFonts w:ascii="宋体" w:hAnsi="宋体" w:eastAsia="宋体" w:cs="宋体"/>
                <w:sz w:val="18"/>
                <w:szCs w:val="18"/>
              </w:rPr>
            </w:pPr>
            <w:r>
              <w:rPr>
                <w:rFonts w:ascii="宋体" w:hAnsi="宋体" w:eastAsia="宋体" w:cs="宋体"/>
                <w:sz w:val="18"/>
                <w:szCs w:val="18"/>
              </w:rPr>
              <w:t>2024年</w:t>
            </w:r>
          </w:p>
        </w:tc>
        <w:tc>
          <w:tcPr>
            <w:tcW w:w="304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08E91D0">
            <w:pPr>
              <w:spacing w:before="40" w:after="40" w:line="240" w:lineRule="exact"/>
              <w:jc w:val="center"/>
              <w:rPr>
                <w:rFonts w:ascii="宋体" w:hAnsi="宋体" w:eastAsia="宋体" w:cs="宋体"/>
                <w:sz w:val="18"/>
                <w:szCs w:val="18"/>
              </w:rPr>
            </w:pPr>
            <w:r>
              <w:rPr>
                <w:rFonts w:ascii="宋体" w:hAnsi="宋体" w:eastAsia="宋体" w:cs="宋体"/>
                <w:sz w:val="18"/>
                <w:szCs w:val="18"/>
              </w:rPr>
              <w:t>2023年</w:t>
            </w:r>
          </w:p>
        </w:tc>
        <w:tc>
          <w:tcPr>
            <w:tcW w:w="88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AF801B5">
            <w:pPr>
              <w:spacing w:before="40" w:after="40" w:line="240" w:lineRule="exact"/>
              <w:jc w:val="center"/>
              <w:rPr>
                <w:rFonts w:ascii="宋体" w:hAnsi="宋体" w:eastAsia="宋体" w:cs="宋体"/>
                <w:sz w:val="18"/>
                <w:szCs w:val="18"/>
              </w:rPr>
            </w:pPr>
            <w:r>
              <w:rPr>
                <w:rFonts w:ascii="宋体" w:hAnsi="宋体" w:eastAsia="宋体" w:cs="宋体"/>
                <w:sz w:val="18"/>
                <w:szCs w:val="18"/>
              </w:rPr>
              <w:t>同比增减</w:t>
            </w:r>
          </w:p>
        </w:tc>
      </w:tr>
      <w:tr w14:paraId="39B621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2438739"/>
        </w:tc>
        <w:tc>
          <w:tcPr>
            <w:tcW w:w="124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6B8F80D"/>
        </w:tc>
        <w:tc>
          <w:tcPr>
            <w:tcW w:w="1514" w:type="dxa"/>
            <w:tcBorders>
              <w:top w:val="single" w:color="auto" w:sz="2" w:space="0"/>
              <w:left w:val="single" w:color="auto" w:sz="2" w:space="0"/>
              <w:bottom w:val="single" w:color="auto" w:sz="2" w:space="0"/>
              <w:right w:val="single" w:color="auto" w:sz="2" w:space="0"/>
            </w:tcBorders>
            <w:shd w:val="clear" w:color="auto" w:fill="D3D3D3"/>
            <w:vAlign w:val="center"/>
          </w:tcPr>
          <w:p w14:paraId="48EDD0A7">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586" w:type="dxa"/>
            <w:tcBorders>
              <w:top w:val="single" w:color="auto" w:sz="2" w:space="0"/>
              <w:left w:val="single" w:color="auto" w:sz="2" w:space="0"/>
              <w:bottom w:val="single" w:color="auto" w:sz="2" w:space="0"/>
              <w:right w:val="single" w:color="auto" w:sz="2" w:space="0"/>
            </w:tcBorders>
            <w:shd w:val="clear" w:color="auto" w:fill="D3D3D3"/>
            <w:vAlign w:val="center"/>
          </w:tcPr>
          <w:p w14:paraId="4AD40658">
            <w:pPr>
              <w:spacing w:before="40" w:after="40" w:line="240" w:lineRule="exact"/>
              <w:jc w:val="center"/>
              <w:rPr>
                <w:rFonts w:ascii="宋体" w:hAnsi="宋体" w:eastAsia="宋体" w:cs="宋体"/>
                <w:sz w:val="18"/>
                <w:szCs w:val="18"/>
              </w:rPr>
            </w:pPr>
            <w:r>
              <w:rPr>
                <w:rFonts w:ascii="宋体" w:hAnsi="宋体" w:eastAsia="宋体" w:cs="宋体"/>
                <w:sz w:val="18"/>
                <w:szCs w:val="18"/>
              </w:rPr>
              <w:t>占营业成本比重</w:t>
            </w:r>
          </w:p>
        </w:tc>
        <w:tc>
          <w:tcPr>
            <w:tcW w:w="1540" w:type="dxa"/>
            <w:tcBorders>
              <w:top w:val="single" w:color="auto" w:sz="2" w:space="0"/>
              <w:left w:val="single" w:color="auto" w:sz="2" w:space="0"/>
              <w:bottom w:val="single" w:color="auto" w:sz="2" w:space="0"/>
              <w:right w:val="single" w:color="auto" w:sz="2" w:space="0"/>
            </w:tcBorders>
            <w:shd w:val="clear" w:color="auto" w:fill="D3D3D3"/>
            <w:vAlign w:val="center"/>
          </w:tcPr>
          <w:p w14:paraId="3FF34807">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500" w:type="dxa"/>
            <w:tcBorders>
              <w:top w:val="single" w:color="auto" w:sz="2" w:space="0"/>
              <w:left w:val="single" w:color="auto" w:sz="2" w:space="0"/>
              <w:bottom w:val="single" w:color="auto" w:sz="2" w:space="0"/>
              <w:right w:val="single" w:color="auto" w:sz="2" w:space="0"/>
            </w:tcBorders>
            <w:shd w:val="clear" w:color="auto" w:fill="D3D3D3"/>
            <w:vAlign w:val="center"/>
          </w:tcPr>
          <w:p w14:paraId="7CA3B0A0">
            <w:pPr>
              <w:spacing w:before="40" w:after="40" w:line="240" w:lineRule="exact"/>
              <w:jc w:val="center"/>
              <w:rPr>
                <w:rFonts w:ascii="宋体" w:hAnsi="宋体" w:eastAsia="宋体" w:cs="宋体"/>
                <w:sz w:val="18"/>
                <w:szCs w:val="18"/>
              </w:rPr>
            </w:pPr>
            <w:r>
              <w:rPr>
                <w:rFonts w:ascii="宋体" w:hAnsi="宋体" w:eastAsia="宋体" w:cs="宋体"/>
                <w:sz w:val="18"/>
                <w:szCs w:val="18"/>
              </w:rPr>
              <w:t>占营业成本比重</w:t>
            </w:r>
          </w:p>
        </w:tc>
        <w:tc>
          <w:tcPr>
            <w:tcW w:w="88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44CEDE8"/>
        </w:tc>
      </w:tr>
      <w:tr w14:paraId="39405F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02F6FF38">
            <w:pPr>
              <w:spacing w:before="0" w:after="0" w:line="240" w:lineRule="exact"/>
              <w:jc w:val="left"/>
              <w:rPr>
                <w:rFonts w:ascii="宋体" w:hAnsi="宋体" w:eastAsia="宋体" w:cs="宋体"/>
                <w:sz w:val="18"/>
                <w:szCs w:val="18"/>
              </w:rPr>
            </w:pPr>
            <w:r>
              <w:rPr>
                <w:rFonts w:ascii="宋体" w:hAnsi="宋体" w:eastAsia="宋体" w:cs="宋体"/>
                <w:sz w:val="18"/>
                <w:szCs w:val="18"/>
              </w:rPr>
              <w:t>医药制造业</w:t>
            </w:r>
          </w:p>
        </w:tc>
        <w:tc>
          <w:tcPr>
            <w:tcW w:w="1240" w:type="dxa"/>
            <w:tcBorders>
              <w:top w:val="single" w:color="auto" w:sz="2" w:space="0"/>
              <w:left w:val="single" w:color="auto" w:sz="2" w:space="0"/>
              <w:bottom w:val="single" w:color="auto" w:sz="2" w:space="0"/>
              <w:right w:val="single" w:color="auto" w:sz="2" w:space="0"/>
            </w:tcBorders>
            <w:vAlign w:val="center"/>
          </w:tcPr>
          <w:p w14:paraId="0EFE54DB">
            <w:pPr>
              <w:spacing w:before="0" w:after="0" w:line="240" w:lineRule="exact"/>
              <w:jc w:val="left"/>
              <w:rPr>
                <w:rFonts w:ascii="宋体" w:hAnsi="宋体" w:eastAsia="宋体" w:cs="宋体"/>
                <w:sz w:val="18"/>
                <w:szCs w:val="18"/>
              </w:rPr>
            </w:pPr>
            <w:r>
              <w:rPr>
                <w:rFonts w:ascii="宋体" w:hAnsi="宋体" w:eastAsia="宋体" w:cs="宋体"/>
                <w:sz w:val="18"/>
                <w:szCs w:val="18"/>
              </w:rPr>
              <w:t>材料</w:t>
            </w:r>
          </w:p>
        </w:tc>
        <w:tc>
          <w:tcPr>
            <w:tcW w:w="1514" w:type="dxa"/>
            <w:tcBorders>
              <w:top w:val="single" w:color="auto" w:sz="2" w:space="0"/>
              <w:left w:val="single" w:color="auto" w:sz="2" w:space="0"/>
              <w:bottom w:val="single" w:color="auto" w:sz="2" w:space="0"/>
              <w:right w:val="single" w:color="auto" w:sz="2" w:space="0"/>
            </w:tcBorders>
            <w:vAlign w:val="center"/>
          </w:tcPr>
          <w:p w14:paraId="47A6B526">
            <w:pPr>
              <w:spacing w:before="0" w:after="0" w:line="240" w:lineRule="exact"/>
              <w:jc w:val="right"/>
              <w:rPr>
                <w:rFonts w:ascii="宋体" w:hAnsi="宋体" w:eastAsia="宋体" w:cs="宋体"/>
                <w:sz w:val="18"/>
                <w:szCs w:val="18"/>
              </w:rPr>
            </w:pPr>
            <w:r>
              <w:rPr>
                <w:rFonts w:ascii="宋体" w:hAnsi="宋体" w:eastAsia="宋体" w:cs="宋体"/>
                <w:sz w:val="18"/>
                <w:szCs w:val="18"/>
              </w:rPr>
              <w:t>86,567,027.62</w:t>
            </w:r>
          </w:p>
        </w:tc>
        <w:tc>
          <w:tcPr>
            <w:tcW w:w="1586" w:type="dxa"/>
            <w:tcBorders>
              <w:top w:val="single" w:color="auto" w:sz="2" w:space="0"/>
              <w:left w:val="single" w:color="auto" w:sz="2" w:space="0"/>
              <w:bottom w:val="single" w:color="auto" w:sz="2" w:space="0"/>
              <w:right w:val="single" w:color="auto" w:sz="2" w:space="0"/>
            </w:tcBorders>
            <w:vAlign w:val="center"/>
          </w:tcPr>
          <w:p w14:paraId="481EE299">
            <w:pPr>
              <w:spacing w:before="0" w:after="0" w:line="240" w:lineRule="exact"/>
              <w:jc w:val="right"/>
              <w:rPr>
                <w:rFonts w:ascii="宋体" w:hAnsi="宋体" w:eastAsia="宋体" w:cs="宋体"/>
                <w:sz w:val="18"/>
                <w:szCs w:val="18"/>
              </w:rPr>
            </w:pPr>
            <w:r>
              <w:rPr>
                <w:rFonts w:ascii="宋体" w:hAnsi="宋体" w:eastAsia="宋体" w:cs="宋体"/>
                <w:sz w:val="18"/>
                <w:szCs w:val="18"/>
              </w:rPr>
              <w:t>52.93%</w:t>
            </w:r>
          </w:p>
        </w:tc>
        <w:tc>
          <w:tcPr>
            <w:tcW w:w="1540" w:type="dxa"/>
            <w:tcBorders>
              <w:top w:val="single" w:color="auto" w:sz="2" w:space="0"/>
              <w:left w:val="single" w:color="auto" w:sz="2" w:space="0"/>
              <w:bottom w:val="single" w:color="auto" w:sz="2" w:space="0"/>
              <w:right w:val="single" w:color="auto" w:sz="2" w:space="0"/>
            </w:tcBorders>
            <w:vAlign w:val="center"/>
          </w:tcPr>
          <w:p w14:paraId="3D86B572">
            <w:pPr>
              <w:spacing w:before="0" w:after="0" w:line="240" w:lineRule="exact"/>
              <w:jc w:val="right"/>
              <w:rPr>
                <w:rFonts w:ascii="宋体" w:hAnsi="宋体" w:eastAsia="宋体" w:cs="宋体"/>
                <w:sz w:val="18"/>
                <w:szCs w:val="18"/>
              </w:rPr>
            </w:pPr>
            <w:r>
              <w:rPr>
                <w:rFonts w:ascii="宋体" w:hAnsi="宋体" w:eastAsia="宋体" w:cs="宋体"/>
                <w:sz w:val="18"/>
                <w:szCs w:val="18"/>
              </w:rPr>
              <w:t>96,352,033.82</w:t>
            </w:r>
          </w:p>
        </w:tc>
        <w:tc>
          <w:tcPr>
            <w:tcW w:w="1500" w:type="dxa"/>
            <w:tcBorders>
              <w:top w:val="single" w:color="auto" w:sz="2" w:space="0"/>
              <w:left w:val="single" w:color="auto" w:sz="2" w:space="0"/>
              <w:bottom w:val="single" w:color="auto" w:sz="2" w:space="0"/>
              <w:right w:val="single" w:color="auto" w:sz="2" w:space="0"/>
            </w:tcBorders>
            <w:vAlign w:val="center"/>
          </w:tcPr>
          <w:p w14:paraId="7A7D926F">
            <w:pPr>
              <w:spacing w:before="0" w:after="0" w:line="240" w:lineRule="exact"/>
              <w:jc w:val="right"/>
              <w:rPr>
                <w:rFonts w:ascii="宋体" w:hAnsi="宋体" w:eastAsia="宋体" w:cs="宋体"/>
                <w:sz w:val="18"/>
                <w:szCs w:val="18"/>
              </w:rPr>
            </w:pPr>
            <w:r>
              <w:rPr>
                <w:rFonts w:ascii="宋体" w:hAnsi="宋体" w:eastAsia="宋体" w:cs="宋体"/>
                <w:sz w:val="18"/>
                <w:szCs w:val="18"/>
              </w:rPr>
              <w:t>55.94%</w:t>
            </w:r>
          </w:p>
        </w:tc>
        <w:tc>
          <w:tcPr>
            <w:tcW w:w="882" w:type="dxa"/>
            <w:tcBorders>
              <w:top w:val="single" w:color="auto" w:sz="2" w:space="0"/>
              <w:left w:val="single" w:color="auto" w:sz="2" w:space="0"/>
              <w:bottom w:val="single" w:color="auto" w:sz="2" w:space="0"/>
              <w:right w:val="single" w:color="auto" w:sz="2" w:space="0"/>
            </w:tcBorders>
            <w:vAlign w:val="center"/>
          </w:tcPr>
          <w:p w14:paraId="6EB6940C">
            <w:pPr>
              <w:spacing w:before="0" w:after="0" w:line="240" w:lineRule="exact"/>
              <w:jc w:val="right"/>
              <w:rPr>
                <w:rFonts w:ascii="宋体" w:hAnsi="宋体" w:eastAsia="宋体" w:cs="宋体"/>
                <w:sz w:val="18"/>
                <w:szCs w:val="18"/>
              </w:rPr>
            </w:pPr>
            <w:r>
              <w:rPr>
                <w:rFonts w:ascii="宋体" w:hAnsi="宋体" w:eastAsia="宋体" w:cs="宋体"/>
                <w:sz w:val="18"/>
                <w:szCs w:val="18"/>
              </w:rPr>
              <w:t>-2.71%</w:t>
            </w:r>
          </w:p>
        </w:tc>
      </w:tr>
      <w:tr w14:paraId="4C458D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5334B6D5">
            <w:pPr>
              <w:spacing w:before="0" w:after="0" w:line="240" w:lineRule="exact"/>
              <w:jc w:val="left"/>
              <w:rPr>
                <w:rFonts w:ascii="宋体" w:hAnsi="宋体" w:eastAsia="宋体" w:cs="宋体"/>
                <w:sz w:val="18"/>
                <w:szCs w:val="18"/>
              </w:rPr>
            </w:pPr>
            <w:r>
              <w:rPr>
                <w:rFonts w:ascii="宋体" w:hAnsi="宋体" w:eastAsia="宋体" w:cs="宋体"/>
                <w:sz w:val="18"/>
                <w:szCs w:val="18"/>
              </w:rPr>
              <w:t>医药制造业</w:t>
            </w:r>
          </w:p>
        </w:tc>
        <w:tc>
          <w:tcPr>
            <w:tcW w:w="1240" w:type="dxa"/>
            <w:tcBorders>
              <w:top w:val="single" w:color="auto" w:sz="2" w:space="0"/>
              <w:left w:val="single" w:color="auto" w:sz="2" w:space="0"/>
              <w:bottom w:val="single" w:color="auto" w:sz="2" w:space="0"/>
              <w:right w:val="single" w:color="auto" w:sz="2" w:space="0"/>
            </w:tcBorders>
            <w:vAlign w:val="center"/>
          </w:tcPr>
          <w:p w14:paraId="190DE8DD">
            <w:pPr>
              <w:spacing w:before="0" w:after="0" w:line="240" w:lineRule="exact"/>
              <w:jc w:val="left"/>
              <w:rPr>
                <w:rFonts w:ascii="宋体" w:hAnsi="宋体" w:eastAsia="宋体" w:cs="宋体"/>
                <w:sz w:val="18"/>
                <w:szCs w:val="18"/>
              </w:rPr>
            </w:pPr>
            <w:r>
              <w:rPr>
                <w:rFonts w:ascii="宋体" w:hAnsi="宋体" w:eastAsia="宋体" w:cs="宋体"/>
                <w:sz w:val="18"/>
                <w:szCs w:val="18"/>
              </w:rPr>
              <w:t>人工</w:t>
            </w:r>
          </w:p>
        </w:tc>
        <w:tc>
          <w:tcPr>
            <w:tcW w:w="1514" w:type="dxa"/>
            <w:tcBorders>
              <w:top w:val="single" w:color="auto" w:sz="2" w:space="0"/>
              <w:left w:val="single" w:color="auto" w:sz="2" w:space="0"/>
              <w:bottom w:val="single" w:color="auto" w:sz="2" w:space="0"/>
              <w:right w:val="single" w:color="auto" w:sz="2" w:space="0"/>
            </w:tcBorders>
            <w:vAlign w:val="center"/>
          </w:tcPr>
          <w:p w14:paraId="63395943">
            <w:pPr>
              <w:spacing w:before="0" w:after="0" w:line="240" w:lineRule="exact"/>
              <w:jc w:val="right"/>
              <w:rPr>
                <w:rFonts w:ascii="宋体" w:hAnsi="宋体" w:eastAsia="宋体" w:cs="宋体"/>
                <w:sz w:val="18"/>
                <w:szCs w:val="18"/>
              </w:rPr>
            </w:pPr>
            <w:r>
              <w:rPr>
                <w:rFonts w:ascii="宋体" w:hAnsi="宋体" w:eastAsia="宋体" w:cs="宋体"/>
                <w:sz w:val="18"/>
                <w:szCs w:val="18"/>
              </w:rPr>
              <w:t>29,948,344.81</w:t>
            </w:r>
          </w:p>
        </w:tc>
        <w:tc>
          <w:tcPr>
            <w:tcW w:w="1586" w:type="dxa"/>
            <w:tcBorders>
              <w:top w:val="single" w:color="auto" w:sz="2" w:space="0"/>
              <w:left w:val="single" w:color="auto" w:sz="2" w:space="0"/>
              <w:bottom w:val="single" w:color="auto" w:sz="2" w:space="0"/>
              <w:right w:val="single" w:color="auto" w:sz="2" w:space="0"/>
            </w:tcBorders>
            <w:vAlign w:val="center"/>
          </w:tcPr>
          <w:p w14:paraId="7A76E953">
            <w:pPr>
              <w:spacing w:before="0" w:after="0" w:line="240" w:lineRule="exact"/>
              <w:jc w:val="right"/>
              <w:rPr>
                <w:rFonts w:ascii="宋体" w:hAnsi="宋体" w:eastAsia="宋体" w:cs="宋体"/>
                <w:sz w:val="18"/>
                <w:szCs w:val="18"/>
              </w:rPr>
            </w:pPr>
            <w:r>
              <w:rPr>
                <w:rFonts w:ascii="宋体" w:hAnsi="宋体" w:eastAsia="宋体" w:cs="宋体"/>
                <w:sz w:val="18"/>
                <w:szCs w:val="18"/>
              </w:rPr>
              <w:t>18.31%</w:t>
            </w:r>
          </w:p>
        </w:tc>
        <w:tc>
          <w:tcPr>
            <w:tcW w:w="1540" w:type="dxa"/>
            <w:tcBorders>
              <w:top w:val="single" w:color="auto" w:sz="2" w:space="0"/>
              <w:left w:val="single" w:color="auto" w:sz="2" w:space="0"/>
              <w:bottom w:val="single" w:color="auto" w:sz="2" w:space="0"/>
              <w:right w:val="single" w:color="auto" w:sz="2" w:space="0"/>
            </w:tcBorders>
            <w:vAlign w:val="center"/>
          </w:tcPr>
          <w:p w14:paraId="14FDCA22">
            <w:pPr>
              <w:spacing w:before="0" w:after="0" w:line="240" w:lineRule="exact"/>
              <w:jc w:val="right"/>
              <w:rPr>
                <w:rFonts w:ascii="宋体" w:hAnsi="宋体" w:eastAsia="宋体" w:cs="宋体"/>
                <w:sz w:val="18"/>
                <w:szCs w:val="18"/>
              </w:rPr>
            </w:pPr>
            <w:r>
              <w:rPr>
                <w:rFonts w:ascii="宋体" w:hAnsi="宋体" w:eastAsia="宋体" w:cs="宋体"/>
                <w:sz w:val="18"/>
                <w:szCs w:val="18"/>
              </w:rPr>
              <w:t>28,965,469.23</w:t>
            </w:r>
          </w:p>
        </w:tc>
        <w:tc>
          <w:tcPr>
            <w:tcW w:w="1500" w:type="dxa"/>
            <w:tcBorders>
              <w:top w:val="single" w:color="auto" w:sz="2" w:space="0"/>
              <w:left w:val="single" w:color="auto" w:sz="2" w:space="0"/>
              <w:bottom w:val="single" w:color="auto" w:sz="2" w:space="0"/>
              <w:right w:val="single" w:color="auto" w:sz="2" w:space="0"/>
            </w:tcBorders>
            <w:vAlign w:val="center"/>
          </w:tcPr>
          <w:p w14:paraId="47D7C971">
            <w:pPr>
              <w:spacing w:before="0" w:after="0" w:line="240" w:lineRule="exact"/>
              <w:jc w:val="right"/>
              <w:rPr>
                <w:rFonts w:ascii="宋体" w:hAnsi="宋体" w:eastAsia="宋体" w:cs="宋体"/>
                <w:sz w:val="18"/>
                <w:szCs w:val="18"/>
              </w:rPr>
            </w:pPr>
            <w:r>
              <w:rPr>
                <w:rFonts w:ascii="宋体" w:hAnsi="宋体" w:eastAsia="宋体" w:cs="宋体"/>
                <w:sz w:val="18"/>
                <w:szCs w:val="18"/>
              </w:rPr>
              <w:t>16.82%</w:t>
            </w:r>
          </w:p>
        </w:tc>
        <w:tc>
          <w:tcPr>
            <w:tcW w:w="882" w:type="dxa"/>
            <w:tcBorders>
              <w:top w:val="single" w:color="auto" w:sz="2" w:space="0"/>
              <w:left w:val="single" w:color="auto" w:sz="2" w:space="0"/>
              <w:bottom w:val="single" w:color="auto" w:sz="2" w:space="0"/>
              <w:right w:val="single" w:color="auto" w:sz="2" w:space="0"/>
            </w:tcBorders>
            <w:vAlign w:val="center"/>
          </w:tcPr>
          <w:p w14:paraId="189BCC5C">
            <w:pPr>
              <w:spacing w:before="0" w:after="0" w:line="240" w:lineRule="exact"/>
              <w:jc w:val="right"/>
              <w:rPr>
                <w:rFonts w:ascii="宋体" w:hAnsi="宋体" w:eastAsia="宋体" w:cs="宋体"/>
                <w:sz w:val="18"/>
                <w:szCs w:val="18"/>
              </w:rPr>
            </w:pPr>
            <w:r>
              <w:rPr>
                <w:rFonts w:ascii="宋体" w:hAnsi="宋体" w:eastAsia="宋体" w:cs="宋体"/>
                <w:sz w:val="18"/>
                <w:szCs w:val="18"/>
              </w:rPr>
              <w:t>1.49%</w:t>
            </w:r>
          </w:p>
        </w:tc>
      </w:tr>
      <w:tr w14:paraId="637481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747E2A20">
            <w:pPr>
              <w:spacing w:before="0" w:after="0" w:line="240" w:lineRule="exact"/>
              <w:jc w:val="left"/>
              <w:rPr>
                <w:rFonts w:ascii="宋体" w:hAnsi="宋体" w:eastAsia="宋体" w:cs="宋体"/>
                <w:sz w:val="18"/>
                <w:szCs w:val="18"/>
              </w:rPr>
            </w:pPr>
            <w:r>
              <w:rPr>
                <w:rFonts w:ascii="宋体" w:hAnsi="宋体" w:eastAsia="宋体" w:cs="宋体"/>
                <w:sz w:val="18"/>
                <w:szCs w:val="18"/>
              </w:rPr>
              <w:t>医药制造业</w:t>
            </w:r>
          </w:p>
        </w:tc>
        <w:tc>
          <w:tcPr>
            <w:tcW w:w="1240" w:type="dxa"/>
            <w:tcBorders>
              <w:top w:val="single" w:color="auto" w:sz="2" w:space="0"/>
              <w:left w:val="single" w:color="auto" w:sz="2" w:space="0"/>
              <w:bottom w:val="single" w:color="auto" w:sz="2" w:space="0"/>
              <w:right w:val="single" w:color="auto" w:sz="2" w:space="0"/>
            </w:tcBorders>
            <w:vAlign w:val="center"/>
          </w:tcPr>
          <w:p w14:paraId="01AD6522">
            <w:pPr>
              <w:spacing w:before="0" w:after="0" w:line="240" w:lineRule="exact"/>
              <w:jc w:val="left"/>
              <w:rPr>
                <w:rFonts w:ascii="宋体" w:hAnsi="宋体" w:eastAsia="宋体" w:cs="宋体"/>
                <w:sz w:val="18"/>
                <w:szCs w:val="18"/>
              </w:rPr>
            </w:pPr>
            <w:r>
              <w:rPr>
                <w:rFonts w:ascii="宋体" w:hAnsi="宋体" w:eastAsia="宋体" w:cs="宋体"/>
                <w:sz w:val="18"/>
                <w:szCs w:val="18"/>
              </w:rPr>
              <w:t>折旧、摊销</w:t>
            </w:r>
          </w:p>
        </w:tc>
        <w:tc>
          <w:tcPr>
            <w:tcW w:w="1514" w:type="dxa"/>
            <w:tcBorders>
              <w:top w:val="single" w:color="auto" w:sz="2" w:space="0"/>
              <w:left w:val="single" w:color="auto" w:sz="2" w:space="0"/>
              <w:bottom w:val="single" w:color="auto" w:sz="2" w:space="0"/>
              <w:right w:val="single" w:color="auto" w:sz="2" w:space="0"/>
            </w:tcBorders>
            <w:vAlign w:val="center"/>
          </w:tcPr>
          <w:p w14:paraId="3F90D422">
            <w:pPr>
              <w:spacing w:before="0" w:after="0" w:line="240" w:lineRule="exact"/>
              <w:jc w:val="right"/>
              <w:rPr>
                <w:rFonts w:ascii="宋体" w:hAnsi="宋体" w:eastAsia="宋体" w:cs="宋体"/>
                <w:sz w:val="18"/>
                <w:szCs w:val="18"/>
              </w:rPr>
            </w:pPr>
            <w:r>
              <w:rPr>
                <w:rFonts w:ascii="宋体" w:hAnsi="宋体" w:eastAsia="宋体" w:cs="宋体"/>
                <w:sz w:val="18"/>
                <w:szCs w:val="18"/>
              </w:rPr>
              <w:t>34,083,677.93</w:t>
            </w:r>
          </w:p>
        </w:tc>
        <w:tc>
          <w:tcPr>
            <w:tcW w:w="1586" w:type="dxa"/>
            <w:tcBorders>
              <w:top w:val="single" w:color="auto" w:sz="2" w:space="0"/>
              <w:left w:val="single" w:color="auto" w:sz="2" w:space="0"/>
              <w:bottom w:val="single" w:color="auto" w:sz="2" w:space="0"/>
              <w:right w:val="single" w:color="auto" w:sz="2" w:space="0"/>
            </w:tcBorders>
            <w:vAlign w:val="center"/>
          </w:tcPr>
          <w:p w14:paraId="0AABB73E">
            <w:pPr>
              <w:spacing w:before="0" w:after="0" w:line="240" w:lineRule="exact"/>
              <w:jc w:val="right"/>
              <w:rPr>
                <w:rFonts w:ascii="宋体" w:hAnsi="宋体" w:eastAsia="宋体" w:cs="宋体"/>
                <w:sz w:val="18"/>
                <w:szCs w:val="18"/>
              </w:rPr>
            </w:pPr>
            <w:r>
              <w:rPr>
                <w:rFonts w:ascii="宋体" w:hAnsi="宋体" w:eastAsia="宋体" w:cs="宋体"/>
                <w:sz w:val="18"/>
                <w:szCs w:val="18"/>
              </w:rPr>
              <w:t>20.84%</w:t>
            </w:r>
          </w:p>
        </w:tc>
        <w:tc>
          <w:tcPr>
            <w:tcW w:w="1540" w:type="dxa"/>
            <w:tcBorders>
              <w:top w:val="single" w:color="auto" w:sz="2" w:space="0"/>
              <w:left w:val="single" w:color="auto" w:sz="2" w:space="0"/>
              <w:bottom w:val="single" w:color="auto" w:sz="2" w:space="0"/>
              <w:right w:val="single" w:color="auto" w:sz="2" w:space="0"/>
            </w:tcBorders>
            <w:vAlign w:val="center"/>
          </w:tcPr>
          <w:p w14:paraId="4ED7F92F">
            <w:pPr>
              <w:spacing w:before="0" w:after="0" w:line="240" w:lineRule="exact"/>
              <w:jc w:val="right"/>
              <w:rPr>
                <w:rFonts w:ascii="宋体" w:hAnsi="宋体" w:eastAsia="宋体" w:cs="宋体"/>
                <w:sz w:val="18"/>
                <w:szCs w:val="18"/>
              </w:rPr>
            </w:pPr>
            <w:r>
              <w:rPr>
                <w:rFonts w:ascii="宋体" w:hAnsi="宋体" w:eastAsia="宋体" w:cs="宋体"/>
                <w:sz w:val="18"/>
                <w:szCs w:val="18"/>
              </w:rPr>
              <w:t>32,157,795.13</w:t>
            </w:r>
          </w:p>
        </w:tc>
        <w:tc>
          <w:tcPr>
            <w:tcW w:w="1500" w:type="dxa"/>
            <w:tcBorders>
              <w:top w:val="single" w:color="auto" w:sz="2" w:space="0"/>
              <w:left w:val="single" w:color="auto" w:sz="2" w:space="0"/>
              <w:bottom w:val="single" w:color="auto" w:sz="2" w:space="0"/>
              <w:right w:val="single" w:color="auto" w:sz="2" w:space="0"/>
            </w:tcBorders>
            <w:vAlign w:val="center"/>
          </w:tcPr>
          <w:p w14:paraId="6FB67021">
            <w:pPr>
              <w:spacing w:before="0" w:after="0" w:line="240" w:lineRule="exact"/>
              <w:jc w:val="right"/>
              <w:rPr>
                <w:rFonts w:ascii="宋体" w:hAnsi="宋体" w:eastAsia="宋体" w:cs="宋体"/>
                <w:sz w:val="18"/>
                <w:szCs w:val="18"/>
              </w:rPr>
            </w:pPr>
            <w:r>
              <w:rPr>
                <w:rFonts w:ascii="宋体" w:hAnsi="宋体" w:eastAsia="宋体" w:cs="宋体"/>
                <w:sz w:val="18"/>
                <w:szCs w:val="18"/>
              </w:rPr>
              <w:t>18.67%</w:t>
            </w:r>
          </w:p>
        </w:tc>
        <w:tc>
          <w:tcPr>
            <w:tcW w:w="882" w:type="dxa"/>
            <w:tcBorders>
              <w:top w:val="single" w:color="auto" w:sz="2" w:space="0"/>
              <w:left w:val="single" w:color="auto" w:sz="2" w:space="0"/>
              <w:bottom w:val="single" w:color="auto" w:sz="2" w:space="0"/>
              <w:right w:val="single" w:color="auto" w:sz="2" w:space="0"/>
            </w:tcBorders>
            <w:vAlign w:val="center"/>
          </w:tcPr>
          <w:p w14:paraId="40A86E03">
            <w:pPr>
              <w:spacing w:before="0" w:after="0" w:line="240" w:lineRule="exact"/>
              <w:jc w:val="right"/>
              <w:rPr>
                <w:rFonts w:ascii="宋体" w:hAnsi="宋体" w:eastAsia="宋体" w:cs="宋体"/>
                <w:sz w:val="18"/>
                <w:szCs w:val="18"/>
              </w:rPr>
            </w:pPr>
            <w:r>
              <w:rPr>
                <w:rFonts w:ascii="宋体" w:hAnsi="宋体" w:eastAsia="宋体" w:cs="宋体"/>
                <w:sz w:val="18"/>
                <w:szCs w:val="18"/>
              </w:rPr>
              <w:t>2.17%</w:t>
            </w:r>
          </w:p>
        </w:tc>
      </w:tr>
      <w:tr w14:paraId="4B6D50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1B770C98">
            <w:pPr>
              <w:spacing w:before="0" w:after="0" w:line="240" w:lineRule="exact"/>
              <w:jc w:val="left"/>
              <w:rPr>
                <w:rFonts w:ascii="宋体" w:hAnsi="宋体" w:eastAsia="宋体" w:cs="宋体"/>
                <w:sz w:val="18"/>
                <w:szCs w:val="18"/>
              </w:rPr>
            </w:pPr>
            <w:r>
              <w:rPr>
                <w:rFonts w:ascii="宋体" w:hAnsi="宋体" w:eastAsia="宋体" w:cs="宋体"/>
                <w:sz w:val="18"/>
                <w:szCs w:val="18"/>
              </w:rPr>
              <w:t>医药制造业</w:t>
            </w:r>
          </w:p>
        </w:tc>
        <w:tc>
          <w:tcPr>
            <w:tcW w:w="1240" w:type="dxa"/>
            <w:tcBorders>
              <w:top w:val="single" w:color="auto" w:sz="2" w:space="0"/>
              <w:left w:val="single" w:color="auto" w:sz="2" w:space="0"/>
              <w:bottom w:val="single" w:color="auto" w:sz="2" w:space="0"/>
              <w:right w:val="single" w:color="auto" w:sz="2" w:space="0"/>
            </w:tcBorders>
            <w:vAlign w:val="center"/>
          </w:tcPr>
          <w:p w14:paraId="2CDB477C">
            <w:pPr>
              <w:spacing w:before="0" w:after="0" w:line="240" w:lineRule="exact"/>
              <w:jc w:val="left"/>
              <w:rPr>
                <w:rFonts w:ascii="宋体" w:hAnsi="宋体" w:eastAsia="宋体" w:cs="宋体"/>
                <w:sz w:val="18"/>
                <w:szCs w:val="18"/>
              </w:rPr>
            </w:pPr>
            <w:r>
              <w:rPr>
                <w:rFonts w:ascii="宋体" w:hAnsi="宋体" w:eastAsia="宋体" w:cs="宋体"/>
                <w:sz w:val="18"/>
                <w:szCs w:val="18"/>
              </w:rPr>
              <w:t>水电</w:t>
            </w:r>
          </w:p>
        </w:tc>
        <w:tc>
          <w:tcPr>
            <w:tcW w:w="1514" w:type="dxa"/>
            <w:tcBorders>
              <w:top w:val="single" w:color="auto" w:sz="2" w:space="0"/>
              <w:left w:val="single" w:color="auto" w:sz="2" w:space="0"/>
              <w:bottom w:val="single" w:color="auto" w:sz="2" w:space="0"/>
              <w:right w:val="single" w:color="auto" w:sz="2" w:space="0"/>
            </w:tcBorders>
            <w:vAlign w:val="center"/>
          </w:tcPr>
          <w:p w14:paraId="2BD89861">
            <w:pPr>
              <w:spacing w:before="0" w:after="0" w:line="240" w:lineRule="exact"/>
              <w:jc w:val="right"/>
              <w:rPr>
                <w:rFonts w:ascii="宋体" w:hAnsi="宋体" w:eastAsia="宋体" w:cs="宋体"/>
                <w:sz w:val="18"/>
                <w:szCs w:val="18"/>
              </w:rPr>
            </w:pPr>
            <w:r>
              <w:rPr>
                <w:rFonts w:ascii="宋体" w:hAnsi="宋体" w:eastAsia="宋体" w:cs="宋体"/>
                <w:sz w:val="18"/>
                <w:szCs w:val="18"/>
              </w:rPr>
              <w:t>6,327,148.55</w:t>
            </w:r>
          </w:p>
        </w:tc>
        <w:tc>
          <w:tcPr>
            <w:tcW w:w="1586" w:type="dxa"/>
            <w:tcBorders>
              <w:top w:val="single" w:color="auto" w:sz="2" w:space="0"/>
              <w:left w:val="single" w:color="auto" w:sz="2" w:space="0"/>
              <w:bottom w:val="single" w:color="auto" w:sz="2" w:space="0"/>
              <w:right w:val="single" w:color="auto" w:sz="2" w:space="0"/>
            </w:tcBorders>
            <w:vAlign w:val="center"/>
          </w:tcPr>
          <w:p w14:paraId="2CB62722">
            <w:pPr>
              <w:spacing w:before="0" w:after="0" w:line="240" w:lineRule="exact"/>
              <w:jc w:val="right"/>
              <w:rPr>
                <w:rFonts w:ascii="宋体" w:hAnsi="宋体" w:eastAsia="宋体" w:cs="宋体"/>
                <w:sz w:val="18"/>
                <w:szCs w:val="18"/>
              </w:rPr>
            </w:pPr>
            <w:r>
              <w:rPr>
                <w:rFonts w:ascii="宋体" w:hAnsi="宋体" w:eastAsia="宋体" w:cs="宋体"/>
                <w:sz w:val="18"/>
                <w:szCs w:val="18"/>
              </w:rPr>
              <w:t>3.87%</w:t>
            </w:r>
          </w:p>
        </w:tc>
        <w:tc>
          <w:tcPr>
            <w:tcW w:w="1540" w:type="dxa"/>
            <w:tcBorders>
              <w:top w:val="single" w:color="auto" w:sz="2" w:space="0"/>
              <w:left w:val="single" w:color="auto" w:sz="2" w:space="0"/>
              <w:bottom w:val="single" w:color="auto" w:sz="2" w:space="0"/>
              <w:right w:val="single" w:color="auto" w:sz="2" w:space="0"/>
            </w:tcBorders>
            <w:vAlign w:val="center"/>
          </w:tcPr>
          <w:p w14:paraId="10152574">
            <w:pPr>
              <w:spacing w:before="0" w:after="0" w:line="240" w:lineRule="exact"/>
              <w:jc w:val="right"/>
              <w:rPr>
                <w:rFonts w:ascii="宋体" w:hAnsi="宋体" w:eastAsia="宋体" w:cs="宋体"/>
                <w:sz w:val="18"/>
                <w:szCs w:val="18"/>
              </w:rPr>
            </w:pPr>
            <w:r>
              <w:rPr>
                <w:rFonts w:ascii="宋体" w:hAnsi="宋体" w:eastAsia="宋体" w:cs="宋体"/>
                <w:sz w:val="18"/>
                <w:szCs w:val="18"/>
              </w:rPr>
              <w:t>6,877,757.76</w:t>
            </w:r>
          </w:p>
        </w:tc>
        <w:tc>
          <w:tcPr>
            <w:tcW w:w="1500" w:type="dxa"/>
            <w:tcBorders>
              <w:top w:val="single" w:color="auto" w:sz="2" w:space="0"/>
              <w:left w:val="single" w:color="auto" w:sz="2" w:space="0"/>
              <w:bottom w:val="single" w:color="auto" w:sz="2" w:space="0"/>
              <w:right w:val="single" w:color="auto" w:sz="2" w:space="0"/>
            </w:tcBorders>
            <w:vAlign w:val="center"/>
          </w:tcPr>
          <w:p w14:paraId="1E70C2D5">
            <w:pPr>
              <w:spacing w:before="0" w:after="0" w:line="240" w:lineRule="exact"/>
              <w:jc w:val="right"/>
              <w:rPr>
                <w:rFonts w:ascii="宋体" w:hAnsi="宋体" w:eastAsia="宋体" w:cs="宋体"/>
                <w:sz w:val="18"/>
                <w:szCs w:val="18"/>
              </w:rPr>
            </w:pPr>
            <w:r>
              <w:rPr>
                <w:rFonts w:ascii="宋体" w:hAnsi="宋体" w:eastAsia="宋体" w:cs="宋体"/>
                <w:sz w:val="18"/>
                <w:szCs w:val="18"/>
              </w:rPr>
              <w:t>3.99%</w:t>
            </w:r>
          </w:p>
        </w:tc>
        <w:tc>
          <w:tcPr>
            <w:tcW w:w="882" w:type="dxa"/>
            <w:tcBorders>
              <w:top w:val="single" w:color="auto" w:sz="2" w:space="0"/>
              <w:left w:val="single" w:color="auto" w:sz="2" w:space="0"/>
              <w:bottom w:val="single" w:color="auto" w:sz="2" w:space="0"/>
              <w:right w:val="single" w:color="auto" w:sz="2" w:space="0"/>
            </w:tcBorders>
            <w:vAlign w:val="center"/>
          </w:tcPr>
          <w:p w14:paraId="298C1147">
            <w:pPr>
              <w:spacing w:before="0" w:after="0" w:line="240" w:lineRule="exact"/>
              <w:jc w:val="right"/>
              <w:rPr>
                <w:rFonts w:ascii="宋体" w:hAnsi="宋体" w:eastAsia="宋体" w:cs="宋体"/>
                <w:sz w:val="18"/>
                <w:szCs w:val="18"/>
              </w:rPr>
            </w:pPr>
            <w:r>
              <w:rPr>
                <w:rFonts w:ascii="宋体" w:hAnsi="宋体" w:eastAsia="宋体" w:cs="宋体"/>
                <w:sz w:val="18"/>
                <w:szCs w:val="18"/>
              </w:rPr>
              <w:t>-0.43%</w:t>
            </w:r>
          </w:p>
        </w:tc>
      </w:tr>
      <w:tr w14:paraId="7A407A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28072C25">
            <w:pPr>
              <w:spacing w:before="0" w:after="0" w:line="240" w:lineRule="exact"/>
              <w:jc w:val="left"/>
              <w:rPr>
                <w:rFonts w:ascii="宋体" w:hAnsi="宋体" w:eastAsia="宋体" w:cs="宋体"/>
                <w:sz w:val="18"/>
                <w:szCs w:val="18"/>
              </w:rPr>
            </w:pPr>
            <w:r>
              <w:rPr>
                <w:rFonts w:ascii="宋体" w:hAnsi="宋体" w:eastAsia="宋体" w:cs="宋体"/>
                <w:sz w:val="18"/>
                <w:szCs w:val="18"/>
              </w:rPr>
              <w:t>医药制造业</w:t>
            </w:r>
          </w:p>
        </w:tc>
        <w:tc>
          <w:tcPr>
            <w:tcW w:w="1240" w:type="dxa"/>
            <w:tcBorders>
              <w:top w:val="single" w:color="auto" w:sz="2" w:space="0"/>
              <w:left w:val="single" w:color="auto" w:sz="2" w:space="0"/>
              <w:bottom w:val="single" w:color="auto" w:sz="2" w:space="0"/>
              <w:right w:val="single" w:color="auto" w:sz="2" w:space="0"/>
            </w:tcBorders>
            <w:vAlign w:val="center"/>
          </w:tcPr>
          <w:p w14:paraId="00A8702B">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1514" w:type="dxa"/>
            <w:tcBorders>
              <w:top w:val="single" w:color="auto" w:sz="2" w:space="0"/>
              <w:left w:val="single" w:color="auto" w:sz="2" w:space="0"/>
              <w:bottom w:val="single" w:color="auto" w:sz="2" w:space="0"/>
              <w:right w:val="single" w:color="auto" w:sz="2" w:space="0"/>
            </w:tcBorders>
            <w:vAlign w:val="center"/>
          </w:tcPr>
          <w:p w14:paraId="096F7973">
            <w:pPr>
              <w:spacing w:before="0" w:after="0" w:line="240" w:lineRule="exact"/>
              <w:jc w:val="right"/>
              <w:rPr>
                <w:rFonts w:ascii="宋体" w:hAnsi="宋体" w:eastAsia="宋体" w:cs="宋体"/>
                <w:sz w:val="18"/>
                <w:szCs w:val="18"/>
              </w:rPr>
            </w:pPr>
            <w:r>
              <w:rPr>
                <w:rFonts w:ascii="宋体" w:hAnsi="宋体" w:eastAsia="宋体" w:cs="宋体"/>
                <w:sz w:val="18"/>
                <w:szCs w:val="18"/>
              </w:rPr>
              <w:t>6,626,684.39</w:t>
            </w:r>
          </w:p>
        </w:tc>
        <w:tc>
          <w:tcPr>
            <w:tcW w:w="1586" w:type="dxa"/>
            <w:tcBorders>
              <w:top w:val="single" w:color="auto" w:sz="2" w:space="0"/>
              <w:left w:val="single" w:color="auto" w:sz="2" w:space="0"/>
              <w:bottom w:val="single" w:color="auto" w:sz="2" w:space="0"/>
              <w:right w:val="single" w:color="auto" w:sz="2" w:space="0"/>
            </w:tcBorders>
            <w:vAlign w:val="center"/>
          </w:tcPr>
          <w:p w14:paraId="7E9F7E9C">
            <w:pPr>
              <w:spacing w:before="0" w:after="0" w:line="240" w:lineRule="exact"/>
              <w:jc w:val="right"/>
              <w:rPr>
                <w:rFonts w:ascii="宋体" w:hAnsi="宋体" w:eastAsia="宋体" w:cs="宋体"/>
                <w:sz w:val="18"/>
                <w:szCs w:val="18"/>
              </w:rPr>
            </w:pPr>
            <w:r>
              <w:rPr>
                <w:rFonts w:ascii="宋体" w:hAnsi="宋体" w:eastAsia="宋体" w:cs="宋体"/>
                <w:sz w:val="18"/>
                <w:szCs w:val="18"/>
              </w:rPr>
              <w:t>4.05%</w:t>
            </w:r>
          </w:p>
        </w:tc>
        <w:tc>
          <w:tcPr>
            <w:tcW w:w="1540" w:type="dxa"/>
            <w:tcBorders>
              <w:top w:val="single" w:color="auto" w:sz="2" w:space="0"/>
              <w:left w:val="single" w:color="auto" w:sz="2" w:space="0"/>
              <w:bottom w:val="single" w:color="auto" w:sz="2" w:space="0"/>
              <w:right w:val="single" w:color="auto" w:sz="2" w:space="0"/>
            </w:tcBorders>
            <w:vAlign w:val="center"/>
          </w:tcPr>
          <w:p w14:paraId="1766EE07">
            <w:pPr>
              <w:spacing w:before="0" w:after="0" w:line="240" w:lineRule="exact"/>
              <w:jc w:val="right"/>
              <w:rPr>
                <w:rFonts w:ascii="宋体" w:hAnsi="宋体" w:eastAsia="宋体" w:cs="宋体"/>
                <w:sz w:val="18"/>
                <w:szCs w:val="18"/>
              </w:rPr>
            </w:pPr>
            <w:r>
              <w:rPr>
                <w:rFonts w:ascii="宋体" w:hAnsi="宋体" w:eastAsia="宋体" w:cs="宋体"/>
                <w:sz w:val="18"/>
                <w:szCs w:val="18"/>
              </w:rPr>
              <w:t>7,889,346.86</w:t>
            </w:r>
          </w:p>
        </w:tc>
        <w:tc>
          <w:tcPr>
            <w:tcW w:w="1500" w:type="dxa"/>
            <w:tcBorders>
              <w:top w:val="single" w:color="auto" w:sz="2" w:space="0"/>
              <w:left w:val="single" w:color="auto" w:sz="2" w:space="0"/>
              <w:bottom w:val="single" w:color="auto" w:sz="2" w:space="0"/>
              <w:right w:val="single" w:color="auto" w:sz="2" w:space="0"/>
            </w:tcBorders>
            <w:vAlign w:val="center"/>
          </w:tcPr>
          <w:p w14:paraId="1E66D0FB">
            <w:pPr>
              <w:spacing w:before="0" w:after="0" w:line="240" w:lineRule="exact"/>
              <w:jc w:val="right"/>
              <w:rPr>
                <w:rFonts w:ascii="宋体" w:hAnsi="宋体" w:eastAsia="宋体" w:cs="宋体"/>
                <w:sz w:val="18"/>
                <w:szCs w:val="18"/>
              </w:rPr>
            </w:pPr>
            <w:r>
              <w:rPr>
                <w:rFonts w:ascii="宋体" w:hAnsi="宋体" w:eastAsia="宋体" w:cs="宋体"/>
                <w:sz w:val="18"/>
                <w:szCs w:val="18"/>
              </w:rPr>
              <w:t>4.58%</w:t>
            </w:r>
          </w:p>
        </w:tc>
        <w:tc>
          <w:tcPr>
            <w:tcW w:w="882" w:type="dxa"/>
            <w:tcBorders>
              <w:top w:val="single" w:color="auto" w:sz="2" w:space="0"/>
              <w:left w:val="single" w:color="auto" w:sz="2" w:space="0"/>
              <w:bottom w:val="single" w:color="auto" w:sz="2" w:space="0"/>
              <w:right w:val="single" w:color="auto" w:sz="2" w:space="0"/>
            </w:tcBorders>
            <w:vAlign w:val="center"/>
          </w:tcPr>
          <w:p w14:paraId="227473C2">
            <w:pPr>
              <w:spacing w:before="0" w:after="0" w:line="240" w:lineRule="exact"/>
              <w:jc w:val="right"/>
              <w:rPr>
                <w:rFonts w:ascii="宋体" w:hAnsi="宋体" w:eastAsia="宋体" w:cs="宋体"/>
                <w:sz w:val="18"/>
                <w:szCs w:val="18"/>
              </w:rPr>
            </w:pPr>
            <w:r>
              <w:rPr>
                <w:rFonts w:ascii="宋体" w:hAnsi="宋体" w:eastAsia="宋体" w:cs="宋体"/>
                <w:sz w:val="18"/>
                <w:szCs w:val="18"/>
              </w:rPr>
              <w:t>-0.53%</w:t>
            </w:r>
          </w:p>
        </w:tc>
      </w:tr>
    </w:tbl>
    <w:p w14:paraId="765A6DDF">
      <w:pPr>
        <w:spacing w:before="100" w:after="100" w:line="240" w:lineRule="exact"/>
        <w:jc w:val="left"/>
        <w:rPr>
          <w:rFonts w:ascii="宋体" w:hAnsi="宋体" w:eastAsia="宋体" w:cs="宋体"/>
          <w:sz w:val="18"/>
          <w:szCs w:val="18"/>
        </w:rPr>
      </w:pPr>
      <w:r>
        <w:rPr>
          <w:rFonts w:ascii="宋体" w:hAnsi="宋体" w:eastAsia="宋体" w:cs="宋体"/>
          <w:sz w:val="18"/>
          <w:szCs w:val="18"/>
        </w:rPr>
        <w:t>说明</w:t>
      </w:r>
    </w:p>
    <w:p w14:paraId="0C10616B">
      <w:pPr>
        <w:pStyle w:val="2"/>
        <w:keepNext w:val="0"/>
        <w:keepLines w:val="0"/>
        <w:widowControl/>
        <w:suppressLineNumbers w:val="0"/>
        <w:spacing w:before="100" w:beforeAutospacing="0" w:after="100" w:afterAutospacing="0"/>
        <w:rPr>
          <w:rFonts w:hint="eastAsia" w:ascii="宋体" w:hAnsi="宋体" w:eastAsia="宋体" w:cs="宋体"/>
          <w:sz w:val="24"/>
          <w:szCs w:val="24"/>
        </w:rPr>
      </w:pPr>
      <w:r>
        <w:rPr>
          <w:rFonts w:hint="eastAsia" w:ascii="宋体" w:hAnsi="宋体" w:eastAsia="宋体" w:cs="宋体"/>
          <w:sz w:val="18"/>
          <w:szCs w:val="18"/>
        </w:rPr>
        <w:t>不适用。</w:t>
      </w:r>
    </w:p>
    <w:p w14:paraId="14F10F5F">
      <w:pPr>
        <w:keepNext/>
        <w:keepLines/>
        <w:spacing w:before="300" w:after="300" w:line="280" w:lineRule="exact"/>
        <w:jc w:val="left"/>
        <w:outlineLvl w:val="3"/>
        <w:rPr>
          <w:rFonts w:ascii="宋体" w:hAnsi="宋体" w:eastAsia="宋体" w:cs="宋体"/>
          <w:b/>
          <w:bCs/>
          <w:sz w:val="18"/>
          <w:szCs w:val="18"/>
        </w:rPr>
      </w:pPr>
      <w:bookmarkStart w:id="26" w:name="_Toc988913"/>
      <w:r>
        <w:rPr>
          <w:rFonts w:ascii="宋体" w:hAnsi="宋体" w:eastAsia="宋体" w:cs="宋体"/>
          <w:b/>
          <w:bCs/>
          <w:sz w:val="18"/>
          <w:szCs w:val="18"/>
        </w:rPr>
        <w:t>（6） 报告期内合并范围是否发生变动</w:t>
      </w:r>
      <w:bookmarkEnd w:id="26"/>
    </w:p>
    <w:p w14:paraId="7713C535">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w:t>
      </w:r>
    </w:p>
    <w:p w14:paraId="597AF9F2">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本期公司出资新设成立广福来（北京）国际生物技术有限公司，注册资本5,000万元，公司持股70%；出资新设成立广生堂药业（漳州）有限公司，注册资本4,900万元，公司持股100%。</w:t>
      </w:r>
    </w:p>
    <w:p w14:paraId="1725B7A1">
      <w:pPr>
        <w:keepNext/>
        <w:keepLines/>
        <w:spacing w:before="300" w:after="300" w:line="280" w:lineRule="exact"/>
        <w:jc w:val="left"/>
        <w:outlineLvl w:val="3"/>
        <w:rPr>
          <w:rFonts w:ascii="宋体" w:hAnsi="宋体" w:eastAsia="宋体" w:cs="宋体"/>
          <w:b/>
          <w:bCs/>
          <w:sz w:val="18"/>
          <w:szCs w:val="18"/>
        </w:rPr>
      </w:pPr>
      <w:bookmarkStart w:id="27" w:name="_Toc988914"/>
      <w:r>
        <w:rPr>
          <w:rFonts w:ascii="宋体" w:hAnsi="宋体" w:eastAsia="宋体" w:cs="宋体"/>
          <w:b/>
          <w:bCs/>
          <w:sz w:val="18"/>
          <w:szCs w:val="18"/>
        </w:rPr>
        <w:t>（7） 公司报告期内业务、产品或服务发生重大变化或调整有关情况</w:t>
      </w:r>
      <w:bookmarkEnd w:id="27"/>
    </w:p>
    <w:p w14:paraId="4527B8D5">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F1952D6">
      <w:pPr>
        <w:keepNext/>
        <w:keepLines/>
        <w:spacing w:before="300" w:after="300" w:line="280" w:lineRule="exact"/>
        <w:jc w:val="left"/>
        <w:outlineLvl w:val="3"/>
        <w:rPr>
          <w:rFonts w:ascii="宋体" w:hAnsi="宋体" w:eastAsia="宋体" w:cs="宋体"/>
          <w:b/>
          <w:bCs/>
          <w:sz w:val="18"/>
          <w:szCs w:val="18"/>
        </w:rPr>
      </w:pPr>
      <w:bookmarkStart w:id="28" w:name="_Toc988915"/>
      <w:r>
        <w:rPr>
          <w:rFonts w:ascii="宋体" w:hAnsi="宋体" w:eastAsia="宋体" w:cs="宋体"/>
          <w:b/>
          <w:bCs/>
          <w:sz w:val="18"/>
          <w:szCs w:val="18"/>
        </w:rPr>
        <w:t>（8） 主要销售客户和主要供应商情况</w:t>
      </w:r>
      <w:bookmarkEnd w:id="28"/>
    </w:p>
    <w:p w14:paraId="7D3BC8CA">
      <w:pPr>
        <w:spacing w:before="40" w:after="40" w:line="240" w:lineRule="exact"/>
        <w:jc w:val="left"/>
        <w:rPr>
          <w:rFonts w:ascii="宋体" w:hAnsi="宋体" w:eastAsia="宋体" w:cs="宋体"/>
          <w:sz w:val="18"/>
          <w:szCs w:val="18"/>
        </w:rPr>
      </w:pPr>
      <w:r>
        <w:rPr>
          <w:rFonts w:ascii="宋体" w:hAnsi="宋体" w:eastAsia="宋体" w:cs="宋体"/>
          <w:sz w:val="18"/>
          <w:szCs w:val="18"/>
        </w:rPr>
        <w:t>公司主要销售客户情况</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7608C5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627157E7">
            <w:pPr>
              <w:spacing w:before="40" w:after="40" w:line="240" w:lineRule="exact"/>
              <w:jc w:val="left"/>
              <w:rPr>
                <w:rFonts w:ascii="宋体" w:hAnsi="宋体" w:eastAsia="宋体" w:cs="宋体"/>
                <w:sz w:val="18"/>
                <w:szCs w:val="18"/>
              </w:rPr>
            </w:pPr>
            <w:r>
              <w:rPr>
                <w:rFonts w:ascii="宋体" w:hAnsi="宋体" w:eastAsia="宋体" w:cs="宋体"/>
                <w:sz w:val="18"/>
                <w:szCs w:val="18"/>
              </w:rPr>
              <w:t>前五名客户合计销售金额（元）</w:t>
            </w:r>
          </w:p>
        </w:tc>
        <w:tc>
          <w:tcPr>
            <w:tcW w:w="4820" w:type="dxa"/>
            <w:tcBorders>
              <w:top w:val="single" w:color="auto" w:sz="2" w:space="0"/>
              <w:left w:val="single" w:color="auto" w:sz="2" w:space="0"/>
              <w:bottom w:val="single" w:color="auto" w:sz="2" w:space="0"/>
              <w:right w:val="single" w:color="auto" w:sz="2" w:space="0"/>
            </w:tcBorders>
            <w:vAlign w:val="center"/>
          </w:tcPr>
          <w:p w14:paraId="6015F9C4">
            <w:pPr>
              <w:spacing w:before="0" w:after="0" w:line="240" w:lineRule="exact"/>
              <w:jc w:val="right"/>
              <w:rPr>
                <w:rFonts w:ascii="宋体" w:hAnsi="宋体" w:eastAsia="宋体" w:cs="宋体"/>
                <w:sz w:val="18"/>
                <w:szCs w:val="18"/>
              </w:rPr>
            </w:pPr>
            <w:r>
              <w:rPr>
                <w:rFonts w:ascii="宋体" w:hAnsi="宋体" w:eastAsia="宋体" w:cs="宋体"/>
                <w:sz w:val="18"/>
                <w:szCs w:val="18"/>
              </w:rPr>
              <w:t>214,492,138.48</w:t>
            </w:r>
          </w:p>
        </w:tc>
      </w:tr>
      <w:tr w14:paraId="199EF0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E58A4DB">
            <w:pPr>
              <w:spacing w:before="40" w:after="40" w:line="240" w:lineRule="exact"/>
              <w:jc w:val="left"/>
              <w:rPr>
                <w:rFonts w:ascii="宋体" w:hAnsi="宋体" w:eastAsia="宋体" w:cs="宋体"/>
                <w:sz w:val="18"/>
                <w:szCs w:val="18"/>
              </w:rPr>
            </w:pPr>
            <w:r>
              <w:rPr>
                <w:rFonts w:ascii="宋体" w:hAnsi="宋体" w:eastAsia="宋体" w:cs="宋体"/>
                <w:sz w:val="18"/>
                <w:szCs w:val="18"/>
              </w:rPr>
              <w:t>前五名客户合计销售金额占年度销售总额比例</w:t>
            </w:r>
          </w:p>
        </w:tc>
        <w:tc>
          <w:tcPr>
            <w:tcW w:w="4820" w:type="dxa"/>
            <w:tcBorders>
              <w:top w:val="single" w:color="auto" w:sz="2" w:space="0"/>
              <w:left w:val="single" w:color="auto" w:sz="2" w:space="0"/>
              <w:bottom w:val="single" w:color="auto" w:sz="2" w:space="0"/>
              <w:right w:val="single" w:color="auto" w:sz="2" w:space="0"/>
            </w:tcBorders>
            <w:vAlign w:val="center"/>
          </w:tcPr>
          <w:p w14:paraId="1FF14F13">
            <w:pPr>
              <w:spacing w:before="0" w:after="0" w:line="240" w:lineRule="exact"/>
              <w:jc w:val="right"/>
              <w:rPr>
                <w:rFonts w:ascii="宋体" w:hAnsi="宋体" w:eastAsia="宋体" w:cs="宋体"/>
                <w:sz w:val="18"/>
                <w:szCs w:val="18"/>
              </w:rPr>
            </w:pPr>
            <w:r>
              <w:rPr>
                <w:rFonts w:ascii="宋体" w:hAnsi="宋体" w:eastAsia="宋体" w:cs="宋体"/>
                <w:sz w:val="18"/>
                <w:szCs w:val="18"/>
              </w:rPr>
              <w:t>48.59%</w:t>
            </w:r>
          </w:p>
        </w:tc>
      </w:tr>
      <w:tr w14:paraId="646146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2FB0583">
            <w:pPr>
              <w:spacing w:before="40" w:after="40" w:line="240" w:lineRule="exact"/>
              <w:jc w:val="left"/>
              <w:rPr>
                <w:rFonts w:ascii="宋体" w:hAnsi="宋体" w:eastAsia="宋体" w:cs="宋体"/>
                <w:sz w:val="18"/>
                <w:szCs w:val="18"/>
              </w:rPr>
            </w:pPr>
            <w:r>
              <w:rPr>
                <w:rFonts w:ascii="宋体" w:hAnsi="宋体" w:eastAsia="宋体" w:cs="宋体"/>
                <w:sz w:val="18"/>
                <w:szCs w:val="18"/>
              </w:rPr>
              <w:t>前五名客户销售额中关联方销售额占年度销售总额比例</w:t>
            </w:r>
          </w:p>
        </w:tc>
        <w:tc>
          <w:tcPr>
            <w:tcW w:w="4820" w:type="dxa"/>
            <w:tcBorders>
              <w:top w:val="single" w:color="auto" w:sz="2" w:space="0"/>
              <w:left w:val="single" w:color="auto" w:sz="2" w:space="0"/>
              <w:bottom w:val="single" w:color="auto" w:sz="2" w:space="0"/>
              <w:right w:val="single" w:color="auto" w:sz="2" w:space="0"/>
            </w:tcBorders>
            <w:vAlign w:val="center"/>
          </w:tcPr>
          <w:p w14:paraId="7C50A8F6">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r>
    </w:tbl>
    <w:p w14:paraId="5C737E96">
      <w:pPr>
        <w:spacing w:before="100" w:after="100" w:line="240" w:lineRule="exact"/>
        <w:jc w:val="left"/>
        <w:rPr>
          <w:rFonts w:ascii="宋体" w:hAnsi="宋体" w:eastAsia="宋体" w:cs="宋体"/>
          <w:sz w:val="18"/>
          <w:szCs w:val="18"/>
        </w:rPr>
      </w:pPr>
      <w:r>
        <w:rPr>
          <w:rFonts w:ascii="宋体" w:hAnsi="宋体" w:eastAsia="宋体" w:cs="宋体"/>
          <w:sz w:val="18"/>
          <w:szCs w:val="18"/>
        </w:rPr>
        <w:t>公司前5大客户资料</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5F6354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92D9BDE">
            <w:pPr>
              <w:spacing w:before="40" w:after="40" w:line="240" w:lineRule="exact"/>
              <w:jc w:val="center"/>
              <w:rPr>
                <w:rFonts w:ascii="宋体" w:hAnsi="宋体" w:eastAsia="宋体" w:cs="宋体"/>
                <w:sz w:val="18"/>
                <w:szCs w:val="18"/>
              </w:rPr>
            </w:pPr>
            <w:r>
              <w:rPr>
                <w:rFonts w:ascii="宋体" w:hAnsi="宋体" w:eastAsia="宋体" w:cs="宋体"/>
                <w:sz w:val="18"/>
                <w:szCs w:val="18"/>
              </w:rPr>
              <w:t>序号</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2E3DC56">
            <w:pPr>
              <w:spacing w:before="40" w:after="40" w:line="240" w:lineRule="exact"/>
              <w:jc w:val="center"/>
              <w:rPr>
                <w:rFonts w:ascii="宋体" w:hAnsi="宋体" w:eastAsia="宋体" w:cs="宋体"/>
                <w:sz w:val="18"/>
                <w:szCs w:val="18"/>
              </w:rPr>
            </w:pPr>
            <w:r>
              <w:rPr>
                <w:rFonts w:ascii="宋体" w:hAnsi="宋体" w:eastAsia="宋体" w:cs="宋体"/>
                <w:sz w:val="18"/>
                <w:szCs w:val="18"/>
              </w:rPr>
              <w:t>客户名称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DB345F7">
            <w:pPr>
              <w:spacing w:before="40" w:after="40" w:line="240" w:lineRule="exact"/>
              <w:jc w:val="center"/>
              <w:rPr>
                <w:rFonts w:ascii="宋体" w:hAnsi="宋体" w:eastAsia="宋体" w:cs="宋体"/>
                <w:sz w:val="18"/>
                <w:szCs w:val="18"/>
              </w:rPr>
            </w:pPr>
            <w:r>
              <w:rPr>
                <w:rFonts w:ascii="宋体" w:hAnsi="宋体" w:eastAsia="宋体" w:cs="宋体"/>
                <w:sz w:val="18"/>
                <w:szCs w:val="18"/>
              </w:rPr>
              <w:t>销售额（元）</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9A1ED4F">
            <w:pPr>
              <w:spacing w:before="40" w:after="40" w:line="240" w:lineRule="exact"/>
              <w:jc w:val="center"/>
              <w:rPr>
                <w:rFonts w:ascii="宋体" w:hAnsi="宋体" w:eastAsia="宋体" w:cs="宋体"/>
                <w:sz w:val="18"/>
                <w:szCs w:val="18"/>
              </w:rPr>
            </w:pPr>
            <w:r>
              <w:rPr>
                <w:rFonts w:ascii="宋体" w:hAnsi="宋体" w:eastAsia="宋体" w:cs="宋体"/>
                <w:sz w:val="18"/>
                <w:szCs w:val="18"/>
              </w:rPr>
              <w:t>占年度销售总额比例</w:t>
            </w:r>
          </w:p>
        </w:tc>
      </w:tr>
      <w:tr w14:paraId="304B4C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0E1DFAA">
            <w:pPr>
              <w:spacing w:before="40" w:after="40" w:line="240" w:lineRule="exact"/>
              <w:jc w:val="center"/>
              <w:rPr>
                <w:rFonts w:ascii="宋体" w:hAnsi="宋体" w:eastAsia="宋体" w:cs="宋体"/>
                <w:sz w:val="18"/>
                <w:szCs w:val="18"/>
              </w:rPr>
            </w:pPr>
            <w:r>
              <w:rPr>
                <w:rFonts w:ascii="宋体" w:hAnsi="宋体" w:eastAsia="宋体" w:cs="宋体"/>
                <w:sz w:val="18"/>
                <w:szCs w:val="18"/>
              </w:rPr>
              <w:t>1</w:t>
            </w:r>
          </w:p>
        </w:tc>
        <w:tc>
          <w:tcPr>
            <w:tcW w:w="2410" w:type="dxa"/>
            <w:tcBorders>
              <w:top w:val="single" w:color="auto" w:sz="2" w:space="0"/>
              <w:left w:val="single" w:color="auto" w:sz="2" w:space="0"/>
              <w:bottom w:val="single" w:color="auto" w:sz="2" w:space="0"/>
              <w:right w:val="single" w:color="auto" w:sz="2" w:space="0"/>
            </w:tcBorders>
            <w:vAlign w:val="center"/>
          </w:tcPr>
          <w:p w14:paraId="2E9BC5F3">
            <w:pPr>
              <w:spacing w:before="0" w:after="0" w:line="240" w:lineRule="exact"/>
              <w:jc w:val="left"/>
              <w:rPr>
                <w:rFonts w:ascii="宋体" w:hAnsi="宋体" w:eastAsia="宋体" w:cs="宋体"/>
                <w:sz w:val="18"/>
                <w:szCs w:val="18"/>
              </w:rPr>
            </w:pPr>
            <w:r>
              <w:rPr>
                <w:rFonts w:ascii="宋体" w:hAnsi="宋体" w:eastAsia="宋体" w:cs="宋体"/>
                <w:sz w:val="18"/>
                <w:szCs w:val="18"/>
              </w:rPr>
              <w:t>客户第一名</w:t>
            </w:r>
          </w:p>
        </w:tc>
        <w:tc>
          <w:tcPr>
            <w:tcW w:w="2410" w:type="dxa"/>
            <w:tcBorders>
              <w:top w:val="single" w:color="auto" w:sz="2" w:space="0"/>
              <w:left w:val="single" w:color="auto" w:sz="2" w:space="0"/>
              <w:bottom w:val="single" w:color="auto" w:sz="2" w:space="0"/>
              <w:right w:val="single" w:color="auto" w:sz="2" w:space="0"/>
            </w:tcBorders>
            <w:vAlign w:val="center"/>
          </w:tcPr>
          <w:p w14:paraId="30D54103">
            <w:pPr>
              <w:spacing w:before="0" w:after="0" w:line="240" w:lineRule="exact"/>
              <w:jc w:val="right"/>
              <w:rPr>
                <w:rFonts w:ascii="宋体" w:hAnsi="宋体" w:eastAsia="宋体" w:cs="宋体"/>
                <w:sz w:val="18"/>
                <w:szCs w:val="18"/>
              </w:rPr>
            </w:pPr>
            <w:r>
              <w:rPr>
                <w:rFonts w:ascii="宋体" w:hAnsi="宋体" w:eastAsia="宋体" w:cs="宋体"/>
                <w:sz w:val="18"/>
                <w:szCs w:val="18"/>
              </w:rPr>
              <w:t>97,245,784.03</w:t>
            </w:r>
          </w:p>
        </w:tc>
        <w:tc>
          <w:tcPr>
            <w:tcW w:w="2410" w:type="dxa"/>
            <w:tcBorders>
              <w:top w:val="single" w:color="auto" w:sz="2" w:space="0"/>
              <w:left w:val="single" w:color="auto" w:sz="2" w:space="0"/>
              <w:bottom w:val="single" w:color="auto" w:sz="2" w:space="0"/>
              <w:right w:val="single" w:color="auto" w:sz="2" w:space="0"/>
            </w:tcBorders>
            <w:vAlign w:val="center"/>
          </w:tcPr>
          <w:p w14:paraId="33865502">
            <w:pPr>
              <w:spacing w:before="0" w:after="0" w:line="240" w:lineRule="exact"/>
              <w:jc w:val="right"/>
              <w:rPr>
                <w:rFonts w:ascii="宋体" w:hAnsi="宋体" w:eastAsia="宋体" w:cs="宋体"/>
                <w:sz w:val="18"/>
                <w:szCs w:val="18"/>
              </w:rPr>
            </w:pPr>
            <w:r>
              <w:rPr>
                <w:rFonts w:ascii="宋体" w:hAnsi="宋体" w:eastAsia="宋体" w:cs="宋体"/>
                <w:sz w:val="18"/>
                <w:szCs w:val="18"/>
              </w:rPr>
              <w:t>22.03%</w:t>
            </w:r>
          </w:p>
        </w:tc>
      </w:tr>
      <w:tr w14:paraId="6F5C43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299DD8E">
            <w:pPr>
              <w:spacing w:before="40" w:after="40" w:line="240" w:lineRule="exact"/>
              <w:jc w:val="center"/>
              <w:rPr>
                <w:rFonts w:ascii="宋体" w:hAnsi="宋体" w:eastAsia="宋体" w:cs="宋体"/>
                <w:sz w:val="18"/>
                <w:szCs w:val="18"/>
              </w:rPr>
            </w:pPr>
            <w:r>
              <w:rPr>
                <w:rFonts w:ascii="宋体" w:hAnsi="宋体" w:eastAsia="宋体" w:cs="宋体"/>
                <w:sz w:val="18"/>
                <w:szCs w:val="18"/>
              </w:rPr>
              <w:t>2</w:t>
            </w:r>
          </w:p>
        </w:tc>
        <w:tc>
          <w:tcPr>
            <w:tcW w:w="2410" w:type="dxa"/>
            <w:tcBorders>
              <w:top w:val="single" w:color="auto" w:sz="2" w:space="0"/>
              <w:left w:val="single" w:color="auto" w:sz="2" w:space="0"/>
              <w:bottom w:val="single" w:color="auto" w:sz="2" w:space="0"/>
              <w:right w:val="single" w:color="auto" w:sz="2" w:space="0"/>
            </w:tcBorders>
            <w:vAlign w:val="center"/>
          </w:tcPr>
          <w:p w14:paraId="5F5B21C6">
            <w:pPr>
              <w:spacing w:before="0" w:after="0" w:line="240" w:lineRule="exact"/>
              <w:jc w:val="left"/>
              <w:rPr>
                <w:rFonts w:ascii="宋体" w:hAnsi="宋体" w:eastAsia="宋体" w:cs="宋体"/>
                <w:sz w:val="18"/>
                <w:szCs w:val="18"/>
              </w:rPr>
            </w:pPr>
            <w:r>
              <w:rPr>
                <w:rFonts w:ascii="宋体" w:hAnsi="宋体" w:eastAsia="宋体" w:cs="宋体"/>
                <w:sz w:val="18"/>
                <w:szCs w:val="18"/>
              </w:rPr>
              <w:t>客户第二名</w:t>
            </w:r>
          </w:p>
        </w:tc>
        <w:tc>
          <w:tcPr>
            <w:tcW w:w="2410" w:type="dxa"/>
            <w:tcBorders>
              <w:top w:val="single" w:color="auto" w:sz="2" w:space="0"/>
              <w:left w:val="single" w:color="auto" w:sz="2" w:space="0"/>
              <w:bottom w:val="single" w:color="auto" w:sz="2" w:space="0"/>
              <w:right w:val="single" w:color="auto" w:sz="2" w:space="0"/>
            </w:tcBorders>
            <w:vAlign w:val="center"/>
          </w:tcPr>
          <w:p w14:paraId="159698BA">
            <w:pPr>
              <w:spacing w:before="0" w:after="0" w:line="240" w:lineRule="exact"/>
              <w:jc w:val="right"/>
              <w:rPr>
                <w:rFonts w:ascii="宋体" w:hAnsi="宋体" w:eastAsia="宋体" w:cs="宋体"/>
                <w:sz w:val="18"/>
                <w:szCs w:val="18"/>
              </w:rPr>
            </w:pPr>
            <w:r>
              <w:rPr>
                <w:rFonts w:ascii="宋体" w:hAnsi="宋体" w:eastAsia="宋体" w:cs="宋体"/>
                <w:sz w:val="18"/>
                <w:szCs w:val="18"/>
              </w:rPr>
              <w:t>47,576,239.73</w:t>
            </w:r>
          </w:p>
        </w:tc>
        <w:tc>
          <w:tcPr>
            <w:tcW w:w="2410" w:type="dxa"/>
            <w:tcBorders>
              <w:top w:val="single" w:color="auto" w:sz="2" w:space="0"/>
              <w:left w:val="single" w:color="auto" w:sz="2" w:space="0"/>
              <w:bottom w:val="single" w:color="auto" w:sz="2" w:space="0"/>
              <w:right w:val="single" w:color="auto" w:sz="2" w:space="0"/>
            </w:tcBorders>
            <w:vAlign w:val="center"/>
          </w:tcPr>
          <w:p w14:paraId="7421B109">
            <w:pPr>
              <w:spacing w:before="0" w:after="0" w:line="240" w:lineRule="exact"/>
              <w:jc w:val="right"/>
              <w:rPr>
                <w:rFonts w:ascii="宋体" w:hAnsi="宋体" w:eastAsia="宋体" w:cs="宋体"/>
                <w:sz w:val="18"/>
                <w:szCs w:val="18"/>
              </w:rPr>
            </w:pPr>
            <w:r>
              <w:rPr>
                <w:rFonts w:ascii="宋体" w:hAnsi="宋体" w:eastAsia="宋体" w:cs="宋体"/>
                <w:sz w:val="18"/>
                <w:szCs w:val="18"/>
              </w:rPr>
              <w:t>10.78%</w:t>
            </w:r>
          </w:p>
        </w:tc>
      </w:tr>
      <w:tr w14:paraId="0274CF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E160309">
            <w:pPr>
              <w:spacing w:before="40" w:after="40" w:line="240" w:lineRule="exact"/>
              <w:jc w:val="center"/>
              <w:rPr>
                <w:rFonts w:ascii="宋体" w:hAnsi="宋体" w:eastAsia="宋体" w:cs="宋体"/>
                <w:sz w:val="18"/>
                <w:szCs w:val="18"/>
              </w:rPr>
            </w:pPr>
            <w:r>
              <w:rPr>
                <w:rFonts w:ascii="宋体" w:hAnsi="宋体" w:eastAsia="宋体" w:cs="宋体"/>
                <w:sz w:val="18"/>
                <w:szCs w:val="18"/>
              </w:rPr>
              <w:t>3</w:t>
            </w:r>
          </w:p>
        </w:tc>
        <w:tc>
          <w:tcPr>
            <w:tcW w:w="2410" w:type="dxa"/>
            <w:tcBorders>
              <w:top w:val="single" w:color="auto" w:sz="2" w:space="0"/>
              <w:left w:val="single" w:color="auto" w:sz="2" w:space="0"/>
              <w:bottom w:val="single" w:color="auto" w:sz="2" w:space="0"/>
              <w:right w:val="single" w:color="auto" w:sz="2" w:space="0"/>
            </w:tcBorders>
            <w:vAlign w:val="center"/>
          </w:tcPr>
          <w:p w14:paraId="77773943">
            <w:pPr>
              <w:spacing w:before="0" w:after="0" w:line="240" w:lineRule="exact"/>
              <w:jc w:val="left"/>
              <w:rPr>
                <w:rFonts w:ascii="宋体" w:hAnsi="宋体" w:eastAsia="宋体" w:cs="宋体"/>
                <w:sz w:val="18"/>
                <w:szCs w:val="18"/>
              </w:rPr>
            </w:pPr>
            <w:r>
              <w:rPr>
                <w:rFonts w:ascii="宋体" w:hAnsi="宋体" w:eastAsia="宋体" w:cs="宋体"/>
                <w:sz w:val="18"/>
                <w:szCs w:val="18"/>
              </w:rPr>
              <w:t>客户第三名</w:t>
            </w:r>
          </w:p>
        </w:tc>
        <w:tc>
          <w:tcPr>
            <w:tcW w:w="2410" w:type="dxa"/>
            <w:tcBorders>
              <w:top w:val="single" w:color="auto" w:sz="2" w:space="0"/>
              <w:left w:val="single" w:color="auto" w:sz="2" w:space="0"/>
              <w:bottom w:val="single" w:color="auto" w:sz="2" w:space="0"/>
              <w:right w:val="single" w:color="auto" w:sz="2" w:space="0"/>
            </w:tcBorders>
            <w:vAlign w:val="center"/>
          </w:tcPr>
          <w:p w14:paraId="63220DF9">
            <w:pPr>
              <w:spacing w:before="0" w:after="0" w:line="240" w:lineRule="exact"/>
              <w:jc w:val="right"/>
              <w:rPr>
                <w:rFonts w:ascii="宋体" w:hAnsi="宋体" w:eastAsia="宋体" w:cs="宋体"/>
                <w:sz w:val="18"/>
                <w:szCs w:val="18"/>
              </w:rPr>
            </w:pPr>
            <w:r>
              <w:rPr>
                <w:rFonts w:ascii="宋体" w:hAnsi="宋体" w:eastAsia="宋体" w:cs="宋体"/>
                <w:sz w:val="18"/>
                <w:szCs w:val="18"/>
              </w:rPr>
              <w:t>31,756,080.84</w:t>
            </w:r>
          </w:p>
        </w:tc>
        <w:tc>
          <w:tcPr>
            <w:tcW w:w="2410" w:type="dxa"/>
            <w:tcBorders>
              <w:top w:val="single" w:color="auto" w:sz="2" w:space="0"/>
              <w:left w:val="single" w:color="auto" w:sz="2" w:space="0"/>
              <w:bottom w:val="single" w:color="auto" w:sz="2" w:space="0"/>
              <w:right w:val="single" w:color="auto" w:sz="2" w:space="0"/>
            </w:tcBorders>
            <w:vAlign w:val="center"/>
          </w:tcPr>
          <w:p w14:paraId="7C5F7D6B">
            <w:pPr>
              <w:spacing w:before="0" w:after="0" w:line="240" w:lineRule="exact"/>
              <w:jc w:val="right"/>
              <w:rPr>
                <w:rFonts w:ascii="宋体" w:hAnsi="宋体" w:eastAsia="宋体" w:cs="宋体"/>
                <w:sz w:val="18"/>
                <w:szCs w:val="18"/>
              </w:rPr>
            </w:pPr>
            <w:r>
              <w:rPr>
                <w:rFonts w:ascii="宋体" w:hAnsi="宋体" w:eastAsia="宋体" w:cs="宋体"/>
                <w:sz w:val="18"/>
                <w:szCs w:val="18"/>
              </w:rPr>
              <w:t>7.19%</w:t>
            </w:r>
          </w:p>
        </w:tc>
      </w:tr>
      <w:tr w14:paraId="64B465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48A28C9">
            <w:pPr>
              <w:spacing w:before="40" w:after="40" w:line="240" w:lineRule="exact"/>
              <w:jc w:val="center"/>
              <w:rPr>
                <w:rFonts w:ascii="宋体" w:hAnsi="宋体" w:eastAsia="宋体" w:cs="宋体"/>
                <w:sz w:val="18"/>
                <w:szCs w:val="18"/>
              </w:rPr>
            </w:pPr>
            <w:r>
              <w:rPr>
                <w:rFonts w:ascii="宋体" w:hAnsi="宋体" w:eastAsia="宋体" w:cs="宋体"/>
                <w:sz w:val="18"/>
                <w:szCs w:val="18"/>
              </w:rPr>
              <w:t>4</w:t>
            </w:r>
          </w:p>
        </w:tc>
        <w:tc>
          <w:tcPr>
            <w:tcW w:w="2410" w:type="dxa"/>
            <w:tcBorders>
              <w:top w:val="single" w:color="auto" w:sz="2" w:space="0"/>
              <w:left w:val="single" w:color="auto" w:sz="2" w:space="0"/>
              <w:bottom w:val="single" w:color="auto" w:sz="2" w:space="0"/>
              <w:right w:val="single" w:color="auto" w:sz="2" w:space="0"/>
            </w:tcBorders>
            <w:vAlign w:val="center"/>
          </w:tcPr>
          <w:p w14:paraId="06BAC30D">
            <w:pPr>
              <w:spacing w:before="0" w:after="0" w:line="240" w:lineRule="exact"/>
              <w:jc w:val="left"/>
              <w:rPr>
                <w:rFonts w:ascii="宋体" w:hAnsi="宋体" w:eastAsia="宋体" w:cs="宋体"/>
                <w:sz w:val="18"/>
                <w:szCs w:val="18"/>
              </w:rPr>
            </w:pPr>
            <w:r>
              <w:rPr>
                <w:rFonts w:ascii="宋体" w:hAnsi="宋体" w:eastAsia="宋体" w:cs="宋体"/>
                <w:sz w:val="18"/>
                <w:szCs w:val="18"/>
              </w:rPr>
              <w:t>客户第四名</w:t>
            </w:r>
          </w:p>
        </w:tc>
        <w:tc>
          <w:tcPr>
            <w:tcW w:w="2410" w:type="dxa"/>
            <w:tcBorders>
              <w:top w:val="single" w:color="auto" w:sz="2" w:space="0"/>
              <w:left w:val="single" w:color="auto" w:sz="2" w:space="0"/>
              <w:bottom w:val="single" w:color="auto" w:sz="2" w:space="0"/>
              <w:right w:val="single" w:color="auto" w:sz="2" w:space="0"/>
            </w:tcBorders>
            <w:vAlign w:val="center"/>
          </w:tcPr>
          <w:p w14:paraId="42EAC5E3">
            <w:pPr>
              <w:spacing w:before="0" w:after="0" w:line="240" w:lineRule="exact"/>
              <w:jc w:val="right"/>
              <w:rPr>
                <w:rFonts w:ascii="宋体" w:hAnsi="宋体" w:eastAsia="宋体" w:cs="宋体"/>
                <w:sz w:val="18"/>
                <w:szCs w:val="18"/>
              </w:rPr>
            </w:pPr>
            <w:r>
              <w:rPr>
                <w:rFonts w:ascii="宋体" w:hAnsi="宋体" w:eastAsia="宋体" w:cs="宋体"/>
                <w:sz w:val="18"/>
                <w:szCs w:val="18"/>
              </w:rPr>
              <w:t>25,116,703.54</w:t>
            </w:r>
          </w:p>
        </w:tc>
        <w:tc>
          <w:tcPr>
            <w:tcW w:w="2410" w:type="dxa"/>
            <w:tcBorders>
              <w:top w:val="single" w:color="auto" w:sz="2" w:space="0"/>
              <w:left w:val="single" w:color="auto" w:sz="2" w:space="0"/>
              <w:bottom w:val="single" w:color="auto" w:sz="2" w:space="0"/>
              <w:right w:val="single" w:color="auto" w:sz="2" w:space="0"/>
            </w:tcBorders>
            <w:vAlign w:val="center"/>
          </w:tcPr>
          <w:p w14:paraId="4FCBD8C4">
            <w:pPr>
              <w:spacing w:before="0" w:after="0" w:line="240" w:lineRule="exact"/>
              <w:jc w:val="right"/>
              <w:rPr>
                <w:rFonts w:ascii="宋体" w:hAnsi="宋体" w:eastAsia="宋体" w:cs="宋体"/>
                <w:sz w:val="18"/>
                <w:szCs w:val="18"/>
              </w:rPr>
            </w:pPr>
            <w:r>
              <w:rPr>
                <w:rFonts w:ascii="宋体" w:hAnsi="宋体" w:eastAsia="宋体" w:cs="宋体"/>
                <w:sz w:val="18"/>
                <w:szCs w:val="18"/>
              </w:rPr>
              <w:t>5.69%</w:t>
            </w:r>
          </w:p>
        </w:tc>
      </w:tr>
      <w:tr w14:paraId="012EEA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1563D86">
            <w:pPr>
              <w:spacing w:before="40" w:after="40" w:line="240" w:lineRule="exact"/>
              <w:jc w:val="center"/>
              <w:rPr>
                <w:rFonts w:ascii="宋体" w:hAnsi="宋体" w:eastAsia="宋体" w:cs="宋体"/>
                <w:sz w:val="18"/>
                <w:szCs w:val="18"/>
              </w:rPr>
            </w:pPr>
            <w:r>
              <w:rPr>
                <w:rFonts w:ascii="宋体" w:hAnsi="宋体" w:eastAsia="宋体" w:cs="宋体"/>
                <w:sz w:val="18"/>
                <w:szCs w:val="18"/>
              </w:rPr>
              <w:t>5</w:t>
            </w:r>
          </w:p>
        </w:tc>
        <w:tc>
          <w:tcPr>
            <w:tcW w:w="2410" w:type="dxa"/>
            <w:tcBorders>
              <w:top w:val="single" w:color="auto" w:sz="2" w:space="0"/>
              <w:left w:val="single" w:color="auto" w:sz="2" w:space="0"/>
              <w:bottom w:val="single" w:color="auto" w:sz="2" w:space="0"/>
              <w:right w:val="single" w:color="auto" w:sz="2" w:space="0"/>
            </w:tcBorders>
            <w:vAlign w:val="center"/>
          </w:tcPr>
          <w:p w14:paraId="4861E759">
            <w:pPr>
              <w:spacing w:before="0" w:after="0" w:line="240" w:lineRule="exact"/>
              <w:jc w:val="left"/>
              <w:rPr>
                <w:rFonts w:ascii="宋体" w:hAnsi="宋体" w:eastAsia="宋体" w:cs="宋体"/>
                <w:sz w:val="18"/>
                <w:szCs w:val="18"/>
              </w:rPr>
            </w:pPr>
            <w:r>
              <w:rPr>
                <w:rFonts w:ascii="宋体" w:hAnsi="宋体" w:eastAsia="宋体" w:cs="宋体"/>
                <w:sz w:val="18"/>
                <w:szCs w:val="18"/>
              </w:rPr>
              <w:t>客户第五名</w:t>
            </w:r>
          </w:p>
        </w:tc>
        <w:tc>
          <w:tcPr>
            <w:tcW w:w="2410" w:type="dxa"/>
            <w:tcBorders>
              <w:top w:val="single" w:color="auto" w:sz="2" w:space="0"/>
              <w:left w:val="single" w:color="auto" w:sz="2" w:space="0"/>
              <w:bottom w:val="single" w:color="auto" w:sz="2" w:space="0"/>
              <w:right w:val="single" w:color="auto" w:sz="2" w:space="0"/>
            </w:tcBorders>
            <w:vAlign w:val="center"/>
          </w:tcPr>
          <w:p w14:paraId="5B260CA7">
            <w:pPr>
              <w:spacing w:before="0" w:after="0" w:line="240" w:lineRule="exact"/>
              <w:jc w:val="right"/>
              <w:rPr>
                <w:rFonts w:ascii="宋体" w:hAnsi="宋体" w:eastAsia="宋体" w:cs="宋体"/>
                <w:sz w:val="18"/>
                <w:szCs w:val="18"/>
              </w:rPr>
            </w:pPr>
            <w:r>
              <w:rPr>
                <w:rFonts w:ascii="宋体" w:hAnsi="宋体" w:eastAsia="宋体" w:cs="宋体"/>
                <w:sz w:val="18"/>
                <w:szCs w:val="18"/>
              </w:rPr>
              <w:t>12,797,330.34</w:t>
            </w:r>
          </w:p>
        </w:tc>
        <w:tc>
          <w:tcPr>
            <w:tcW w:w="2410" w:type="dxa"/>
            <w:tcBorders>
              <w:top w:val="single" w:color="auto" w:sz="2" w:space="0"/>
              <w:left w:val="single" w:color="auto" w:sz="2" w:space="0"/>
              <w:bottom w:val="single" w:color="auto" w:sz="2" w:space="0"/>
              <w:right w:val="single" w:color="auto" w:sz="2" w:space="0"/>
            </w:tcBorders>
            <w:vAlign w:val="center"/>
          </w:tcPr>
          <w:p w14:paraId="17D80F4D">
            <w:pPr>
              <w:spacing w:before="0" w:after="0" w:line="240" w:lineRule="exact"/>
              <w:jc w:val="right"/>
              <w:rPr>
                <w:rFonts w:ascii="宋体" w:hAnsi="宋体" w:eastAsia="宋体" w:cs="宋体"/>
                <w:sz w:val="18"/>
                <w:szCs w:val="18"/>
              </w:rPr>
            </w:pPr>
            <w:r>
              <w:rPr>
                <w:rFonts w:ascii="宋体" w:hAnsi="宋体" w:eastAsia="宋体" w:cs="宋体"/>
                <w:sz w:val="18"/>
                <w:szCs w:val="18"/>
              </w:rPr>
              <w:t>2.90%</w:t>
            </w:r>
          </w:p>
        </w:tc>
      </w:tr>
      <w:tr w14:paraId="2BD451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420100D">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3605325">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2410" w:type="dxa"/>
            <w:tcBorders>
              <w:top w:val="single" w:color="auto" w:sz="2" w:space="0"/>
              <w:left w:val="single" w:color="auto" w:sz="2" w:space="0"/>
              <w:bottom w:val="single" w:color="auto" w:sz="2" w:space="0"/>
              <w:right w:val="single" w:color="auto" w:sz="2" w:space="0"/>
            </w:tcBorders>
            <w:vAlign w:val="center"/>
          </w:tcPr>
          <w:p w14:paraId="2897BEA0">
            <w:pPr>
              <w:spacing w:before="0" w:after="0" w:line="240" w:lineRule="exact"/>
              <w:jc w:val="right"/>
              <w:rPr>
                <w:rFonts w:ascii="宋体" w:hAnsi="宋体" w:eastAsia="宋体" w:cs="宋体"/>
                <w:sz w:val="18"/>
                <w:szCs w:val="18"/>
              </w:rPr>
            </w:pPr>
            <w:r>
              <w:rPr>
                <w:rFonts w:ascii="宋体" w:hAnsi="宋体" w:eastAsia="宋体" w:cs="宋体"/>
                <w:sz w:val="18"/>
                <w:szCs w:val="18"/>
              </w:rPr>
              <w:t>214,492,138.48</w:t>
            </w:r>
          </w:p>
        </w:tc>
        <w:tc>
          <w:tcPr>
            <w:tcW w:w="2410" w:type="dxa"/>
            <w:tcBorders>
              <w:top w:val="single" w:color="auto" w:sz="2" w:space="0"/>
              <w:left w:val="single" w:color="auto" w:sz="2" w:space="0"/>
              <w:bottom w:val="single" w:color="auto" w:sz="2" w:space="0"/>
              <w:right w:val="single" w:color="auto" w:sz="2" w:space="0"/>
            </w:tcBorders>
            <w:vAlign w:val="center"/>
          </w:tcPr>
          <w:p w14:paraId="643F4605">
            <w:pPr>
              <w:spacing w:before="0" w:after="0" w:line="240" w:lineRule="exact"/>
              <w:jc w:val="right"/>
              <w:rPr>
                <w:rFonts w:ascii="宋体" w:hAnsi="宋体" w:eastAsia="宋体" w:cs="宋体"/>
                <w:sz w:val="18"/>
                <w:szCs w:val="18"/>
              </w:rPr>
            </w:pPr>
            <w:r>
              <w:rPr>
                <w:rFonts w:ascii="宋体" w:hAnsi="宋体" w:eastAsia="宋体" w:cs="宋体"/>
                <w:sz w:val="18"/>
                <w:szCs w:val="18"/>
              </w:rPr>
              <w:t>48.59%</w:t>
            </w:r>
          </w:p>
        </w:tc>
      </w:tr>
    </w:tbl>
    <w:p w14:paraId="2B115427">
      <w:pPr>
        <w:spacing w:before="100" w:after="100" w:line="240" w:lineRule="exact"/>
        <w:jc w:val="left"/>
        <w:rPr>
          <w:rFonts w:ascii="宋体" w:hAnsi="宋体" w:eastAsia="宋体" w:cs="宋体"/>
          <w:sz w:val="18"/>
          <w:szCs w:val="18"/>
        </w:rPr>
      </w:pPr>
      <w:r>
        <w:rPr>
          <w:rFonts w:ascii="宋体" w:hAnsi="宋体" w:eastAsia="宋体" w:cs="宋体"/>
          <w:sz w:val="18"/>
          <w:szCs w:val="18"/>
        </w:rPr>
        <w:t>主要客户其他情况说明</w:t>
      </w:r>
    </w:p>
    <w:p w14:paraId="6073BD72">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CF9559A">
      <w:pPr>
        <w:spacing w:before="40" w:after="40" w:line="240" w:lineRule="exact"/>
        <w:jc w:val="left"/>
        <w:rPr>
          <w:rFonts w:ascii="宋体" w:hAnsi="宋体" w:eastAsia="宋体" w:cs="宋体"/>
          <w:sz w:val="18"/>
          <w:szCs w:val="18"/>
        </w:rPr>
      </w:pPr>
      <w:r>
        <w:rPr>
          <w:rFonts w:ascii="宋体" w:hAnsi="宋体" w:eastAsia="宋体" w:cs="宋体"/>
          <w:sz w:val="18"/>
          <w:szCs w:val="18"/>
        </w:rPr>
        <w:t>公司主要供应商情况</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450295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DA6AF7C">
            <w:pPr>
              <w:spacing w:before="40" w:after="40" w:line="240" w:lineRule="exact"/>
              <w:jc w:val="left"/>
              <w:rPr>
                <w:rFonts w:ascii="宋体" w:hAnsi="宋体" w:eastAsia="宋体" w:cs="宋体"/>
                <w:sz w:val="18"/>
                <w:szCs w:val="18"/>
              </w:rPr>
            </w:pPr>
            <w:r>
              <w:rPr>
                <w:rFonts w:ascii="宋体" w:hAnsi="宋体" w:eastAsia="宋体" w:cs="宋体"/>
                <w:sz w:val="18"/>
                <w:szCs w:val="18"/>
              </w:rPr>
              <w:t>前五名供应商合计采购金额（元）</w:t>
            </w:r>
          </w:p>
        </w:tc>
        <w:tc>
          <w:tcPr>
            <w:tcW w:w="4820" w:type="dxa"/>
            <w:tcBorders>
              <w:top w:val="single" w:color="auto" w:sz="2" w:space="0"/>
              <w:left w:val="single" w:color="auto" w:sz="2" w:space="0"/>
              <w:bottom w:val="single" w:color="auto" w:sz="2" w:space="0"/>
              <w:right w:val="single" w:color="auto" w:sz="2" w:space="0"/>
            </w:tcBorders>
            <w:vAlign w:val="center"/>
          </w:tcPr>
          <w:p w14:paraId="37BCE643">
            <w:pPr>
              <w:spacing w:before="0" w:after="0" w:line="240" w:lineRule="exact"/>
              <w:jc w:val="right"/>
              <w:rPr>
                <w:rFonts w:ascii="宋体" w:hAnsi="宋体" w:eastAsia="宋体" w:cs="宋体"/>
                <w:sz w:val="18"/>
                <w:szCs w:val="18"/>
              </w:rPr>
            </w:pPr>
            <w:r>
              <w:rPr>
                <w:rFonts w:ascii="宋体" w:hAnsi="宋体" w:eastAsia="宋体" w:cs="宋体"/>
                <w:sz w:val="18"/>
                <w:szCs w:val="18"/>
              </w:rPr>
              <w:t>79,826,579.38</w:t>
            </w:r>
          </w:p>
        </w:tc>
      </w:tr>
      <w:tr w14:paraId="2CB40C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2A917CD">
            <w:pPr>
              <w:spacing w:before="40" w:after="40" w:line="240" w:lineRule="exact"/>
              <w:jc w:val="left"/>
              <w:rPr>
                <w:rFonts w:ascii="宋体" w:hAnsi="宋体" w:eastAsia="宋体" w:cs="宋体"/>
                <w:sz w:val="18"/>
                <w:szCs w:val="18"/>
              </w:rPr>
            </w:pPr>
            <w:r>
              <w:rPr>
                <w:rFonts w:ascii="宋体" w:hAnsi="宋体" w:eastAsia="宋体" w:cs="宋体"/>
                <w:sz w:val="18"/>
                <w:szCs w:val="18"/>
              </w:rPr>
              <w:t>前五名供应商合计采购金额占年度采购总额比例</w:t>
            </w:r>
          </w:p>
        </w:tc>
        <w:tc>
          <w:tcPr>
            <w:tcW w:w="4820" w:type="dxa"/>
            <w:tcBorders>
              <w:top w:val="single" w:color="auto" w:sz="2" w:space="0"/>
              <w:left w:val="single" w:color="auto" w:sz="2" w:space="0"/>
              <w:bottom w:val="single" w:color="auto" w:sz="2" w:space="0"/>
              <w:right w:val="single" w:color="auto" w:sz="2" w:space="0"/>
            </w:tcBorders>
            <w:vAlign w:val="center"/>
          </w:tcPr>
          <w:p w14:paraId="12243F2A">
            <w:pPr>
              <w:spacing w:before="0" w:after="0" w:line="240" w:lineRule="exact"/>
              <w:jc w:val="right"/>
              <w:rPr>
                <w:rFonts w:ascii="宋体" w:hAnsi="宋体" w:eastAsia="宋体" w:cs="宋体"/>
                <w:sz w:val="18"/>
                <w:szCs w:val="18"/>
              </w:rPr>
            </w:pPr>
            <w:r>
              <w:rPr>
                <w:rFonts w:ascii="宋体" w:hAnsi="宋体" w:eastAsia="宋体" w:cs="宋体"/>
                <w:sz w:val="18"/>
                <w:szCs w:val="18"/>
              </w:rPr>
              <w:t>60.53%</w:t>
            </w:r>
          </w:p>
        </w:tc>
      </w:tr>
      <w:tr w14:paraId="329BC9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53E856D">
            <w:pPr>
              <w:spacing w:before="40" w:after="40" w:line="240" w:lineRule="exact"/>
              <w:jc w:val="left"/>
              <w:rPr>
                <w:rFonts w:ascii="宋体" w:hAnsi="宋体" w:eastAsia="宋体" w:cs="宋体"/>
                <w:sz w:val="18"/>
                <w:szCs w:val="18"/>
              </w:rPr>
            </w:pPr>
            <w:r>
              <w:rPr>
                <w:rFonts w:ascii="宋体" w:hAnsi="宋体" w:eastAsia="宋体" w:cs="宋体"/>
                <w:sz w:val="18"/>
                <w:szCs w:val="18"/>
              </w:rPr>
              <w:t>前五名供应商采购额中关联方采购额占年度采购总额比例</w:t>
            </w:r>
          </w:p>
        </w:tc>
        <w:tc>
          <w:tcPr>
            <w:tcW w:w="4820" w:type="dxa"/>
            <w:tcBorders>
              <w:top w:val="single" w:color="auto" w:sz="2" w:space="0"/>
              <w:left w:val="single" w:color="auto" w:sz="2" w:space="0"/>
              <w:bottom w:val="single" w:color="auto" w:sz="2" w:space="0"/>
              <w:right w:val="single" w:color="auto" w:sz="2" w:space="0"/>
            </w:tcBorders>
            <w:vAlign w:val="center"/>
          </w:tcPr>
          <w:p w14:paraId="69EDF208">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r>
    </w:tbl>
    <w:p w14:paraId="08951BE7">
      <w:pPr>
        <w:spacing w:before="40" w:after="40" w:line="240" w:lineRule="exact"/>
        <w:jc w:val="left"/>
        <w:rPr>
          <w:rFonts w:ascii="宋体" w:hAnsi="宋体" w:eastAsia="宋体" w:cs="宋体"/>
          <w:sz w:val="18"/>
          <w:szCs w:val="18"/>
        </w:rPr>
      </w:pPr>
      <w:r>
        <w:rPr>
          <w:rFonts w:ascii="宋体" w:hAnsi="宋体" w:eastAsia="宋体" w:cs="宋体"/>
          <w:sz w:val="18"/>
          <w:szCs w:val="18"/>
        </w:rPr>
        <w:t>公司前5名供应商资料</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7CA978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BE0BB12">
            <w:pPr>
              <w:spacing w:before="40" w:after="40" w:line="240" w:lineRule="exact"/>
              <w:jc w:val="center"/>
              <w:rPr>
                <w:rFonts w:ascii="宋体" w:hAnsi="宋体" w:eastAsia="宋体" w:cs="宋体"/>
                <w:sz w:val="18"/>
                <w:szCs w:val="18"/>
              </w:rPr>
            </w:pPr>
            <w:r>
              <w:rPr>
                <w:rFonts w:ascii="宋体" w:hAnsi="宋体" w:eastAsia="宋体" w:cs="宋体"/>
                <w:sz w:val="18"/>
                <w:szCs w:val="18"/>
              </w:rPr>
              <w:t>序号</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F282015">
            <w:pPr>
              <w:spacing w:before="40" w:after="40" w:line="240" w:lineRule="exact"/>
              <w:jc w:val="center"/>
              <w:rPr>
                <w:rFonts w:ascii="宋体" w:hAnsi="宋体" w:eastAsia="宋体" w:cs="宋体"/>
                <w:sz w:val="18"/>
                <w:szCs w:val="18"/>
              </w:rPr>
            </w:pPr>
            <w:r>
              <w:rPr>
                <w:rFonts w:ascii="宋体" w:hAnsi="宋体" w:eastAsia="宋体" w:cs="宋体"/>
                <w:sz w:val="18"/>
                <w:szCs w:val="18"/>
              </w:rPr>
              <w:t>供应商名称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0695CEC">
            <w:pPr>
              <w:spacing w:before="40" w:after="40" w:line="240" w:lineRule="exact"/>
              <w:jc w:val="center"/>
              <w:rPr>
                <w:rFonts w:ascii="宋体" w:hAnsi="宋体" w:eastAsia="宋体" w:cs="宋体"/>
                <w:sz w:val="18"/>
                <w:szCs w:val="18"/>
              </w:rPr>
            </w:pPr>
            <w:r>
              <w:rPr>
                <w:rFonts w:ascii="宋体" w:hAnsi="宋体" w:eastAsia="宋体" w:cs="宋体"/>
                <w:sz w:val="18"/>
                <w:szCs w:val="18"/>
              </w:rPr>
              <w:t>采购额（元）</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CB5D27F">
            <w:pPr>
              <w:spacing w:before="40" w:after="40" w:line="240" w:lineRule="exact"/>
              <w:jc w:val="center"/>
              <w:rPr>
                <w:rFonts w:ascii="宋体" w:hAnsi="宋体" w:eastAsia="宋体" w:cs="宋体"/>
                <w:sz w:val="18"/>
                <w:szCs w:val="18"/>
              </w:rPr>
            </w:pPr>
            <w:r>
              <w:rPr>
                <w:rFonts w:ascii="宋体" w:hAnsi="宋体" w:eastAsia="宋体" w:cs="宋体"/>
                <w:sz w:val="18"/>
                <w:szCs w:val="18"/>
              </w:rPr>
              <w:t>占年度采购总额比例</w:t>
            </w:r>
          </w:p>
        </w:tc>
      </w:tr>
      <w:tr w14:paraId="619003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DF5D030">
            <w:pPr>
              <w:spacing w:before="40" w:after="40" w:line="240" w:lineRule="exact"/>
              <w:jc w:val="center"/>
              <w:rPr>
                <w:rFonts w:ascii="宋体" w:hAnsi="宋体" w:eastAsia="宋体" w:cs="宋体"/>
                <w:sz w:val="18"/>
                <w:szCs w:val="18"/>
              </w:rPr>
            </w:pPr>
            <w:r>
              <w:rPr>
                <w:rFonts w:ascii="宋体" w:hAnsi="宋体" w:eastAsia="宋体" w:cs="宋体"/>
                <w:sz w:val="18"/>
                <w:szCs w:val="18"/>
              </w:rPr>
              <w:t>1</w:t>
            </w:r>
          </w:p>
        </w:tc>
        <w:tc>
          <w:tcPr>
            <w:tcW w:w="2410" w:type="dxa"/>
            <w:tcBorders>
              <w:top w:val="single" w:color="auto" w:sz="2" w:space="0"/>
              <w:left w:val="single" w:color="auto" w:sz="2" w:space="0"/>
              <w:bottom w:val="single" w:color="auto" w:sz="2" w:space="0"/>
              <w:right w:val="single" w:color="auto" w:sz="2" w:space="0"/>
            </w:tcBorders>
            <w:vAlign w:val="center"/>
          </w:tcPr>
          <w:p w14:paraId="4DE77829">
            <w:pPr>
              <w:spacing w:before="0" w:after="0" w:line="240" w:lineRule="exact"/>
              <w:jc w:val="left"/>
              <w:rPr>
                <w:rFonts w:ascii="宋体" w:hAnsi="宋体" w:eastAsia="宋体" w:cs="宋体"/>
                <w:sz w:val="18"/>
                <w:szCs w:val="18"/>
              </w:rPr>
            </w:pPr>
            <w:r>
              <w:rPr>
                <w:rFonts w:ascii="宋体" w:hAnsi="宋体" w:eastAsia="宋体" w:cs="宋体"/>
                <w:sz w:val="18"/>
                <w:szCs w:val="18"/>
              </w:rPr>
              <w:t>供应商第一名</w:t>
            </w:r>
          </w:p>
        </w:tc>
        <w:tc>
          <w:tcPr>
            <w:tcW w:w="2410" w:type="dxa"/>
            <w:tcBorders>
              <w:top w:val="single" w:color="auto" w:sz="2" w:space="0"/>
              <w:left w:val="single" w:color="auto" w:sz="2" w:space="0"/>
              <w:bottom w:val="single" w:color="auto" w:sz="2" w:space="0"/>
              <w:right w:val="single" w:color="auto" w:sz="2" w:space="0"/>
            </w:tcBorders>
            <w:vAlign w:val="center"/>
          </w:tcPr>
          <w:p w14:paraId="57431F11">
            <w:pPr>
              <w:spacing w:before="0" w:after="0" w:line="240" w:lineRule="exact"/>
              <w:jc w:val="right"/>
              <w:rPr>
                <w:rFonts w:ascii="宋体" w:hAnsi="宋体" w:eastAsia="宋体" w:cs="宋体"/>
                <w:sz w:val="18"/>
                <w:szCs w:val="18"/>
              </w:rPr>
            </w:pPr>
            <w:r>
              <w:rPr>
                <w:rFonts w:ascii="宋体" w:hAnsi="宋体" w:eastAsia="宋体" w:cs="宋体"/>
                <w:sz w:val="18"/>
                <w:szCs w:val="18"/>
              </w:rPr>
              <w:t>42,890,896.24</w:t>
            </w:r>
          </w:p>
        </w:tc>
        <w:tc>
          <w:tcPr>
            <w:tcW w:w="2410" w:type="dxa"/>
            <w:tcBorders>
              <w:top w:val="single" w:color="auto" w:sz="2" w:space="0"/>
              <w:left w:val="single" w:color="auto" w:sz="2" w:space="0"/>
              <w:bottom w:val="single" w:color="auto" w:sz="2" w:space="0"/>
              <w:right w:val="single" w:color="auto" w:sz="2" w:space="0"/>
            </w:tcBorders>
            <w:vAlign w:val="center"/>
          </w:tcPr>
          <w:p w14:paraId="72E25A6F">
            <w:pPr>
              <w:spacing w:before="0" w:after="0" w:line="240" w:lineRule="exact"/>
              <w:jc w:val="right"/>
              <w:rPr>
                <w:rFonts w:ascii="宋体" w:hAnsi="宋体" w:eastAsia="宋体" w:cs="宋体"/>
                <w:sz w:val="18"/>
                <w:szCs w:val="18"/>
              </w:rPr>
            </w:pPr>
            <w:r>
              <w:rPr>
                <w:rFonts w:ascii="宋体" w:hAnsi="宋体" w:eastAsia="宋体" w:cs="宋体"/>
                <w:sz w:val="18"/>
                <w:szCs w:val="18"/>
              </w:rPr>
              <w:t>32.52%</w:t>
            </w:r>
          </w:p>
        </w:tc>
      </w:tr>
      <w:tr w14:paraId="1DBDA2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CB375E5">
            <w:pPr>
              <w:spacing w:before="40" w:after="40" w:line="240" w:lineRule="exact"/>
              <w:jc w:val="center"/>
              <w:rPr>
                <w:rFonts w:ascii="宋体" w:hAnsi="宋体" w:eastAsia="宋体" w:cs="宋体"/>
                <w:sz w:val="18"/>
                <w:szCs w:val="18"/>
              </w:rPr>
            </w:pPr>
            <w:r>
              <w:rPr>
                <w:rFonts w:ascii="宋体" w:hAnsi="宋体" w:eastAsia="宋体" w:cs="宋体"/>
                <w:sz w:val="18"/>
                <w:szCs w:val="18"/>
              </w:rPr>
              <w:t>2</w:t>
            </w:r>
          </w:p>
        </w:tc>
        <w:tc>
          <w:tcPr>
            <w:tcW w:w="2410" w:type="dxa"/>
            <w:tcBorders>
              <w:top w:val="single" w:color="auto" w:sz="2" w:space="0"/>
              <w:left w:val="single" w:color="auto" w:sz="2" w:space="0"/>
              <w:bottom w:val="single" w:color="auto" w:sz="2" w:space="0"/>
              <w:right w:val="single" w:color="auto" w:sz="2" w:space="0"/>
            </w:tcBorders>
            <w:vAlign w:val="center"/>
          </w:tcPr>
          <w:p w14:paraId="76C256FE">
            <w:pPr>
              <w:spacing w:before="0" w:after="0" w:line="240" w:lineRule="exact"/>
              <w:jc w:val="left"/>
              <w:rPr>
                <w:rFonts w:ascii="宋体" w:hAnsi="宋体" w:eastAsia="宋体" w:cs="宋体"/>
                <w:sz w:val="18"/>
                <w:szCs w:val="18"/>
              </w:rPr>
            </w:pPr>
            <w:r>
              <w:rPr>
                <w:rFonts w:ascii="宋体" w:hAnsi="宋体" w:eastAsia="宋体" w:cs="宋体"/>
                <w:sz w:val="18"/>
                <w:szCs w:val="18"/>
              </w:rPr>
              <w:t>供应商第二名</w:t>
            </w:r>
          </w:p>
        </w:tc>
        <w:tc>
          <w:tcPr>
            <w:tcW w:w="2410" w:type="dxa"/>
            <w:tcBorders>
              <w:top w:val="single" w:color="auto" w:sz="2" w:space="0"/>
              <w:left w:val="single" w:color="auto" w:sz="2" w:space="0"/>
              <w:bottom w:val="single" w:color="auto" w:sz="2" w:space="0"/>
              <w:right w:val="single" w:color="auto" w:sz="2" w:space="0"/>
            </w:tcBorders>
            <w:vAlign w:val="center"/>
          </w:tcPr>
          <w:p w14:paraId="09F7F585">
            <w:pPr>
              <w:spacing w:before="0" w:after="0" w:line="240" w:lineRule="exact"/>
              <w:jc w:val="right"/>
              <w:rPr>
                <w:rFonts w:ascii="宋体" w:hAnsi="宋体" w:eastAsia="宋体" w:cs="宋体"/>
                <w:sz w:val="18"/>
                <w:szCs w:val="18"/>
              </w:rPr>
            </w:pPr>
            <w:r>
              <w:rPr>
                <w:rFonts w:ascii="宋体" w:hAnsi="宋体" w:eastAsia="宋体" w:cs="宋体"/>
                <w:sz w:val="18"/>
                <w:szCs w:val="18"/>
              </w:rPr>
              <w:t>14,968,830.40</w:t>
            </w:r>
          </w:p>
        </w:tc>
        <w:tc>
          <w:tcPr>
            <w:tcW w:w="2410" w:type="dxa"/>
            <w:tcBorders>
              <w:top w:val="single" w:color="auto" w:sz="2" w:space="0"/>
              <w:left w:val="single" w:color="auto" w:sz="2" w:space="0"/>
              <w:bottom w:val="single" w:color="auto" w:sz="2" w:space="0"/>
              <w:right w:val="single" w:color="auto" w:sz="2" w:space="0"/>
            </w:tcBorders>
            <w:vAlign w:val="center"/>
          </w:tcPr>
          <w:p w14:paraId="0F6BD7D4">
            <w:pPr>
              <w:spacing w:before="0" w:after="0" w:line="240" w:lineRule="exact"/>
              <w:jc w:val="right"/>
              <w:rPr>
                <w:rFonts w:ascii="宋体" w:hAnsi="宋体" w:eastAsia="宋体" w:cs="宋体"/>
                <w:sz w:val="18"/>
                <w:szCs w:val="18"/>
              </w:rPr>
            </w:pPr>
            <w:r>
              <w:rPr>
                <w:rFonts w:ascii="宋体" w:hAnsi="宋体" w:eastAsia="宋体" w:cs="宋体"/>
                <w:sz w:val="18"/>
                <w:szCs w:val="18"/>
              </w:rPr>
              <w:t>11.35%</w:t>
            </w:r>
          </w:p>
        </w:tc>
      </w:tr>
      <w:tr w14:paraId="6B9CC7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6D11EF0">
            <w:pPr>
              <w:spacing w:before="40" w:after="40" w:line="240" w:lineRule="exact"/>
              <w:jc w:val="center"/>
              <w:rPr>
                <w:rFonts w:ascii="宋体" w:hAnsi="宋体" w:eastAsia="宋体" w:cs="宋体"/>
                <w:sz w:val="18"/>
                <w:szCs w:val="18"/>
              </w:rPr>
            </w:pPr>
            <w:r>
              <w:rPr>
                <w:rFonts w:ascii="宋体" w:hAnsi="宋体" w:eastAsia="宋体" w:cs="宋体"/>
                <w:sz w:val="18"/>
                <w:szCs w:val="18"/>
              </w:rPr>
              <w:t>3</w:t>
            </w:r>
          </w:p>
        </w:tc>
        <w:tc>
          <w:tcPr>
            <w:tcW w:w="2410" w:type="dxa"/>
            <w:tcBorders>
              <w:top w:val="single" w:color="auto" w:sz="2" w:space="0"/>
              <w:left w:val="single" w:color="auto" w:sz="2" w:space="0"/>
              <w:bottom w:val="single" w:color="auto" w:sz="2" w:space="0"/>
              <w:right w:val="single" w:color="auto" w:sz="2" w:space="0"/>
            </w:tcBorders>
            <w:vAlign w:val="center"/>
          </w:tcPr>
          <w:p w14:paraId="1B17D026">
            <w:pPr>
              <w:spacing w:before="0" w:after="0" w:line="240" w:lineRule="exact"/>
              <w:jc w:val="left"/>
              <w:rPr>
                <w:rFonts w:ascii="宋体" w:hAnsi="宋体" w:eastAsia="宋体" w:cs="宋体"/>
                <w:sz w:val="18"/>
                <w:szCs w:val="18"/>
              </w:rPr>
            </w:pPr>
            <w:r>
              <w:rPr>
                <w:rFonts w:ascii="宋体" w:hAnsi="宋体" w:eastAsia="宋体" w:cs="宋体"/>
                <w:sz w:val="18"/>
                <w:szCs w:val="18"/>
              </w:rPr>
              <w:t>供应商第三名</w:t>
            </w:r>
          </w:p>
        </w:tc>
        <w:tc>
          <w:tcPr>
            <w:tcW w:w="2410" w:type="dxa"/>
            <w:tcBorders>
              <w:top w:val="single" w:color="auto" w:sz="2" w:space="0"/>
              <w:left w:val="single" w:color="auto" w:sz="2" w:space="0"/>
              <w:bottom w:val="single" w:color="auto" w:sz="2" w:space="0"/>
              <w:right w:val="single" w:color="auto" w:sz="2" w:space="0"/>
            </w:tcBorders>
            <w:vAlign w:val="center"/>
          </w:tcPr>
          <w:p w14:paraId="54898461">
            <w:pPr>
              <w:spacing w:before="0" w:after="0" w:line="240" w:lineRule="exact"/>
              <w:jc w:val="right"/>
              <w:rPr>
                <w:rFonts w:ascii="宋体" w:hAnsi="宋体" w:eastAsia="宋体" w:cs="宋体"/>
                <w:sz w:val="18"/>
                <w:szCs w:val="18"/>
              </w:rPr>
            </w:pPr>
            <w:r>
              <w:rPr>
                <w:rFonts w:ascii="宋体" w:hAnsi="宋体" w:eastAsia="宋体" w:cs="宋体"/>
                <w:sz w:val="18"/>
                <w:szCs w:val="18"/>
              </w:rPr>
              <w:t>11,110,247.77</w:t>
            </w:r>
          </w:p>
        </w:tc>
        <w:tc>
          <w:tcPr>
            <w:tcW w:w="2410" w:type="dxa"/>
            <w:tcBorders>
              <w:top w:val="single" w:color="auto" w:sz="2" w:space="0"/>
              <w:left w:val="single" w:color="auto" w:sz="2" w:space="0"/>
              <w:bottom w:val="single" w:color="auto" w:sz="2" w:space="0"/>
              <w:right w:val="single" w:color="auto" w:sz="2" w:space="0"/>
            </w:tcBorders>
            <w:vAlign w:val="center"/>
          </w:tcPr>
          <w:p w14:paraId="405D10F1">
            <w:pPr>
              <w:spacing w:before="0" w:after="0" w:line="240" w:lineRule="exact"/>
              <w:jc w:val="right"/>
              <w:rPr>
                <w:rFonts w:ascii="宋体" w:hAnsi="宋体" w:eastAsia="宋体" w:cs="宋体"/>
                <w:sz w:val="18"/>
                <w:szCs w:val="18"/>
              </w:rPr>
            </w:pPr>
            <w:r>
              <w:rPr>
                <w:rFonts w:ascii="宋体" w:hAnsi="宋体" w:eastAsia="宋体" w:cs="宋体"/>
                <w:sz w:val="18"/>
                <w:szCs w:val="18"/>
              </w:rPr>
              <w:t>8.43%</w:t>
            </w:r>
          </w:p>
        </w:tc>
      </w:tr>
      <w:tr w14:paraId="29B1B6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1210F16">
            <w:pPr>
              <w:spacing w:before="40" w:after="40" w:line="240" w:lineRule="exact"/>
              <w:jc w:val="center"/>
              <w:rPr>
                <w:rFonts w:ascii="宋体" w:hAnsi="宋体" w:eastAsia="宋体" w:cs="宋体"/>
                <w:sz w:val="18"/>
                <w:szCs w:val="18"/>
              </w:rPr>
            </w:pPr>
            <w:r>
              <w:rPr>
                <w:rFonts w:ascii="宋体" w:hAnsi="宋体" w:eastAsia="宋体" w:cs="宋体"/>
                <w:sz w:val="18"/>
                <w:szCs w:val="18"/>
              </w:rPr>
              <w:t>4</w:t>
            </w:r>
          </w:p>
        </w:tc>
        <w:tc>
          <w:tcPr>
            <w:tcW w:w="2410" w:type="dxa"/>
            <w:tcBorders>
              <w:top w:val="single" w:color="auto" w:sz="2" w:space="0"/>
              <w:left w:val="single" w:color="auto" w:sz="2" w:space="0"/>
              <w:bottom w:val="single" w:color="auto" w:sz="2" w:space="0"/>
              <w:right w:val="single" w:color="auto" w:sz="2" w:space="0"/>
            </w:tcBorders>
            <w:vAlign w:val="center"/>
          </w:tcPr>
          <w:p w14:paraId="4ACC602A">
            <w:pPr>
              <w:spacing w:before="0" w:after="0" w:line="240" w:lineRule="exact"/>
              <w:jc w:val="left"/>
              <w:rPr>
                <w:rFonts w:ascii="宋体" w:hAnsi="宋体" w:eastAsia="宋体" w:cs="宋体"/>
                <w:sz w:val="18"/>
                <w:szCs w:val="18"/>
              </w:rPr>
            </w:pPr>
            <w:r>
              <w:rPr>
                <w:rFonts w:ascii="宋体" w:hAnsi="宋体" w:eastAsia="宋体" w:cs="宋体"/>
                <w:sz w:val="18"/>
                <w:szCs w:val="18"/>
              </w:rPr>
              <w:t>供应商第四名</w:t>
            </w:r>
          </w:p>
        </w:tc>
        <w:tc>
          <w:tcPr>
            <w:tcW w:w="2410" w:type="dxa"/>
            <w:tcBorders>
              <w:top w:val="single" w:color="auto" w:sz="2" w:space="0"/>
              <w:left w:val="single" w:color="auto" w:sz="2" w:space="0"/>
              <w:bottom w:val="single" w:color="auto" w:sz="2" w:space="0"/>
              <w:right w:val="single" w:color="auto" w:sz="2" w:space="0"/>
            </w:tcBorders>
            <w:vAlign w:val="center"/>
          </w:tcPr>
          <w:p w14:paraId="173F2CB5">
            <w:pPr>
              <w:spacing w:before="0" w:after="0" w:line="240" w:lineRule="exact"/>
              <w:jc w:val="right"/>
              <w:rPr>
                <w:rFonts w:ascii="宋体" w:hAnsi="宋体" w:eastAsia="宋体" w:cs="宋体"/>
                <w:sz w:val="18"/>
                <w:szCs w:val="18"/>
              </w:rPr>
            </w:pPr>
            <w:r>
              <w:rPr>
                <w:rFonts w:ascii="宋体" w:hAnsi="宋体" w:eastAsia="宋体" w:cs="宋体"/>
                <w:sz w:val="18"/>
                <w:szCs w:val="18"/>
              </w:rPr>
              <w:t>7,484,711.16</w:t>
            </w:r>
          </w:p>
        </w:tc>
        <w:tc>
          <w:tcPr>
            <w:tcW w:w="2410" w:type="dxa"/>
            <w:tcBorders>
              <w:top w:val="single" w:color="auto" w:sz="2" w:space="0"/>
              <w:left w:val="single" w:color="auto" w:sz="2" w:space="0"/>
              <w:bottom w:val="single" w:color="auto" w:sz="2" w:space="0"/>
              <w:right w:val="single" w:color="auto" w:sz="2" w:space="0"/>
            </w:tcBorders>
            <w:vAlign w:val="center"/>
          </w:tcPr>
          <w:p w14:paraId="30F37240">
            <w:pPr>
              <w:spacing w:before="0" w:after="0" w:line="240" w:lineRule="exact"/>
              <w:jc w:val="right"/>
              <w:rPr>
                <w:rFonts w:ascii="宋体" w:hAnsi="宋体" w:eastAsia="宋体" w:cs="宋体"/>
                <w:sz w:val="18"/>
                <w:szCs w:val="18"/>
              </w:rPr>
            </w:pPr>
            <w:r>
              <w:rPr>
                <w:rFonts w:ascii="宋体" w:hAnsi="宋体" w:eastAsia="宋体" w:cs="宋体"/>
                <w:sz w:val="18"/>
                <w:szCs w:val="18"/>
              </w:rPr>
              <w:t>5.68%</w:t>
            </w:r>
          </w:p>
        </w:tc>
      </w:tr>
      <w:tr w14:paraId="62038F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0270BED">
            <w:pPr>
              <w:spacing w:before="40" w:after="40" w:line="240" w:lineRule="exact"/>
              <w:jc w:val="center"/>
              <w:rPr>
                <w:rFonts w:ascii="宋体" w:hAnsi="宋体" w:eastAsia="宋体" w:cs="宋体"/>
                <w:sz w:val="18"/>
                <w:szCs w:val="18"/>
              </w:rPr>
            </w:pPr>
            <w:r>
              <w:rPr>
                <w:rFonts w:ascii="宋体" w:hAnsi="宋体" w:eastAsia="宋体" w:cs="宋体"/>
                <w:sz w:val="18"/>
                <w:szCs w:val="18"/>
              </w:rPr>
              <w:t>5</w:t>
            </w:r>
          </w:p>
        </w:tc>
        <w:tc>
          <w:tcPr>
            <w:tcW w:w="2410" w:type="dxa"/>
            <w:tcBorders>
              <w:top w:val="single" w:color="auto" w:sz="2" w:space="0"/>
              <w:left w:val="single" w:color="auto" w:sz="2" w:space="0"/>
              <w:bottom w:val="single" w:color="auto" w:sz="2" w:space="0"/>
              <w:right w:val="single" w:color="auto" w:sz="2" w:space="0"/>
            </w:tcBorders>
            <w:vAlign w:val="center"/>
          </w:tcPr>
          <w:p w14:paraId="1E456D45">
            <w:pPr>
              <w:spacing w:before="0" w:after="0" w:line="240" w:lineRule="exact"/>
              <w:jc w:val="left"/>
              <w:rPr>
                <w:rFonts w:ascii="宋体" w:hAnsi="宋体" w:eastAsia="宋体" w:cs="宋体"/>
                <w:sz w:val="18"/>
                <w:szCs w:val="18"/>
              </w:rPr>
            </w:pPr>
            <w:r>
              <w:rPr>
                <w:rFonts w:ascii="宋体" w:hAnsi="宋体" w:eastAsia="宋体" w:cs="宋体"/>
                <w:sz w:val="18"/>
                <w:szCs w:val="18"/>
              </w:rPr>
              <w:t>供应商第五名</w:t>
            </w:r>
          </w:p>
        </w:tc>
        <w:tc>
          <w:tcPr>
            <w:tcW w:w="2410" w:type="dxa"/>
            <w:tcBorders>
              <w:top w:val="single" w:color="auto" w:sz="2" w:space="0"/>
              <w:left w:val="single" w:color="auto" w:sz="2" w:space="0"/>
              <w:bottom w:val="single" w:color="auto" w:sz="2" w:space="0"/>
              <w:right w:val="single" w:color="auto" w:sz="2" w:space="0"/>
            </w:tcBorders>
            <w:vAlign w:val="center"/>
          </w:tcPr>
          <w:p w14:paraId="1CAD1B50">
            <w:pPr>
              <w:spacing w:before="0" w:after="0" w:line="240" w:lineRule="exact"/>
              <w:jc w:val="right"/>
              <w:rPr>
                <w:rFonts w:ascii="宋体" w:hAnsi="宋体" w:eastAsia="宋体" w:cs="宋体"/>
                <w:sz w:val="18"/>
                <w:szCs w:val="18"/>
              </w:rPr>
            </w:pPr>
            <w:r>
              <w:rPr>
                <w:rFonts w:ascii="宋体" w:hAnsi="宋体" w:eastAsia="宋体" w:cs="宋体"/>
                <w:sz w:val="18"/>
                <w:szCs w:val="18"/>
              </w:rPr>
              <w:t>3,371,893.81</w:t>
            </w:r>
          </w:p>
        </w:tc>
        <w:tc>
          <w:tcPr>
            <w:tcW w:w="2410" w:type="dxa"/>
            <w:tcBorders>
              <w:top w:val="single" w:color="auto" w:sz="2" w:space="0"/>
              <w:left w:val="single" w:color="auto" w:sz="2" w:space="0"/>
              <w:bottom w:val="single" w:color="auto" w:sz="2" w:space="0"/>
              <w:right w:val="single" w:color="auto" w:sz="2" w:space="0"/>
            </w:tcBorders>
            <w:vAlign w:val="center"/>
          </w:tcPr>
          <w:p w14:paraId="5B59C33F">
            <w:pPr>
              <w:spacing w:before="0" w:after="0" w:line="240" w:lineRule="exact"/>
              <w:jc w:val="right"/>
              <w:rPr>
                <w:rFonts w:ascii="宋体" w:hAnsi="宋体" w:eastAsia="宋体" w:cs="宋体"/>
                <w:sz w:val="18"/>
                <w:szCs w:val="18"/>
              </w:rPr>
            </w:pPr>
            <w:r>
              <w:rPr>
                <w:rFonts w:ascii="宋体" w:hAnsi="宋体" w:eastAsia="宋体" w:cs="宋体"/>
                <w:sz w:val="18"/>
                <w:szCs w:val="18"/>
              </w:rPr>
              <w:t>2.56%</w:t>
            </w:r>
          </w:p>
        </w:tc>
      </w:tr>
      <w:tr w14:paraId="2C226E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1639587">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3C16946">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2410" w:type="dxa"/>
            <w:tcBorders>
              <w:top w:val="single" w:color="auto" w:sz="2" w:space="0"/>
              <w:left w:val="single" w:color="auto" w:sz="2" w:space="0"/>
              <w:bottom w:val="single" w:color="auto" w:sz="2" w:space="0"/>
              <w:right w:val="single" w:color="auto" w:sz="2" w:space="0"/>
            </w:tcBorders>
            <w:vAlign w:val="center"/>
          </w:tcPr>
          <w:p w14:paraId="3661EF51">
            <w:pPr>
              <w:spacing w:before="0" w:after="0" w:line="240" w:lineRule="exact"/>
              <w:jc w:val="right"/>
              <w:rPr>
                <w:rFonts w:ascii="宋体" w:hAnsi="宋体" w:eastAsia="宋体" w:cs="宋体"/>
                <w:sz w:val="18"/>
                <w:szCs w:val="18"/>
              </w:rPr>
            </w:pPr>
            <w:r>
              <w:rPr>
                <w:rFonts w:ascii="宋体" w:hAnsi="宋体" w:eastAsia="宋体" w:cs="宋体"/>
                <w:sz w:val="18"/>
                <w:szCs w:val="18"/>
              </w:rPr>
              <w:t>79,826,579.38</w:t>
            </w:r>
          </w:p>
        </w:tc>
        <w:tc>
          <w:tcPr>
            <w:tcW w:w="2410" w:type="dxa"/>
            <w:tcBorders>
              <w:top w:val="single" w:color="auto" w:sz="2" w:space="0"/>
              <w:left w:val="single" w:color="auto" w:sz="2" w:space="0"/>
              <w:bottom w:val="single" w:color="auto" w:sz="2" w:space="0"/>
              <w:right w:val="single" w:color="auto" w:sz="2" w:space="0"/>
            </w:tcBorders>
            <w:vAlign w:val="center"/>
          </w:tcPr>
          <w:p w14:paraId="7393C2B3">
            <w:pPr>
              <w:spacing w:before="0" w:after="0" w:line="240" w:lineRule="exact"/>
              <w:jc w:val="right"/>
              <w:rPr>
                <w:rFonts w:ascii="宋体" w:hAnsi="宋体" w:eastAsia="宋体" w:cs="宋体"/>
                <w:sz w:val="18"/>
                <w:szCs w:val="18"/>
              </w:rPr>
            </w:pPr>
            <w:r>
              <w:rPr>
                <w:rFonts w:ascii="宋体" w:hAnsi="宋体" w:eastAsia="宋体" w:cs="宋体"/>
                <w:sz w:val="18"/>
                <w:szCs w:val="18"/>
              </w:rPr>
              <w:t>60.53%</w:t>
            </w:r>
          </w:p>
        </w:tc>
      </w:tr>
    </w:tbl>
    <w:p w14:paraId="15DF548B">
      <w:pPr>
        <w:spacing w:before="100" w:after="100" w:line="240" w:lineRule="exact"/>
        <w:jc w:val="left"/>
        <w:rPr>
          <w:rFonts w:ascii="宋体" w:hAnsi="宋体" w:eastAsia="宋体" w:cs="宋体"/>
          <w:sz w:val="18"/>
          <w:szCs w:val="18"/>
        </w:rPr>
      </w:pPr>
      <w:r>
        <w:rPr>
          <w:rFonts w:ascii="宋体" w:hAnsi="宋体" w:eastAsia="宋体" w:cs="宋体"/>
          <w:sz w:val="18"/>
          <w:szCs w:val="18"/>
        </w:rPr>
        <w:t>主要供应商其他情况说明</w:t>
      </w:r>
    </w:p>
    <w:p w14:paraId="0C84588F">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6D0E69E6">
      <w:pPr>
        <w:keepNext/>
        <w:keepLines/>
        <w:spacing w:before="300" w:after="300" w:line="280" w:lineRule="exact"/>
        <w:jc w:val="left"/>
        <w:outlineLvl w:val="2"/>
        <w:rPr>
          <w:rFonts w:ascii="宋体" w:hAnsi="宋体" w:eastAsia="宋体" w:cs="宋体"/>
          <w:b/>
          <w:bCs/>
          <w:sz w:val="21"/>
          <w:szCs w:val="21"/>
        </w:rPr>
      </w:pPr>
      <w:bookmarkStart w:id="29" w:name="_Toc988916"/>
      <w:r>
        <w:rPr>
          <w:rFonts w:ascii="宋体" w:hAnsi="宋体" w:eastAsia="宋体" w:cs="宋体"/>
          <w:b/>
          <w:bCs/>
          <w:sz w:val="21"/>
          <w:szCs w:val="21"/>
        </w:rPr>
        <w:t>3、费用</w:t>
      </w:r>
      <w:bookmarkEnd w:id="29"/>
    </w:p>
    <w:p w14:paraId="1721C00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69746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2738C7D"/>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2ABA384">
            <w:pPr>
              <w:spacing w:before="40" w:after="40" w:line="240" w:lineRule="exact"/>
              <w:jc w:val="center"/>
              <w:rPr>
                <w:rFonts w:ascii="宋体" w:hAnsi="宋体" w:eastAsia="宋体" w:cs="宋体"/>
                <w:sz w:val="18"/>
                <w:szCs w:val="18"/>
              </w:rPr>
            </w:pPr>
            <w:r>
              <w:rPr>
                <w:rFonts w:ascii="宋体" w:hAnsi="宋体" w:eastAsia="宋体" w:cs="宋体"/>
                <w:sz w:val="18"/>
                <w:szCs w:val="18"/>
              </w:rPr>
              <w:t>2024年</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3296192">
            <w:pPr>
              <w:spacing w:before="40" w:after="40" w:line="240" w:lineRule="exact"/>
              <w:jc w:val="center"/>
              <w:rPr>
                <w:rFonts w:ascii="宋体" w:hAnsi="宋体" w:eastAsia="宋体" w:cs="宋体"/>
                <w:sz w:val="18"/>
                <w:szCs w:val="18"/>
              </w:rPr>
            </w:pPr>
            <w:r>
              <w:rPr>
                <w:rFonts w:ascii="宋体" w:hAnsi="宋体" w:eastAsia="宋体" w:cs="宋体"/>
                <w:sz w:val="18"/>
                <w:szCs w:val="18"/>
              </w:rPr>
              <w:t>2023年</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123BC64">
            <w:pPr>
              <w:spacing w:before="40" w:after="40" w:line="240" w:lineRule="exact"/>
              <w:jc w:val="center"/>
              <w:rPr>
                <w:rFonts w:ascii="宋体" w:hAnsi="宋体" w:eastAsia="宋体" w:cs="宋体"/>
                <w:sz w:val="18"/>
                <w:szCs w:val="18"/>
              </w:rPr>
            </w:pPr>
            <w:r>
              <w:rPr>
                <w:rFonts w:ascii="宋体" w:hAnsi="宋体" w:eastAsia="宋体" w:cs="宋体"/>
                <w:sz w:val="18"/>
                <w:szCs w:val="18"/>
              </w:rPr>
              <w:t>同比增减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5B06B6E">
            <w:pPr>
              <w:spacing w:before="40" w:after="40" w:line="240" w:lineRule="exact"/>
              <w:jc w:val="center"/>
              <w:rPr>
                <w:rFonts w:ascii="宋体" w:hAnsi="宋体" w:eastAsia="宋体" w:cs="宋体"/>
                <w:sz w:val="18"/>
                <w:szCs w:val="18"/>
              </w:rPr>
            </w:pPr>
            <w:r>
              <w:rPr>
                <w:rFonts w:ascii="宋体" w:hAnsi="宋体" w:eastAsia="宋体" w:cs="宋体"/>
                <w:sz w:val="18"/>
                <w:szCs w:val="18"/>
              </w:rPr>
              <w:t>重大变动说明</w:t>
            </w:r>
          </w:p>
        </w:tc>
      </w:tr>
      <w:tr w14:paraId="45B81D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B582875">
            <w:pPr>
              <w:spacing w:before="40" w:after="40" w:line="240" w:lineRule="exact"/>
              <w:jc w:val="left"/>
              <w:rPr>
                <w:rFonts w:ascii="宋体" w:hAnsi="宋体" w:eastAsia="宋体" w:cs="宋体"/>
                <w:sz w:val="18"/>
                <w:szCs w:val="18"/>
              </w:rPr>
            </w:pPr>
            <w:r>
              <w:rPr>
                <w:rFonts w:ascii="宋体" w:hAnsi="宋体" w:eastAsia="宋体" w:cs="宋体"/>
                <w:sz w:val="18"/>
                <w:szCs w:val="18"/>
              </w:rPr>
              <w:t>销售费用</w:t>
            </w:r>
          </w:p>
        </w:tc>
        <w:tc>
          <w:tcPr>
            <w:tcW w:w="1928" w:type="dxa"/>
            <w:tcBorders>
              <w:top w:val="single" w:color="auto" w:sz="2" w:space="0"/>
              <w:left w:val="single" w:color="auto" w:sz="2" w:space="0"/>
              <w:bottom w:val="single" w:color="auto" w:sz="2" w:space="0"/>
              <w:right w:val="single" w:color="auto" w:sz="2" w:space="0"/>
            </w:tcBorders>
            <w:vAlign w:val="center"/>
          </w:tcPr>
          <w:p w14:paraId="6B6A4CFA">
            <w:pPr>
              <w:spacing w:before="0" w:after="0" w:line="240" w:lineRule="exact"/>
              <w:jc w:val="right"/>
              <w:rPr>
                <w:rFonts w:ascii="宋体" w:hAnsi="宋体" w:eastAsia="宋体" w:cs="宋体"/>
                <w:sz w:val="18"/>
                <w:szCs w:val="18"/>
              </w:rPr>
            </w:pPr>
            <w:r>
              <w:rPr>
                <w:rFonts w:ascii="宋体" w:hAnsi="宋体" w:eastAsia="宋体" w:cs="宋体"/>
                <w:sz w:val="18"/>
                <w:szCs w:val="18"/>
              </w:rPr>
              <w:t>199,237,589.20</w:t>
            </w:r>
          </w:p>
        </w:tc>
        <w:tc>
          <w:tcPr>
            <w:tcW w:w="1928" w:type="dxa"/>
            <w:tcBorders>
              <w:top w:val="single" w:color="auto" w:sz="2" w:space="0"/>
              <w:left w:val="single" w:color="auto" w:sz="2" w:space="0"/>
              <w:bottom w:val="single" w:color="auto" w:sz="2" w:space="0"/>
              <w:right w:val="single" w:color="auto" w:sz="2" w:space="0"/>
            </w:tcBorders>
            <w:vAlign w:val="center"/>
          </w:tcPr>
          <w:p w14:paraId="25CEFAF4">
            <w:pPr>
              <w:spacing w:before="0" w:after="0" w:line="240" w:lineRule="exact"/>
              <w:jc w:val="right"/>
              <w:rPr>
                <w:rFonts w:ascii="宋体" w:hAnsi="宋体" w:eastAsia="宋体" w:cs="宋体"/>
                <w:sz w:val="18"/>
                <w:szCs w:val="18"/>
              </w:rPr>
            </w:pPr>
            <w:r>
              <w:rPr>
                <w:rFonts w:ascii="宋体" w:hAnsi="宋体" w:eastAsia="宋体" w:cs="宋体"/>
                <w:sz w:val="18"/>
                <w:szCs w:val="18"/>
              </w:rPr>
              <w:t>189,793,190.11</w:t>
            </w:r>
          </w:p>
        </w:tc>
        <w:tc>
          <w:tcPr>
            <w:tcW w:w="1928" w:type="dxa"/>
            <w:tcBorders>
              <w:top w:val="single" w:color="auto" w:sz="2" w:space="0"/>
              <w:left w:val="single" w:color="auto" w:sz="2" w:space="0"/>
              <w:bottom w:val="single" w:color="auto" w:sz="2" w:space="0"/>
              <w:right w:val="single" w:color="auto" w:sz="2" w:space="0"/>
            </w:tcBorders>
            <w:vAlign w:val="center"/>
          </w:tcPr>
          <w:p w14:paraId="77564445">
            <w:pPr>
              <w:spacing w:before="0" w:after="0" w:line="240" w:lineRule="exact"/>
              <w:jc w:val="right"/>
              <w:rPr>
                <w:rFonts w:ascii="宋体" w:hAnsi="宋体" w:eastAsia="宋体" w:cs="宋体"/>
                <w:sz w:val="18"/>
                <w:szCs w:val="18"/>
              </w:rPr>
            </w:pPr>
            <w:r>
              <w:rPr>
                <w:rFonts w:ascii="宋体" w:hAnsi="宋体" w:eastAsia="宋体" w:cs="宋体"/>
                <w:sz w:val="18"/>
                <w:szCs w:val="18"/>
              </w:rPr>
              <w:t>4.98%</w:t>
            </w:r>
          </w:p>
        </w:tc>
        <w:tc>
          <w:tcPr>
            <w:tcW w:w="1928" w:type="dxa"/>
            <w:tcBorders>
              <w:top w:val="single" w:color="auto" w:sz="2" w:space="0"/>
              <w:left w:val="single" w:color="auto" w:sz="2" w:space="0"/>
              <w:bottom w:val="single" w:color="auto" w:sz="2" w:space="0"/>
              <w:right w:val="single" w:color="auto" w:sz="2" w:space="0"/>
            </w:tcBorders>
            <w:vAlign w:val="center"/>
          </w:tcPr>
          <w:p w14:paraId="0BE58C95">
            <w:pPr>
              <w:spacing w:before="0" w:after="0" w:line="240" w:lineRule="exact"/>
              <w:jc w:val="left"/>
              <w:rPr>
                <w:rFonts w:ascii="宋体" w:hAnsi="宋体" w:eastAsia="宋体" w:cs="宋体"/>
                <w:sz w:val="18"/>
                <w:szCs w:val="18"/>
              </w:rPr>
            </w:pPr>
          </w:p>
        </w:tc>
      </w:tr>
      <w:tr w14:paraId="15E2EF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22BCC7E">
            <w:pPr>
              <w:spacing w:before="40" w:after="40" w:line="240" w:lineRule="exact"/>
              <w:jc w:val="left"/>
              <w:rPr>
                <w:rFonts w:ascii="宋体" w:hAnsi="宋体" w:eastAsia="宋体" w:cs="宋体"/>
                <w:sz w:val="18"/>
                <w:szCs w:val="18"/>
              </w:rPr>
            </w:pPr>
            <w:r>
              <w:rPr>
                <w:rFonts w:ascii="宋体" w:hAnsi="宋体" w:eastAsia="宋体" w:cs="宋体"/>
                <w:sz w:val="18"/>
                <w:szCs w:val="18"/>
              </w:rPr>
              <w:t>管理费用</w:t>
            </w:r>
          </w:p>
        </w:tc>
        <w:tc>
          <w:tcPr>
            <w:tcW w:w="1928" w:type="dxa"/>
            <w:tcBorders>
              <w:top w:val="single" w:color="auto" w:sz="2" w:space="0"/>
              <w:left w:val="single" w:color="auto" w:sz="2" w:space="0"/>
              <w:bottom w:val="single" w:color="auto" w:sz="2" w:space="0"/>
              <w:right w:val="single" w:color="auto" w:sz="2" w:space="0"/>
            </w:tcBorders>
            <w:vAlign w:val="center"/>
          </w:tcPr>
          <w:p w14:paraId="7E95516D">
            <w:pPr>
              <w:spacing w:before="0" w:after="0" w:line="240" w:lineRule="exact"/>
              <w:jc w:val="right"/>
              <w:rPr>
                <w:rFonts w:ascii="宋体" w:hAnsi="宋体" w:eastAsia="宋体" w:cs="宋体"/>
                <w:sz w:val="18"/>
                <w:szCs w:val="18"/>
              </w:rPr>
            </w:pPr>
            <w:r>
              <w:rPr>
                <w:rFonts w:ascii="宋体" w:hAnsi="宋体" w:eastAsia="宋体" w:cs="宋体"/>
                <w:sz w:val="18"/>
                <w:szCs w:val="18"/>
              </w:rPr>
              <w:t>112,513,744.59</w:t>
            </w:r>
          </w:p>
        </w:tc>
        <w:tc>
          <w:tcPr>
            <w:tcW w:w="1928" w:type="dxa"/>
            <w:tcBorders>
              <w:top w:val="single" w:color="auto" w:sz="2" w:space="0"/>
              <w:left w:val="single" w:color="auto" w:sz="2" w:space="0"/>
              <w:bottom w:val="single" w:color="auto" w:sz="2" w:space="0"/>
              <w:right w:val="single" w:color="auto" w:sz="2" w:space="0"/>
            </w:tcBorders>
            <w:vAlign w:val="center"/>
          </w:tcPr>
          <w:p w14:paraId="07A233C6">
            <w:pPr>
              <w:spacing w:before="0" w:after="0" w:line="240" w:lineRule="exact"/>
              <w:jc w:val="right"/>
              <w:rPr>
                <w:rFonts w:ascii="宋体" w:hAnsi="宋体" w:eastAsia="宋体" w:cs="宋体"/>
                <w:sz w:val="18"/>
                <w:szCs w:val="18"/>
              </w:rPr>
            </w:pPr>
            <w:r>
              <w:rPr>
                <w:rFonts w:ascii="宋体" w:hAnsi="宋体" w:eastAsia="宋体" w:cs="宋体"/>
                <w:sz w:val="18"/>
                <w:szCs w:val="18"/>
              </w:rPr>
              <w:t>114,921,442.81</w:t>
            </w:r>
          </w:p>
        </w:tc>
        <w:tc>
          <w:tcPr>
            <w:tcW w:w="1928" w:type="dxa"/>
            <w:tcBorders>
              <w:top w:val="single" w:color="auto" w:sz="2" w:space="0"/>
              <w:left w:val="single" w:color="auto" w:sz="2" w:space="0"/>
              <w:bottom w:val="single" w:color="auto" w:sz="2" w:space="0"/>
              <w:right w:val="single" w:color="auto" w:sz="2" w:space="0"/>
            </w:tcBorders>
            <w:vAlign w:val="center"/>
          </w:tcPr>
          <w:p w14:paraId="693C5383">
            <w:pPr>
              <w:spacing w:before="0" w:after="0" w:line="240" w:lineRule="exact"/>
              <w:jc w:val="right"/>
              <w:rPr>
                <w:rFonts w:ascii="宋体" w:hAnsi="宋体" w:eastAsia="宋体" w:cs="宋体"/>
                <w:sz w:val="18"/>
                <w:szCs w:val="18"/>
              </w:rPr>
            </w:pPr>
            <w:r>
              <w:rPr>
                <w:rFonts w:ascii="宋体" w:hAnsi="宋体" w:eastAsia="宋体" w:cs="宋体"/>
                <w:sz w:val="18"/>
                <w:szCs w:val="18"/>
              </w:rPr>
              <w:t>-2.10%</w:t>
            </w:r>
          </w:p>
        </w:tc>
        <w:tc>
          <w:tcPr>
            <w:tcW w:w="1928" w:type="dxa"/>
            <w:tcBorders>
              <w:top w:val="single" w:color="auto" w:sz="2" w:space="0"/>
              <w:left w:val="single" w:color="auto" w:sz="2" w:space="0"/>
              <w:bottom w:val="single" w:color="auto" w:sz="2" w:space="0"/>
              <w:right w:val="single" w:color="auto" w:sz="2" w:space="0"/>
            </w:tcBorders>
            <w:vAlign w:val="center"/>
          </w:tcPr>
          <w:p w14:paraId="4EBDDB2B">
            <w:pPr>
              <w:spacing w:before="0" w:after="0" w:line="240" w:lineRule="exact"/>
              <w:jc w:val="left"/>
              <w:rPr>
                <w:rFonts w:ascii="宋体" w:hAnsi="宋体" w:eastAsia="宋体" w:cs="宋体"/>
                <w:sz w:val="18"/>
                <w:szCs w:val="18"/>
              </w:rPr>
            </w:pPr>
          </w:p>
        </w:tc>
      </w:tr>
      <w:tr w14:paraId="200DFC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AF7A556">
            <w:pPr>
              <w:spacing w:before="40" w:after="40" w:line="240" w:lineRule="exact"/>
              <w:jc w:val="left"/>
              <w:rPr>
                <w:rFonts w:ascii="宋体" w:hAnsi="宋体" w:eastAsia="宋体" w:cs="宋体"/>
                <w:sz w:val="18"/>
                <w:szCs w:val="18"/>
              </w:rPr>
            </w:pPr>
            <w:r>
              <w:rPr>
                <w:rFonts w:ascii="宋体" w:hAnsi="宋体" w:eastAsia="宋体" w:cs="宋体"/>
                <w:sz w:val="18"/>
                <w:szCs w:val="18"/>
              </w:rPr>
              <w:t>财务费用</w:t>
            </w:r>
          </w:p>
        </w:tc>
        <w:tc>
          <w:tcPr>
            <w:tcW w:w="1928" w:type="dxa"/>
            <w:tcBorders>
              <w:top w:val="single" w:color="auto" w:sz="2" w:space="0"/>
              <w:left w:val="single" w:color="auto" w:sz="2" w:space="0"/>
              <w:bottom w:val="single" w:color="auto" w:sz="2" w:space="0"/>
              <w:right w:val="single" w:color="auto" w:sz="2" w:space="0"/>
            </w:tcBorders>
            <w:vAlign w:val="center"/>
          </w:tcPr>
          <w:p w14:paraId="5A6061DC">
            <w:pPr>
              <w:spacing w:before="0" w:after="0" w:line="240" w:lineRule="exact"/>
              <w:jc w:val="right"/>
              <w:rPr>
                <w:rFonts w:ascii="宋体" w:hAnsi="宋体" w:eastAsia="宋体" w:cs="宋体"/>
                <w:sz w:val="18"/>
                <w:szCs w:val="18"/>
              </w:rPr>
            </w:pPr>
            <w:r>
              <w:rPr>
                <w:rFonts w:ascii="宋体" w:hAnsi="宋体" w:eastAsia="宋体" w:cs="宋体"/>
                <w:sz w:val="18"/>
                <w:szCs w:val="18"/>
              </w:rPr>
              <w:t>34,189,510.36</w:t>
            </w:r>
          </w:p>
        </w:tc>
        <w:tc>
          <w:tcPr>
            <w:tcW w:w="1928" w:type="dxa"/>
            <w:tcBorders>
              <w:top w:val="single" w:color="auto" w:sz="2" w:space="0"/>
              <w:left w:val="single" w:color="auto" w:sz="2" w:space="0"/>
              <w:bottom w:val="single" w:color="auto" w:sz="2" w:space="0"/>
              <w:right w:val="single" w:color="auto" w:sz="2" w:space="0"/>
            </w:tcBorders>
            <w:vAlign w:val="center"/>
          </w:tcPr>
          <w:p w14:paraId="0ADD41E2">
            <w:pPr>
              <w:spacing w:before="0" w:after="0" w:line="240" w:lineRule="exact"/>
              <w:jc w:val="right"/>
              <w:rPr>
                <w:rFonts w:ascii="宋体" w:hAnsi="宋体" w:eastAsia="宋体" w:cs="宋体"/>
                <w:sz w:val="18"/>
                <w:szCs w:val="18"/>
              </w:rPr>
            </w:pPr>
            <w:r>
              <w:rPr>
                <w:rFonts w:ascii="宋体" w:hAnsi="宋体" w:eastAsia="宋体" w:cs="宋体"/>
                <w:sz w:val="18"/>
                <w:szCs w:val="18"/>
              </w:rPr>
              <w:t>30,752,190.63</w:t>
            </w:r>
          </w:p>
        </w:tc>
        <w:tc>
          <w:tcPr>
            <w:tcW w:w="1928" w:type="dxa"/>
            <w:tcBorders>
              <w:top w:val="single" w:color="auto" w:sz="2" w:space="0"/>
              <w:left w:val="single" w:color="auto" w:sz="2" w:space="0"/>
              <w:bottom w:val="single" w:color="auto" w:sz="2" w:space="0"/>
              <w:right w:val="single" w:color="auto" w:sz="2" w:space="0"/>
            </w:tcBorders>
            <w:vAlign w:val="center"/>
          </w:tcPr>
          <w:p w14:paraId="25E61F18">
            <w:pPr>
              <w:spacing w:before="0" w:after="0" w:line="240" w:lineRule="exact"/>
              <w:jc w:val="right"/>
              <w:rPr>
                <w:rFonts w:ascii="宋体" w:hAnsi="宋体" w:eastAsia="宋体" w:cs="宋体"/>
                <w:sz w:val="18"/>
                <w:szCs w:val="18"/>
              </w:rPr>
            </w:pPr>
            <w:r>
              <w:rPr>
                <w:rFonts w:ascii="宋体" w:hAnsi="宋体" w:eastAsia="宋体" w:cs="宋体"/>
                <w:sz w:val="18"/>
                <w:szCs w:val="18"/>
              </w:rPr>
              <w:t>11.18%</w:t>
            </w:r>
          </w:p>
        </w:tc>
        <w:tc>
          <w:tcPr>
            <w:tcW w:w="1928" w:type="dxa"/>
            <w:tcBorders>
              <w:top w:val="single" w:color="auto" w:sz="2" w:space="0"/>
              <w:left w:val="single" w:color="auto" w:sz="2" w:space="0"/>
              <w:bottom w:val="single" w:color="auto" w:sz="2" w:space="0"/>
              <w:right w:val="single" w:color="auto" w:sz="2" w:space="0"/>
            </w:tcBorders>
            <w:vAlign w:val="center"/>
          </w:tcPr>
          <w:p w14:paraId="05FE4C12">
            <w:pPr>
              <w:spacing w:before="0" w:after="0" w:line="240" w:lineRule="exact"/>
              <w:jc w:val="left"/>
              <w:rPr>
                <w:rFonts w:ascii="宋体" w:hAnsi="宋体" w:eastAsia="宋体" w:cs="宋体"/>
                <w:sz w:val="18"/>
                <w:szCs w:val="18"/>
              </w:rPr>
            </w:pPr>
            <w:r>
              <w:rPr>
                <w:rFonts w:ascii="宋体" w:hAnsi="宋体" w:eastAsia="宋体" w:cs="宋体"/>
                <w:sz w:val="18"/>
                <w:szCs w:val="18"/>
              </w:rPr>
              <w:t>主要为报告期公司银行存款利息收入下降所致</w:t>
            </w:r>
          </w:p>
        </w:tc>
      </w:tr>
      <w:tr w14:paraId="600C1B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FCF203E">
            <w:pPr>
              <w:spacing w:before="40" w:after="40" w:line="240" w:lineRule="exact"/>
              <w:jc w:val="left"/>
              <w:rPr>
                <w:rFonts w:ascii="宋体" w:hAnsi="宋体" w:eastAsia="宋体" w:cs="宋体"/>
                <w:sz w:val="18"/>
                <w:szCs w:val="18"/>
              </w:rPr>
            </w:pPr>
            <w:r>
              <w:rPr>
                <w:rFonts w:ascii="宋体" w:hAnsi="宋体" w:eastAsia="宋体" w:cs="宋体"/>
                <w:sz w:val="18"/>
                <w:szCs w:val="18"/>
              </w:rPr>
              <w:t>研发费用</w:t>
            </w:r>
          </w:p>
        </w:tc>
        <w:tc>
          <w:tcPr>
            <w:tcW w:w="1928" w:type="dxa"/>
            <w:tcBorders>
              <w:top w:val="single" w:color="auto" w:sz="2" w:space="0"/>
              <w:left w:val="single" w:color="auto" w:sz="2" w:space="0"/>
              <w:bottom w:val="single" w:color="auto" w:sz="2" w:space="0"/>
              <w:right w:val="single" w:color="auto" w:sz="2" w:space="0"/>
            </w:tcBorders>
            <w:vAlign w:val="center"/>
          </w:tcPr>
          <w:p w14:paraId="4B109C0D">
            <w:pPr>
              <w:spacing w:before="0" w:after="0" w:line="240" w:lineRule="exact"/>
              <w:jc w:val="right"/>
              <w:rPr>
                <w:rFonts w:ascii="宋体" w:hAnsi="宋体" w:eastAsia="宋体" w:cs="宋体"/>
                <w:sz w:val="18"/>
                <w:szCs w:val="18"/>
              </w:rPr>
            </w:pPr>
            <w:r>
              <w:rPr>
                <w:rFonts w:ascii="宋体" w:hAnsi="宋体" w:eastAsia="宋体" w:cs="宋体"/>
                <w:sz w:val="18"/>
                <w:szCs w:val="18"/>
              </w:rPr>
              <w:t>44,052,307.08</w:t>
            </w:r>
          </w:p>
        </w:tc>
        <w:tc>
          <w:tcPr>
            <w:tcW w:w="1928" w:type="dxa"/>
            <w:tcBorders>
              <w:top w:val="single" w:color="auto" w:sz="2" w:space="0"/>
              <w:left w:val="single" w:color="auto" w:sz="2" w:space="0"/>
              <w:bottom w:val="single" w:color="auto" w:sz="2" w:space="0"/>
              <w:right w:val="single" w:color="auto" w:sz="2" w:space="0"/>
            </w:tcBorders>
            <w:vAlign w:val="center"/>
          </w:tcPr>
          <w:p w14:paraId="39C27308">
            <w:pPr>
              <w:spacing w:before="0" w:after="0" w:line="240" w:lineRule="exact"/>
              <w:jc w:val="right"/>
              <w:rPr>
                <w:rFonts w:ascii="宋体" w:hAnsi="宋体" w:eastAsia="宋体" w:cs="宋体"/>
                <w:sz w:val="18"/>
                <w:szCs w:val="18"/>
              </w:rPr>
            </w:pPr>
            <w:r>
              <w:rPr>
                <w:rFonts w:ascii="宋体" w:hAnsi="宋体" w:eastAsia="宋体" w:cs="宋体"/>
                <w:sz w:val="18"/>
                <w:szCs w:val="18"/>
              </w:rPr>
              <w:t>132,957,002.38</w:t>
            </w:r>
          </w:p>
        </w:tc>
        <w:tc>
          <w:tcPr>
            <w:tcW w:w="1928" w:type="dxa"/>
            <w:tcBorders>
              <w:top w:val="single" w:color="auto" w:sz="2" w:space="0"/>
              <w:left w:val="single" w:color="auto" w:sz="2" w:space="0"/>
              <w:bottom w:val="single" w:color="auto" w:sz="2" w:space="0"/>
              <w:right w:val="single" w:color="auto" w:sz="2" w:space="0"/>
            </w:tcBorders>
            <w:vAlign w:val="center"/>
          </w:tcPr>
          <w:p w14:paraId="307B98AC">
            <w:pPr>
              <w:spacing w:before="0" w:after="0" w:line="240" w:lineRule="exact"/>
              <w:jc w:val="right"/>
              <w:rPr>
                <w:rFonts w:ascii="宋体" w:hAnsi="宋体" w:eastAsia="宋体" w:cs="宋体"/>
                <w:sz w:val="18"/>
                <w:szCs w:val="18"/>
              </w:rPr>
            </w:pPr>
            <w:r>
              <w:rPr>
                <w:rFonts w:ascii="宋体" w:hAnsi="宋体" w:eastAsia="宋体" w:cs="宋体"/>
                <w:sz w:val="18"/>
                <w:szCs w:val="18"/>
              </w:rPr>
              <w:t>-66.87%</w:t>
            </w:r>
          </w:p>
        </w:tc>
        <w:tc>
          <w:tcPr>
            <w:tcW w:w="1928" w:type="dxa"/>
            <w:tcBorders>
              <w:top w:val="single" w:color="auto" w:sz="2" w:space="0"/>
              <w:left w:val="single" w:color="auto" w:sz="2" w:space="0"/>
              <w:bottom w:val="single" w:color="auto" w:sz="2" w:space="0"/>
              <w:right w:val="single" w:color="auto" w:sz="2" w:space="0"/>
            </w:tcBorders>
            <w:vAlign w:val="center"/>
          </w:tcPr>
          <w:p w14:paraId="557109CC">
            <w:pPr>
              <w:spacing w:before="0" w:after="0" w:line="240" w:lineRule="exact"/>
              <w:jc w:val="left"/>
              <w:rPr>
                <w:rFonts w:ascii="宋体" w:hAnsi="宋体" w:eastAsia="宋体" w:cs="宋体"/>
                <w:sz w:val="18"/>
                <w:szCs w:val="18"/>
              </w:rPr>
            </w:pPr>
            <w:r>
              <w:rPr>
                <w:rFonts w:hint="eastAsia" w:ascii="宋体" w:hAnsi="宋体" w:eastAsia="宋体" w:cs="宋体"/>
                <w:sz w:val="18"/>
                <w:szCs w:val="18"/>
              </w:rPr>
              <w:t>主要为上年同期公司创新药泰中定投入较大并于上年同期获得批件，报告期研发费用大幅下降</w:t>
            </w:r>
          </w:p>
        </w:tc>
      </w:tr>
    </w:tbl>
    <w:p w14:paraId="4967EFEB">
      <w:pPr>
        <w:keepNext/>
        <w:keepLines/>
        <w:spacing w:before="300" w:after="300" w:line="280" w:lineRule="exact"/>
        <w:jc w:val="left"/>
        <w:outlineLvl w:val="2"/>
        <w:rPr>
          <w:rFonts w:ascii="宋体" w:hAnsi="宋体" w:eastAsia="宋体" w:cs="宋体"/>
          <w:b/>
          <w:bCs/>
          <w:sz w:val="21"/>
          <w:szCs w:val="21"/>
        </w:rPr>
      </w:pPr>
      <w:bookmarkStart w:id="30" w:name="_Toc988918"/>
      <w:r>
        <w:rPr>
          <w:rFonts w:ascii="宋体" w:hAnsi="宋体" w:eastAsia="宋体" w:cs="宋体"/>
          <w:b/>
          <w:bCs/>
          <w:sz w:val="21"/>
          <w:szCs w:val="21"/>
        </w:rPr>
        <w:t>5、现金流</w:t>
      </w:r>
      <w:bookmarkEnd w:id="30"/>
    </w:p>
    <w:p w14:paraId="744C20E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567"/>
        <w:gridCol w:w="2400"/>
        <w:gridCol w:w="2250"/>
        <w:gridCol w:w="1423"/>
      </w:tblGrid>
      <w:tr w14:paraId="06460C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67" w:type="dxa"/>
            <w:tcBorders>
              <w:top w:val="single" w:color="auto" w:sz="2" w:space="0"/>
              <w:left w:val="single" w:color="auto" w:sz="2" w:space="0"/>
              <w:bottom w:val="single" w:color="auto" w:sz="2" w:space="0"/>
              <w:right w:val="single" w:color="auto" w:sz="2" w:space="0"/>
            </w:tcBorders>
            <w:shd w:val="clear" w:color="auto" w:fill="D3D3D3"/>
            <w:vAlign w:val="center"/>
          </w:tcPr>
          <w:p w14:paraId="59CCDEF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00" w:type="dxa"/>
            <w:tcBorders>
              <w:top w:val="single" w:color="auto" w:sz="2" w:space="0"/>
              <w:left w:val="single" w:color="auto" w:sz="2" w:space="0"/>
              <w:bottom w:val="single" w:color="auto" w:sz="2" w:space="0"/>
              <w:right w:val="single" w:color="auto" w:sz="2" w:space="0"/>
            </w:tcBorders>
            <w:shd w:val="clear" w:color="auto" w:fill="D3D3D3"/>
            <w:vAlign w:val="center"/>
          </w:tcPr>
          <w:p w14:paraId="1CAA7198">
            <w:pPr>
              <w:spacing w:before="40" w:after="40" w:line="240" w:lineRule="exact"/>
              <w:jc w:val="center"/>
              <w:rPr>
                <w:rFonts w:ascii="宋体" w:hAnsi="宋体" w:eastAsia="宋体" w:cs="宋体"/>
                <w:sz w:val="18"/>
                <w:szCs w:val="18"/>
              </w:rPr>
            </w:pPr>
            <w:r>
              <w:rPr>
                <w:rFonts w:ascii="宋体" w:hAnsi="宋体" w:eastAsia="宋体" w:cs="宋体"/>
                <w:sz w:val="18"/>
                <w:szCs w:val="18"/>
              </w:rPr>
              <w:t>2024年</w:t>
            </w:r>
          </w:p>
        </w:tc>
        <w:tc>
          <w:tcPr>
            <w:tcW w:w="2250" w:type="dxa"/>
            <w:tcBorders>
              <w:top w:val="single" w:color="auto" w:sz="2" w:space="0"/>
              <w:left w:val="single" w:color="auto" w:sz="2" w:space="0"/>
              <w:bottom w:val="single" w:color="auto" w:sz="2" w:space="0"/>
              <w:right w:val="single" w:color="auto" w:sz="2" w:space="0"/>
            </w:tcBorders>
            <w:shd w:val="clear" w:color="auto" w:fill="D3D3D3"/>
            <w:vAlign w:val="center"/>
          </w:tcPr>
          <w:p w14:paraId="3A4ED09C">
            <w:pPr>
              <w:spacing w:before="40" w:after="40" w:line="240" w:lineRule="exact"/>
              <w:jc w:val="center"/>
              <w:rPr>
                <w:rFonts w:ascii="宋体" w:hAnsi="宋体" w:eastAsia="宋体" w:cs="宋体"/>
                <w:sz w:val="18"/>
                <w:szCs w:val="18"/>
              </w:rPr>
            </w:pPr>
            <w:r>
              <w:rPr>
                <w:rFonts w:ascii="宋体" w:hAnsi="宋体" w:eastAsia="宋体" w:cs="宋体"/>
                <w:sz w:val="18"/>
                <w:szCs w:val="18"/>
              </w:rPr>
              <w:t>2023年</w:t>
            </w:r>
          </w:p>
        </w:tc>
        <w:tc>
          <w:tcPr>
            <w:tcW w:w="1423" w:type="dxa"/>
            <w:tcBorders>
              <w:top w:val="single" w:color="auto" w:sz="2" w:space="0"/>
              <w:left w:val="single" w:color="auto" w:sz="2" w:space="0"/>
              <w:bottom w:val="single" w:color="auto" w:sz="2" w:space="0"/>
              <w:right w:val="single" w:color="auto" w:sz="2" w:space="0"/>
            </w:tcBorders>
            <w:shd w:val="clear" w:color="auto" w:fill="D3D3D3"/>
            <w:vAlign w:val="center"/>
          </w:tcPr>
          <w:p w14:paraId="65EBB818">
            <w:pPr>
              <w:spacing w:before="40" w:after="40" w:line="240" w:lineRule="exact"/>
              <w:jc w:val="center"/>
              <w:rPr>
                <w:rFonts w:ascii="宋体" w:hAnsi="宋体" w:eastAsia="宋体" w:cs="宋体"/>
                <w:sz w:val="18"/>
                <w:szCs w:val="18"/>
              </w:rPr>
            </w:pPr>
            <w:r>
              <w:rPr>
                <w:rFonts w:ascii="宋体" w:hAnsi="宋体" w:eastAsia="宋体" w:cs="宋体"/>
                <w:sz w:val="18"/>
                <w:szCs w:val="18"/>
              </w:rPr>
              <w:t>同比增减</w:t>
            </w:r>
          </w:p>
        </w:tc>
      </w:tr>
      <w:tr w14:paraId="0F437E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67" w:type="dxa"/>
            <w:tcBorders>
              <w:top w:val="single" w:color="auto" w:sz="2" w:space="0"/>
              <w:left w:val="single" w:color="auto" w:sz="2" w:space="0"/>
              <w:bottom w:val="single" w:color="auto" w:sz="2" w:space="0"/>
              <w:right w:val="single" w:color="auto" w:sz="2" w:space="0"/>
            </w:tcBorders>
            <w:shd w:val="clear" w:color="auto" w:fill="D3D3D3"/>
            <w:vAlign w:val="center"/>
          </w:tcPr>
          <w:p w14:paraId="3D1C4AA4">
            <w:pPr>
              <w:spacing w:before="40" w:after="40" w:line="240" w:lineRule="exact"/>
              <w:jc w:val="left"/>
              <w:rPr>
                <w:rFonts w:ascii="宋体" w:hAnsi="宋体" w:eastAsia="宋体" w:cs="宋体"/>
                <w:sz w:val="18"/>
                <w:szCs w:val="18"/>
              </w:rPr>
            </w:pPr>
            <w:r>
              <w:rPr>
                <w:rFonts w:ascii="宋体" w:hAnsi="宋体" w:eastAsia="宋体" w:cs="宋体"/>
                <w:sz w:val="18"/>
                <w:szCs w:val="18"/>
              </w:rPr>
              <w:t>经营活动现金流入小计</w:t>
            </w:r>
          </w:p>
        </w:tc>
        <w:tc>
          <w:tcPr>
            <w:tcW w:w="2400" w:type="dxa"/>
            <w:tcBorders>
              <w:top w:val="single" w:color="auto" w:sz="2" w:space="0"/>
              <w:left w:val="single" w:color="auto" w:sz="2" w:space="0"/>
              <w:bottom w:val="single" w:color="auto" w:sz="2" w:space="0"/>
              <w:right w:val="single" w:color="auto" w:sz="2" w:space="0"/>
            </w:tcBorders>
            <w:vAlign w:val="center"/>
          </w:tcPr>
          <w:p w14:paraId="68F38D38">
            <w:pPr>
              <w:spacing w:before="0" w:after="0" w:line="240" w:lineRule="exact"/>
              <w:jc w:val="right"/>
              <w:rPr>
                <w:rFonts w:ascii="宋体" w:hAnsi="宋体" w:eastAsia="宋体" w:cs="宋体"/>
                <w:sz w:val="18"/>
                <w:szCs w:val="18"/>
              </w:rPr>
            </w:pPr>
            <w:r>
              <w:rPr>
                <w:rFonts w:ascii="宋体" w:hAnsi="宋体" w:eastAsia="宋体" w:cs="宋体"/>
                <w:sz w:val="18"/>
                <w:szCs w:val="18"/>
              </w:rPr>
              <w:t>572,612,560.20</w:t>
            </w:r>
          </w:p>
        </w:tc>
        <w:tc>
          <w:tcPr>
            <w:tcW w:w="2250" w:type="dxa"/>
            <w:tcBorders>
              <w:top w:val="single" w:color="auto" w:sz="2" w:space="0"/>
              <w:left w:val="single" w:color="auto" w:sz="2" w:space="0"/>
              <w:bottom w:val="single" w:color="auto" w:sz="2" w:space="0"/>
              <w:right w:val="single" w:color="auto" w:sz="2" w:space="0"/>
            </w:tcBorders>
            <w:vAlign w:val="center"/>
          </w:tcPr>
          <w:p w14:paraId="3E938264">
            <w:pPr>
              <w:spacing w:before="0" w:after="0" w:line="240" w:lineRule="exact"/>
              <w:jc w:val="right"/>
              <w:rPr>
                <w:rFonts w:ascii="宋体" w:hAnsi="宋体" w:eastAsia="宋体" w:cs="宋体"/>
                <w:sz w:val="18"/>
                <w:szCs w:val="18"/>
              </w:rPr>
            </w:pPr>
            <w:r>
              <w:rPr>
                <w:rFonts w:ascii="宋体" w:hAnsi="宋体" w:eastAsia="宋体" w:cs="宋体"/>
                <w:sz w:val="18"/>
                <w:szCs w:val="18"/>
              </w:rPr>
              <w:t>473,079,767.28</w:t>
            </w:r>
          </w:p>
        </w:tc>
        <w:tc>
          <w:tcPr>
            <w:tcW w:w="1423" w:type="dxa"/>
            <w:tcBorders>
              <w:top w:val="single" w:color="auto" w:sz="2" w:space="0"/>
              <w:left w:val="single" w:color="auto" w:sz="2" w:space="0"/>
              <w:bottom w:val="single" w:color="auto" w:sz="2" w:space="0"/>
              <w:right w:val="single" w:color="auto" w:sz="2" w:space="0"/>
            </w:tcBorders>
            <w:vAlign w:val="center"/>
          </w:tcPr>
          <w:p w14:paraId="667F65E0">
            <w:pPr>
              <w:spacing w:before="0" w:after="0" w:line="240" w:lineRule="exact"/>
              <w:jc w:val="right"/>
              <w:rPr>
                <w:rFonts w:ascii="宋体" w:hAnsi="宋体" w:eastAsia="宋体" w:cs="宋体"/>
                <w:sz w:val="18"/>
                <w:szCs w:val="18"/>
              </w:rPr>
            </w:pPr>
            <w:r>
              <w:rPr>
                <w:rFonts w:ascii="宋体" w:hAnsi="宋体" w:eastAsia="宋体" w:cs="宋体"/>
                <w:sz w:val="18"/>
                <w:szCs w:val="18"/>
              </w:rPr>
              <w:t>21.04%</w:t>
            </w:r>
          </w:p>
        </w:tc>
      </w:tr>
      <w:tr w14:paraId="7CD387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67" w:type="dxa"/>
            <w:tcBorders>
              <w:top w:val="single" w:color="auto" w:sz="2" w:space="0"/>
              <w:left w:val="single" w:color="auto" w:sz="2" w:space="0"/>
              <w:bottom w:val="single" w:color="auto" w:sz="2" w:space="0"/>
              <w:right w:val="single" w:color="auto" w:sz="2" w:space="0"/>
            </w:tcBorders>
            <w:shd w:val="clear" w:color="auto" w:fill="D3D3D3"/>
            <w:vAlign w:val="center"/>
          </w:tcPr>
          <w:p w14:paraId="6DC1D507">
            <w:pPr>
              <w:spacing w:before="40" w:after="40" w:line="240" w:lineRule="exact"/>
              <w:jc w:val="left"/>
              <w:rPr>
                <w:rFonts w:ascii="宋体" w:hAnsi="宋体" w:eastAsia="宋体" w:cs="宋体"/>
                <w:sz w:val="18"/>
                <w:szCs w:val="18"/>
              </w:rPr>
            </w:pPr>
            <w:r>
              <w:rPr>
                <w:rFonts w:ascii="宋体" w:hAnsi="宋体" w:eastAsia="宋体" w:cs="宋体"/>
                <w:sz w:val="18"/>
                <w:szCs w:val="18"/>
              </w:rPr>
              <w:t>经营活动现金流出小计</w:t>
            </w:r>
          </w:p>
        </w:tc>
        <w:tc>
          <w:tcPr>
            <w:tcW w:w="2400" w:type="dxa"/>
            <w:tcBorders>
              <w:top w:val="single" w:color="auto" w:sz="2" w:space="0"/>
              <w:left w:val="single" w:color="auto" w:sz="2" w:space="0"/>
              <w:bottom w:val="single" w:color="auto" w:sz="2" w:space="0"/>
              <w:right w:val="single" w:color="auto" w:sz="2" w:space="0"/>
            </w:tcBorders>
            <w:vAlign w:val="center"/>
          </w:tcPr>
          <w:p w14:paraId="5071A452">
            <w:pPr>
              <w:spacing w:before="0" w:after="0" w:line="240" w:lineRule="exact"/>
              <w:jc w:val="right"/>
              <w:rPr>
                <w:rFonts w:ascii="宋体" w:hAnsi="宋体" w:eastAsia="宋体" w:cs="宋体"/>
                <w:sz w:val="18"/>
                <w:szCs w:val="18"/>
              </w:rPr>
            </w:pPr>
            <w:r>
              <w:rPr>
                <w:rFonts w:ascii="宋体" w:hAnsi="宋体" w:eastAsia="宋体" w:cs="宋体"/>
                <w:sz w:val="18"/>
                <w:szCs w:val="18"/>
              </w:rPr>
              <w:t>551,904,836.90</w:t>
            </w:r>
          </w:p>
        </w:tc>
        <w:tc>
          <w:tcPr>
            <w:tcW w:w="2250" w:type="dxa"/>
            <w:tcBorders>
              <w:top w:val="single" w:color="auto" w:sz="2" w:space="0"/>
              <w:left w:val="single" w:color="auto" w:sz="2" w:space="0"/>
              <w:bottom w:val="single" w:color="auto" w:sz="2" w:space="0"/>
              <w:right w:val="single" w:color="auto" w:sz="2" w:space="0"/>
            </w:tcBorders>
            <w:vAlign w:val="center"/>
          </w:tcPr>
          <w:p w14:paraId="7247CFDF">
            <w:pPr>
              <w:spacing w:before="0" w:after="0" w:line="240" w:lineRule="exact"/>
              <w:jc w:val="right"/>
              <w:rPr>
                <w:rFonts w:ascii="宋体" w:hAnsi="宋体" w:eastAsia="宋体" w:cs="宋体"/>
                <w:sz w:val="18"/>
                <w:szCs w:val="18"/>
              </w:rPr>
            </w:pPr>
            <w:r>
              <w:rPr>
                <w:rFonts w:ascii="宋体" w:hAnsi="宋体" w:eastAsia="宋体" w:cs="宋体"/>
                <w:sz w:val="18"/>
                <w:szCs w:val="18"/>
              </w:rPr>
              <w:t>647,675,344.20</w:t>
            </w:r>
          </w:p>
        </w:tc>
        <w:tc>
          <w:tcPr>
            <w:tcW w:w="1423" w:type="dxa"/>
            <w:tcBorders>
              <w:top w:val="single" w:color="auto" w:sz="2" w:space="0"/>
              <w:left w:val="single" w:color="auto" w:sz="2" w:space="0"/>
              <w:bottom w:val="single" w:color="auto" w:sz="2" w:space="0"/>
              <w:right w:val="single" w:color="auto" w:sz="2" w:space="0"/>
            </w:tcBorders>
            <w:vAlign w:val="center"/>
          </w:tcPr>
          <w:p w14:paraId="0E90BD46">
            <w:pPr>
              <w:spacing w:before="0" w:after="0" w:line="240" w:lineRule="exact"/>
              <w:jc w:val="right"/>
              <w:rPr>
                <w:rFonts w:ascii="宋体" w:hAnsi="宋体" w:eastAsia="宋体" w:cs="宋体"/>
                <w:sz w:val="18"/>
                <w:szCs w:val="18"/>
              </w:rPr>
            </w:pPr>
            <w:r>
              <w:rPr>
                <w:rFonts w:ascii="宋体" w:hAnsi="宋体" w:eastAsia="宋体" w:cs="宋体"/>
                <w:sz w:val="18"/>
                <w:szCs w:val="18"/>
              </w:rPr>
              <w:t>-14.79%</w:t>
            </w:r>
          </w:p>
        </w:tc>
      </w:tr>
      <w:tr w14:paraId="5EA084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67" w:type="dxa"/>
            <w:tcBorders>
              <w:top w:val="single" w:color="auto" w:sz="2" w:space="0"/>
              <w:left w:val="single" w:color="auto" w:sz="2" w:space="0"/>
              <w:bottom w:val="single" w:color="auto" w:sz="2" w:space="0"/>
              <w:right w:val="single" w:color="auto" w:sz="2" w:space="0"/>
            </w:tcBorders>
            <w:shd w:val="clear" w:color="auto" w:fill="D3D3D3"/>
            <w:vAlign w:val="center"/>
          </w:tcPr>
          <w:p w14:paraId="60B89FB2">
            <w:pPr>
              <w:spacing w:before="40" w:after="40" w:line="240" w:lineRule="exact"/>
              <w:jc w:val="left"/>
              <w:rPr>
                <w:rFonts w:ascii="宋体" w:hAnsi="宋体" w:eastAsia="宋体" w:cs="宋体"/>
                <w:sz w:val="18"/>
                <w:szCs w:val="18"/>
              </w:rPr>
            </w:pPr>
            <w:r>
              <w:rPr>
                <w:rFonts w:ascii="宋体" w:hAnsi="宋体" w:eastAsia="宋体" w:cs="宋体"/>
                <w:sz w:val="18"/>
                <w:szCs w:val="18"/>
              </w:rPr>
              <w:t>经营活动产生的现金流量净额</w:t>
            </w:r>
          </w:p>
        </w:tc>
        <w:tc>
          <w:tcPr>
            <w:tcW w:w="2400" w:type="dxa"/>
            <w:tcBorders>
              <w:top w:val="single" w:color="auto" w:sz="2" w:space="0"/>
              <w:left w:val="single" w:color="auto" w:sz="2" w:space="0"/>
              <w:bottom w:val="single" w:color="auto" w:sz="2" w:space="0"/>
              <w:right w:val="single" w:color="auto" w:sz="2" w:space="0"/>
            </w:tcBorders>
            <w:vAlign w:val="center"/>
          </w:tcPr>
          <w:p w14:paraId="2868F9F8">
            <w:pPr>
              <w:spacing w:before="0" w:after="0" w:line="240" w:lineRule="exact"/>
              <w:jc w:val="right"/>
              <w:rPr>
                <w:rFonts w:ascii="宋体" w:hAnsi="宋体" w:eastAsia="宋体" w:cs="宋体"/>
                <w:sz w:val="18"/>
                <w:szCs w:val="18"/>
              </w:rPr>
            </w:pPr>
            <w:r>
              <w:rPr>
                <w:rFonts w:ascii="宋体" w:hAnsi="宋体" w:eastAsia="宋体" w:cs="宋体"/>
                <w:sz w:val="18"/>
                <w:szCs w:val="18"/>
              </w:rPr>
              <w:t>20,707,723.30</w:t>
            </w:r>
          </w:p>
        </w:tc>
        <w:tc>
          <w:tcPr>
            <w:tcW w:w="2250" w:type="dxa"/>
            <w:tcBorders>
              <w:top w:val="single" w:color="auto" w:sz="2" w:space="0"/>
              <w:left w:val="single" w:color="auto" w:sz="2" w:space="0"/>
              <w:bottom w:val="single" w:color="auto" w:sz="2" w:space="0"/>
              <w:right w:val="single" w:color="auto" w:sz="2" w:space="0"/>
            </w:tcBorders>
            <w:vAlign w:val="center"/>
          </w:tcPr>
          <w:p w14:paraId="26F10D13">
            <w:pPr>
              <w:spacing w:before="0" w:after="0" w:line="240" w:lineRule="exact"/>
              <w:jc w:val="right"/>
              <w:rPr>
                <w:rFonts w:ascii="宋体" w:hAnsi="宋体" w:eastAsia="宋体" w:cs="宋体"/>
                <w:sz w:val="18"/>
                <w:szCs w:val="18"/>
              </w:rPr>
            </w:pPr>
            <w:r>
              <w:rPr>
                <w:rFonts w:ascii="宋体" w:hAnsi="宋体" w:eastAsia="宋体" w:cs="宋体"/>
                <w:sz w:val="18"/>
                <w:szCs w:val="18"/>
              </w:rPr>
              <w:t>-174,595,576.92</w:t>
            </w:r>
          </w:p>
        </w:tc>
        <w:tc>
          <w:tcPr>
            <w:tcW w:w="1423" w:type="dxa"/>
            <w:tcBorders>
              <w:top w:val="single" w:color="auto" w:sz="2" w:space="0"/>
              <w:left w:val="single" w:color="auto" w:sz="2" w:space="0"/>
              <w:bottom w:val="single" w:color="auto" w:sz="2" w:space="0"/>
              <w:right w:val="single" w:color="auto" w:sz="2" w:space="0"/>
            </w:tcBorders>
            <w:vAlign w:val="center"/>
          </w:tcPr>
          <w:p w14:paraId="1A721FB0">
            <w:pPr>
              <w:spacing w:before="0" w:after="0" w:line="240" w:lineRule="exact"/>
              <w:jc w:val="right"/>
              <w:rPr>
                <w:rFonts w:ascii="宋体" w:hAnsi="宋体" w:eastAsia="宋体" w:cs="宋体"/>
                <w:sz w:val="18"/>
                <w:szCs w:val="18"/>
              </w:rPr>
            </w:pPr>
            <w:r>
              <w:rPr>
                <w:rFonts w:ascii="宋体" w:hAnsi="宋体" w:eastAsia="宋体" w:cs="宋体"/>
                <w:sz w:val="18"/>
                <w:szCs w:val="18"/>
              </w:rPr>
              <w:t>111.86%</w:t>
            </w:r>
          </w:p>
        </w:tc>
      </w:tr>
      <w:tr w14:paraId="200899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67" w:type="dxa"/>
            <w:tcBorders>
              <w:top w:val="single" w:color="auto" w:sz="2" w:space="0"/>
              <w:left w:val="single" w:color="auto" w:sz="2" w:space="0"/>
              <w:bottom w:val="single" w:color="auto" w:sz="2" w:space="0"/>
              <w:right w:val="single" w:color="auto" w:sz="2" w:space="0"/>
            </w:tcBorders>
            <w:shd w:val="clear" w:color="auto" w:fill="D3D3D3"/>
            <w:vAlign w:val="center"/>
          </w:tcPr>
          <w:p w14:paraId="2A18C6A8">
            <w:pPr>
              <w:spacing w:before="40" w:after="40" w:line="240" w:lineRule="exact"/>
              <w:jc w:val="left"/>
              <w:rPr>
                <w:rFonts w:ascii="宋体" w:hAnsi="宋体" w:eastAsia="宋体" w:cs="宋体"/>
                <w:sz w:val="18"/>
                <w:szCs w:val="18"/>
              </w:rPr>
            </w:pPr>
            <w:r>
              <w:rPr>
                <w:rFonts w:ascii="宋体" w:hAnsi="宋体" w:eastAsia="宋体" w:cs="宋体"/>
                <w:sz w:val="18"/>
                <w:szCs w:val="18"/>
              </w:rPr>
              <w:t>投资活动现金流入小计</w:t>
            </w:r>
          </w:p>
        </w:tc>
        <w:tc>
          <w:tcPr>
            <w:tcW w:w="2400" w:type="dxa"/>
            <w:tcBorders>
              <w:top w:val="single" w:color="auto" w:sz="2" w:space="0"/>
              <w:left w:val="single" w:color="auto" w:sz="2" w:space="0"/>
              <w:bottom w:val="single" w:color="auto" w:sz="2" w:space="0"/>
              <w:right w:val="single" w:color="auto" w:sz="2" w:space="0"/>
            </w:tcBorders>
            <w:vAlign w:val="center"/>
          </w:tcPr>
          <w:p w14:paraId="2F7CD9F5">
            <w:pPr>
              <w:spacing w:before="0" w:after="0" w:line="240" w:lineRule="exact"/>
              <w:jc w:val="right"/>
              <w:rPr>
                <w:rFonts w:ascii="宋体" w:hAnsi="宋体" w:eastAsia="宋体" w:cs="宋体"/>
                <w:sz w:val="18"/>
                <w:szCs w:val="18"/>
              </w:rPr>
            </w:pPr>
            <w:r>
              <w:rPr>
                <w:rFonts w:ascii="宋体" w:hAnsi="宋体" w:eastAsia="宋体" w:cs="宋体"/>
                <w:sz w:val="18"/>
                <w:szCs w:val="18"/>
              </w:rPr>
              <w:t>32,432,543.29</w:t>
            </w:r>
          </w:p>
        </w:tc>
        <w:tc>
          <w:tcPr>
            <w:tcW w:w="2250" w:type="dxa"/>
            <w:tcBorders>
              <w:top w:val="single" w:color="auto" w:sz="2" w:space="0"/>
              <w:left w:val="single" w:color="auto" w:sz="2" w:space="0"/>
              <w:bottom w:val="single" w:color="auto" w:sz="2" w:space="0"/>
              <w:right w:val="single" w:color="auto" w:sz="2" w:space="0"/>
            </w:tcBorders>
            <w:vAlign w:val="center"/>
          </w:tcPr>
          <w:p w14:paraId="4258BA40">
            <w:pPr>
              <w:spacing w:before="0" w:after="0" w:line="240" w:lineRule="exact"/>
              <w:jc w:val="right"/>
              <w:rPr>
                <w:rFonts w:ascii="宋体" w:hAnsi="宋体" w:eastAsia="宋体" w:cs="宋体"/>
                <w:sz w:val="18"/>
                <w:szCs w:val="18"/>
              </w:rPr>
            </w:pPr>
            <w:r>
              <w:rPr>
                <w:rFonts w:ascii="宋体" w:hAnsi="宋体" w:eastAsia="宋体" w:cs="宋体"/>
                <w:sz w:val="18"/>
                <w:szCs w:val="18"/>
              </w:rPr>
              <w:t>43,373,013.41</w:t>
            </w:r>
          </w:p>
        </w:tc>
        <w:tc>
          <w:tcPr>
            <w:tcW w:w="1423" w:type="dxa"/>
            <w:tcBorders>
              <w:top w:val="single" w:color="auto" w:sz="2" w:space="0"/>
              <w:left w:val="single" w:color="auto" w:sz="2" w:space="0"/>
              <w:bottom w:val="single" w:color="auto" w:sz="2" w:space="0"/>
              <w:right w:val="single" w:color="auto" w:sz="2" w:space="0"/>
            </w:tcBorders>
            <w:vAlign w:val="center"/>
          </w:tcPr>
          <w:p w14:paraId="477AD087">
            <w:pPr>
              <w:spacing w:before="0" w:after="0" w:line="240" w:lineRule="exact"/>
              <w:jc w:val="right"/>
              <w:rPr>
                <w:rFonts w:ascii="宋体" w:hAnsi="宋体" w:eastAsia="宋体" w:cs="宋体"/>
                <w:sz w:val="18"/>
                <w:szCs w:val="18"/>
              </w:rPr>
            </w:pPr>
            <w:r>
              <w:rPr>
                <w:rFonts w:ascii="宋体" w:hAnsi="宋体" w:eastAsia="宋体" w:cs="宋体"/>
                <w:sz w:val="18"/>
                <w:szCs w:val="18"/>
              </w:rPr>
              <w:t>-25.22%</w:t>
            </w:r>
          </w:p>
        </w:tc>
      </w:tr>
      <w:tr w14:paraId="162FEC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67" w:type="dxa"/>
            <w:tcBorders>
              <w:top w:val="single" w:color="auto" w:sz="2" w:space="0"/>
              <w:left w:val="single" w:color="auto" w:sz="2" w:space="0"/>
              <w:bottom w:val="single" w:color="auto" w:sz="2" w:space="0"/>
              <w:right w:val="single" w:color="auto" w:sz="2" w:space="0"/>
            </w:tcBorders>
            <w:shd w:val="clear" w:color="auto" w:fill="D3D3D3"/>
            <w:vAlign w:val="center"/>
          </w:tcPr>
          <w:p w14:paraId="333C0549">
            <w:pPr>
              <w:spacing w:before="40" w:after="40" w:line="240" w:lineRule="exact"/>
              <w:jc w:val="left"/>
              <w:rPr>
                <w:rFonts w:ascii="宋体" w:hAnsi="宋体" w:eastAsia="宋体" w:cs="宋体"/>
                <w:sz w:val="18"/>
                <w:szCs w:val="18"/>
              </w:rPr>
            </w:pPr>
            <w:r>
              <w:rPr>
                <w:rFonts w:ascii="宋体" w:hAnsi="宋体" w:eastAsia="宋体" w:cs="宋体"/>
                <w:sz w:val="18"/>
                <w:szCs w:val="18"/>
              </w:rPr>
              <w:t>投资活动现金流出小计</w:t>
            </w:r>
          </w:p>
        </w:tc>
        <w:tc>
          <w:tcPr>
            <w:tcW w:w="2400" w:type="dxa"/>
            <w:tcBorders>
              <w:top w:val="single" w:color="auto" w:sz="2" w:space="0"/>
              <w:left w:val="single" w:color="auto" w:sz="2" w:space="0"/>
              <w:bottom w:val="single" w:color="auto" w:sz="2" w:space="0"/>
              <w:right w:val="single" w:color="auto" w:sz="2" w:space="0"/>
            </w:tcBorders>
            <w:vAlign w:val="center"/>
          </w:tcPr>
          <w:p w14:paraId="5A27BB93">
            <w:pPr>
              <w:spacing w:before="0" w:after="0" w:line="240" w:lineRule="exact"/>
              <w:jc w:val="right"/>
              <w:rPr>
                <w:rFonts w:ascii="宋体" w:hAnsi="宋体" w:eastAsia="宋体" w:cs="宋体"/>
                <w:sz w:val="18"/>
                <w:szCs w:val="18"/>
              </w:rPr>
            </w:pPr>
            <w:r>
              <w:rPr>
                <w:rFonts w:ascii="宋体" w:hAnsi="宋体" w:eastAsia="宋体" w:cs="宋体"/>
                <w:sz w:val="18"/>
                <w:szCs w:val="18"/>
              </w:rPr>
              <w:t>78,244,610.62</w:t>
            </w:r>
          </w:p>
        </w:tc>
        <w:tc>
          <w:tcPr>
            <w:tcW w:w="2250" w:type="dxa"/>
            <w:tcBorders>
              <w:top w:val="single" w:color="auto" w:sz="2" w:space="0"/>
              <w:left w:val="single" w:color="auto" w:sz="2" w:space="0"/>
              <w:bottom w:val="single" w:color="auto" w:sz="2" w:space="0"/>
              <w:right w:val="single" w:color="auto" w:sz="2" w:space="0"/>
            </w:tcBorders>
            <w:vAlign w:val="center"/>
          </w:tcPr>
          <w:p w14:paraId="696C72ED">
            <w:pPr>
              <w:spacing w:before="0" w:after="0" w:line="240" w:lineRule="exact"/>
              <w:jc w:val="right"/>
              <w:rPr>
                <w:rFonts w:ascii="宋体" w:hAnsi="宋体" w:eastAsia="宋体" w:cs="宋体"/>
                <w:sz w:val="18"/>
                <w:szCs w:val="18"/>
              </w:rPr>
            </w:pPr>
            <w:r>
              <w:rPr>
                <w:rFonts w:ascii="宋体" w:hAnsi="宋体" w:eastAsia="宋体" w:cs="宋体"/>
                <w:sz w:val="18"/>
                <w:szCs w:val="18"/>
              </w:rPr>
              <w:t>250,779,343.09</w:t>
            </w:r>
          </w:p>
        </w:tc>
        <w:tc>
          <w:tcPr>
            <w:tcW w:w="1423" w:type="dxa"/>
            <w:tcBorders>
              <w:top w:val="single" w:color="auto" w:sz="2" w:space="0"/>
              <w:left w:val="single" w:color="auto" w:sz="2" w:space="0"/>
              <w:bottom w:val="single" w:color="auto" w:sz="2" w:space="0"/>
              <w:right w:val="single" w:color="auto" w:sz="2" w:space="0"/>
            </w:tcBorders>
            <w:vAlign w:val="center"/>
          </w:tcPr>
          <w:p w14:paraId="78E6FEC3">
            <w:pPr>
              <w:spacing w:before="0" w:after="0" w:line="240" w:lineRule="exact"/>
              <w:jc w:val="right"/>
              <w:rPr>
                <w:rFonts w:ascii="宋体" w:hAnsi="宋体" w:eastAsia="宋体" w:cs="宋体"/>
                <w:sz w:val="18"/>
                <w:szCs w:val="18"/>
              </w:rPr>
            </w:pPr>
            <w:r>
              <w:rPr>
                <w:rFonts w:ascii="宋体" w:hAnsi="宋体" w:eastAsia="宋体" w:cs="宋体"/>
                <w:sz w:val="18"/>
                <w:szCs w:val="18"/>
              </w:rPr>
              <w:t>-68.80%</w:t>
            </w:r>
          </w:p>
        </w:tc>
      </w:tr>
      <w:tr w14:paraId="45CFE2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67" w:type="dxa"/>
            <w:tcBorders>
              <w:top w:val="single" w:color="auto" w:sz="2" w:space="0"/>
              <w:left w:val="single" w:color="auto" w:sz="2" w:space="0"/>
              <w:bottom w:val="single" w:color="auto" w:sz="2" w:space="0"/>
              <w:right w:val="single" w:color="auto" w:sz="2" w:space="0"/>
            </w:tcBorders>
            <w:shd w:val="clear" w:color="auto" w:fill="D3D3D3"/>
            <w:vAlign w:val="center"/>
          </w:tcPr>
          <w:p w14:paraId="3E974AF8">
            <w:pPr>
              <w:spacing w:before="40" w:after="40" w:line="240" w:lineRule="exact"/>
              <w:jc w:val="left"/>
              <w:rPr>
                <w:rFonts w:ascii="宋体" w:hAnsi="宋体" w:eastAsia="宋体" w:cs="宋体"/>
                <w:sz w:val="18"/>
                <w:szCs w:val="18"/>
              </w:rPr>
            </w:pPr>
            <w:r>
              <w:rPr>
                <w:rFonts w:ascii="宋体" w:hAnsi="宋体" w:eastAsia="宋体" w:cs="宋体"/>
                <w:sz w:val="18"/>
                <w:szCs w:val="18"/>
              </w:rPr>
              <w:t>投资活动产生的现金流量净额</w:t>
            </w:r>
          </w:p>
        </w:tc>
        <w:tc>
          <w:tcPr>
            <w:tcW w:w="2400" w:type="dxa"/>
            <w:tcBorders>
              <w:top w:val="single" w:color="auto" w:sz="2" w:space="0"/>
              <w:left w:val="single" w:color="auto" w:sz="2" w:space="0"/>
              <w:bottom w:val="single" w:color="auto" w:sz="2" w:space="0"/>
              <w:right w:val="single" w:color="auto" w:sz="2" w:space="0"/>
            </w:tcBorders>
            <w:vAlign w:val="center"/>
          </w:tcPr>
          <w:p w14:paraId="1C93EB31">
            <w:pPr>
              <w:spacing w:before="0" w:after="0" w:line="240" w:lineRule="exact"/>
              <w:jc w:val="right"/>
              <w:rPr>
                <w:rFonts w:ascii="宋体" w:hAnsi="宋体" w:eastAsia="宋体" w:cs="宋体"/>
                <w:sz w:val="18"/>
                <w:szCs w:val="18"/>
              </w:rPr>
            </w:pPr>
            <w:r>
              <w:rPr>
                <w:rFonts w:ascii="宋体" w:hAnsi="宋体" w:eastAsia="宋体" w:cs="宋体"/>
                <w:sz w:val="18"/>
                <w:szCs w:val="18"/>
              </w:rPr>
              <w:t>-45,812,067.33</w:t>
            </w:r>
          </w:p>
        </w:tc>
        <w:tc>
          <w:tcPr>
            <w:tcW w:w="2250" w:type="dxa"/>
            <w:tcBorders>
              <w:top w:val="single" w:color="auto" w:sz="2" w:space="0"/>
              <w:left w:val="single" w:color="auto" w:sz="2" w:space="0"/>
              <w:bottom w:val="single" w:color="auto" w:sz="2" w:space="0"/>
              <w:right w:val="single" w:color="auto" w:sz="2" w:space="0"/>
            </w:tcBorders>
            <w:vAlign w:val="center"/>
          </w:tcPr>
          <w:p w14:paraId="2C4418D5">
            <w:pPr>
              <w:spacing w:before="0" w:after="0" w:line="240" w:lineRule="exact"/>
              <w:jc w:val="right"/>
              <w:rPr>
                <w:rFonts w:ascii="宋体" w:hAnsi="宋体" w:eastAsia="宋体" w:cs="宋体"/>
                <w:sz w:val="18"/>
                <w:szCs w:val="18"/>
              </w:rPr>
            </w:pPr>
            <w:r>
              <w:rPr>
                <w:rFonts w:ascii="宋体" w:hAnsi="宋体" w:eastAsia="宋体" w:cs="宋体"/>
                <w:sz w:val="18"/>
                <w:szCs w:val="18"/>
              </w:rPr>
              <w:t>-207,406,329.68</w:t>
            </w:r>
          </w:p>
        </w:tc>
        <w:tc>
          <w:tcPr>
            <w:tcW w:w="1423" w:type="dxa"/>
            <w:tcBorders>
              <w:top w:val="single" w:color="auto" w:sz="2" w:space="0"/>
              <w:left w:val="single" w:color="auto" w:sz="2" w:space="0"/>
              <w:bottom w:val="single" w:color="auto" w:sz="2" w:space="0"/>
              <w:right w:val="single" w:color="auto" w:sz="2" w:space="0"/>
            </w:tcBorders>
            <w:vAlign w:val="center"/>
          </w:tcPr>
          <w:p w14:paraId="5829A49D">
            <w:pPr>
              <w:spacing w:before="0" w:after="0" w:line="240" w:lineRule="exact"/>
              <w:jc w:val="right"/>
              <w:rPr>
                <w:rFonts w:ascii="宋体" w:hAnsi="宋体" w:eastAsia="宋体" w:cs="宋体"/>
                <w:sz w:val="18"/>
                <w:szCs w:val="18"/>
              </w:rPr>
            </w:pPr>
            <w:r>
              <w:rPr>
                <w:rFonts w:ascii="宋体" w:hAnsi="宋体" w:eastAsia="宋体" w:cs="宋体"/>
                <w:sz w:val="18"/>
                <w:szCs w:val="18"/>
              </w:rPr>
              <w:t>77.91%</w:t>
            </w:r>
          </w:p>
        </w:tc>
      </w:tr>
      <w:tr w14:paraId="708D29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67" w:type="dxa"/>
            <w:tcBorders>
              <w:top w:val="single" w:color="auto" w:sz="2" w:space="0"/>
              <w:left w:val="single" w:color="auto" w:sz="2" w:space="0"/>
              <w:bottom w:val="single" w:color="auto" w:sz="2" w:space="0"/>
              <w:right w:val="single" w:color="auto" w:sz="2" w:space="0"/>
            </w:tcBorders>
            <w:shd w:val="clear" w:color="auto" w:fill="D3D3D3"/>
            <w:vAlign w:val="center"/>
          </w:tcPr>
          <w:p w14:paraId="0171A54C">
            <w:pPr>
              <w:spacing w:before="40" w:after="40" w:line="240" w:lineRule="exact"/>
              <w:jc w:val="left"/>
              <w:rPr>
                <w:rFonts w:ascii="宋体" w:hAnsi="宋体" w:eastAsia="宋体" w:cs="宋体"/>
                <w:sz w:val="18"/>
                <w:szCs w:val="18"/>
              </w:rPr>
            </w:pPr>
            <w:r>
              <w:rPr>
                <w:rFonts w:ascii="宋体" w:hAnsi="宋体" w:eastAsia="宋体" w:cs="宋体"/>
                <w:sz w:val="18"/>
                <w:szCs w:val="18"/>
              </w:rPr>
              <w:t>筹资活动现金流入小计</w:t>
            </w:r>
          </w:p>
        </w:tc>
        <w:tc>
          <w:tcPr>
            <w:tcW w:w="2400" w:type="dxa"/>
            <w:tcBorders>
              <w:top w:val="single" w:color="auto" w:sz="2" w:space="0"/>
              <w:left w:val="single" w:color="auto" w:sz="2" w:space="0"/>
              <w:bottom w:val="single" w:color="auto" w:sz="2" w:space="0"/>
              <w:right w:val="single" w:color="auto" w:sz="2" w:space="0"/>
            </w:tcBorders>
            <w:vAlign w:val="center"/>
          </w:tcPr>
          <w:p w14:paraId="695A2687">
            <w:pPr>
              <w:spacing w:before="0" w:after="0" w:line="240" w:lineRule="exact"/>
              <w:jc w:val="right"/>
              <w:rPr>
                <w:rFonts w:ascii="宋体" w:hAnsi="宋体" w:eastAsia="宋体" w:cs="宋体"/>
                <w:sz w:val="18"/>
                <w:szCs w:val="18"/>
              </w:rPr>
            </w:pPr>
            <w:r>
              <w:rPr>
                <w:rFonts w:ascii="宋体" w:hAnsi="宋体" w:eastAsia="宋体" w:cs="宋体"/>
                <w:sz w:val="18"/>
                <w:szCs w:val="18"/>
              </w:rPr>
              <w:t>350,800,000.00</w:t>
            </w:r>
          </w:p>
        </w:tc>
        <w:tc>
          <w:tcPr>
            <w:tcW w:w="2250" w:type="dxa"/>
            <w:tcBorders>
              <w:top w:val="single" w:color="auto" w:sz="2" w:space="0"/>
              <w:left w:val="single" w:color="auto" w:sz="2" w:space="0"/>
              <w:bottom w:val="single" w:color="auto" w:sz="2" w:space="0"/>
              <w:right w:val="single" w:color="auto" w:sz="2" w:space="0"/>
            </w:tcBorders>
            <w:vAlign w:val="center"/>
          </w:tcPr>
          <w:p w14:paraId="5FFEDAE0">
            <w:pPr>
              <w:spacing w:before="0" w:after="0" w:line="240" w:lineRule="exact"/>
              <w:jc w:val="right"/>
              <w:rPr>
                <w:rFonts w:ascii="宋体" w:hAnsi="宋体" w:eastAsia="宋体" w:cs="宋体"/>
                <w:sz w:val="18"/>
                <w:szCs w:val="18"/>
              </w:rPr>
            </w:pPr>
            <w:r>
              <w:rPr>
                <w:rFonts w:ascii="宋体" w:hAnsi="宋体" w:eastAsia="宋体" w:cs="宋体"/>
                <w:sz w:val="18"/>
                <w:szCs w:val="18"/>
              </w:rPr>
              <w:t>653,978,269.57</w:t>
            </w:r>
          </w:p>
        </w:tc>
        <w:tc>
          <w:tcPr>
            <w:tcW w:w="1423" w:type="dxa"/>
            <w:tcBorders>
              <w:top w:val="single" w:color="auto" w:sz="2" w:space="0"/>
              <w:left w:val="single" w:color="auto" w:sz="2" w:space="0"/>
              <w:bottom w:val="single" w:color="auto" w:sz="2" w:space="0"/>
              <w:right w:val="single" w:color="auto" w:sz="2" w:space="0"/>
            </w:tcBorders>
            <w:vAlign w:val="center"/>
          </w:tcPr>
          <w:p w14:paraId="3D0C854E">
            <w:pPr>
              <w:spacing w:before="0" w:after="0" w:line="240" w:lineRule="exact"/>
              <w:jc w:val="right"/>
              <w:rPr>
                <w:rFonts w:ascii="宋体" w:hAnsi="宋体" w:eastAsia="宋体" w:cs="宋体"/>
                <w:sz w:val="18"/>
                <w:szCs w:val="18"/>
              </w:rPr>
            </w:pPr>
            <w:r>
              <w:rPr>
                <w:rFonts w:ascii="宋体" w:hAnsi="宋体" w:eastAsia="宋体" w:cs="宋体"/>
                <w:sz w:val="18"/>
                <w:szCs w:val="18"/>
              </w:rPr>
              <w:t>-46.36%</w:t>
            </w:r>
          </w:p>
        </w:tc>
      </w:tr>
      <w:tr w14:paraId="4EEF5A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67" w:type="dxa"/>
            <w:tcBorders>
              <w:top w:val="single" w:color="auto" w:sz="2" w:space="0"/>
              <w:left w:val="single" w:color="auto" w:sz="2" w:space="0"/>
              <w:bottom w:val="single" w:color="auto" w:sz="2" w:space="0"/>
              <w:right w:val="single" w:color="auto" w:sz="2" w:space="0"/>
            </w:tcBorders>
            <w:shd w:val="clear" w:color="auto" w:fill="D3D3D3"/>
            <w:vAlign w:val="center"/>
          </w:tcPr>
          <w:p w14:paraId="3DC8BA87">
            <w:pPr>
              <w:spacing w:before="40" w:after="40" w:line="240" w:lineRule="exact"/>
              <w:jc w:val="left"/>
              <w:rPr>
                <w:rFonts w:ascii="宋体" w:hAnsi="宋体" w:eastAsia="宋体" w:cs="宋体"/>
                <w:sz w:val="18"/>
                <w:szCs w:val="18"/>
              </w:rPr>
            </w:pPr>
            <w:r>
              <w:rPr>
                <w:rFonts w:ascii="宋体" w:hAnsi="宋体" w:eastAsia="宋体" w:cs="宋体"/>
                <w:sz w:val="18"/>
                <w:szCs w:val="18"/>
              </w:rPr>
              <w:t>筹资活动现金流出小计</w:t>
            </w:r>
          </w:p>
        </w:tc>
        <w:tc>
          <w:tcPr>
            <w:tcW w:w="2400" w:type="dxa"/>
            <w:tcBorders>
              <w:top w:val="single" w:color="auto" w:sz="2" w:space="0"/>
              <w:left w:val="single" w:color="auto" w:sz="2" w:space="0"/>
              <w:bottom w:val="single" w:color="auto" w:sz="2" w:space="0"/>
              <w:right w:val="single" w:color="auto" w:sz="2" w:space="0"/>
            </w:tcBorders>
            <w:vAlign w:val="center"/>
          </w:tcPr>
          <w:p w14:paraId="5DF2CBDC">
            <w:pPr>
              <w:spacing w:before="0" w:after="0" w:line="240" w:lineRule="exact"/>
              <w:jc w:val="right"/>
              <w:rPr>
                <w:rFonts w:ascii="宋体" w:hAnsi="宋体" w:eastAsia="宋体" w:cs="宋体"/>
                <w:sz w:val="18"/>
                <w:szCs w:val="18"/>
              </w:rPr>
            </w:pPr>
            <w:r>
              <w:rPr>
                <w:rFonts w:ascii="宋体" w:hAnsi="宋体" w:eastAsia="宋体" w:cs="宋体"/>
                <w:sz w:val="18"/>
                <w:szCs w:val="18"/>
              </w:rPr>
              <w:t>385,257,487.83</w:t>
            </w:r>
          </w:p>
        </w:tc>
        <w:tc>
          <w:tcPr>
            <w:tcW w:w="2250" w:type="dxa"/>
            <w:tcBorders>
              <w:top w:val="single" w:color="auto" w:sz="2" w:space="0"/>
              <w:left w:val="single" w:color="auto" w:sz="2" w:space="0"/>
              <w:bottom w:val="single" w:color="auto" w:sz="2" w:space="0"/>
              <w:right w:val="single" w:color="auto" w:sz="2" w:space="0"/>
            </w:tcBorders>
            <w:vAlign w:val="center"/>
          </w:tcPr>
          <w:p w14:paraId="53D828A2">
            <w:pPr>
              <w:spacing w:before="0" w:after="0" w:line="240" w:lineRule="exact"/>
              <w:jc w:val="right"/>
              <w:rPr>
                <w:rFonts w:ascii="宋体" w:hAnsi="宋体" w:eastAsia="宋体" w:cs="宋体"/>
                <w:sz w:val="18"/>
                <w:szCs w:val="18"/>
              </w:rPr>
            </w:pPr>
            <w:r>
              <w:rPr>
                <w:rFonts w:ascii="宋体" w:hAnsi="宋体" w:eastAsia="宋体" w:cs="宋体"/>
                <w:sz w:val="18"/>
                <w:szCs w:val="18"/>
              </w:rPr>
              <w:t>304,265,215.47</w:t>
            </w:r>
          </w:p>
        </w:tc>
        <w:tc>
          <w:tcPr>
            <w:tcW w:w="1423" w:type="dxa"/>
            <w:tcBorders>
              <w:top w:val="single" w:color="auto" w:sz="2" w:space="0"/>
              <w:left w:val="single" w:color="auto" w:sz="2" w:space="0"/>
              <w:bottom w:val="single" w:color="auto" w:sz="2" w:space="0"/>
              <w:right w:val="single" w:color="auto" w:sz="2" w:space="0"/>
            </w:tcBorders>
            <w:vAlign w:val="center"/>
          </w:tcPr>
          <w:p w14:paraId="3C943779">
            <w:pPr>
              <w:spacing w:before="0" w:after="0" w:line="240" w:lineRule="exact"/>
              <w:jc w:val="right"/>
              <w:rPr>
                <w:rFonts w:ascii="宋体" w:hAnsi="宋体" w:eastAsia="宋体" w:cs="宋体"/>
                <w:sz w:val="18"/>
                <w:szCs w:val="18"/>
              </w:rPr>
            </w:pPr>
            <w:r>
              <w:rPr>
                <w:rFonts w:ascii="宋体" w:hAnsi="宋体" w:eastAsia="宋体" w:cs="宋体"/>
                <w:sz w:val="18"/>
                <w:szCs w:val="18"/>
              </w:rPr>
              <w:t>26.62%</w:t>
            </w:r>
          </w:p>
        </w:tc>
      </w:tr>
      <w:tr w14:paraId="2BA691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67" w:type="dxa"/>
            <w:tcBorders>
              <w:top w:val="single" w:color="auto" w:sz="2" w:space="0"/>
              <w:left w:val="single" w:color="auto" w:sz="2" w:space="0"/>
              <w:bottom w:val="single" w:color="auto" w:sz="2" w:space="0"/>
              <w:right w:val="single" w:color="auto" w:sz="2" w:space="0"/>
            </w:tcBorders>
            <w:shd w:val="clear" w:color="auto" w:fill="D3D3D3"/>
            <w:vAlign w:val="center"/>
          </w:tcPr>
          <w:p w14:paraId="5BAF6751">
            <w:pPr>
              <w:spacing w:before="40" w:after="40" w:line="240" w:lineRule="exact"/>
              <w:jc w:val="left"/>
              <w:rPr>
                <w:rFonts w:ascii="宋体" w:hAnsi="宋体" w:eastAsia="宋体" w:cs="宋体"/>
                <w:sz w:val="18"/>
                <w:szCs w:val="18"/>
              </w:rPr>
            </w:pPr>
            <w:r>
              <w:rPr>
                <w:rFonts w:ascii="宋体" w:hAnsi="宋体" w:eastAsia="宋体" w:cs="宋体"/>
                <w:sz w:val="18"/>
                <w:szCs w:val="18"/>
              </w:rPr>
              <w:t>筹资活动产生的现金流量净额</w:t>
            </w:r>
          </w:p>
        </w:tc>
        <w:tc>
          <w:tcPr>
            <w:tcW w:w="2400" w:type="dxa"/>
            <w:tcBorders>
              <w:top w:val="single" w:color="auto" w:sz="2" w:space="0"/>
              <w:left w:val="single" w:color="auto" w:sz="2" w:space="0"/>
              <w:bottom w:val="single" w:color="auto" w:sz="2" w:space="0"/>
              <w:right w:val="single" w:color="auto" w:sz="2" w:space="0"/>
            </w:tcBorders>
            <w:vAlign w:val="center"/>
          </w:tcPr>
          <w:p w14:paraId="67DF2657">
            <w:pPr>
              <w:spacing w:before="0" w:after="0" w:line="240" w:lineRule="exact"/>
              <w:jc w:val="right"/>
              <w:rPr>
                <w:rFonts w:ascii="宋体" w:hAnsi="宋体" w:eastAsia="宋体" w:cs="宋体"/>
                <w:sz w:val="18"/>
                <w:szCs w:val="18"/>
              </w:rPr>
            </w:pPr>
            <w:r>
              <w:rPr>
                <w:rFonts w:ascii="宋体" w:hAnsi="宋体" w:eastAsia="宋体" w:cs="宋体"/>
                <w:sz w:val="18"/>
                <w:szCs w:val="18"/>
              </w:rPr>
              <w:t>-34,457,487.83</w:t>
            </w:r>
          </w:p>
        </w:tc>
        <w:tc>
          <w:tcPr>
            <w:tcW w:w="2250" w:type="dxa"/>
            <w:tcBorders>
              <w:top w:val="single" w:color="auto" w:sz="2" w:space="0"/>
              <w:left w:val="single" w:color="auto" w:sz="2" w:space="0"/>
              <w:bottom w:val="single" w:color="auto" w:sz="2" w:space="0"/>
              <w:right w:val="single" w:color="auto" w:sz="2" w:space="0"/>
            </w:tcBorders>
            <w:vAlign w:val="center"/>
          </w:tcPr>
          <w:p w14:paraId="55F7A94C">
            <w:pPr>
              <w:spacing w:before="0" w:after="0" w:line="240" w:lineRule="exact"/>
              <w:jc w:val="right"/>
              <w:rPr>
                <w:rFonts w:ascii="宋体" w:hAnsi="宋体" w:eastAsia="宋体" w:cs="宋体"/>
                <w:sz w:val="18"/>
                <w:szCs w:val="18"/>
              </w:rPr>
            </w:pPr>
            <w:r>
              <w:rPr>
                <w:rFonts w:ascii="宋体" w:hAnsi="宋体" w:eastAsia="宋体" w:cs="宋体"/>
                <w:sz w:val="18"/>
                <w:szCs w:val="18"/>
              </w:rPr>
              <w:t>349,713,054.10</w:t>
            </w:r>
          </w:p>
        </w:tc>
        <w:tc>
          <w:tcPr>
            <w:tcW w:w="1423" w:type="dxa"/>
            <w:tcBorders>
              <w:top w:val="single" w:color="auto" w:sz="2" w:space="0"/>
              <w:left w:val="single" w:color="auto" w:sz="2" w:space="0"/>
              <w:bottom w:val="single" w:color="auto" w:sz="2" w:space="0"/>
              <w:right w:val="single" w:color="auto" w:sz="2" w:space="0"/>
            </w:tcBorders>
            <w:vAlign w:val="center"/>
          </w:tcPr>
          <w:p w14:paraId="37757085">
            <w:pPr>
              <w:spacing w:before="0" w:after="0" w:line="240" w:lineRule="exact"/>
              <w:jc w:val="right"/>
              <w:rPr>
                <w:rFonts w:ascii="宋体" w:hAnsi="宋体" w:eastAsia="宋体" w:cs="宋体"/>
                <w:sz w:val="18"/>
                <w:szCs w:val="18"/>
              </w:rPr>
            </w:pPr>
            <w:r>
              <w:rPr>
                <w:rFonts w:ascii="宋体" w:hAnsi="宋体" w:eastAsia="宋体" w:cs="宋体"/>
                <w:sz w:val="18"/>
                <w:szCs w:val="18"/>
              </w:rPr>
              <w:t>-109.85%</w:t>
            </w:r>
          </w:p>
        </w:tc>
      </w:tr>
      <w:tr w14:paraId="11671F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67" w:type="dxa"/>
            <w:tcBorders>
              <w:top w:val="single" w:color="auto" w:sz="2" w:space="0"/>
              <w:left w:val="single" w:color="auto" w:sz="2" w:space="0"/>
              <w:bottom w:val="single" w:color="auto" w:sz="2" w:space="0"/>
              <w:right w:val="single" w:color="auto" w:sz="2" w:space="0"/>
            </w:tcBorders>
            <w:shd w:val="clear" w:color="auto" w:fill="D3D3D3"/>
            <w:vAlign w:val="center"/>
          </w:tcPr>
          <w:p w14:paraId="6389FA51">
            <w:pPr>
              <w:spacing w:before="40" w:after="40" w:line="240" w:lineRule="exact"/>
              <w:jc w:val="left"/>
              <w:rPr>
                <w:rFonts w:ascii="宋体" w:hAnsi="宋体" w:eastAsia="宋体" w:cs="宋体"/>
                <w:sz w:val="18"/>
                <w:szCs w:val="18"/>
              </w:rPr>
            </w:pPr>
            <w:r>
              <w:rPr>
                <w:rFonts w:ascii="宋体" w:hAnsi="宋体" w:eastAsia="宋体" w:cs="宋体"/>
                <w:sz w:val="18"/>
                <w:szCs w:val="18"/>
              </w:rPr>
              <w:t>现金及现金等价物净增加额</w:t>
            </w:r>
          </w:p>
        </w:tc>
        <w:tc>
          <w:tcPr>
            <w:tcW w:w="2400" w:type="dxa"/>
            <w:tcBorders>
              <w:top w:val="single" w:color="auto" w:sz="2" w:space="0"/>
              <w:left w:val="single" w:color="auto" w:sz="2" w:space="0"/>
              <w:bottom w:val="single" w:color="auto" w:sz="2" w:space="0"/>
              <w:right w:val="single" w:color="auto" w:sz="2" w:space="0"/>
            </w:tcBorders>
            <w:vAlign w:val="center"/>
          </w:tcPr>
          <w:p w14:paraId="3C0A0876">
            <w:pPr>
              <w:spacing w:before="0" w:after="0" w:line="240" w:lineRule="exact"/>
              <w:jc w:val="right"/>
              <w:rPr>
                <w:rFonts w:ascii="宋体" w:hAnsi="宋体" w:eastAsia="宋体" w:cs="宋体"/>
                <w:sz w:val="18"/>
                <w:szCs w:val="18"/>
              </w:rPr>
            </w:pPr>
            <w:r>
              <w:rPr>
                <w:rFonts w:ascii="宋体" w:hAnsi="宋体" w:eastAsia="宋体" w:cs="宋体"/>
                <w:sz w:val="18"/>
                <w:szCs w:val="18"/>
              </w:rPr>
              <w:t>-59,561,501.73</w:t>
            </w:r>
          </w:p>
        </w:tc>
        <w:tc>
          <w:tcPr>
            <w:tcW w:w="2250" w:type="dxa"/>
            <w:tcBorders>
              <w:top w:val="single" w:color="auto" w:sz="2" w:space="0"/>
              <w:left w:val="single" w:color="auto" w:sz="2" w:space="0"/>
              <w:bottom w:val="single" w:color="auto" w:sz="2" w:space="0"/>
              <w:right w:val="single" w:color="auto" w:sz="2" w:space="0"/>
            </w:tcBorders>
            <w:vAlign w:val="center"/>
          </w:tcPr>
          <w:p w14:paraId="2F75079B">
            <w:pPr>
              <w:spacing w:before="0" w:after="0" w:line="240" w:lineRule="exact"/>
              <w:jc w:val="right"/>
              <w:rPr>
                <w:rFonts w:ascii="宋体" w:hAnsi="宋体" w:eastAsia="宋体" w:cs="宋体"/>
                <w:sz w:val="18"/>
                <w:szCs w:val="18"/>
              </w:rPr>
            </w:pPr>
            <w:r>
              <w:rPr>
                <w:rFonts w:ascii="宋体" w:hAnsi="宋体" w:eastAsia="宋体" w:cs="宋体"/>
                <w:sz w:val="18"/>
                <w:szCs w:val="18"/>
              </w:rPr>
              <w:t>-32,285,692.03</w:t>
            </w:r>
          </w:p>
        </w:tc>
        <w:tc>
          <w:tcPr>
            <w:tcW w:w="1423" w:type="dxa"/>
            <w:tcBorders>
              <w:top w:val="single" w:color="auto" w:sz="2" w:space="0"/>
              <w:left w:val="single" w:color="auto" w:sz="2" w:space="0"/>
              <w:bottom w:val="single" w:color="auto" w:sz="2" w:space="0"/>
              <w:right w:val="single" w:color="auto" w:sz="2" w:space="0"/>
            </w:tcBorders>
            <w:vAlign w:val="center"/>
          </w:tcPr>
          <w:p w14:paraId="6B05511A">
            <w:pPr>
              <w:spacing w:before="0" w:after="0" w:line="240" w:lineRule="exact"/>
              <w:jc w:val="right"/>
              <w:rPr>
                <w:rFonts w:ascii="宋体" w:hAnsi="宋体" w:eastAsia="宋体" w:cs="宋体"/>
                <w:sz w:val="18"/>
                <w:szCs w:val="18"/>
              </w:rPr>
            </w:pPr>
            <w:r>
              <w:rPr>
                <w:rFonts w:ascii="宋体" w:hAnsi="宋体" w:eastAsia="宋体" w:cs="宋体"/>
                <w:sz w:val="18"/>
                <w:szCs w:val="18"/>
              </w:rPr>
              <w:t>-84.48%</w:t>
            </w:r>
          </w:p>
        </w:tc>
      </w:tr>
    </w:tbl>
    <w:p w14:paraId="21751C9B">
      <w:pPr>
        <w:spacing w:before="100" w:after="100" w:line="240" w:lineRule="exact"/>
        <w:jc w:val="left"/>
        <w:rPr>
          <w:rFonts w:ascii="宋体" w:hAnsi="宋体" w:eastAsia="宋体" w:cs="宋体"/>
          <w:sz w:val="18"/>
          <w:szCs w:val="18"/>
        </w:rPr>
      </w:pPr>
      <w:r>
        <w:rPr>
          <w:rFonts w:ascii="宋体" w:hAnsi="宋体" w:eastAsia="宋体" w:cs="宋体"/>
          <w:sz w:val="18"/>
          <w:szCs w:val="18"/>
        </w:rPr>
        <w:t>相关数据同比发生重大变动的主要影响因素说明</w:t>
      </w:r>
    </w:p>
    <w:p w14:paraId="2719C30E">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19FB07E3">
      <w:pPr>
        <w:pStyle w:val="2"/>
        <w:widowControl/>
        <w:spacing w:beforeAutospacing="0" w:afterAutospacing="0"/>
        <w:rPr>
          <w:szCs w:val="24"/>
        </w:rPr>
      </w:pPr>
      <w:r>
        <w:rPr>
          <w:rFonts w:hint="eastAsia" w:ascii="宋体" w:hAnsi="宋体" w:cs="宋体"/>
          <w:sz w:val="18"/>
          <w:szCs w:val="18"/>
        </w:rPr>
        <w:t>1、经营活动产生的现金流量净额，报告期较上年同期增加112.32%，主要为上年同期研发投入较大且报告期公司获取政府补助大幅增加所致；</w:t>
      </w:r>
    </w:p>
    <w:p w14:paraId="4E6A4676">
      <w:pPr>
        <w:pStyle w:val="2"/>
        <w:widowControl/>
        <w:spacing w:beforeAutospacing="0" w:afterAutospacing="0"/>
        <w:rPr>
          <w:szCs w:val="24"/>
        </w:rPr>
      </w:pPr>
      <w:r>
        <w:rPr>
          <w:rFonts w:hint="eastAsia" w:ascii="宋体" w:hAnsi="宋体" w:cs="宋体"/>
          <w:sz w:val="18"/>
          <w:szCs w:val="18"/>
        </w:rPr>
        <w:t>2、投资活动产生的现金流量净额，报告期较上年同期增加77.91%，主要为上年同期固定资产购置及资本化研发支出较大所致；</w:t>
      </w:r>
    </w:p>
    <w:p w14:paraId="5E1E0325">
      <w:pPr>
        <w:pStyle w:val="2"/>
        <w:widowControl/>
        <w:spacing w:beforeAutospacing="0" w:afterAutospacing="0"/>
        <w:rPr>
          <w:szCs w:val="24"/>
        </w:rPr>
      </w:pPr>
      <w:r>
        <w:rPr>
          <w:rFonts w:hint="eastAsia" w:ascii="宋体" w:hAnsi="宋体" w:cs="宋体"/>
          <w:sz w:val="18"/>
          <w:szCs w:val="18"/>
        </w:rPr>
        <w:t>3、筹资活动产生的现金流量净额，报告期较上年同期减少109.85%，主要为上年同期控股子公司广生中霖获得少数股东投入所致。</w:t>
      </w:r>
    </w:p>
    <w:p w14:paraId="502EEDAF">
      <w:pPr>
        <w:spacing w:before="100" w:after="100" w:line="240" w:lineRule="exact"/>
        <w:jc w:val="left"/>
        <w:rPr>
          <w:rFonts w:ascii="宋体" w:hAnsi="宋体" w:eastAsia="宋体" w:cs="宋体"/>
          <w:sz w:val="18"/>
          <w:szCs w:val="18"/>
        </w:rPr>
      </w:pPr>
      <w:r>
        <w:rPr>
          <w:rFonts w:ascii="宋体" w:hAnsi="宋体" w:eastAsia="宋体" w:cs="宋体"/>
          <w:sz w:val="18"/>
          <w:szCs w:val="18"/>
        </w:rPr>
        <w:t>报告期内公司经营活动产生的现金净流量与本年度净利润存在重大差异的原因说明</w:t>
      </w:r>
    </w:p>
    <w:p w14:paraId="252A9038">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758D6E18">
      <w:pPr>
        <w:pStyle w:val="2"/>
        <w:keepNext w:val="0"/>
        <w:keepLines w:val="0"/>
        <w:widowControl/>
        <w:suppressLineNumbers w:val="0"/>
      </w:pPr>
      <w:r>
        <w:rPr>
          <w:rFonts w:hint="eastAsia" w:ascii="宋体" w:hAnsi="宋体" w:eastAsia="宋体" w:cs="宋体"/>
          <w:sz w:val="18"/>
          <w:szCs w:val="18"/>
        </w:rPr>
        <w:t>主要原因为报告期净利润中7,454万元资产减值损失等与现金经营流无关，另报告期公司获得较大金额政府补助记入经营现金流但因部分属于与资产相关未记入本年损益，因此公司经营活动产生的现金净流量与本年度净利润存在较大差异。</w:t>
      </w:r>
    </w:p>
    <w:p w14:paraId="5CD89E42">
      <w:pPr>
        <w:keepNext/>
        <w:keepLines/>
        <w:spacing w:before="300" w:after="300" w:line="320" w:lineRule="exact"/>
        <w:jc w:val="left"/>
        <w:outlineLvl w:val="1"/>
        <w:rPr>
          <w:rFonts w:ascii="宋体" w:hAnsi="宋体" w:eastAsia="宋体" w:cs="宋体"/>
          <w:b/>
          <w:bCs/>
          <w:sz w:val="24"/>
          <w:szCs w:val="24"/>
        </w:rPr>
      </w:pPr>
      <w:bookmarkStart w:id="31" w:name="_Toc988919"/>
      <w:r>
        <w:rPr>
          <w:rFonts w:ascii="宋体" w:hAnsi="宋体" w:eastAsia="宋体" w:cs="宋体"/>
          <w:b/>
          <w:bCs/>
          <w:sz w:val="24"/>
          <w:szCs w:val="24"/>
        </w:rPr>
        <w:t>五、非主营业务情况</w:t>
      </w:r>
      <w:bookmarkEnd w:id="31"/>
    </w:p>
    <w:p w14:paraId="698664F9">
      <w:pPr>
        <w:spacing w:before="40" w:after="4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60F487E0">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57"/>
        <w:gridCol w:w="1560"/>
        <w:gridCol w:w="1660"/>
        <w:gridCol w:w="3460"/>
        <w:gridCol w:w="1703"/>
      </w:tblGrid>
      <w:tr w14:paraId="5D9E06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57" w:type="dxa"/>
            <w:tcBorders>
              <w:top w:val="single" w:color="auto" w:sz="2" w:space="0"/>
              <w:left w:val="single" w:color="auto" w:sz="2" w:space="0"/>
              <w:bottom w:val="single" w:color="auto" w:sz="2" w:space="0"/>
              <w:right w:val="single" w:color="auto" w:sz="2" w:space="0"/>
            </w:tcBorders>
            <w:shd w:val="clear" w:color="auto" w:fill="D3D3D3"/>
            <w:vAlign w:val="center"/>
          </w:tcPr>
          <w:p w14:paraId="795083B6"/>
        </w:tc>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14:paraId="18212BC5">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660" w:type="dxa"/>
            <w:tcBorders>
              <w:top w:val="single" w:color="auto" w:sz="2" w:space="0"/>
              <w:left w:val="single" w:color="auto" w:sz="2" w:space="0"/>
              <w:bottom w:val="single" w:color="auto" w:sz="2" w:space="0"/>
              <w:right w:val="single" w:color="auto" w:sz="2" w:space="0"/>
            </w:tcBorders>
            <w:shd w:val="clear" w:color="auto" w:fill="D3D3D3"/>
            <w:vAlign w:val="center"/>
          </w:tcPr>
          <w:p w14:paraId="74A07859">
            <w:pPr>
              <w:spacing w:before="40" w:after="40" w:line="240" w:lineRule="exact"/>
              <w:jc w:val="center"/>
              <w:rPr>
                <w:rFonts w:ascii="宋体" w:hAnsi="宋体" w:eastAsia="宋体" w:cs="宋体"/>
                <w:sz w:val="18"/>
                <w:szCs w:val="18"/>
              </w:rPr>
            </w:pPr>
            <w:r>
              <w:rPr>
                <w:rFonts w:ascii="宋体" w:hAnsi="宋体" w:eastAsia="宋体" w:cs="宋体"/>
                <w:sz w:val="18"/>
                <w:szCs w:val="18"/>
              </w:rPr>
              <w:t>占利润总额比例</w:t>
            </w:r>
          </w:p>
        </w:tc>
        <w:tc>
          <w:tcPr>
            <w:tcW w:w="3460" w:type="dxa"/>
            <w:tcBorders>
              <w:top w:val="single" w:color="auto" w:sz="2" w:space="0"/>
              <w:left w:val="single" w:color="auto" w:sz="2" w:space="0"/>
              <w:bottom w:val="single" w:color="auto" w:sz="2" w:space="0"/>
              <w:right w:val="single" w:color="auto" w:sz="2" w:space="0"/>
            </w:tcBorders>
            <w:shd w:val="clear" w:color="auto" w:fill="D3D3D3"/>
            <w:vAlign w:val="center"/>
          </w:tcPr>
          <w:p w14:paraId="53D852A2">
            <w:pPr>
              <w:spacing w:before="40" w:after="40" w:line="240" w:lineRule="exact"/>
              <w:jc w:val="center"/>
              <w:rPr>
                <w:rFonts w:ascii="宋体" w:hAnsi="宋体" w:eastAsia="宋体" w:cs="宋体"/>
                <w:sz w:val="18"/>
                <w:szCs w:val="18"/>
              </w:rPr>
            </w:pPr>
            <w:r>
              <w:rPr>
                <w:rFonts w:ascii="宋体" w:hAnsi="宋体" w:eastAsia="宋体" w:cs="宋体"/>
                <w:sz w:val="18"/>
                <w:szCs w:val="18"/>
              </w:rPr>
              <w:t>形成原因说明</w:t>
            </w:r>
          </w:p>
        </w:tc>
        <w:tc>
          <w:tcPr>
            <w:tcW w:w="1703" w:type="dxa"/>
            <w:tcBorders>
              <w:top w:val="single" w:color="auto" w:sz="2" w:space="0"/>
              <w:left w:val="single" w:color="auto" w:sz="2" w:space="0"/>
              <w:bottom w:val="single" w:color="auto" w:sz="2" w:space="0"/>
              <w:right w:val="single" w:color="auto" w:sz="2" w:space="0"/>
            </w:tcBorders>
            <w:shd w:val="clear" w:color="auto" w:fill="D3D3D3"/>
            <w:vAlign w:val="center"/>
          </w:tcPr>
          <w:p w14:paraId="5953F061">
            <w:pPr>
              <w:spacing w:before="40" w:after="40" w:line="240" w:lineRule="exact"/>
              <w:jc w:val="center"/>
              <w:rPr>
                <w:rFonts w:ascii="宋体" w:hAnsi="宋体" w:eastAsia="宋体" w:cs="宋体"/>
                <w:sz w:val="18"/>
                <w:szCs w:val="18"/>
              </w:rPr>
            </w:pPr>
            <w:r>
              <w:rPr>
                <w:rFonts w:ascii="宋体" w:hAnsi="宋体" w:eastAsia="宋体" w:cs="宋体"/>
                <w:sz w:val="18"/>
                <w:szCs w:val="18"/>
              </w:rPr>
              <w:t>是否具有可持续性</w:t>
            </w:r>
          </w:p>
        </w:tc>
      </w:tr>
      <w:tr w14:paraId="79A5F4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57" w:type="dxa"/>
            <w:tcBorders>
              <w:top w:val="single" w:color="auto" w:sz="2" w:space="0"/>
              <w:left w:val="single" w:color="auto" w:sz="2" w:space="0"/>
              <w:bottom w:val="single" w:color="auto" w:sz="2" w:space="0"/>
              <w:right w:val="single" w:color="auto" w:sz="2" w:space="0"/>
            </w:tcBorders>
            <w:shd w:val="clear" w:color="auto" w:fill="D3D3D3"/>
            <w:vAlign w:val="center"/>
          </w:tcPr>
          <w:p w14:paraId="385267F7">
            <w:pPr>
              <w:spacing w:before="40" w:after="40" w:line="240" w:lineRule="exact"/>
              <w:jc w:val="left"/>
              <w:rPr>
                <w:rFonts w:ascii="宋体" w:hAnsi="宋体" w:eastAsia="宋体" w:cs="宋体"/>
                <w:sz w:val="18"/>
                <w:szCs w:val="18"/>
              </w:rPr>
            </w:pPr>
            <w:r>
              <w:rPr>
                <w:rFonts w:ascii="宋体" w:hAnsi="宋体" w:eastAsia="宋体" w:cs="宋体"/>
                <w:sz w:val="18"/>
                <w:szCs w:val="18"/>
              </w:rPr>
              <w:t>投资收益</w:t>
            </w:r>
          </w:p>
        </w:tc>
        <w:tc>
          <w:tcPr>
            <w:tcW w:w="1560" w:type="dxa"/>
            <w:tcBorders>
              <w:top w:val="single" w:color="auto" w:sz="2" w:space="0"/>
              <w:left w:val="single" w:color="auto" w:sz="2" w:space="0"/>
              <w:bottom w:val="single" w:color="auto" w:sz="2" w:space="0"/>
              <w:right w:val="single" w:color="auto" w:sz="2" w:space="0"/>
            </w:tcBorders>
            <w:vAlign w:val="center"/>
          </w:tcPr>
          <w:p w14:paraId="4B1E8A86">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1660" w:type="dxa"/>
            <w:tcBorders>
              <w:top w:val="single" w:color="auto" w:sz="2" w:space="0"/>
              <w:left w:val="single" w:color="auto" w:sz="2" w:space="0"/>
              <w:bottom w:val="single" w:color="auto" w:sz="2" w:space="0"/>
              <w:right w:val="single" w:color="auto" w:sz="2" w:space="0"/>
            </w:tcBorders>
            <w:vAlign w:val="center"/>
          </w:tcPr>
          <w:p w14:paraId="48E1EC04">
            <w:pPr>
              <w:spacing w:before="0" w:after="0" w:line="240" w:lineRule="exact"/>
              <w:jc w:val="right"/>
              <w:rPr>
                <w:rFonts w:ascii="宋体" w:hAnsi="宋体" w:eastAsia="宋体" w:cs="宋体"/>
                <w:sz w:val="18"/>
                <w:szCs w:val="18"/>
              </w:rPr>
            </w:pPr>
            <w:r>
              <w:rPr>
                <w:rFonts w:ascii="宋体" w:hAnsi="宋体" w:eastAsia="宋体" w:cs="宋体"/>
                <w:sz w:val="18"/>
                <w:szCs w:val="18"/>
              </w:rPr>
              <w:t>6.69%</w:t>
            </w:r>
          </w:p>
        </w:tc>
        <w:tc>
          <w:tcPr>
            <w:tcW w:w="3460" w:type="dxa"/>
            <w:tcBorders>
              <w:top w:val="single" w:color="auto" w:sz="2" w:space="0"/>
              <w:left w:val="single" w:color="auto" w:sz="2" w:space="0"/>
              <w:bottom w:val="single" w:color="auto" w:sz="2" w:space="0"/>
              <w:right w:val="single" w:color="auto" w:sz="2" w:space="0"/>
            </w:tcBorders>
            <w:vAlign w:val="center"/>
          </w:tcPr>
          <w:p w14:paraId="7BE903F1">
            <w:pPr>
              <w:spacing w:before="0" w:after="0" w:line="240" w:lineRule="exact"/>
              <w:jc w:val="left"/>
              <w:rPr>
                <w:rFonts w:ascii="宋体" w:hAnsi="宋体" w:eastAsia="宋体" w:cs="宋体"/>
                <w:sz w:val="18"/>
                <w:szCs w:val="18"/>
              </w:rPr>
            </w:pPr>
            <w:r>
              <w:rPr>
                <w:rFonts w:ascii="宋体" w:hAnsi="宋体" w:eastAsia="宋体" w:cs="宋体"/>
                <w:sz w:val="18"/>
                <w:szCs w:val="18"/>
              </w:rPr>
              <w:t>主要为联营公司福建博奥医学检验所有限公司等报告期亏损，公司按照权益法核算的投资收益</w:t>
            </w:r>
          </w:p>
        </w:tc>
        <w:tc>
          <w:tcPr>
            <w:tcW w:w="1703" w:type="dxa"/>
            <w:tcBorders>
              <w:top w:val="single" w:color="auto" w:sz="2" w:space="0"/>
              <w:left w:val="single" w:color="auto" w:sz="2" w:space="0"/>
              <w:bottom w:val="single" w:color="auto" w:sz="2" w:space="0"/>
              <w:right w:val="single" w:color="auto" w:sz="2" w:space="0"/>
            </w:tcBorders>
            <w:vAlign w:val="center"/>
          </w:tcPr>
          <w:p w14:paraId="5A15971C">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74F342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57" w:type="dxa"/>
            <w:tcBorders>
              <w:top w:val="single" w:color="auto" w:sz="2" w:space="0"/>
              <w:left w:val="single" w:color="auto" w:sz="2" w:space="0"/>
              <w:bottom w:val="single" w:color="auto" w:sz="2" w:space="0"/>
              <w:right w:val="single" w:color="auto" w:sz="2" w:space="0"/>
            </w:tcBorders>
            <w:shd w:val="clear" w:color="auto" w:fill="D3D3D3"/>
            <w:vAlign w:val="center"/>
          </w:tcPr>
          <w:p w14:paraId="05D003C1">
            <w:pPr>
              <w:spacing w:before="40" w:after="40" w:line="240" w:lineRule="exact"/>
              <w:jc w:val="left"/>
              <w:rPr>
                <w:rFonts w:ascii="宋体" w:hAnsi="宋体" w:eastAsia="宋体" w:cs="宋体"/>
                <w:sz w:val="18"/>
                <w:szCs w:val="18"/>
              </w:rPr>
            </w:pPr>
            <w:r>
              <w:rPr>
                <w:rFonts w:ascii="宋体" w:hAnsi="宋体" w:eastAsia="宋体" w:cs="宋体"/>
                <w:sz w:val="18"/>
                <w:szCs w:val="18"/>
              </w:rPr>
              <w:t>资产减值</w:t>
            </w:r>
          </w:p>
        </w:tc>
        <w:tc>
          <w:tcPr>
            <w:tcW w:w="1560" w:type="dxa"/>
            <w:tcBorders>
              <w:top w:val="single" w:color="auto" w:sz="2" w:space="0"/>
              <w:left w:val="single" w:color="auto" w:sz="2" w:space="0"/>
              <w:bottom w:val="single" w:color="auto" w:sz="2" w:space="0"/>
              <w:right w:val="single" w:color="auto" w:sz="2" w:space="0"/>
            </w:tcBorders>
            <w:vAlign w:val="center"/>
          </w:tcPr>
          <w:p w14:paraId="1CD5DCD0">
            <w:pPr>
              <w:spacing w:before="0" w:after="0" w:line="240" w:lineRule="exact"/>
              <w:jc w:val="right"/>
              <w:rPr>
                <w:rFonts w:ascii="宋体" w:hAnsi="宋体" w:eastAsia="宋体" w:cs="宋体"/>
                <w:sz w:val="18"/>
                <w:szCs w:val="18"/>
              </w:rPr>
            </w:pPr>
            <w:r>
              <w:rPr>
                <w:rFonts w:ascii="宋体" w:hAnsi="宋体" w:eastAsia="宋体" w:cs="宋体"/>
                <w:sz w:val="18"/>
                <w:szCs w:val="18"/>
              </w:rPr>
              <w:t>-74,541,884.94</w:t>
            </w:r>
          </w:p>
        </w:tc>
        <w:tc>
          <w:tcPr>
            <w:tcW w:w="1660" w:type="dxa"/>
            <w:tcBorders>
              <w:top w:val="single" w:color="auto" w:sz="2" w:space="0"/>
              <w:left w:val="single" w:color="auto" w:sz="2" w:space="0"/>
              <w:bottom w:val="single" w:color="auto" w:sz="2" w:space="0"/>
              <w:right w:val="single" w:color="auto" w:sz="2" w:space="0"/>
            </w:tcBorders>
            <w:vAlign w:val="center"/>
          </w:tcPr>
          <w:p w14:paraId="60E0108F">
            <w:pPr>
              <w:spacing w:before="0" w:after="0" w:line="240" w:lineRule="exact"/>
              <w:jc w:val="right"/>
              <w:rPr>
                <w:rFonts w:ascii="宋体" w:hAnsi="宋体" w:eastAsia="宋体" w:cs="宋体"/>
                <w:sz w:val="18"/>
                <w:szCs w:val="18"/>
              </w:rPr>
            </w:pPr>
            <w:r>
              <w:rPr>
                <w:rFonts w:ascii="宋体" w:hAnsi="宋体" w:eastAsia="宋体" w:cs="宋体"/>
                <w:sz w:val="18"/>
                <w:szCs w:val="18"/>
              </w:rPr>
              <w:t>4</w:t>
            </w:r>
            <w:r>
              <w:rPr>
                <w:rFonts w:hint="eastAsia" w:ascii="宋体" w:hAnsi="宋体" w:cs="宋体"/>
                <w:sz w:val="18"/>
                <w:szCs w:val="18"/>
                <w:lang w:val="en-US" w:eastAsia="zh-CN"/>
              </w:rPr>
              <w:t>5</w:t>
            </w:r>
            <w:r>
              <w:rPr>
                <w:rFonts w:ascii="宋体" w:hAnsi="宋体" w:eastAsia="宋体" w:cs="宋体"/>
                <w:sz w:val="18"/>
                <w:szCs w:val="18"/>
              </w:rPr>
              <w:t>.</w:t>
            </w:r>
            <w:r>
              <w:rPr>
                <w:rFonts w:hint="eastAsia" w:ascii="宋体" w:hAnsi="宋体" w:cs="宋体"/>
                <w:sz w:val="18"/>
                <w:szCs w:val="18"/>
                <w:lang w:val="en-US" w:eastAsia="zh-CN"/>
              </w:rPr>
              <w:t>34</w:t>
            </w:r>
            <w:r>
              <w:rPr>
                <w:rFonts w:ascii="宋体" w:hAnsi="宋体" w:eastAsia="宋体" w:cs="宋体"/>
                <w:sz w:val="18"/>
                <w:szCs w:val="18"/>
              </w:rPr>
              <w:t>%</w:t>
            </w:r>
          </w:p>
        </w:tc>
        <w:tc>
          <w:tcPr>
            <w:tcW w:w="3460" w:type="dxa"/>
            <w:tcBorders>
              <w:top w:val="single" w:color="auto" w:sz="2" w:space="0"/>
              <w:left w:val="single" w:color="auto" w:sz="2" w:space="0"/>
              <w:bottom w:val="single" w:color="auto" w:sz="2" w:space="0"/>
              <w:right w:val="single" w:color="auto" w:sz="2" w:space="0"/>
            </w:tcBorders>
            <w:vAlign w:val="center"/>
          </w:tcPr>
          <w:p w14:paraId="22029D36">
            <w:pPr>
              <w:spacing w:before="0" w:after="0" w:line="240" w:lineRule="exact"/>
              <w:jc w:val="left"/>
              <w:rPr>
                <w:rFonts w:ascii="宋体" w:hAnsi="宋体" w:eastAsia="宋体" w:cs="宋体"/>
                <w:sz w:val="18"/>
                <w:szCs w:val="18"/>
              </w:rPr>
            </w:pPr>
            <w:r>
              <w:rPr>
                <w:rFonts w:ascii="宋体" w:hAnsi="宋体" w:eastAsia="宋体" w:cs="宋体"/>
                <w:sz w:val="18"/>
                <w:szCs w:val="18"/>
              </w:rPr>
              <w:t>公司对部分产品相关及诉讼标的物进行减值所致</w:t>
            </w:r>
          </w:p>
        </w:tc>
        <w:tc>
          <w:tcPr>
            <w:tcW w:w="1703" w:type="dxa"/>
            <w:tcBorders>
              <w:top w:val="single" w:color="auto" w:sz="2" w:space="0"/>
              <w:left w:val="single" w:color="auto" w:sz="2" w:space="0"/>
              <w:bottom w:val="single" w:color="auto" w:sz="2" w:space="0"/>
              <w:right w:val="single" w:color="auto" w:sz="2" w:space="0"/>
            </w:tcBorders>
            <w:vAlign w:val="center"/>
          </w:tcPr>
          <w:p w14:paraId="20946926">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40D2ED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57" w:type="dxa"/>
            <w:tcBorders>
              <w:top w:val="single" w:color="auto" w:sz="2" w:space="0"/>
              <w:left w:val="single" w:color="auto" w:sz="2" w:space="0"/>
              <w:bottom w:val="single" w:color="auto" w:sz="2" w:space="0"/>
              <w:right w:val="single" w:color="auto" w:sz="2" w:space="0"/>
            </w:tcBorders>
            <w:shd w:val="clear" w:color="auto" w:fill="D3D3D3"/>
            <w:vAlign w:val="center"/>
          </w:tcPr>
          <w:p w14:paraId="08684371">
            <w:pPr>
              <w:spacing w:before="40" w:after="40" w:line="240" w:lineRule="exact"/>
              <w:jc w:val="left"/>
              <w:rPr>
                <w:rFonts w:ascii="宋体" w:hAnsi="宋体" w:eastAsia="宋体" w:cs="宋体"/>
                <w:sz w:val="18"/>
                <w:szCs w:val="18"/>
              </w:rPr>
            </w:pPr>
            <w:r>
              <w:rPr>
                <w:rFonts w:ascii="宋体" w:hAnsi="宋体" w:eastAsia="宋体" w:cs="宋体"/>
                <w:sz w:val="18"/>
                <w:szCs w:val="18"/>
              </w:rPr>
              <w:t>营业外收入</w:t>
            </w:r>
          </w:p>
        </w:tc>
        <w:tc>
          <w:tcPr>
            <w:tcW w:w="1560" w:type="dxa"/>
            <w:tcBorders>
              <w:top w:val="single" w:color="auto" w:sz="2" w:space="0"/>
              <w:left w:val="single" w:color="auto" w:sz="2" w:space="0"/>
              <w:bottom w:val="single" w:color="auto" w:sz="2" w:space="0"/>
              <w:right w:val="single" w:color="auto" w:sz="2" w:space="0"/>
            </w:tcBorders>
            <w:vAlign w:val="center"/>
          </w:tcPr>
          <w:p w14:paraId="515EB635">
            <w:pPr>
              <w:spacing w:before="0" w:after="0" w:line="240" w:lineRule="exact"/>
              <w:jc w:val="right"/>
              <w:rPr>
                <w:rFonts w:ascii="宋体" w:hAnsi="宋体" w:eastAsia="宋体" w:cs="宋体"/>
                <w:sz w:val="18"/>
                <w:szCs w:val="18"/>
              </w:rPr>
            </w:pPr>
            <w:r>
              <w:rPr>
                <w:rFonts w:ascii="宋体" w:hAnsi="宋体" w:eastAsia="宋体" w:cs="宋体"/>
                <w:sz w:val="18"/>
                <w:szCs w:val="18"/>
              </w:rPr>
              <w:t>3,181,188.41</w:t>
            </w:r>
          </w:p>
        </w:tc>
        <w:tc>
          <w:tcPr>
            <w:tcW w:w="1660" w:type="dxa"/>
            <w:tcBorders>
              <w:top w:val="single" w:color="auto" w:sz="2" w:space="0"/>
              <w:left w:val="single" w:color="auto" w:sz="2" w:space="0"/>
              <w:bottom w:val="single" w:color="auto" w:sz="2" w:space="0"/>
              <w:right w:val="single" w:color="auto" w:sz="2" w:space="0"/>
            </w:tcBorders>
            <w:vAlign w:val="center"/>
          </w:tcPr>
          <w:p w14:paraId="4A9BEC32">
            <w:pPr>
              <w:spacing w:before="0" w:after="0" w:line="240" w:lineRule="exact"/>
              <w:jc w:val="right"/>
              <w:rPr>
                <w:rFonts w:ascii="宋体" w:hAnsi="宋体" w:eastAsia="宋体" w:cs="宋体"/>
                <w:sz w:val="18"/>
                <w:szCs w:val="18"/>
              </w:rPr>
            </w:pPr>
            <w:r>
              <w:rPr>
                <w:rFonts w:ascii="宋体" w:hAnsi="宋体" w:eastAsia="宋体" w:cs="宋体"/>
                <w:sz w:val="18"/>
                <w:szCs w:val="18"/>
              </w:rPr>
              <w:t>-1.</w:t>
            </w:r>
            <w:r>
              <w:rPr>
                <w:rFonts w:hint="eastAsia" w:ascii="宋体" w:hAnsi="宋体" w:cs="宋体"/>
                <w:sz w:val="18"/>
                <w:szCs w:val="18"/>
                <w:lang w:val="en-US" w:eastAsia="zh-CN"/>
              </w:rPr>
              <w:t>93</w:t>
            </w:r>
            <w:r>
              <w:rPr>
                <w:rFonts w:ascii="宋体" w:hAnsi="宋体" w:eastAsia="宋体" w:cs="宋体"/>
                <w:sz w:val="18"/>
                <w:szCs w:val="18"/>
              </w:rPr>
              <w:t>%</w:t>
            </w:r>
          </w:p>
        </w:tc>
        <w:tc>
          <w:tcPr>
            <w:tcW w:w="3460" w:type="dxa"/>
            <w:tcBorders>
              <w:top w:val="single" w:color="auto" w:sz="2" w:space="0"/>
              <w:left w:val="single" w:color="auto" w:sz="2" w:space="0"/>
              <w:bottom w:val="single" w:color="auto" w:sz="2" w:space="0"/>
              <w:right w:val="single" w:color="auto" w:sz="2" w:space="0"/>
            </w:tcBorders>
            <w:vAlign w:val="center"/>
          </w:tcPr>
          <w:p w14:paraId="3644C8D1">
            <w:pPr>
              <w:spacing w:before="0" w:after="0" w:line="240" w:lineRule="exact"/>
              <w:jc w:val="left"/>
              <w:rPr>
                <w:rFonts w:ascii="宋体" w:hAnsi="宋体" w:eastAsia="宋体" w:cs="宋体"/>
                <w:sz w:val="18"/>
                <w:szCs w:val="18"/>
              </w:rPr>
            </w:pPr>
          </w:p>
        </w:tc>
        <w:tc>
          <w:tcPr>
            <w:tcW w:w="1703" w:type="dxa"/>
            <w:tcBorders>
              <w:top w:val="single" w:color="auto" w:sz="2" w:space="0"/>
              <w:left w:val="single" w:color="auto" w:sz="2" w:space="0"/>
              <w:bottom w:val="single" w:color="auto" w:sz="2" w:space="0"/>
              <w:right w:val="single" w:color="auto" w:sz="2" w:space="0"/>
            </w:tcBorders>
            <w:vAlign w:val="center"/>
          </w:tcPr>
          <w:p w14:paraId="1FBD1C87">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778D77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57" w:type="dxa"/>
            <w:tcBorders>
              <w:top w:val="single" w:color="auto" w:sz="2" w:space="0"/>
              <w:left w:val="single" w:color="auto" w:sz="2" w:space="0"/>
              <w:bottom w:val="single" w:color="auto" w:sz="2" w:space="0"/>
              <w:right w:val="single" w:color="auto" w:sz="2" w:space="0"/>
            </w:tcBorders>
            <w:shd w:val="clear" w:color="auto" w:fill="D3D3D3"/>
            <w:vAlign w:val="center"/>
          </w:tcPr>
          <w:p w14:paraId="1029A24B">
            <w:pPr>
              <w:spacing w:before="40" w:after="40" w:line="240" w:lineRule="exact"/>
              <w:jc w:val="left"/>
              <w:rPr>
                <w:rFonts w:ascii="宋体" w:hAnsi="宋体" w:eastAsia="宋体" w:cs="宋体"/>
                <w:sz w:val="18"/>
                <w:szCs w:val="18"/>
              </w:rPr>
            </w:pPr>
            <w:r>
              <w:rPr>
                <w:rFonts w:ascii="宋体" w:hAnsi="宋体" w:eastAsia="宋体" w:cs="宋体"/>
                <w:sz w:val="18"/>
                <w:szCs w:val="18"/>
              </w:rPr>
              <w:t>营业外支出</w:t>
            </w:r>
          </w:p>
        </w:tc>
        <w:tc>
          <w:tcPr>
            <w:tcW w:w="1560" w:type="dxa"/>
            <w:tcBorders>
              <w:top w:val="single" w:color="auto" w:sz="2" w:space="0"/>
              <w:left w:val="single" w:color="auto" w:sz="2" w:space="0"/>
              <w:bottom w:val="single" w:color="auto" w:sz="2" w:space="0"/>
              <w:right w:val="single" w:color="auto" w:sz="2" w:space="0"/>
            </w:tcBorders>
            <w:vAlign w:val="center"/>
          </w:tcPr>
          <w:p w14:paraId="070CE578">
            <w:pPr>
              <w:spacing w:before="0" w:after="0" w:line="240" w:lineRule="exact"/>
              <w:jc w:val="right"/>
              <w:rPr>
                <w:rFonts w:ascii="宋体" w:hAnsi="宋体" w:eastAsia="宋体" w:cs="宋体"/>
                <w:sz w:val="18"/>
                <w:szCs w:val="18"/>
              </w:rPr>
            </w:pPr>
            <w:r>
              <w:rPr>
                <w:rFonts w:ascii="宋体" w:hAnsi="宋体" w:eastAsia="宋体" w:cs="宋体"/>
                <w:sz w:val="18"/>
                <w:szCs w:val="18"/>
              </w:rPr>
              <w:t>3,079,691.91</w:t>
            </w:r>
          </w:p>
        </w:tc>
        <w:tc>
          <w:tcPr>
            <w:tcW w:w="1660" w:type="dxa"/>
            <w:tcBorders>
              <w:top w:val="single" w:color="auto" w:sz="2" w:space="0"/>
              <w:left w:val="single" w:color="auto" w:sz="2" w:space="0"/>
              <w:bottom w:val="single" w:color="auto" w:sz="2" w:space="0"/>
              <w:right w:val="single" w:color="auto" w:sz="2" w:space="0"/>
            </w:tcBorders>
            <w:vAlign w:val="center"/>
          </w:tcPr>
          <w:p w14:paraId="53348B05">
            <w:pPr>
              <w:spacing w:before="0" w:after="0" w:line="240" w:lineRule="exact"/>
              <w:jc w:val="right"/>
              <w:rPr>
                <w:rFonts w:ascii="宋体" w:hAnsi="宋体" w:eastAsia="宋体" w:cs="宋体"/>
                <w:sz w:val="18"/>
                <w:szCs w:val="18"/>
              </w:rPr>
            </w:pPr>
            <w:r>
              <w:rPr>
                <w:rFonts w:ascii="宋体" w:hAnsi="宋体" w:eastAsia="宋体" w:cs="宋体"/>
                <w:sz w:val="18"/>
                <w:szCs w:val="18"/>
              </w:rPr>
              <w:t>-1.</w:t>
            </w:r>
            <w:r>
              <w:rPr>
                <w:rFonts w:hint="eastAsia" w:ascii="宋体" w:hAnsi="宋体" w:cs="宋体"/>
                <w:sz w:val="18"/>
                <w:szCs w:val="18"/>
                <w:lang w:val="en-US" w:eastAsia="zh-CN"/>
              </w:rPr>
              <w:t>87</w:t>
            </w:r>
            <w:r>
              <w:rPr>
                <w:rFonts w:ascii="宋体" w:hAnsi="宋体" w:eastAsia="宋体" w:cs="宋体"/>
                <w:sz w:val="18"/>
                <w:szCs w:val="18"/>
              </w:rPr>
              <w:t>%</w:t>
            </w:r>
          </w:p>
        </w:tc>
        <w:tc>
          <w:tcPr>
            <w:tcW w:w="3460" w:type="dxa"/>
            <w:tcBorders>
              <w:top w:val="single" w:color="auto" w:sz="2" w:space="0"/>
              <w:left w:val="single" w:color="auto" w:sz="2" w:space="0"/>
              <w:bottom w:val="single" w:color="auto" w:sz="2" w:space="0"/>
              <w:right w:val="single" w:color="auto" w:sz="2" w:space="0"/>
            </w:tcBorders>
            <w:vAlign w:val="center"/>
          </w:tcPr>
          <w:p w14:paraId="6EBDA3BD">
            <w:pPr>
              <w:spacing w:before="0" w:after="0" w:line="240" w:lineRule="exact"/>
              <w:jc w:val="left"/>
              <w:rPr>
                <w:rFonts w:ascii="宋体" w:hAnsi="宋体" w:eastAsia="宋体" w:cs="宋体"/>
                <w:sz w:val="18"/>
                <w:szCs w:val="18"/>
              </w:rPr>
            </w:pPr>
          </w:p>
        </w:tc>
        <w:tc>
          <w:tcPr>
            <w:tcW w:w="1703" w:type="dxa"/>
            <w:tcBorders>
              <w:top w:val="single" w:color="auto" w:sz="2" w:space="0"/>
              <w:left w:val="single" w:color="auto" w:sz="2" w:space="0"/>
              <w:bottom w:val="single" w:color="auto" w:sz="2" w:space="0"/>
              <w:right w:val="single" w:color="auto" w:sz="2" w:space="0"/>
            </w:tcBorders>
            <w:vAlign w:val="center"/>
          </w:tcPr>
          <w:p w14:paraId="10E16A5A">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bl>
    <w:p w14:paraId="74134CA8">
      <w:pPr>
        <w:keepNext/>
        <w:keepLines/>
        <w:spacing w:before="300" w:after="300" w:line="280" w:lineRule="exact"/>
        <w:jc w:val="left"/>
        <w:outlineLvl w:val="2"/>
        <w:rPr>
          <w:rFonts w:ascii="宋体" w:hAnsi="宋体" w:eastAsia="宋体" w:cs="宋体"/>
          <w:b/>
          <w:bCs/>
          <w:sz w:val="21"/>
          <w:szCs w:val="21"/>
        </w:rPr>
      </w:pPr>
      <w:bookmarkStart w:id="32" w:name="_Toc988917"/>
      <w:bookmarkStart w:id="33" w:name="_Toc988920"/>
      <w:r>
        <w:rPr>
          <w:rFonts w:ascii="宋体" w:hAnsi="宋体" w:eastAsia="宋体" w:cs="宋体"/>
          <w:b/>
          <w:bCs/>
          <w:sz w:val="21"/>
          <w:szCs w:val="21"/>
        </w:rPr>
        <w:t>4、研发投入</w:t>
      </w:r>
      <w:bookmarkEnd w:id="32"/>
    </w:p>
    <w:p w14:paraId="5C1BEC49">
      <w:pPr>
        <w:spacing w:before="0" w:after="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179"/>
        <w:gridCol w:w="2670"/>
        <w:gridCol w:w="1100"/>
        <w:gridCol w:w="2763"/>
      </w:tblGrid>
      <w:tr w14:paraId="496F0B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7E6F2A0">
            <w:pPr>
              <w:spacing w:before="40" w:after="40" w:line="240" w:lineRule="exact"/>
              <w:jc w:val="center"/>
              <w:rPr>
                <w:rFonts w:ascii="宋体" w:hAnsi="宋体" w:eastAsia="宋体" w:cs="宋体"/>
                <w:sz w:val="18"/>
                <w:szCs w:val="18"/>
              </w:rPr>
            </w:pPr>
            <w:r>
              <w:rPr>
                <w:rFonts w:ascii="宋体" w:hAnsi="宋体" w:eastAsia="宋体" w:cs="宋体"/>
                <w:sz w:val="18"/>
                <w:szCs w:val="18"/>
              </w:rPr>
              <w:t>主要研发项目名称</w:t>
            </w:r>
          </w:p>
        </w:tc>
        <w:tc>
          <w:tcPr>
            <w:tcW w:w="1179" w:type="dxa"/>
            <w:tcBorders>
              <w:top w:val="single" w:color="auto" w:sz="2" w:space="0"/>
              <w:left w:val="single" w:color="auto" w:sz="2" w:space="0"/>
              <w:bottom w:val="single" w:color="auto" w:sz="2" w:space="0"/>
              <w:right w:val="single" w:color="auto" w:sz="2" w:space="0"/>
            </w:tcBorders>
            <w:shd w:val="clear" w:color="auto" w:fill="D3D3D3"/>
            <w:vAlign w:val="center"/>
          </w:tcPr>
          <w:p w14:paraId="3240940C">
            <w:pPr>
              <w:spacing w:before="40" w:after="40" w:line="240" w:lineRule="exact"/>
              <w:jc w:val="center"/>
              <w:rPr>
                <w:rFonts w:ascii="宋体" w:hAnsi="宋体" w:eastAsia="宋体" w:cs="宋体"/>
                <w:sz w:val="18"/>
                <w:szCs w:val="18"/>
              </w:rPr>
            </w:pPr>
            <w:r>
              <w:rPr>
                <w:rFonts w:ascii="宋体" w:hAnsi="宋体" w:eastAsia="宋体" w:cs="宋体"/>
                <w:sz w:val="18"/>
                <w:szCs w:val="18"/>
              </w:rPr>
              <w:t>项目目的</w:t>
            </w:r>
          </w:p>
        </w:tc>
        <w:tc>
          <w:tcPr>
            <w:tcW w:w="2670" w:type="dxa"/>
            <w:tcBorders>
              <w:top w:val="single" w:color="auto" w:sz="2" w:space="0"/>
              <w:left w:val="single" w:color="auto" w:sz="2" w:space="0"/>
              <w:bottom w:val="single" w:color="auto" w:sz="2" w:space="0"/>
              <w:right w:val="single" w:color="auto" w:sz="2" w:space="0"/>
            </w:tcBorders>
            <w:shd w:val="clear" w:color="auto" w:fill="D3D3D3"/>
            <w:vAlign w:val="center"/>
          </w:tcPr>
          <w:p w14:paraId="62B76356">
            <w:pPr>
              <w:spacing w:before="40" w:after="40" w:line="240" w:lineRule="exact"/>
              <w:jc w:val="center"/>
              <w:rPr>
                <w:rFonts w:ascii="宋体" w:hAnsi="宋体" w:eastAsia="宋体" w:cs="宋体"/>
                <w:sz w:val="18"/>
                <w:szCs w:val="18"/>
              </w:rPr>
            </w:pPr>
            <w:r>
              <w:rPr>
                <w:rFonts w:ascii="宋体" w:hAnsi="宋体" w:eastAsia="宋体" w:cs="宋体"/>
                <w:sz w:val="18"/>
                <w:szCs w:val="18"/>
              </w:rPr>
              <w:t>项目进展</w:t>
            </w:r>
          </w:p>
        </w:tc>
        <w:tc>
          <w:tcPr>
            <w:tcW w:w="1100" w:type="dxa"/>
            <w:tcBorders>
              <w:top w:val="single" w:color="auto" w:sz="2" w:space="0"/>
              <w:left w:val="single" w:color="auto" w:sz="2" w:space="0"/>
              <w:bottom w:val="single" w:color="auto" w:sz="2" w:space="0"/>
              <w:right w:val="single" w:color="auto" w:sz="2" w:space="0"/>
            </w:tcBorders>
            <w:shd w:val="clear" w:color="auto" w:fill="D3D3D3"/>
            <w:vAlign w:val="center"/>
          </w:tcPr>
          <w:p w14:paraId="4987A350">
            <w:pPr>
              <w:spacing w:before="40" w:after="40" w:line="240" w:lineRule="exact"/>
              <w:jc w:val="center"/>
              <w:rPr>
                <w:rFonts w:ascii="宋体" w:hAnsi="宋体" w:eastAsia="宋体" w:cs="宋体"/>
                <w:sz w:val="18"/>
                <w:szCs w:val="18"/>
              </w:rPr>
            </w:pPr>
            <w:r>
              <w:rPr>
                <w:rFonts w:ascii="宋体" w:hAnsi="宋体" w:eastAsia="宋体" w:cs="宋体"/>
                <w:sz w:val="18"/>
                <w:szCs w:val="18"/>
              </w:rPr>
              <w:t>拟达到的目标</w:t>
            </w:r>
          </w:p>
        </w:tc>
        <w:tc>
          <w:tcPr>
            <w:tcW w:w="2763" w:type="dxa"/>
            <w:tcBorders>
              <w:top w:val="single" w:color="auto" w:sz="2" w:space="0"/>
              <w:left w:val="single" w:color="auto" w:sz="2" w:space="0"/>
              <w:bottom w:val="single" w:color="auto" w:sz="2" w:space="0"/>
              <w:right w:val="single" w:color="auto" w:sz="2" w:space="0"/>
            </w:tcBorders>
            <w:shd w:val="clear" w:color="auto" w:fill="D3D3D3"/>
            <w:vAlign w:val="center"/>
          </w:tcPr>
          <w:p w14:paraId="2466437E">
            <w:pPr>
              <w:spacing w:before="40" w:after="40" w:line="240" w:lineRule="exact"/>
              <w:jc w:val="center"/>
              <w:rPr>
                <w:rFonts w:ascii="宋体" w:hAnsi="宋体" w:eastAsia="宋体" w:cs="宋体"/>
                <w:sz w:val="18"/>
                <w:szCs w:val="18"/>
              </w:rPr>
            </w:pPr>
            <w:r>
              <w:rPr>
                <w:rFonts w:ascii="宋体" w:hAnsi="宋体" w:eastAsia="宋体" w:cs="宋体"/>
                <w:sz w:val="18"/>
                <w:szCs w:val="18"/>
              </w:rPr>
              <w:t>预计对公司未来发展的影响</w:t>
            </w:r>
          </w:p>
        </w:tc>
      </w:tr>
      <w:tr w14:paraId="02E5D7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7ABC7BBD">
            <w:pPr>
              <w:spacing w:line="240" w:lineRule="exact"/>
              <w:jc w:val="left"/>
              <w:rPr>
                <w:rFonts w:ascii="宋体" w:hAnsi="宋体" w:eastAsia="宋体" w:cs="宋体"/>
                <w:sz w:val="18"/>
                <w:szCs w:val="18"/>
              </w:rPr>
            </w:pPr>
            <w:r>
              <w:rPr>
                <w:rFonts w:ascii="宋体" w:hAnsi="宋体" w:cs="宋体"/>
                <w:sz w:val="18"/>
                <w:szCs w:val="18"/>
              </w:rPr>
              <w:t>乙肝治疗创新药GST-HG141</w:t>
            </w:r>
          </w:p>
        </w:tc>
        <w:tc>
          <w:tcPr>
            <w:tcW w:w="1179" w:type="dxa"/>
            <w:tcBorders>
              <w:top w:val="single" w:color="auto" w:sz="2" w:space="0"/>
              <w:left w:val="single" w:color="auto" w:sz="2" w:space="0"/>
              <w:bottom w:val="single" w:color="auto" w:sz="2" w:space="0"/>
              <w:right w:val="single" w:color="auto" w:sz="2" w:space="0"/>
            </w:tcBorders>
            <w:vAlign w:val="center"/>
          </w:tcPr>
          <w:p w14:paraId="0C4B0EA3">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670" w:type="dxa"/>
            <w:tcBorders>
              <w:top w:val="single" w:color="auto" w:sz="2" w:space="0"/>
              <w:left w:val="single" w:color="auto" w:sz="2" w:space="0"/>
              <w:bottom w:val="single" w:color="auto" w:sz="2" w:space="0"/>
              <w:right w:val="single" w:color="auto" w:sz="2" w:space="0"/>
            </w:tcBorders>
            <w:shd w:val="clear" w:color="auto" w:fill="auto"/>
            <w:vAlign w:val="center"/>
          </w:tcPr>
          <w:p w14:paraId="1B3B3B46">
            <w:pPr>
              <w:spacing w:line="240" w:lineRule="exact"/>
              <w:jc w:val="left"/>
              <w:rPr>
                <w:rFonts w:ascii="宋体" w:hAnsi="宋体" w:eastAsia="宋体" w:cs="宋体"/>
                <w:sz w:val="18"/>
                <w:szCs w:val="18"/>
              </w:rPr>
            </w:pPr>
            <w:r>
              <w:rPr>
                <w:rFonts w:ascii="宋体" w:hAnsi="宋体" w:cs="宋体"/>
                <w:sz w:val="18"/>
                <w:szCs w:val="18"/>
              </w:rPr>
              <w:t>已完成II期临床试验并取得研究总结报告，临床III期试验准备中</w:t>
            </w:r>
          </w:p>
        </w:tc>
        <w:tc>
          <w:tcPr>
            <w:tcW w:w="1100" w:type="dxa"/>
            <w:tcBorders>
              <w:top w:val="single" w:color="auto" w:sz="2" w:space="0"/>
              <w:left w:val="single" w:color="auto" w:sz="2" w:space="0"/>
              <w:bottom w:val="single" w:color="auto" w:sz="2" w:space="0"/>
              <w:right w:val="single" w:color="auto" w:sz="2" w:space="0"/>
            </w:tcBorders>
            <w:vAlign w:val="center"/>
          </w:tcPr>
          <w:p w14:paraId="3D8BE5B5">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763" w:type="dxa"/>
            <w:tcBorders>
              <w:top w:val="single" w:color="auto" w:sz="2" w:space="0"/>
              <w:left w:val="single" w:color="auto" w:sz="2" w:space="0"/>
              <w:bottom w:val="single" w:color="auto" w:sz="2" w:space="0"/>
              <w:right w:val="single" w:color="auto" w:sz="2" w:space="0"/>
            </w:tcBorders>
            <w:vAlign w:val="center"/>
          </w:tcPr>
          <w:p w14:paraId="76B4B81D">
            <w:pPr>
              <w:spacing w:line="240" w:lineRule="exact"/>
              <w:jc w:val="left"/>
              <w:rPr>
                <w:rFonts w:ascii="宋体" w:hAnsi="宋体" w:eastAsia="宋体" w:cs="宋体"/>
                <w:sz w:val="18"/>
                <w:szCs w:val="18"/>
              </w:rPr>
            </w:pPr>
            <w:r>
              <w:rPr>
                <w:rFonts w:ascii="宋体" w:hAnsi="宋体" w:cs="宋体"/>
                <w:sz w:val="18"/>
                <w:szCs w:val="18"/>
              </w:rPr>
              <w:t>创新药品种，增强乙肝治疗领域的市场竞争力</w:t>
            </w:r>
          </w:p>
        </w:tc>
      </w:tr>
      <w:tr w14:paraId="6AD17F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448230FC">
            <w:pPr>
              <w:spacing w:line="240" w:lineRule="exact"/>
              <w:jc w:val="left"/>
              <w:rPr>
                <w:rFonts w:ascii="宋体" w:hAnsi="宋体" w:eastAsia="宋体" w:cs="宋体"/>
                <w:sz w:val="18"/>
                <w:szCs w:val="18"/>
              </w:rPr>
            </w:pPr>
            <w:r>
              <w:rPr>
                <w:rFonts w:ascii="宋体" w:hAnsi="宋体" w:cs="宋体"/>
                <w:sz w:val="18"/>
                <w:szCs w:val="18"/>
              </w:rPr>
              <w:t>乙肝治疗创新药GST-HG131</w:t>
            </w:r>
          </w:p>
        </w:tc>
        <w:tc>
          <w:tcPr>
            <w:tcW w:w="1179" w:type="dxa"/>
            <w:tcBorders>
              <w:top w:val="single" w:color="auto" w:sz="2" w:space="0"/>
              <w:left w:val="single" w:color="auto" w:sz="2" w:space="0"/>
              <w:bottom w:val="single" w:color="auto" w:sz="2" w:space="0"/>
              <w:right w:val="single" w:color="auto" w:sz="2" w:space="0"/>
            </w:tcBorders>
            <w:vAlign w:val="center"/>
          </w:tcPr>
          <w:p w14:paraId="6C2721A0">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670" w:type="dxa"/>
            <w:tcBorders>
              <w:top w:val="single" w:color="auto" w:sz="2" w:space="0"/>
              <w:left w:val="single" w:color="auto" w:sz="2" w:space="0"/>
              <w:bottom w:val="single" w:color="auto" w:sz="2" w:space="0"/>
              <w:right w:val="single" w:color="auto" w:sz="2" w:space="0"/>
            </w:tcBorders>
            <w:shd w:val="clear" w:color="auto" w:fill="auto"/>
            <w:vAlign w:val="center"/>
          </w:tcPr>
          <w:p w14:paraId="59FCB979">
            <w:pPr>
              <w:spacing w:line="240" w:lineRule="exact"/>
              <w:jc w:val="left"/>
              <w:rPr>
                <w:rFonts w:ascii="宋体" w:hAnsi="宋体" w:eastAsia="宋体" w:cs="宋体"/>
                <w:sz w:val="18"/>
                <w:szCs w:val="18"/>
              </w:rPr>
            </w:pPr>
            <w:r>
              <w:rPr>
                <w:rFonts w:ascii="宋体" w:hAnsi="宋体" w:cs="宋体"/>
                <w:sz w:val="18"/>
                <w:szCs w:val="18"/>
              </w:rPr>
              <w:t>IIa 期临床试验研究中，已完成全部患者入组</w:t>
            </w:r>
          </w:p>
        </w:tc>
        <w:tc>
          <w:tcPr>
            <w:tcW w:w="1100" w:type="dxa"/>
            <w:tcBorders>
              <w:top w:val="single" w:color="auto" w:sz="2" w:space="0"/>
              <w:left w:val="single" w:color="auto" w:sz="2" w:space="0"/>
              <w:bottom w:val="single" w:color="auto" w:sz="2" w:space="0"/>
              <w:right w:val="single" w:color="auto" w:sz="2" w:space="0"/>
            </w:tcBorders>
            <w:vAlign w:val="center"/>
          </w:tcPr>
          <w:p w14:paraId="17E20031">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763" w:type="dxa"/>
            <w:tcBorders>
              <w:top w:val="single" w:color="auto" w:sz="2" w:space="0"/>
              <w:left w:val="single" w:color="auto" w:sz="2" w:space="0"/>
              <w:bottom w:val="single" w:color="auto" w:sz="2" w:space="0"/>
              <w:right w:val="single" w:color="auto" w:sz="2" w:space="0"/>
            </w:tcBorders>
            <w:vAlign w:val="center"/>
          </w:tcPr>
          <w:p w14:paraId="3DFEC226">
            <w:pPr>
              <w:spacing w:line="240" w:lineRule="exact"/>
              <w:jc w:val="left"/>
              <w:rPr>
                <w:rFonts w:ascii="宋体" w:hAnsi="宋体" w:eastAsia="宋体" w:cs="宋体"/>
                <w:sz w:val="18"/>
                <w:szCs w:val="18"/>
              </w:rPr>
            </w:pPr>
            <w:r>
              <w:rPr>
                <w:rFonts w:ascii="宋体" w:hAnsi="宋体" w:cs="宋体"/>
                <w:sz w:val="18"/>
                <w:szCs w:val="18"/>
              </w:rPr>
              <w:t>创新药品种，增强乙肝治疗领域的市场竞争力</w:t>
            </w:r>
          </w:p>
        </w:tc>
      </w:tr>
      <w:tr w14:paraId="665AD2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73D4DCF6">
            <w:pPr>
              <w:spacing w:line="240" w:lineRule="exact"/>
              <w:jc w:val="left"/>
              <w:rPr>
                <w:rFonts w:ascii="宋体" w:hAnsi="宋体" w:eastAsia="宋体" w:cs="宋体"/>
                <w:sz w:val="18"/>
                <w:szCs w:val="18"/>
              </w:rPr>
            </w:pPr>
            <w:r>
              <w:rPr>
                <w:rFonts w:ascii="宋体" w:hAnsi="宋体" w:cs="宋体"/>
                <w:sz w:val="18"/>
                <w:szCs w:val="18"/>
              </w:rPr>
              <w:t>乙肝治疗创新药GST-HG131联合GST-HG141</w:t>
            </w:r>
          </w:p>
        </w:tc>
        <w:tc>
          <w:tcPr>
            <w:tcW w:w="1179" w:type="dxa"/>
            <w:tcBorders>
              <w:top w:val="single" w:color="auto" w:sz="2" w:space="0"/>
              <w:left w:val="single" w:color="auto" w:sz="2" w:space="0"/>
              <w:bottom w:val="single" w:color="auto" w:sz="2" w:space="0"/>
              <w:right w:val="single" w:color="auto" w:sz="2" w:space="0"/>
            </w:tcBorders>
            <w:vAlign w:val="center"/>
          </w:tcPr>
          <w:p w14:paraId="386E59EF">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670" w:type="dxa"/>
            <w:tcBorders>
              <w:top w:val="single" w:color="auto" w:sz="2" w:space="0"/>
              <w:left w:val="single" w:color="auto" w:sz="2" w:space="0"/>
              <w:bottom w:val="single" w:color="auto" w:sz="2" w:space="0"/>
              <w:right w:val="single" w:color="auto" w:sz="2" w:space="0"/>
            </w:tcBorders>
            <w:shd w:val="clear" w:color="auto" w:fill="auto"/>
            <w:vAlign w:val="center"/>
          </w:tcPr>
          <w:p w14:paraId="51C6069A">
            <w:pPr>
              <w:spacing w:line="240" w:lineRule="exact"/>
              <w:jc w:val="left"/>
              <w:rPr>
                <w:rFonts w:ascii="宋体" w:hAnsi="宋体" w:eastAsia="宋体" w:cs="宋体"/>
                <w:sz w:val="18"/>
                <w:szCs w:val="18"/>
              </w:rPr>
            </w:pPr>
            <w:r>
              <w:rPr>
                <w:rFonts w:ascii="宋体" w:hAnsi="宋体" w:cs="宋体"/>
                <w:sz w:val="18"/>
                <w:szCs w:val="18"/>
              </w:rPr>
              <w:t>已入选优化创新药临床试验审评审批试点项目，且临床试验申请已获受理</w:t>
            </w:r>
          </w:p>
        </w:tc>
        <w:tc>
          <w:tcPr>
            <w:tcW w:w="1100" w:type="dxa"/>
            <w:tcBorders>
              <w:top w:val="single" w:color="auto" w:sz="2" w:space="0"/>
              <w:left w:val="single" w:color="auto" w:sz="2" w:space="0"/>
              <w:bottom w:val="single" w:color="auto" w:sz="2" w:space="0"/>
              <w:right w:val="single" w:color="auto" w:sz="2" w:space="0"/>
            </w:tcBorders>
            <w:vAlign w:val="center"/>
          </w:tcPr>
          <w:p w14:paraId="48C7A02C">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763" w:type="dxa"/>
            <w:tcBorders>
              <w:top w:val="single" w:color="auto" w:sz="2" w:space="0"/>
              <w:left w:val="single" w:color="auto" w:sz="2" w:space="0"/>
              <w:bottom w:val="single" w:color="auto" w:sz="2" w:space="0"/>
              <w:right w:val="single" w:color="auto" w:sz="2" w:space="0"/>
            </w:tcBorders>
            <w:vAlign w:val="center"/>
          </w:tcPr>
          <w:p w14:paraId="6C5F21F8">
            <w:pPr>
              <w:spacing w:line="240" w:lineRule="exact"/>
              <w:jc w:val="left"/>
              <w:rPr>
                <w:rFonts w:ascii="宋体" w:hAnsi="宋体" w:eastAsia="宋体" w:cs="宋体"/>
                <w:sz w:val="18"/>
                <w:szCs w:val="18"/>
              </w:rPr>
            </w:pPr>
            <w:r>
              <w:rPr>
                <w:rFonts w:ascii="宋体" w:hAnsi="宋体" w:cs="宋体"/>
                <w:sz w:val="18"/>
                <w:szCs w:val="18"/>
              </w:rPr>
              <w:t>创新药品种，增强乙肝治疗领域的市场竞争力</w:t>
            </w:r>
          </w:p>
        </w:tc>
      </w:tr>
      <w:tr w14:paraId="0B40F0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68A2AAE4">
            <w:pPr>
              <w:spacing w:line="240" w:lineRule="exact"/>
              <w:jc w:val="left"/>
              <w:rPr>
                <w:rFonts w:ascii="宋体" w:hAnsi="宋体" w:eastAsia="宋体" w:cs="宋体"/>
                <w:sz w:val="18"/>
                <w:szCs w:val="18"/>
              </w:rPr>
            </w:pPr>
            <w:r>
              <w:rPr>
                <w:rFonts w:ascii="宋体" w:hAnsi="宋体" w:cs="宋体"/>
                <w:sz w:val="18"/>
                <w:szCs w:val="18"/>
              </w:rPr>
              <w:t>乙肝治疗创新药GST-HG121</w:t>
            </w:r>
          </w:p>
        </w:tc>
        <w:tc>
          <w:tcPr>
            <w:tcW w:w="1179" w:type="dxa"/>
            <w:tcBorders>
              <w:top w:val="single" w:color="auto" w:sz="2" w:space="0"/>
              <w:left w:val="single" w:color="auto" w:sz="2" w:space="0"/>
              <w:bottom w:val="single" w:color="auto" w:sz="2" w:space="0"/>
              <w:right w:val="single" w:color="auto" w:sz="2" w:space="0"/>
            </w:tcBorders>
            <w:vAlign w:val="center"/>
          </w:tcPr>
          <w:p w14:paraId="0266E2E7">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670" w:type="dxa"/>
            <w:tcBorders>
              <w:top w:val="single" w:color="auto" w:sz="2" w:space="0"/>
              <w:left w:val="single" w:color="auto" w:sz="2" w:space="0"/>
              <w:bottom w:val="single" w:color="auto" w:sz="2" w:space="0"/>
              <w:right w:val="single" w:color="auto" w:sz="2" w:space="0"/>
            </w:tcBorders>
            <w:shd w:val="clear" w:color="auto" w:fill="auto"/>
            <w:vAlign w:val="center"/>
          </w:tcPr>
          <w:p w14:paraId="44E92D2B">
            <w:pPr>
              <w:spacing w:line="240" w:lineRule="exact"/>
              <w:jc w:val="left"/>
              <w:rPr>
                <w:rFonts w:ascii="宋体" w:hAnsi="宋体" w:eastAsia="宋体" w:cs="宋体"/>
                <w:sz w:val="18"/>
                <w:szCs w:val="18"/>
              </w:rPr>
            </w:pPr>
            <w:r>
              <w:rPr>
                <w:rFonts w:ascii="宋体" w:hAnsi="宋体" w:cs="宋体"/>
                <w:sz w:val="18"/>
                <w:szCs w:val="18"/>
              </w:rPr>
              <w:t>临床I期研究中</w:t>
            </w:r>
          </w:p>
        </w:tc>
        <w:tc>
          <w:tcPr>
            <w:tcW w:w="1100" w:type="dxa"/>
            <w:tcBorders>
              <w:top w:val="single" w:color="auto" w:sz="2" w:space="0"/>
              <w:left w:val="single" w:color="auto" w:sz="2" w:space="0"/>
              <w:bottom w:val="single" w:color="auto" w:sz="2" w:space="0"/>
              <w:right w:val="single" w:color="auto" w:sz="2" w:space="0"/>
            </w:tcBorders>
            <w:vAlign w:val="center"/>
          </w:tcPr>
          <w:p w14:paraId="587D119B">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763" w:type="dxa"/>
            <w:tcBorders>
              <w:top w:val="single" w:color="auto" w:sz="2" w:space="0"/>
              <w:left w:val="single" w:color="auto" w:sz="2" w:space="0"/>
              <w:bottom w:val="single" w:color="auto" w:sz="2" w:space="0"/>
              <w:right w:val="single" w:color="auto" w:sz="2" w:space="0"/>
            </w:tcBorders>
            <w:vAlign w:val="center"/>
          </w:tcPr>
          <w:p w14:paraId="2F6DF2F7">
            <w:pPr>
              <w:spacing w:line="240" w:lineRule="exact"/>
              <w:jc w:val="left"/>
              <w:rPr>
                <w:rFonts w:ascii="宋体" w:hAnsi="宋体" w:eastAsia="宋体" w:cs="宋体"/>
                <w:sz w:val="18"/>
                <w:szCs w:val="18"/>
              </w:rPr>
            </w:pPr>
            <w:r>
              <w:rPr>
                <w:rFonts w:ascii="宋体" w:hAnsi="宋体" w:cs="宋体"/>
                <w:sz w:val="18"/>
                <w:szCs w:val="18"/>
              </w:rPr>
              <w:t>创新药品种，增强乙肝治疗领域的市场竞争力</w:t>
            </w:r>
          </w:p>
        </w:tc>
      </w:tr>
      <w:tr w14:paraId="5B41FC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74921B9F">
            <w:pPr>
              <w:spacing w:line="240" w:lineRule="exact"/>
              <w:jc w:val="left"/>
              <w:rPr>
                <w:rFonts w:ascii="宋体" w:hAnsi="宋体" w:eastAsia="宋体" w:cs="宋体"/>
                <w:sz w:val="18"/>
                <w:szCs w:val="18"/>
              </w:rPr>
            </w:pPr>
            <w:r>
              <w:rPr>
                <w:rFonts w:ascii="宋体" w:hAnsi="宋体" w:cs="宋体"/>
                <w:sz w:val="18"/>
                <w:szCs w:val="18"/>
              </w:rPr>
              <w:t>非酒精性脂肪性肝炎及肝纤维化治疗新药GST-HG151</w:t>
            </w:r>
          </w:p>
        </w:tc>
        <w:tc>
          <w:tcPr>
            <w:tcW w:w="1179" w:type="dxa"/>
            <w:tcBorders>
              <w:top w:val="single" w:color="auto" w:sz="2" w:space="0"/>
              <w:left w:val="single" w:color="auto" w:sz="2" w:space="0"/>
              <w:bottom w:val="single" w:color="auto" w:sz="2" w:space="0"/>
              <w:right w:val="single" w:color="auto" w:sz="2" w:space="0"/>
            </w:tcBorders>
            <w:vAlign w:val="center"/>
          </w:tcPr>
          <w:p w14:paraId="6D35CB97">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670" w:type="dxa"/>
            <w:tcBorders>
              <w:top w:val="single" w:color="auto" w:sz="2" w:space="0"/>
              <w:left w:val="single" w:color="auto" w:sz="2" w:space="0"/>
              <w:bottom w:val="single" w:color="auto" w:sz="2" w:space="0"/>
              <w:right w:val="single" w:color="auto" w:sz="2" w:space="0"/>
            </w:tcBorders>
            <w:shd w:val="clear" w:color="auto" w:fill="auto"/>
            <w:vAlign w:val="center"/>
          </w:tcPr>
          <w:p w14:paraId="7747BE7C">
            <w:pPr>
              <w:spacing w:line="240" w:lineRule="exact"/>
              <w:jc w:val="left"/>
              <w:rPr>
                <w:rFonts w:ascii="宋体" w:hAnsi="宋体" w:eastAsia="宋体" w:cs="宋体"/>
                <w:sz w:val="18"/>
                <w:szCs w:val="18"/>
              </w:rPr>
            </w:pPr>
            <w:r>
              <w:rPr>
                <w:rFonts w:ascii="宋体" w:hAnsi="宋体" w:cs="宋体"/>
                <w:sz w:val="18"/>
                <w:szCs w:val="18"/>
              </w:rPr>
              <w:t>临床I期研究中</w:t>
            </w:r>
          </w:p>
        </w:tc>
        <w:tc>
          <w:tcPr>
            <w:tcW w:w="1100" w:type="dxa"/>
            <w:tcBorders>
              <w:top w:val="single" w:color="auto" w:sz="2" w:space="0"/>
              <w:left w:val="single" w:color="auto" w:sz="2" w:space="0"/>
              <w:bottom w:val="single" w:color="auto" w:sz="2" w:space="0"/>
              <w:right w:val="single" w:color="auto" w:sz="2" w:space="0"/>
            </w:tcBorders>
            <w:vAlign w:val="center"/>
          </w:tcPr>
          <w:p w14:paraId="353DA8FB">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763" w:type="dxa"/>
            <w:tcBorders>
              <w:top w:val="single" w:color="auto" w:sz="2" w:space="0"/>
              <w:left w:val="single" w:color="auto" w:sz="2" w:space="0"/>
              <w:bottom w:val="single" w:color="auto" w:sz="2" w:space="0"/>
              <w:right w:val="single" w:color="auto" w:sz="2" w:space="0"/>
            </w:tcBorders>
            <w:vAlign w:val="center"/>
          </w:tcPr>
          <w:p w14:paraId="7980B5A6">
            <w:pPr>
              <w:spacing w:line="240" w:lineRule="exact"/>
              <w:jc w:val="left"/>
              <w:rPr>
                <w:rFonts w:ascii="宋体" w:hAnsi="宋体" w:eastAsia="宋体" w:cs="宋体"/>
                <w:sz w:val="18"/>
                <w:szCs w:val="18"/>
              </w:rPr>
            </w:pPr>
            <w:r>
              <w:rPr>
                <w:rFonts w:ascii="宋体" w:hAnsi="宋体" w:cs="宋体"/>
                <w:sz w:val="18"/>
                <w:szCs w:val="18"/>
              </w:rPr>
              <w:t>创新药品种，增强肝病治疗领域的市场竞争力</w:t>
            </w:r>
          </w:p>
        </w:tc>
      </w:tr>
      <w:tr w14:paraId="78EE68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0EC40F00">
            <w:pPr>
              <w:spacing w:line="240" w:lineRule="exact"/>
              <w:jc w:val="left"/>
              <w:rPr>
                <w:rFonts w:ascii="宋体" w:hAnsi="宋体" w:eastAsia="宋体" w:cs="宋体"/>
                <w:sz w:val="18"/>
                <w:szCs w:val="18"/>
              </w:rPr>
            </w:pPr>
            <w:r>
              <w:rPr>
                <w:rFonts w:ascii="宋体" w:hAnsi="宋体" w:cs="宋体"/>
                <w:sz w:val="18"/>
                <w:szCs w:val="18"/>
              </w:rPr>
              <w:t>新型c-Met靶向药物GST-HG161</w:t>
            </w:r>
          </w:p>
        </w:tc>
        <w:tc>
          <w:tcPr>
            <w:tcW w:w="1179" w:type="dxa"/>
            <w:tcBorders>
              <w:top w:val="single" w:color="auto" w:sz="2" w:space="0"/>
              <w:left w:val="single" w:color="auto" w:sz="2" w:space="0"/>
              <w:bottom w:val="single" w:color="auto" w:sz="2" w:space="0"/>
              <w:right w:val="single" w:color="auto" w:sz="2" w:space="0"/>
            </w:tcBorders>
            <w:vAlign w:val="center"/>
          </w:tcPr>
          <w:p w14:paraId="6BA4AAC7">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670" w:type="dxa"/>
            <w:tcBorders>
              <w:top w:val="single" w:color="auto" w:sz="2" w:space="0"/>
              <w:left w:val="single" w:color="auto" w:sz="2" w:space="0"/>
              <w:bottom w:val="single" w:color="auto" w:sz="2" w:space="0"/>
              <w:right w:val="single" w:color="auto" w:sz="2" w:space="0"/>
            </w:tcBorders>
            <w:shd w:val="clear" w:color="auto" w:fill="auto"/>
            <w:vAlign w:val="center"/>
          </w:tcPr>
          <w:p w14:paraId="6AD139FB">
            <w:pPr>
              <w:spacing w:line="240" w:lineRule="exact"/>
              <w:jc w:val="left"/>
              <w:rPr>
                <w:rFonts w:ascii="宋体" w:hAnsi="宋体" w:eastAsia="宋体" w:cs="宋体"/>
                <w:sz w:val="18"/>
                <w:szCs w:val="18"/>
              </w:rPr>
            </w:pPr>
            <w:r>
              <w:rPr>
                <w:rFonts w:ascii="宋体" w:hAnsi="宋体" w:cs="宋体"/>
                <w:sz w:val="18"/>
                <w:szCs w:val="18"/>
              </w:rPr>
              <w:t>Ib期多中心扩展阶段试验研究已结束</w:t>
            </w:r>
          </w:p>
        </w:tc>
        <w:tc>
          <w:tcPr>
            <w:tcW w:w="1100" w:type="dxa"/>
            <w:tcBorders>
              <w:top w:val="single" w:color="auto" w:sz="2" w:space="0"/>
              <w:left w:val="single" w:color="auto" w:sz="2" w:space="0"/>
              <w:bottom w:val="single" w:color="auto" w:sz="2" w:space="0"/>
              <w:right w:val="single" w:color="auto" w:sz="2" w:space="0"/>
            </w:tcBorders>
            <w:vAlign w:val="center"/>
          </w:tcPr>
          <w:p w14:paraId="4E1DCF89">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763" w:type="dxa"/>
            <w:tcBorders>
              <w:top w:val="single" w:color="auto" w:sz="2" w:space="0"/>
              <w:left w:val="single" w:color="auto" w:sz="2" w:space="0"/>
              <w:bottom w:val="single" w:color="auto" w:sz="2" w:space="0"/>
              <w:right w:val="single" w:color="auto" w:sz="2" w:space="0"/>
            </w:tcBorders>
            <w:vAlign w:val="center"/>
          </w:tcPr>
          <w:p w14:paraId="7C0D63D9">
            <w:pPr>
              <w:spacing w:line="240" w:lineRule="exact"/>
              <w:jc w:val="left"/>
              <w:rPr>
                <w:rFonts w:ascii="宋体" w:hAnsi="宋体" w:eastAsia="宋体" w:cs="宋体"/>
                <w:sz w:val="18"/>
                <w:szCs w:val="18"/>
              </w:rPr>
            </w:pPr>
            <w:r>
              <w:rPr>
                <w:rFonts w:ascii="宋体" w:hAnsi="宋体" w:cs="宋体"/>
                <w:sz w:val="18"/>
                <w:szCs w:val="18"/>
              </w:rPr>
              <w:t>创新药品种，增强肝病治疗领域的市场竞争力</w:t>
            </w:r>
          </w:p>
        </w:tc>
      </w:tr>
      <w:tr w14:paraId="5B1D6F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282F789A">
            <w:pPr>
              <w:spacing w:line="240" w:lineRule="exact"/>
              <w:jc w:val="left"/>
              <w:rPr>
                <w:rFonts w:ascii="宋体" w:hAnsi="宋体" w:eastAsia="宋体" w:cs="宋体"/>
                <w:sz w:val="18"/>
                <w:szCs w:val="18"/>
              </w:rPr>
            </w:pPr>
            <w:r>
              <w:rPr>
                <w:rFonts w:ascii="宋体" w:hAnsi="宋体" w:cs="宋体"/>
                <w:sz w:val="18"/>
                <w:szCs w:val="18"/>
              </w:rPr>
              <w:t>硫酸羟氯喹片</w:t>
            </w:r>
          </w:p>
        </w:tc>
        <w:tc>
          <w:tcPr>
            <w:tcW w:w="1179" w:type="dxa"/>
            <w:tcBorders>
              <w:top w:val="single" w:color="auto" w:sz="2" w:space="0"/>
              <w:left w:val="single" w:color="auto" w:sz="2" w:space="0"/>
              <w:bottom w:val="single" w:color="auto" w:sz="2" w:space="0"/>
              <w:right w:val="single" w:color="auto" w:sz="2" w:space="0"/>
            </w:tcBorders>
            <w:vAlign w:val="center"/>
          </w:tcPr>
          <w:p w14:paraId="72BF04A3">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670" w:type="dxa"/>
            <w:tcBorders>
              <w:top w:val="single" w:color="auto" w:sz="2" w:space="0"/>
              <w:left w:val="single" w:color="auto" w:sz="2" w:space="0"/>
              <w:bottom w:val="single" w:color="auto" w:sz="2" w:space="0"/>
              <w:right w:val="single" w:color="auto" w:sz="2" w:space="0"/>
            </w:tcBorders>
            <w:shd w:val="clear" w:color="auto" w:fill="auto"/>
            <w:vAlign w:val="center"/>
          </w:tcPr>
          <w:p w14:paraId="2689CD7D">
            <w:pPr>
              <w:spacing w:line="240" w:lineRule="exact"/>
              <w:jc w:val="left"/>
              <w:rPr>
                <w:rFonts w:ascii="宋体" w:hAnsi="宋体" w:eastAsia="宋体" w:cs="宋体"/>
                <w:sz w:val="18"/>
                <w:szCs w:val="18"/>
              </w:rPr>
            </w:pPr>
            <w:r>
              <w:rPr>
                <w:rFonts w:hint="eastAsia"/>
                <w:color w:val="000000"/>
                <w:sz w:val="18"/>
                <w:szCs w:val="18"/>
              </w:rPr>
              <w:t>2025年1月已获批上市，药品批准文号：国药准字H20253089</w:t>
            </w:r>
          </w:p>
        </w:tc>
        <w:tc>
          <w:tcPr>
            <w:tcW w:w="1100" w:type="dxa"/>
            <w:tcBorders>
              <w:top w:val="single" w:color="auto" w:sz="2" w:space="0"/>
              <w:left w:val="single" w:color="auto" w:sz="2" w:space="0"/>
              <w:bottom w:val="single" w:color="auto" w:sz="2" w:space="0"/>
              <w:right w:val="single" w:color="auto" w:sz="2" w:space="0"/>
            </w:tcBorders>
            <w:vAlign w:val="center"/>
          </w:tcPr>
          <w:p w14:paraId="1D3B754A">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763" w:type="dxa"/>
            <w:tcBorders>
              <w:top w:val="single" w:color="auto" w:sz="2" w:space="0"/>
              <w:left w:val="single" w:color="auto" w:sz="2" w:space="0"/>
              <w:bottom w:val="single" w:color="auto" w:sz="2" w:space="0"/>
              <w:right w:val="single" w:color="auto" w:sz="2" w:space="0"/>
            </w:tcBorders>
            <w:vAlign w:val="center"/>
          </w:tcPr>
          <w:p w14:paraId="01B9AD39">
            <w:pPr>
              <w:spacing w:line="240" w:lineRule="exact"/>
              <w:jc w:val="left"/>
              <w:rPr>
                <w:rFonts w:ascii="宋体" w:hAnsi="宋体" w:eastAsia="宋体" w:cs="宋体"/>
                <w:sz w:val="18"/>
                <w:szCs w:val="18"/>
              </w:rPr>
            </w:pPr>
            <w:r>
              <w:rPr>
                <w:rFonts w:ascii="宋体" w:hAnsi="宋体" w:cs="宋体"/>
                <w:sz w:val="18"/>
                <w:szCs w:val="18"/>
              </w:rPr>
              <w:t>丰富产品线，增强市场竞争力</w:t>
            </w:r>
          </w:p>
        </w:tc>
      </w:tr>
      <w:tr w14:paraId="30B46C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3CE4C437">
            <w:pPr>
              <w:spacing w:line="240" w:lineRule="exact"/>
              <w:jc w:val="left"/>
              <w:rPr>
                <w:rFonts w:ascii="宋体" w:hAnsi="宋体" w:eastAsia="宋体" w:cs="宋体"/>
                <w:sz w:val="18"/>
                <w:szCs w:val="18"/>
              </w:rPr>
            </w:pPr>
            <w:r>
              <w:rPr>
                <w:rFonts w:ascii="宋体" w:hAnsi="宋体" w:cs="宋体"/>
                <w:sz w:val="18"/>
                <w:szCs w:val="18"/>
              </w:rPr>
              <w:t>熊去氧胆酸胶囊</w:t>
            </w:r>
          </w:p>
        </w:tc>
        <w:tc>
          <w:tcPr>
            <w:tcW w:w="1179" w:type="dxa"/>
            <w:tcBorders>
              <w:top w:val="single" w:color="auto" w:sz="2" w:space="0"/>
              <w:left w:val="single" w:color="auto" w:sz="2" w:space="0"/>
              <w:bottom w:val="single" w:color="auto" w:sz="2" w:space="0"/>
              <w:right w:val="single" w:color="auto" w:sz="2" w:space="0"/>
            </w:tcBorders>
            <w:vAlign w:val="center"/>
          </w:tcPr>
          <w:p w14:paraId="2C6DA871">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670" w:type="dxa"/>
            <w:tcBorders>
              <w:top w:val="single" w:color="auto" w:sz="2" w:space="0"/>
              <w:left w:val="single" w:color="auto" w:sz="2" w:space="0"/>
              <w:bottom w:val="single" w:color="auto" w:sz="2" w:space="0"/>
              <w:right w:val="single" w:color="auto" w:sz="2" w:space="0"/>
            </w:tcBorders>
            <w:shd w:val="clear" w:color="auto" w:fill="auto"/>
            <w:vAlign w:val="center"/>
          </w:tcPr>
          <w:p w14:paraId="317F3CD5">
            <w:pPr>
              <w:spacing w:line="240" w:lineRule="exact"/>
              <w:jc w:val="left"/>
              <w:rPr>
                <w:rFonts w:ascii="宋体" w:hAnsi="宋体" w:eastAsia="宋体" w:cs="宋体"/>
                <w:sz w:val="18"/>
                <w:szCs w:val="18"/>
              </w:rPr>
            </w:pPr>
            <w:r>
              <w:rPr>
                <w:rFonts w:ascii="宋体" w:hAnsi="宋体" w:cs="宋体"/>
                <w:sz w:val="18"/>
                <w:szCs w:val="18"/>
              </w:rPr>
              <w:t>2024年5月已获批上市，药品批准文号：国药准字 H20243705</w:t>
            </w:r>
          </w:p>
        </w:tc>
        <w:tc>
          <w:tcPr>
            <w:tcW w:w="1100" w:type="dxa"/>
            <w:tcBorders>
              <w:top w:val="single" w:color="auto" w:sz="2" w:space="0"/>
              <w:left w:val="single" w:color="auto" w:sz="2" w:space="0"/>
              <w:bottom w:val="single" w:color="auto" w:sz="2" w:space="0"/>
              <w:right w:val="single" w:color="auto" w:sz="2" w:space="0"/>
            </w:tcBorders>
            <w:vAlign w:val="center"/>
          </w:tcPr>
          <w:p w14:paraId="0E21EA81">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763" w:type="dxa"/>
            <w:tcBorders>
              <w:top w:val="single" w:color="auto" w:sz="2" w:space="0"/>
              <w:left w:val="single" w:color="auto" w:sz="2" w:space="0"/>
              <w:bottom w:val="single" w:color="auto" w:sz="2" w:space="0"/>
              <w:right w:val="single" w:color="auto" w:sz="2" w:space="0"/>
            </w:tcBorders>
            <w:vAlign w:val="center"/>
          </w:tcPr>
          <w:p w14:paraId="64E398BE">
            <w:pPr>
              <w:spacing w:line="240" w:lineRule="exact"/>
              <w:jc w:val="left"/>
              <w:rPr>
                <w:rFonts w:ascii="宋体" w:hAnsi="宋体" w:eastAsia="宋体" w:cs="宋体"/>
                <w:sz w:val="18"/>
                <w:szCs w:val="18"/>
              </w:rPr>
            </w:pPr>
            <w:r>
              <w:rPr>
                <w:rFonts w:ascii="宋体" w:hAnsi="宋体" w:cs="宋体"/>
                <w:sz w:val="18"/>
                <w:szCs w:val="18"/>
              </w:rPr>
              <w:t>拓展公司保肝护肝领域产品系列，进一步丰富公司产品管线，实现产业链的协同和延伸。</w:t>
            </w:r>
          </w:p>
        </w:tc>
      </w:tr>
      <w:tr w14:paraId="58A1DE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27DEDB83">
            <w:pPr>
              <w:spacing w:line="240" w:lineRule="exact"/>
              <w:jc w:val="left"/>
              <w:rPr>
                <w:rFonts w:ascii="宋体" w:hAnsi="宋体" w:eastAsia="宋体" w:cs="宋体"/>
                <w:sz w:val="18"/>
                <w:szCs w:val="18"/>
              </w:rPr>
            </w:pPr>
            <w:r>
              <w:rPr>
                <w:rFonts w:ascii="宋体" w:hAnsi="宋体" w:cs="宋体"/>
                <w:sz w:val="18"/>
                <w:szCs w:val="18"/>
              </w:rPr>
              <w:t>硫酸氢氯吡格雷阿司匹林片</w:t>
            </w:r>
          </w:p>
        </w:tc>
        <w:tc>
          <w:tcPr>
            <w:tcW w:w="1179" w:type="dxa"/>
            <w:tcBorders>
              <w:top w:val="single" w:color="auto" w:sz="2" w:space="0"/>
              <w:left w:val="single" w:color="auto" w:sz="2" w:space="0"/>
              <w:bottom w:val="single" w:color="auto" w:sz="2" w:space="0"/>
              <w:right w:val="single" w:color="auto" w:sz="2" w:space="0"/>
            </w:tcBorders>
            <w:vAlign w:val="center"/>
          </w:tcPr>
          <w:p w14:paraId="4F9327B5">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670" w:type="dxa"/>
            <w:tcBorders>
              <w:top w:val="single" w:color="auto" w:sz="2" w:space="0"/>
              <w:left w:val="single" w:color="auto" w:sz="2" w:space="0"/>
              <w:bottom w:val="single" w:color="auto" w:sz="2" w:space="0"/>
              <w:right w:val="single" w:color="auto" w:sz="2" w:space="0"/>
            </w:tcBorders>
            <w:shd w:val="clear" w:color="auto" w:fill="auto"/>
            <w:vAlign w:val="center"/>
          </w:tcPr>
          <w:p w14:paraId="20E05C1F">
            <w:pPr>
              <w:spacing w:line="240" w:lineRule="exact"/>
              <w:jc w:val="left"/>
              <w:rPr>
                <w:rFonts w:ascii="宋体" w:hAnsi="宋体" w:eastAsia="宋体" w:cs="宋体"/>
                <w:sz w:val="18"/>
                <w:szCs w:val="18"/>
              </w:rPr>
            </w:pPr>
            <w:r>
              <w:rPr>
                <w:rFonts w:ascii="宋体" w:hAnsi="宋体" w:cs="宋体"/>
                <w:sz w:val="18"/>
                <w:szCs w:val="18"/>
              </w:rPr>
              <w:t>注册申报前补充研究进行中</w:t>
            </w:r>
          </w:p>
        </w:tc>
        <w:tc>
          <w:tcPr>
            <w:tcW w:w="1100" w:type="dxa"/>
            <w:tcBorders>
              <w:top w:val="single" w:color="auto" w:sz="2" w:space="0"/>
              <w:left w:val="single" w:color="auto" w:sz="2" w:space="0"/>
              <w:bottom w:val="single" w:color="auto" w:sz="2" w:space="0"/>
              <w:right w:val="single" w:color="auto" w:sz="2" w:space="0"/>
            </w:tcBorders>
            <w:vAlign w:val="center"/>
          </w:tcPr>
          <w:p w14:paraId="0A6D24A9">
            <w:pPr>
              <w:spacing w:line="240" w:lineRule="exact"/>
              <w:jc w:val="left"/>
              <w:rPr>
                <w:rFonts w:ascii="宋体" w:hAnsi="宋体" w:eastAsia="宋体" w:cs="宋体"/>
                <w:sz w:val="18"/>
                <w:szCs w:val="18"/>
              </w:rPr>
            </w:pPr>
            <w:r>
              <w:rPr>
                <w:rFonts w:ascii="宋体" w:hAnsi="宋体" w:cs="宋体"/>
                <w:sz w:val="18"/>
                <w:szCs w:val="18"/>
              </w:rPr>
              <w:t>取得药品批准文号</w:t>
            </w:r>
          </w:p>
        </w:tc>
        <w:tc>
          <w:tcPr>
            <w:tcW w:w="2763" w:type="dxa"/>
            <w:tcBorders>
              <w:top w:val="single" w:color="auto" w:sz="2" w:space="0"/>
              <w:left w:val="single" w:color="auto" w:sz="2" w:space="0"/>
              <w:bottom w:val="single" w:color="auto" w:sz="2" w:space="0"/>
              <w:right w:val="single" w:color="auto" w:sz="2" w:space="0"/>
            </w:tcBorders>
            <w:vAlign w:val="center"/>
          </w:tcPr>
          <w:p w14:paraId="5EF57691">
            <w:pPr>
              <w:spacing w:line="240" w:lineRule="exact"/>
              <w:jc w:val="left"/>
              <w:rPr>
                <w:rFonts w:ascii="宋体" w:hAnsi="宋体" w:eastAsia="宋体" w:cs="宋体"/>
                <w:sz w:val="18"/>
                <w:szCs w:val="18"/>
              </w:rPr>
            </w:pPr>
            <w:r>
              <w:rPr>
                <w:rFonts w:ascii="宋体" w:hAnsi="宋体" w:cs="宋体"/>
                <w:sz w:val="18"/>
                <w:szCs w:val="18"/>
              </w:rPr>
              <w:t>丰富高端仿制药产品管线，助力公司建立产品差异化竞争优势</w:t>
            </w:r>
          </w:p>
        </w:tc>
      </w:tr>
    </w:tbl>
    <w:p w14:paraId="23965FA6">
      <w:pPr>
        <w:spacing w:before="40" w:after="40" w:line="240" w:lineRule="exact"/>
        <w:jc w:val="left"/>
        <w:rPr>
          <w:rFonts w:ascii="宋体" w:hAnsi="宋体" w:eastAsia="宋体" w:cs="宋体"/>
          <w:sz w:val="18"/>
          <w:szCs w:val="18"/>
        </w:rPr>
      </w:pPr>
      <w:r>
        <w:rPr>
          <w:rFonts w:ascii="宋体" w:hAnsi="宋体" w:eastAsia="宋体" w:cs="宋体"/>
          <w:sz w:val="18"/>
          <w:szCs w:val="18"/>
        </w:rPr>
        <w:t>公司研发人员情况</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4A7024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A227ECC"/>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E93D78E">
            <w:pPr>
              <w:spacing w:before="40" w:after="40" w:line="240" w:lineRule="exact"/>
              <w:jc w:val="center"/>
              <w:rPr>
                <w:rFonts w:ascii="宋体" w:hAnsi="宋体" w:eastAsia="宋体" w:cs="宋体"/>
                <w:sz w:val="18"/>
                <w:szCs w:val="18"/>
              </w:rPr>
            </w:pPr>
            <w:r>
              <w:rPr>
                <w:rFonts w:ascii="宋体" w:hAnsi="宋体" w:eastAsia="宋体" w:cs="宋体"/>
                <w:sz w:val="18"/>
                <w:szCs w:val="18"/>
              </w:rPr>
              <w:t>2024年</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D351F55">
            <w:pPr>
              <w:spacing w:before="40" w:after="40" w:line="240" w:lineRule="exact"/>
              <w:jc w:val="center"/>
              <w:rPr>
                <w:rFonts w:ascii="宋体" w:hAnsi="宋体" w:eastAsia="宋体" w:cs="宋体"/>
                <w:sz w:val="18"/>
                <w:szCs w:val="18"/>
              </w:rPr>
            </w:pPr>
            <w:r>
              <w:rPr>
                <w:rFonts w:ascii="宋体" w:hAnsi="宋体" w:eastAsia="宋体" w:cs="宋体"/>
                <w:sz w:val="18"/>
                <w:szCs w:val="18"/>
              </w:rPr>
              <w:t>2023年</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973E564">
            <w:pPr>
              <w:spacing w:before="40" w:after="40" w:line="240" w:lineRule="exact"/>
              <w:jc w:val="center"/>
              <w:rPr>
                <w:rFonts w:ascii="宋体" w:hAnsi="宋体" w:eastAsia="宋体" w:cs="宋体"/>
                <w:sz w:val="18"/>
                <w:szCs w:val="18"/>
              </w:rPr>
            </w:pPr>
            <w:r>
              <w:rPr>
                <w:rFonts w:ascii="宋体" w:hAnsi="宋体" w:eastAsia="宋体" w:cs="宋体"/>
                <w:sz w:val="18"/>
                <w:szCs w:val="18"/>
              </w:rPr>
              <w:t>变动比例</w:t>
            </w:r>
          </w:p>
        </w:tc>
      </w:tr>
      <w:tr w14:paraId="7B5D92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0E55FAE">
            <w:pPr>
              <w:spacing w:before="40" w:after="40" w:line="240" w:lineRule="exact"/>
              <w:jc w:val="left"/>
              <w:rPr>
                <w:rFonts w:ascii="宋体" w:hAnsi="宋体" w:eastAsia="宋体" w:cs="宋体"/>
                <w:sz w:val="18"/>
                <w:szCs w:val="18"/>
              </w:rPr>
            </w:pPr>
            <w:r>
              <w:rPr>
                <w:rFonts w:ascii="宋体" w:hAnsi="宋体" w:eastAsia="宋体" w:cs="宋体"/>
                <w:sz w:val="18"/>
                <w:szCs w:val="18"/>
              </w:rPr>
              <w:t>研发人员数量（人）</w:t>
            </w:r>
          </w:p>
        </w:tc>
        <w:tc>
          <w:tcPr>
            <w:tcW w:w="2410" w:type="dxa"/>
            <w:tcBorders>
              <w:top w:val="single" w:color="auto" w:sz="2" w:space="0"/>
              <w:left w:val="single" w:color="auto" w:sz="2" w:space="0"/>
              <w:bottom w:val="single" w:color="auto" w:sz="2" w:space="0"/>
              <w:right w:val="single" w:color="auto" w:sz="2" w:space="0"/>
            </w:tcBorders>
            <w:vAlign w:val="center"/>
          </w:tcPr>
          <w:p w14:paraId="325A5D76">
            <w:pPr>
              <w:spacing w:before="0" w:after="0" w:line="240" w:lineRule="exact"/>
              <w:jc w:val="right"/>
              <w:rPr>
                <w:rFonts w:ascii="宋体" w:hAnsi="宋体" w:eastAsia="宋体" w:cs="宋体"/>
                <w:sz w:val="18"/>
                <w:szCs w:val="18"/>
              </w:rPr>
            </w:pPr>
            <w:r>
              <w:rPr>
                <w:rFonts w:ascii="宋体" w:hAnsi="宋体" w:eastAsia="宋体" w:cs="宋体"/>
                <w:sz w:val="18"/>
                <w:szCs w:val="18"/>
              </w:rPr>
              <w:t>76</w:t>
            </w:r>
          </w:p>
        </w:tc>
        <w:tc>
          <w:tcPr>
            <w:tcW w:w="2410" w:type="dxa"/>
            <w:tcBorders>
              <w:top w:val="single" w:color="auto" w:sz="2" w:space="0"/>
              <w:left w:val="single" w:color="auto" w:sz="2" w:space="0"/>
              <w:bottom w:val="single" w:color="auto" w:sz="2" w:space="0"/>
              <w:right w:val="single" w:color="auto" w:sz="2" w:space="0"/>
            </w:tcBorders>
            <w:vAlign w:val="center"/>
          </w:tcPr>
          <w:p w14:paraId="0817E8C2">
            <w:pPr>
              <w:spacing w:before="0" w:after="0" w:line="240" w:lineRule="exact"/>
              <w:jc w:val="right"/>
              <w:rPr>
                <w:rFonts w:ascii="宋体" w:hAnsi="宋体" w:eastAsia="宋体" w:cs="宋体"/>
                <w:sz w:val="18"/>
                <w:szCs w:val="18"/>
              </w:rPr>
            </w:pPr>
            <w:r>
              <w:rPr>
                <w:rFonts w:ascii="宋体" w:hAnsi="宋体" w:eastAsia="宋体" w:cs="宋体"/>
                <w:sz w:val="18"/>
                <w:szCs w:val="18"/>
              </w:rPr>
              <w:t>91</w:t>
            </w:r>
          </w:p>
        </w:tc>
        <w:tc>
          <w:tcPr>
            <w:tcW w:w="2410" w:type="dxa"/>
            <w:tcBorders>
              <w:top w:val="single" w:color="auto" w:sz="2" w:space="0"/>
              <w:left w:val="single" w:color="auto" w:sz="2" w:space="0"/>
              <w:bottom w:val="single" w:color="auto" w:sz="2" w:space="0"/>
              <w:right w:val="single" w:color="auto" w:sz="2" w:space="0"/>
            </w:tcBorders>
            <w:vAlign w:val="center"/>
          </w:tcPr>
          <w:p w14:paraId="5D4915BC">
            <w:pPr>
              <w:spacing w:before="0" w:after="0" w:line="240" w:lineRule="exact"/>
              <w:jc w:val="right"/>
              <w:rPr>
                <w:rFonts w:ascii="宋体" w:hAnsi="宋体" w:eastAsia="宋体" w:cs="宋体"/>
                <w:sz w:val="18"/>
                <w:szCs w:val="18"/>
              </w:rPr>
            </w:pPr>
            <w:r>
              <w:rPr>
                <w:rFonts w:ascii="宋体" w:hAnsi="宋体" w:eastAsia="宋体" w:cs="宋体"/>
                <w:sz w:val="18"/>
                <w:szCs w:val="18"/>
              </w:rPr>
              <w:t>-16.48%</w:t>
            </w:r>
          </w:p>
        </w:tc>
      </w:tr>
      <w:tr w14:paraId="400A9D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7CEDD98">
            <w:pPr>
              <w:spacing w:before="40" w:after="40" w:line="240" w:lineRule="exact"/>
              <w:jc w:val="left"/>
              <w:rPr>
                <w:rFonts w:ascii="宋体" w:hAnsi="宋体" w:eastAsia="宋体" w:cs="宋体"/>
                <w:sz w:val="18"/>
                <w:szCs w:val="18"/>
              </w:rPr>
            </w:pPr>
            <w:r>
              <w:rPr>
                <w:rFonts w:ascii="宋体" w:hAnsi="宋体" w:eastAsia="宋体" w:cs="宋体"/>
                <w:sz w:val="18"/>
                <w:szCs w:val="18"/>
              </w:rPr>
              <w:t>研发人员数量占比</w:t>
            </w:r>
          </w:p>
        </w:tc>
        <w:tc>
          <w:tcPr>
            <w:tcW w:w="2410" w:type="dxa"/>
            <w:tcBorders>
              <w:top w:val="single" w:color="auto" w:sz="2" w:space="0"/>
              <w:left w:val="single" w:color="auto" w:sz="2" w:space="0"/>
              <w:bottom w:val="single" w:color="auto" w:sz="2" w:space="0"/>
              <w:right w:val="single" w:color="auto" w:sz="2" w:space="0"/>
            </w:tcBorders>
            <w:vAlign w:val="center"/>
          </w:tcPr>
          <w:p w14:paraId="4C598B73">
            <w:pPr>
              <w:spacing w:before="0" w:after="0" w:line="240" w:lineRule="exact"/>
              <w:jc w:val="right"/>
              <w:rPr>
                <w:rFonts w:ascii="宋体" w:hAnsi="宋体" w:eastAsia="宋体" w:cs="宋体"/>
                <w:sz w:val="18"/>
                <w:szCs w:val="18"/>
              </w:rPr>
            </w:pPr>
            <w:r>
              <w:rPr>
                <w:rFonts w:ascii="宋体" w:hAnsi="宋体" w:eastAsia="宋体" w:cs="宋体"/>
                <w:sz w:val="18"/>
                <w:szCs w:val="18"/>
              </w:rPr>
              <w:t>10.00%</w:t>
            </w:r>
          </w:p>
        </w:tc>
        <w:tc>
          <w:tcPr>
            <w:tcW w:w="2410" w:type="dxa"/>
            <w:tcBorders>
              <w:top w:val="single" w:color="auto" w:sz="2" w:space="0"/>
              <w:left w:val="single" w:color="auto" w:sz="2" w:space="0"/>
              <w:bottom w:val="single" w:color="auto" w:sz="2" w:space="0"/>
              <w:right w:val="single" w:color="auto" w:sz="2" w:space="0"/>
            </w:tcBorders>
            <w:vAlign w:val="center"/>
          </w:tcPr>
          <w:p w14:paraId="46A74274">
            <w:pPr>
              <w:spacing w:before="0" w:after="0" w:line="240" w:lineRule="exact"/>
              <w:jc w:val="right"/>
              <w:rPr>
                <w:rFonts w:ascii="宋体" w:hAnsi="宋体" w:eastAsia="宋体" w:cs="宋体"/>
                <w:sz w:val="18"/>
                <w:szCs w:val="18"/>
              </w:rPr>
            </w:pPr>
            <w:r>
              <w:rPr>
                <w:rFonts w:ascii="宋体" w:hAnsi="宋体" w:eastAsia="宋体" w:cs="宋体"/>
                <w:sz w:val="18"/>
                <w:szCs w:val="18"/>
              </w:rPr>
              <w:t>10.36%</w:t>
            </w:r>
          </w:p>
        </w:tc>
        <w:tc>
          <w:tcPr>
            <w:tcW w:w="2410" w:type="dxa"/>
            <w:tcBorders>
              <w:top w:val="single" w:color="auto" w:sz="2" w:space="0"/>
              <w:left w:val="single" w:color="auto" w:sz="2" w:space="0"/>
              <w:bottom w:val="single" w:color="auto" w:sz="2" w:space="0"/>
              <w:right w:val="single" w:color="auto" w:sz="2" w:space="0"/>
            </w:tcBorders>
            <w:vAlign w:val="center"/>
          </w:tcPr>
          <w:p w14:paraId="299C7A2C">
            <w:pPr>
              <w:spacing w:before="0" w:after="0" w:line="240" w:lineRule="exact"/>
              <w:jc w:val="right"/>
              <w:rPr>
                <w:rFonts w:ascii="宋体" w:hAnsi="宋体" w:eastAsia="宋体" w:cs="宋体"/>
                <w:sz w:val="18"/>
                <w:szCs w:val="18"/>
              </w:rPr>
            </w:pPr>
            <w:r>
              <w:rPr>
                <w:rFonts w:ascii="宋体" w:hAnsi="宋体" w:eastAsia="宋体" w:cs="宋体"/>
                <w:sz w:val="18"/>
                <w:szCs w:val="18"/>
              </w:rPr>
              <w:t>-0.36%</w:t>
            </w:r>
          </w:p>
        </w:tc>
      </w:tr>
      <w:tr w14:paraId="295547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0B4F8022">
            <w:pPr>
              <w:spacing w:before="40" w:after="40" w:line="240" w:lineRule="exact"/>
              <w:jc w:val="left"/>
              <w:rPr>
                <w:rFonts w:ascii="宋体" w:hAnsi="宋体" w:eastAsia="宋体" w:cs="宋体"/>
                <w:sz w:val="18"/>
                <w:szCs w:val="18"/>
              </w:rPr>
            </w:pPr>
            <w:r>
              <w:rPr>
                <w:rFonts w:ascii="宋体" w:hAnsi="宋体" w:eastAsia="宋体" w:cs="宋体"/>
                <w:sz w:val="18"/>
                <w:szCs w:val="18"/>
              </w:rPr>
              <w:t>研发人员学历</w:t>
            </w:r>
          </w:p>
        </w:tc>
      </w:tr>
      <w:tr w14:paraId="5463E7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E275BA0">
            <w:pPr>
              <w:spacing w:before="40" w:after="40" w:line="240" w:lineRule="exact"/>
              <w:jc w:val="left"/>
              <w:rPr>
                <w:rFonts w:ascii="宋体" w:hAnsi="宋体" w:eastAsia="宋体" w:cs="宋体"/>
                <w:sz w:val="18"/>
                <w:szCs w:val="18"/>
              </w:rPr>
            </w:pPr>
            <w:r>
              <w:rPr>
                <w:rFonts w:ascii="宋体" w:hAnsi="宋体" w:eastAsia="宋体" w:cs="宋体"/>
                <w:sz w:val="18"/>
                <w:szCs w:val="18"/>
              </w:rPr>
              <w:t>本科</w:t>
            </w:r>
          </w:p>
        </w:tc>
        <w:tc>
          <w:tcPr>
            <w:tcW w:w="2410" w:type="dxa"/>
            <w:tcBorders>
              <w:top w:val="single" w:color="auto" w:sz="2" w:space="0"/>
              <w:left w:val="single" w:color="auto" w:sz="2" w:space="0"/>
              <w:bottom w:val="single" w:color="auto" w:sz="2" w:space="0"/>
              <w:right w:val="single" w:color="auto" w:sz="2" w:space="0"/>
            </w:tcBorders>
            <w:vAlign w:val="center"/>
          </w:tcPr>
          <w:p w14:paraId="24B2A89B">
            <w:pPr>
              <w:spacing w:before="0" w:after="0" w:line="240" w:lineRule="exact"/>
              <w:jc w:val="right"/>
              <w:rPr>
                <w:rFonts w:ascii="宋体" w:hAnsi="宋体" w:eastAsia="宋体" w:cs="宋体"/>
                <w:sz w:val="18"/>
                <w:szCs w:val="18"/>
              </w:rPr>
            </w:pPr>
            <w:r>
              <w:rPr>
                <w:rFonts w:ascii="宋体" w:hAnsi="宋体" w:eastAsia="宋体" w:cs="宋体"/>
                <w:sz w:val="18"/>
                <w:szCs w:val="18"/>
              </w:rPr>
              <w:t>47</w:t>
            </w:r>
          </w:p>
        </w:tc>
        <w:tc>
          <w:tcPr>
            <w:tcW w:w="2410" w:type="dxa"/>
            <w:tcBorders>
              <w:top w:val="single" w:color="auto" w:sz="2" w:space="0"/>
              <w:left w:val="single" w:color="auto" w:sz="2" w:space="0"/>
              <w:bottom w:val="single" w:color="auto" w:sz="2" w:space="0"/>
              <w:right w:val="single" w:color="auto" w:sz="2" w:space="0"/>
            </w:tcBorders>
            <w:vAlign w:val="center"/>
          </w:tcPr>
          <w:p w14:paraId="3A8D6F62">
            <w:pPr>
              <w:spacing w:before="0" w:after="0" w:line="240" w:lineRule="exact"/>
              <w:jc w:val="right"/>
              <w:rPr>
                <w:rFonts w:ascii="宋体" w:hAnsi="宋体" w:eastAsia="宋体" w:cs="宋体"/>
                <w:sz w:val="18"/>
                <w:szCs w:val="18"/>
              </w:rPr>
            </w:pPr>
            <w:r>
              <w:rPr>
                <w:rFonts w:ascii="宋体" w:hAnsi="宋体" w:eastAsia="宋体" w:cs="宋体"/>
                <w:sz w:val="18"/>
                <w:szCs w:val="18"/>
              </w:rPr>
              <w:t>61</w:t>
            </w:r>
          </w:p>
        </w:tc>
        <w:tc>
          <w:tcPr>
            <w:tcW w:w="2410" w:type="dxa"/>
            <w:tcBorders>
              <w:top w:val="single" w:color="auto" w:sz="2" w:space="0"/>
              <w:left w:val="single" w:color="auto" w:sz="2" w:space="0"/>
              <w:bottom w:val="single" w:color="auto" w:sz="2" w:space="0"/>
              <w:right w:val="single" w:color="auto" w:sz="2" w:space="0"/>
            </w:tcBorders>
            <w:vAlign w:val="center"/>
          </w:tcPr>
          <w:p w14:paraId="34B14260">
            <w:pPr>
              <w:spacing w:before="0" w:after="0" w:line="240" w:lineRule="exact"/>
              <w:jc w:val="right"/>
              <w:rPr>
                <w:rFonts w:ascii="宋体" w:hAnsi="宋体" w:eastAsia="宋体" w:cs="宋体"/>
                <w:sz w:val="18"/>
                <w:szCs w:val="18"/>
              </w:rPr>
            </w:pPr>
            <w:r>
              <w:rPr>
                <w:rFonts w:ascii="宋体" w:hAnsi="宋体" w:eastAsia="宋体" w:cs="宋体"/>
                <w:sz w:val="18"/>
                <w:szCs w:val="18"/>
              </w:rPr>
              <w:t>-22.95%</w:t>
            </w:r>
          </w:p>
        </w:tc>
      </w:tr>
      <w:tr w14:paraId="2B6C9E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A2784D3">
            <w:pPr>
              <w:spacing w:before="40" w:after="40" w:line="240" w:lineRule="exact"/>
              <w:jc w:val="left"/>
              <w:rPr>
                <w:rFonts w:ascii="宋体" w:hAnsi="宋体" w:eastAsia="宋体" w:cs="宋体"/>
                <w:sz w:val="18"/>
                <w:szCs w:val="18"/>
              </w:rPr>
            </w:pPr>
            <w:r>
              <w:rPr>
                <w:rFonts w:ascii="宋体" w:hAnsi="宋体" w:eastAsia="宋体" w:cs="宋体"/>
                <w:sz w:val="18"/>
                <w:szCs w:val="18"/>
              </w:rPr>
              <w:t>硕士</w:t>
            </w:r>
          </w:p>
        </w:tc>
        <w:tc>
          <w:tcPr>
            <w:tcW w:w="2410" w:type="dxa"/>
            <w:tcBorders>
              <w:top w:val="single" w:color="auto" w:sz="2" w:space="0"/>
              <w:left w:val="single" w:color="auto" w:sz="2" w:space="0"/>
              <w:bottom w:val="single" w:color="auto" w:sz="2" w:space="0"/>
              <w:right w:val="single" w:color="auto" w:sz="2" w:space="0"/>
            </w:tcBorders>
            <w:vAlign w:val="center"/>
          </w:tcPr>
          <w:p w14:paraId="1E40F9A5">
            <w:pPr>
              <w:spacing w:before="0" w:after="0" w:line="240" w:lineRule="exact"/>
              <w:jc w:val="right"/>
              <w:rPr>
                <w:rFonts w:ascii="宋体" w:hAnsi="宋体" w:eastAsia="宋体" w:cs="宋体"/>
                <w:sz w:val="18"/>
                <w:szCs w:val="18"/>
              </w:rPr>
            </w:pPr>
            <w:r>
              <w:rPr>
                <w:rFonts w:ascii="宋体" w:hAnsi="宋体" w:eastAsia="宋体" w:cs="宋体"/>
                <w:sz w:val="18"/>
                <w:szCs w:val="18"/>
              </w:rPr>
              <w:t>13</w:t>
            </w:r>
          </w:p>
        </w:tc>
        <w:tc>
          <w:tcPr>
            <w:tcW w:w="2410" w:type="dxa"/>
            <w:tcBorders>
              <w:top w:val="single" w:color="auto" w:sz="2" w:space="0"/>
              <w:left w:val="single" w:color="auto" w:sz="2" w:space="0"/>
              <w:bottom w:val="single" w:color="auto" w:sz="2" w:space="0"/>
              <w:right w:val="single" w:color="auto" w:sz="2" w:space="0"/>
            </w:tcBorders>
            <w:vAlign w:val="center"/>
          </w:tcPr>
          <w:p w14:paraId="178DB1C7">
            <w:pPr>
              <w:spacing w:before="0" w:after="0" w:line="240" w:lineRule="exact"/>
              <w:jc w:val="right"/>
              <w:rPr>
                <w:rFonts w:ascii="宋体" w:hAnsi="宋体" w:eastAsia="宋体" w:cs="宋体"/>
                <w:sz w:val="18"/>
                <w:szCs w:val="18"/>
              </w:rPr>
            </w:pPr>
            <w:r>
              <w:rPr>
                <w:rFonts w:ascii="宋体" w:hAnsi="宋体" w:eastAsia="宋体" w:cs="宋体"/>
                <w:sz w:val="18"/>
                <w:szCs w:val="18"/>
              </w:rPr>
              <w:t>15</w:t>
            </w:r>
          </w:p>
        </w:tc>
        <w:tc>
          <w:tcPr>
            <w:tcW w:w="2410" w:type="dxa"/>
            <w:tcBorders>
              <w:top w:val="single" w:color="auto" w:sz="2" w:space="0"/>
              <w:left w:val="single" w:color="auto" w:sz="2" w:space="0"/>
              <w:bottom w:val="single" w:color="auto" w:sz="2" w:space="0"/>
              <w:right w:val="single" w:color="auto" w:sz="2" w:space="0"/>
            </w:tcBorders>
            <w:vAlign w:val="center"/>
          </w:tcPr>
          <w:p w14:paraId="2C304AEC">
            <w:pPr>
              <w:spacing w:before="0" w:after="0" w:line="240" w:lineRule="exact"/>
              <w:jc w:val="right"/>
              <w:rPr>
                <w:rFonts w:ascii="宋体" w:hAnsi="宋体" w:eastAsia="宋体" w:cs="宋体"/>
                <w:sz w:val="18"/>
                <w:szCs w:val="18"/>
              </w:rPr>
            </w:pPr>
            <w:r>
              <w:rPr>
                <w:rFonts w:ascii="宋体" w:hAnsi="宋体" w:eastAsia="宋体" w:cs="宋体"/>
                <w:sz w:val="18"/>
                <w:szCs w:val="18"/>
              </w:rPr>
              <w:t>-13.33%</w:t>
            </w:r>
          </w:p>
        </w:tc>
      </w:tr>
      <w:tr w14:paraId="09DCA2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1D7BEDD">
            <w:pPr>
              <w:spacing w:before="0" w:after="0" w:line="240" w:lineRule="exact"/>
              <w:jc w:val="left"/>
              <w:rPr>
                <w:rFonts w:ascii="宋体" w:hAnsi="宋体" w:eastAsia="宋体" w:cs="宋体"/>
                <w:sz w:val="18"/>
                <w:szCs w:val="18"/>
              </w:rPr>
            </w:pPr>
            <w:r>
              <w:rPr>
                <w:rFonts w:ascii="宋体" w:hAnsi="宋体" w:eastAsia="宋体" w:cs="宋体"/>
                <w:sz w:val="18"/>
                <w:szCs w:val="18"/>
              </w:rPr>
              <w:t>博士</w:t>
            </w:r>
          </w:p>
        </w:tc>
        <w:tc>
          <w:tcPr>
            <w:tcW w:w="2410" w:type="dxa"/>
            <w:tcBorders>
              <w:top w:val="single" w:color="auto" w:sz="2" w:space="0"/>
              <w:left w:val="single" w:color="auto" w:sz="2" w:space="0"/>
              <w:bottom w:val="single" w:color="auto" w:sz="2" w:space="0"/>
              <w:right w:val="single" w:color="auto" w:sz="2" w:space="0"/>
            </w:tcBorders>
            <w:vAlign w:val="center"/>
          </w:tcPr>
          <w:p w14:paraId="2D88D062">
            <w:pPr>
              <w:spacing w:before="0" w:after="0" w:line="240" w:lineRule="exact"/>
              <w:jc w:val="right"/>
              <w:rPr>
                <w:rFonts w:ascii="宋体" w:hAnsi="宋体" w:eastAsia="宋体" w:cs="宋体"/>
                <w:sz w:val="18"/>
                <w:szCs w:val="18"/>
              </w:rPr>
            </w:pPr>
            <w:r>
              <w:rPr>
                <w:rFonts w:ascii="宋体" w:hAnsi="宋体" w:eastAsia="宋体" w:cs="宋体"/>
                <w:sz w:val="18"/>
                <w:szCs w:val="18"/>
              </w:rPr>
              <w:t>3</w:t>
            </w:r>
          </w:p>
        </w:tc>
        <w:tc>
          <w:tcPr>
            <w:tcW w:w="2410" w:type="dxa"/>
            <w:tcBorders>
              <w:top w:val="single" w:color="auto" w:sz="2" w:space="0"/>
              <w:left w:val="single" w:color="auto" w:sz="2" w:space="0"/>
              <w:bottom w:val="single" w:color="auto" w:sz="2" w:space="0"/>
              <w:right w:val="single" w:color="auto" w:sz="2" w:space="0"/>
            </w:tcBorders>
            <w:vAlign w:val="center"/>
          </w:tcPr>
          <w:p w14:paraId="15826AE2">
            <w:pPr>
              <w:spacing w:before="0" w:after="0" w:line="240" w:lineRule="exact"/>
              <w:jc w:val="right"/>
              <w:rPr>
                <w:rFonts w:ascii="宋体" w:hAnsi="宋体" w:eastAsia="宋体" w:cs="宋体"/>
                <w:sz w:val="18"/>
                <w:szCs w:val="18"/>
              </w:rPr>
            </w:pPr>
            <w:r>
              <w:rPr>
                <w:rFonts w:ascii="宋体" w:hAnsi="宋体" w:eastAsia="宋体" w:cs="宋体"/>
                <w:sz w:val="18"/>
                <w:szCs w:val="18"/>
              </w:rPr>
              <w:t>3</w:t>
            </w:r>
          </w:p>
        </w:tc>
        <w:tc>
          <w:tcPr>
            <w:tcW w:w="2410" w:type="dxa"/>
            <w:tcBorders>
              <w:top w:val="single" w:color="auto" w:sz="2" w:space="0"/>
              <w:left w:val="single" w:color="auto" w:sz="2" w:space="0"/>
              <w:bottom w:val="single" w:color="auto" w:sz="2" w:space="0"/>
              <w:right w:val="single" w:color="auto" w:sz="2" w:space="0"/>
            </w:tcBorders>
            <w:vAlign w:val="center"/>
          </w:tcPr>
          <w:p w14:paraId="1C2B81BD">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r>
      <w:tr w14:paraId="685408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4DE8B128">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2410" w:type="dxa"/>
            <w:tcBorders>
              <w:top w:val="single" w:color="auto" w:sz="2" w:space="0"/>
              <w:left w:val="single" w:color="auto" w:sz="2" w:space="0"/>
              <w:bottom w:val="single" w:color="auto" w:sz="2" w:space="0"/>
              <w:right w:val="single" w:color="auto" w:sz="2" w:space="0"/>
            </w:tcBorders>
            <w:vAlign w:val="center"/>
          </w:tcPr>
          <w:p w14:paraId="60D30C9B">
            <w:pPr>
              <w:spacing w:before="0" w:after="0" w:line="240" w:lineRule="exact"/>
              <w:jc w:val="right"/>
              <w:rPr>
                <w:rFonts w:ascii="宋体" w:hAnsi="宋体" w:eastAsia="宋体" w:cs="宋体"/>
                <w:sz w:val="18"/>
                <w:szCs w:val="18"/>
              </w:rPr>
            </w:pPr>
            <w:r>
              <w:rPr>
                <w:rFonts w:ascii="宋体" w:hAnsi="宋体" w:eastAsia="宋体" w:cs="宋体"/>
                <w:sz w:val="18"/>
                <w:szCs w:val="18"/>
              </w:rPr>
              <w:t>13</w:t>
            </w:r>
          </w:p>
        </w:tc>
        <w:tc>
          <w:tcPr>
            <w:tcW w:w="2410" w:type="dxa"/>
            <w:tcBorders>
              <w:top w:val="single" w:color="auto" w:sz="2" w:space="0"/>
              <w:left w:val="single" w:color="auto" w:sz="2" w:space="0"/>
              <w:bottom w:val="single" w:color="auto" w:sz="2" w:space="0"/>
              <w:right w:val="single" w:color="auto" w:sz="2" w:space="0"/>
            </w:tcBorders>
            <w:vAlign w:val="center"/>
          </w:tcPr>
          <w:p w14:paraId="7A51CD73">
            <w:pPr>
              <w:spacing w:before="0" w:after="0" w:line="240" w:lineRule="exact"/>
              <w:jc w:val="right"/>
              <w:rPr>
                <w:rFonts w:ascii="宋体" w:hAnsi="宋体" w:eastAsia="宋体" w:cs="宋体"/>
                <w:sz w:val="18"/>
                <w:szCs w:val="18"/>
              </w:rPr>
            </w:pPr>
            <w:r>
              <w:rPr>
                <w:rFonts w:ascii="宋体" w:hAnsi="宋体" w:eastAsia="宋体" w:cs="宋体"/>
                <w:sz w:val="18"/>
                <w:szCs w:val="18"/>
              </w:rPr>
              <w:t>12</w:t>
            </w:r>
          </w:p>
        </w:tc>
        <w:tc>
          <w:tcPr>
            <w:tcW w:w="2410" w:type="dxa"/>
            <w:tcBorders>
              <w:top w:val="single" w:color="auto" w:sz="2" w:space="0"/>
              <w:left w:val="single" w:color="auto" w:sz="2" w:space="0"/>
              <w:bottom w:val="single" w:color="auto" w:sz="2" w:space="0"/>
              <w:right w:val="single" w:color="auto" w:sz="2" w:space="0"/>
            </w:tcBorders>
            <w:vAlign w:val="center"/>
          </w:tcPr>
          <w:p w14:paraId="6B84F90C">
            <w:pPr>
              <w:spacing w:before="0" w:after="0" w:line="240" w:lineRule="exact"/>
              <w:jc w:val="right"/>
              <w:rPr>
                <w:rFonts w:ascii="宋体" w:hAnsi="宋体" w:eastAsia="宋体" w:cs="宋体"/>
                <w:sz w:val="18"/>
                <w:szCs w:val="18"/>
              </w:rPr>
            </w:pPr>
            <w:r>
              <w:rPr>
                <w:rFonts w:ascii="宋体" w:hAnsi="宋体" w:eastAsia="宋体" w:cs="宋体"/>
                <w:sz w:val="18"/>
                <w:szCs w:val="18"/>
              </w:rPr>
              <w:t>8.33%</w:t>
            </w:r>
          </w:p>
        </w:tc>
      </w:tr>
      <w:tr w14:paraId="283D74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0F75F8AD">
            <w:pPr>
              <w:spacing w:before="40" w:after="40" w:line="240" w:lineRule="exact"/>
              <w:jc w:val="left"/>
              <w:rPr>
                <w:rFonts w:ascii="宋体" w:hAnsi="宋体" w:eastAsia="宋体" w:cs="宋体"/>
                <w:sz w:val="18"/>
                <w:szCs w:val="18"/>
              </w:rPr>
            </w:pPr>
            <w:r>
              <w:rPr>
                <w:rFonts w:ascii="宋体" w:hAnsi="宋体" w:eastAsia="宋体" w:cs="宋体"/>
                <w:sz w:val="18"/>
                <w:szCs w:val="18"/>
              </w:rPr>
              <w:t>研发人员年龄构成</w:t>
            </w:r>
          </w:p>
        </w:tc>
      </w:tr>
      <w:tr w14:paraId="72E7C9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1380216">
            <w:pPr>
              <w:spacing w:before="40" w:after="40" w:line="240" w:lineRule="exact"/>
              <w:jc w:val="left"/>
              <w:rPr>
                <w:rFonts w:ascii="宋体" w:hAnsi="宋体" w:eastAsia="宋体" w:cs="宋体"/>
                <w:sz w:val="18"/>
                <w:szCs w:val="18"/>
              </w:rPr>
            </w:pPr>
            <w:r>
              <w:rPr>
                <w:rFonts w:ascii="宋体" w:hAnsi="宋体" w:eastAsia="宋体" w:cs="宋体"/>
                <w:sz w:val="18"/>
                <w:szCs w:val="18"/>
              </w:rPr>
              <w:t>30岁以下</w:t>
            </w:r>
          </w:p>
        </w:tc>
        <w:tc>
          <w:tcPr>
            <w:tcW w:w="2410" w:type="dxa"/>
            <w:tcBorders>
              <w:top w:val="single" w:color="auto" w:sz="2" w:space="0"/>
              <w:left w:val="single" w:color="auto" w:sz="2" w:space="0"/>
              <w:bottom w:val="single" w:color="auto" w:sz="2" w:space="0"/>
              <w:right w:val="single" w:color="auto" w:sz="2" w:space="0"/>
            </w:tcBorders>
            <w:vAlign w:val="center"/>
          </w:tcPr>
          <w:p w14:paraId="68E06263">
            <w:pPr>
              <w:spacing w:before="0" w:after="0" w:line="240" w:lineRule="exact"/>
              <w:jc w:val="right"/>
              <w:rPr>
                <w:rFonts w:ascii="宋体" w:hAnsi="宋体" w:eastAsia="宋体" w:cs="宋体"/>
                <w:sz w:val="18"/>
                <w:szCs w:val="18"/>
              </w:rPr>
            </w:pPr>
            <w:r>
              <w:rPr>
                <w:rFonts w:ascii="宋体" w:hAnsi="宋体" w:eastAsia="宋体" w:cs="宋体"/>
                <w:sz w:val="18"/>
                <w:szCs w:val="18"/>
              </w:rPr>
              <w:t>22</w:t>
            </w:r>
          </w:p>
        </w:tc>
        <w:tc>
          <w:tcPr>
            <w:tcW w:w="2410" w:type="dxa"/>
            <w:tcBorders>
              <w:top w:val="single" w:color="auto" w:sz="2" w:space="0"/>
              <w:left w:val="single" w:color="auto" w:sz="2" w:space="0"/>
              <w:bottom w:val="single" w:color="auto" w:sz="2" w:space="0"/>
              <w:right w:val="single" w:color="auto" w:sz="2" w:space="0"/>
            </w:tcBorders>
            <w:vAlign w:val="center"/>
          </w:tcPr>
          <w:p w14:paraId="0983F872">
            <w:pPr>
              <w:spacing w:before="0" w:after="0" w:line="240" w:lineRule="exact"/>
              <w:jc w:val="right"/>
              <w:rPr>
                <w:rFonts w:ascii="宋体" w:hAnsi="宋体" w:eastAsia="宋体" w:cs="宋体"/>
                <w:sz w:val="18"/>
                <w:szCs w:val="18"/>
              </w:rPr>
            </w:pPr>
            <w:r>
              <w:rPr>
                <w:rFonts w:ascii="宋体" w:hAnsi="宋体" w:eastAsia="宋体" w:cs="宋体"/>
                <w:sz w:val="18"/>
                <w:szCs w:val="18"/>
              </w:rPr>
              <w:t>45</w:t>
            </w:r>
          </w:p>
        </w:tc>
        <w:tc>
          <w:tcPr>
            <w:tcW w:w="2410" w:type="dxa"/>
            <w:tcBorders>
              <w:top w:val="single" w:color="auto" w:sz="2" w:space="0"/>
              <w:left w:val="single" w:color="auto" w:sz="2" w:space="0"/>
              <w:bottom w:val="single" w:color="auto" w:sz="2" w:space="0"/>
              <w:right w:val="single" w:color="auto" w:sz="2" w:space="0"/>
            </w:tcBorders>
            <w:vAlign w:val="center"/>
          </w:tcPr>
          <w:p w14:paraId="49633598">
            <w:pPr>
              <w:spacing w:before="0" w:after="0" w:line="240" w:lineRule="exact"/>
              <w:jc w:val="right"/>
              <w:rPr>
                <w:rFonts w:ascii="宋体" w:hAnsi="宋体" w:eastAsia="宋体" w:cs="宋体"/>
                <w:sz w:val="18"/>
                <w:szCs w:val="18"/>
              </w:rPr>
            </w:pPr>
            <w:r>
              <w:rPr>
                <w:rFonts w:ascii="宋体" w:hAnsi="宋体" w:eastAsia="宋体" w:cs="宋体"/>
                <w:sz w:val="18"/>
                <w:szCs w:val="18"/>
              </w:rPr>
              <w:t>-51.11%</w:t>
            </w:r>
          </w:p>
        </w:tc>
      </w:tr>
      <w:tr w14:paraId="227526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BEB5753">
            <w:pPr>
              <w:spacing w:before="40" w:after="40" w:line="240" w:lineRule="exact"/>
              <w:jc w:val="left"/>
              <w:rPr>
                <w:rFonts w:ascii="宋体" w:hAnsi="宋体" w:eastAsia="宋体" w:cs="宋体"/>
                <w:sz w:val="18"/>
                <w:szCs w:val="18"/>
              </w:rPr>
            </w:pPr>
            <w:r>
              <w:rPr>
                <w:rFonts w:ascii="宋体" w:hAnsi="宋体" w:eastAsia="宋体" w:cs="宋体"/>
                <w:sz w:val="18"/>
                <w:szCs w:val="18"/>
              </w:rPr>
              <w:t>30~40岁</w:t>
            </w:r>
          </w:p>
        </w:tc>
        <w:tc>
          <w:tcPr>
            <w:tcW w:w="2410" w:type="dxa"/>
            <w:tcBorders>
              <w:top w:val="single" w:color="auto" w:sz="2" w:space="0"/>
              <w:left w:val="single" w:color="auto" w:sz="2" w:space="0"/>
              <w:bottom w:val="single" w:color="auto" w:sz="2" w:space="0"/>
              <w:right w:val="single" w:color="auto" w:sz="2" w:space="0"/>
            </w:tcBorders>
            <w:vAlign w:val="center"/>
          </w:tcPr>
          <w:p w14:paraId="4201B291">
            <w:pPr>
              <w:spacing w:before="0" w:after="0" w:line="240" w:lineRule="exact"/>
              <w:jc w:val="right"/>
              <w:rPr>
                <w:rFonts w:ascii="宋体" w:hAnsi="宋体" w:eastAsia="宋体" w:cs="宋体"/>
                <w:sz w:val="18"/>
                <w:szCs w:val="18"/>
              </w:rPr>
            </w:pPr>
            <w:r>
              <w:rPr>
                <w:rFonts w:ascii="宋体" w:hAnsi="宋体" w:eastAsia="宋体" w:cs="宋体"/>
                <w:sz w:val="18"/>
                <w:szCs w:val="18"/>
              </w:rPr>
              <w:t>36</w:t>
            </w:r>
          </w:p>
        </w:tc>
        <w:tc>
          <w:tcPr>
            <w:tcW w:w="2410" w:type="dxa"/>
            <w:tcBorders>
              <w:top w:val="single" w:color="auto" w:sz="2" w:space="0"/>
              <w:left w:val="single" w:color="auto" w:sz="2" w:space="0"/>
              <w:bottom w:val="single" w:color="auto" w:sz="2" w:space="0"/>
              <w:right w:val="single" w:color="auto" w:sz="2" w:space="0"/>
            </w:tcBorders>
            <w:vAlign w:val="center"/>
          </w:tcPr>
          <w:p w14:paraId="305B2D31">
            <w:pPr>
              <w:spacing w:before="0" w:after="0" w:line="240" w:lineRule="exact"/>
              <w:jc w:val="right"/>
              <w:rPr>
                <w:rFonts w:ascii="宋体" w:hAnsi="宋体" w:eastAsia="宋体" w:cs="宋体"/>
                <w:sz w:val="18"/>
                <w:szCs w:val="18"/>
              </w:rPr>
            </w:pPr>
            <w:r>
              <w:rPr>
                <w:rFonts w:ascii="宋体" w:hAnsi="宋体" w:eastAsia="宋体" w:cs="宋体"/>
                <w:sz w:val="18"/>
                <w:szCs w:val="18"/>
              </w:rPr>
              <w:t>33</w:t>
            </w:r>
          </w:p>
        </w:tc>
        <w:tc>
          <w:tcPr>
            <w:tcW w:w="2410" w:type="dxa"/>
            <w:tcBorders>
              <w:top w:val="single" w:color="auto" w:sz="2" w:space="0"/>
              <w:left w:val="single" w:color="auto" w:sz="2" w:space="0"/>
              <w:bottom w:val="single" w:color="auto" w:sz="2" w:space="0"/>
              <w:right w:val="single" w:color="auto" w:sz="2" w:space="0"/>
            </w:tcBorders>
            <w:vAlign w:val="center"/>
          </w:tcPr>
          <w:p w14:paraId="26EEAA44">
            <w:pPr>
              <w:spacing w:before="0" w:after="0" w:line="240" w:lineRule="exact"/>
              <w:jc w:val="right"/>
              <w:rPr>
                <w:rFonts w:ascii="宋体" w:hAnsi="宋体" w:eastAsia="宋体" w:cs="宋体"/>
                <w:sz w:val="18"/>
                <w:szCs w:val="18"/>
              </w:rPr>
            </w:pPr>
            <w:r>
              <w:rPr>
                <w:rFonts w:ascii="宋体" w:hAnsi="宋体" w:eastAsia="宋体" w:cs="宋体"/>
                <w:sz w:val="18"/>
                <w:szCs w:val="18"/>
              </w:rPr>
              <w:t>9.09%</w:t>
            </w:r>
          </w:p>
        </w:tc>
      </w:tr>
      <w:tr w14:paraId="29212C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729D245">
            <w:pPr>
              <w:spacing w:before="0" w:after="0" w:line="240" w:lineRule="exact"/>
              <w:jc w:val="left"/>
              <w:rPr>
                <w:rFonts w:ascii="宋体" w:hAnsi="宋体" w:eastAsia="宋体" w:cs="宋体"/>
                <w:sz w:val="18"/>
                <w:szCs w:val="18"/>
              </w:rPr>
            </w:pPr>
            <w:r>
              <w:rPr>
                <w:rFonts w:ascii="宋体" w:hAnsi="宋体" w:eastAsia="宋体" w:cs="宋体"/>
                <w:sz w:val="18"/>
                <w:szCs w:val="18"/>
              </w:rPr>
              <w:t>40岁以上</w:t>
            </w:r>
          </w:p>
        </w:tc>
        <w:tc>
          <w:tcPr>
            <w:tcW w:w="2410" w:type="dxa"/>
            <w:tcBorders>
              <w:top w:val="single" w:color="auto" w:sz="2" w:space="0"/>
              <w:left w:val="single" w:color="auto" w:sz="2" w:space="0"/>
              <w:bottom w:val="single" w:color="auto" w:sz="2" w:space="0"/>
              <w:right w:val="single" w:color="auto" w:sz="2" w:space="0"/>
            </w:tcBorders>
            <w:vAlign w:val="center"/>
          </w:tcPr>
          <w:p w14:paraId="36198C2D">
            <w:pPr>
              <w:spacing w:before="0" w:after="0" w:line="240" w:lineRule="exact"/>
              <w:jc w:val="right"/>
              <w:rPr>
                <w:rFonts w:ascii="宋体" w:hAnsi="宋体" w:eastAsia="宋体" w:cs="宋体"/>
                <w:sz w:val="18"/>
                <w:szCs w:val="18"/>
              </w:rPr>
            </w:pPr>
            <w:r>
              <w:rPr>
                <w:rFonts w:ascii="宋体" w:hAnsi="宋体" w:eastAsia="宋体" w:cs="宋体"/>
                <w:sz w:val="18"/>
                <w:szCs w:val="18"/>
              </w:rPr>
              <w:t>18</w:t>
            </w:r>
          </w:p>
        </w:tc>
        <w:tc>
          <w:tcPr>
            <w:tcW w:w="2410" w:type="dxa"/>
            <w:tcBorders>
              <w:top w:val="single" w:color="auto" w:sz="2" w:space="0"/>
              <w:left w:val="single" w:color="auto" w:sz="2" w:space="0"/>
              <w:bottom w:val="single" w:color="auto" w:sz="2" w:space="0"/>
              <w:right w:val="single" w:color="auto" w:sz="2" w:space="0"/>
            </w:tcBorders>
            <w:vAlign w:val="center"/>
          </w:tcPr>
          <w:p w14:paraId="1601808E">
            <w:pPr>
              <w:spacing w:before="0" w:after="0" w:line="240" w:lineRule="exact"/>
              <w:jc w:val="right"/>
              <w:rPr>
                <w:rFonts w:ascii="宋体" w:hAnsi="宋体" w:eastAsia="宋体" w:cs="宋体"/>
                <w:sz w:val="18"/>
                <w:szCs w:val="18"/>
              </w:rPr>
            </w:pPr>
            <w:r>
              <w:rPr>
                <w:rFonts w:ascii="宋体" w:hAnsi="宋体" w:eastAsia="宋体" w:cs="宋体"/>
                <w:sz w:val="18"/>
                <w:szCs w:val="18"/>
              </w:rPr>
              <w:t>13</w:t>
            </w:r>
          </w:p>
        </w:tc>
        <w:tc>
          <w:tcPr>
            <w:tcW w:w="2410" w:type="dxa"/>
            <w:tcBorders>
              <w:top w:val="single" w:color="auto" w:sz="2" w:space="0"/>
              <w:left w:val="single" w:color="auto" w:sz="2" w:space="0"/>
              <w:bottom w:val="single" w:color="auto" w:sz="2" w:space="0"/>
              <w:right w:val="single" w:color="auto" w:sz="2" w:space="0"/>
            </w:tcBorders>
            <w:vAlign w:val="center"/>
          </w:tcPr>
          <w:p w14:paraId="1FAE3F8F">
            <w:pPr>
              <w:spacing w:before="0" w:after="0" w:line="240" w:lineRule="exact"/>
              <w:jc w:val="right"/>
              <w:rPr>
                <w:rFonts w:ascii="宋体" w:hAnsi="宋体" w:eastAsia="宋体" w:cs="宋体"/>
                <w:sz w:val="18"/>
                <w:szCs w:val="18"/>
              </w:rPr>
            </w:pPr>
            <w:r>
              <w:rPr>
                <w:rFonts w:ascii="宋体" w:hAnsi="宋体" w:eastAsia="宋体" w:cs="宋体"/>
                <w:sz w:val="18"/>
                <w:szCs w:val="18"/>
              </w:rPr>
              <w:t>38.46%</w:t>
            </w:r>
          </w:p>
        </w:tc>
      </w:tr>
    </w:tbl>
    <w:p w14:paraId="263AA79B">
      <w:pPr>
        <w:spacing w:before="40" w:after="40" w:line="240" w:lineRule="exact"/>
        <w:jc w:val="left"/>
        <w:rPr>
          <w:rFonts w:ascii="宋体" w:hAnsi="宋体" w:eastAsia="宋体" w:cs="宋体"/>
          <w:sz w:val="18"/>
          <w:szCs w:val="18"/>
        </w:rPr>
      </w:pPr>
      <w:r>
        <w:rPr>
          <w:rFonts w:ascii="宋体" w:hAnsi="宋体" w:eastAsia="宋体" w:cs="宋体"/>
          <w:sz w:val="18"/>
          <w:szCs w:val="18"/>
        </w:rPr>
        <w:t>近三年公司研发投入金额及占营业收入的比例</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4285C7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6C8CFB7"/>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9C9694D">
            <w:pPr>
              <w:spacing w:before="40" w:after="40" w:line="240" w:lineRule="exact"/>
              <w:jc w:val="center"/>
              <w:rPr>
                <w:rFonts w:ascii="宋体" w:hAnsi="宋体" w:eastAsia="宋体" w:cs="宋体"/>
                <w:sz w:val="18"/>
                <w:szCs w:val="18"/>
              </w:rPr>
            </w:pPr>
            <w:r>
              <w:rPr>
                <w:rFonts w:ascii="宋体" w:hAnsi="宋体" w:eastAsia="宋体" w:cs="宋体"/>
                <w:sz w:val="18"/>
                <w:szCs w:val="18"/>
              </w:rPr>
              <w:t>2024年</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A8BB657">
            <w:pPr>
              <w:spacing w:before="40" w:after="40" w:line="240" w:lineRule="exact"/>
              <w:jc w:val="center"/>
              <w:rPr>
                <w:rFonts w:ascii="宋体" w:hAnsi="宋体" w:eastAsia="宋体" w:cs="宋体"/>
                <w:sz w:val="18"/>
                <w:szCs w:val="18"/>
              </w:rPr>
            </w:pPr>
            <w:r>
              <w:rPr>
                <w:rFonts w:ascii="宋体" w:hAnsi="宋体" w:eastAsia="宋体" w:cs="宋体"/>
                <w:sz w:val="18"/>
                <w:szCs w:val="18"/>
              </w:rPr>
              <w:t>2023年</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5DC7497">
            <w:pPr>
              <w:spacing w:before="40" w:after="40" w:line="240" w:lineRule="exact"/>
              <w:jc w:val="center"/>
              <w:rPr>
                <w:rFonts w:ascii="宋体" w:hAnsi="宋体" w:eastAsia="宋体" w:cs="宋体"/>
                <w:sz w:val="18"/>
                <w:szCs w:val="18"/>
              </w:rPr>
            </w:pPr>
            <w:r>
              <w:rPr>
                <w:rFonts w:ascii="宋体" w:hAnsi="宋体" w:eastAsia="宋体" w:cs="宋体"/>
                <w:sz w:val="18"/>
                <w:szCs w:val="18"/>
              </w:rPr>
              <w:t>2022年</w:t>
            </w:r>
          </w:p>
        </w:tc>
      </w:tr>
      <w:tr w14:paraId="3A4918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6D2302C">
            <w:pPr>
              <w:spacing w:before="40" w:after="40" w:line="240" w:lineRule="exact"/>
              <w:jc w:val="left"/>
              <w:rPr>
                <w:rFonts w:ascii="宋体" w:hAnsi="宋体" w:eastAsia="宋体" w:cs="宋体"/>
                <w:sz w:val="18"/>
                <w:szCs w:val="18"/>
              </w:rPr>
            </w:pPr>
            <w:r>
              <w:rPr>
                <w:rFonts w:ascii="宋体" w:hAnsi="宋体" w:eastAsia="宋体" w:cs="宋体"/>
                <w:sz w:val="18"/>
                <w:szCs w:val="18"/>
              </w:rPr>
              <w:t>研发投入金额（元）</w:t>
            </w:r>
          </w:p>
        </w:tc>
        <w:tc>
          <w:tcPr>
            <w:tcW w:w="2410" w:type="dxa"/>
            <w:tcBorders>
              <w:top w:val="single" w:color="auto" w:sz="2" w:space="0"/>
              <w:left w:val="single" w:color="auto" w:sz="2" w:space="0"/>
              <w:bottom w:val="single" w:color="auto" w:sz="2" w:space="0"/>
              <w:right w:val="single" w:color="auto" w:sz="2" w:space="0"/>
            </w:tcBorders>
            <w:vAlign w:val="center"/>
          </w:tcPr>
          <w:p w14:paraId="2AA39B43">
            <w:pPr>
              <w:spacing w:before="0" w:after="0" w:line="240" w:lineRule="exact"/>
              <w:jc w:val="right"/>
              <w:rPr>
                <w:rFonts w:ascii="宋体" w:hAnsi="宋体" w:eastAsia="宋体" w:cs="宋体"/>
                <w:sz w:val="18"/>
                <w:szCs w:val="18"/>
              </w:rPr>
            </w:pPr>
            <w:r>
              <w:rPr>
                <w:rFonts w:ascii="宋体" w:hAnsi="宋体" w:eastAsia="宋体" w:cs="宋体"/>
                <w:sz w:val="18"/>
                <w:szCs w:val="18"/>
              </w:rPr>
              <w:t>44,886,060.53</w:t>
            </w:r>
          </w:p>
        </w:tc>
        <w:tc>
          <w:tcPr>
            <w:tcW w:w="2410" w:type="dxa"/>
            <w:tcBorders>
              <w:top w:val="single" w:color="auto" w:sz="2" w:space="0"/>
              <w:left w:val="single" w:color="auto" w:sz="2" w:space="0"/>
              <w:bottom w:val="single" w:color="auto" w:sz="2" w:space="0"/>
              <w:right w:val="single" w:color="auto" w:sz="2" w:space="0"/>
            </w:tcBorders>
            <w:vAlign w:val="center"/>
          </w:tcPr>
          <w:p w14:paraId="48472B8D">
            <w:pPr>
              <w:spacing w:before="0" w:after="0" w:line="240" w:lineRule="exact"/>
              <w:jc w:val="right"/>
              <w:rPr>
                <w:rFonts w:ascii="宋体" w:hAnsi="宋体" w:eastAsia="宋体" w:cs="宋体"/>
                <w:sz w:val="18"/>
                <w:szCs w:val="18"/>
              </w:rPr>
            </w:pPr>
            <w:r>
              <w:rPr>
                <w:rFonts w:ascii="宋体" w:hAnsi="宋体" w:eastAsia="宋体" w:cs="宋体"/>
                <w:sz w:val="18"/>
                <w:szCs w:val="18"/>
              </w:rPr>
              <w:t>314,223,016.83</w:t>
            </w:r>
          </w:p>
        </w:tc>
        <w:tc>
          <w:tcPr>
            <w:tcW w:w="2410" w:type="dxa"/>
            <w:tcBorders>
              <w:top w:val="single" w:color="auto" w:sz="2" w:space="0"/>
              <w:left w:val="single" w:color="auto" w:sz="2" w:space="0"/>
              <w:bottom w:val="single" w:color="auto" w:sz="2" w:space="0"/>
              <w:right w:val="single" w:color="auto" w:sz="2" w:space="0"/>
            </w:tcBorders>
            <w:vAlign w:val="center"/>
          </w:tcPr>
          <w:p w14:paraId="573D3D69">
            <w:pPr>
              <w:spacing w:before="0" w:after="0" w:line="240" w:lineRule="exact"/>
              <w:jc w:val="right"/>
              <w:rPr>
                <w:rFonts w:ascii="宋体" w:hAnsi="宋体" w:eastAsia="宋体" w:cs="宋体"/>
                <w:sz w:val="18"/>
                <w:szCs w:val="18"/>
              </w:rPr>
            </w:pPr>
            <w:r>
              <w:rPr>
                <w:rFonts w:ascii="宋体" w:hAnsi="宋体" w:eastAsia="宋体" w:cs="宋体"/>
                <w:sz w:val="18"/>
                <w:szCs w:val="18"/>
              </w:rPr>
              <w:t>186,977,168.74</w:t>
            </w:r>
          </w:p>
        </w:tc>
      </w:tr>
      <w:tr w14:paraId="33BB9B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C90219E">
            <w:pPr>
              <w:spacing w:before="40" w:after="40" w:line="240" w:lineRule="exact"/>
              <w:jc w:val="left"/>
              <w:rPr>
                <w:rFonts w:ascii="宋体" w:hAnsi="宋体" w:eastAsia="宋体" w:cs="宋体"/>
                <w:sz w:val="18"/>
                <w:szCs w:val="18"/>
              </w:rPr>
            </w:pPr>
            <w:r>
              <w:rPr>
                <w:rFonts w:ascii="宋体" w:hAnsi="宋体" w:eastAsia="宋体" w:cs="宋体"/>
                <w:sz w:val="18"/>
                <w:szCs w:val="18"/>
              </w:rPr>
              <w:t>研发投入占营业收入比例</w:t>
            </w:r>
          </w:p>
        </w:tc>
        <w:tc>
          <w:tcPr>
            <w:tcW w:w="2410" w:type="dxa"/>
            <w:tcBorders>
              <w:top w:val="single" w:color="auto" w:sz="2" w:space="0"/>
              <w:left w:val="single" w:color="auto" w:sz="2" w:space="0"/>
              <w:bottom w:val="single" w:color="auto" w:sz="2" w:space="0"/>
              <w:right w:val="single" w:color="auto" w:sz="2" w:space="0"/>
            </w:tcBorders>
            <w:vAlign w:val="center"/>
          </w:tcPr>
          <w:p w14:paraId="2FF06F31">
            <w:pPr>
              <w:spacing w:before="0" w:after="0" w:line="240" w:lineRule="exact"/>
              <w:jc w:val="right"/>
              <w:rPr>
                <w:rFonts w:ascii="宋体" w:hAnsi="宋体" w:eastAsia="宋体" w:cs="宋体"/>
                <w:sz w:val="18"/>
                <w:szCs w:val="18"/>
              </w:rPr>
            </w:pPr>
            <w:r>
              <w:rPr>
                <w:rFonts w:ascii="宋体" w:hAnsi="宋体" w:eastAsia="宋体" w:cs="宋体"/>
                <w:sz w:val="18"/>
                <w:szCs w:val="18"/>
              </w:rPr>
              <w:t>10.17%</w:t>
            </w:r>
          </w:p>
        </w:tc>
        <w:tc>
          <w:tcPr>
            <w:tcW w:w="2410" w:type="dxa"/>
            <w:tcBorders>
              <w:top w:val="single" w:color="auto" w:sz="2" w:space="0"/>
              <w:left w:val="single" w:color="auto" w:sz="2" w:space="0"/>
              <w:bottom w:val="single" w:color="auto" w:sz="2" w:space="0"/>
              <w:right w:val="single" w:color="auto" w:sz="2" w:space="0"/>
            </w:tcBorders>
            <w:vAlign w:val="center"/>
          </w:tcPr>
          <w:p w14:paraId="7BB94693">
            <w:pPr>
              <w:spacing w:before="0" w:after="0" w:line="240" w:lineRule="exact"/>
              <w:jc w:val="right"/>
              <w:rPr>
                <w:rFonts w:ascii="宋体" w:hAnsi="宋体" w:eastAsia="宋体" w:cs="宋体"/>
                <w:sz w:val="18"/>
                <w:szCs w:val="18"/>
              </w:rPr>
            </w:pPr>
            <w:r>
              <w:rPr>
                <w:rFonts w:ascii="宋体" w:hAnsi="宋体" w:eastAsia="宋体" w:cs="宋体"/>
                <w:sz w:val="18"/>
                <w:szCs w:val="18"/>
              </w:rPr>
              <w:t>74.33%</w:t>
            </w:r>
          </w:p>
        </w:tc>
        <w:tc>
          <w:tcPr>
            <w:tcW w:w="2410" w:type="dxa"/>
            <w:tcBorders>
              <w:top w:val="single" w:color="auto" w:sz="2" w:space="0"/>
              <w:left w:val="single" w:color="auto" w:sz="2" w:space="0"/>
              <w:bottom w:val="single" w:color="auto" w:sz="2" w:space="0"/>
              <w:right w:val="single" w:color="auto" w:sz="2" w:space="0"/>
            </w:tcBorders>
            <w:vAlign w:val="center"/>
          </w:tcPr>
          <w:p w14:paraId="72182FD5">
            <w:pPr>
              <w:spacing w:before="0" w:after="0" w:line="240" w:lineRule="exact"/>
              <w:jc w:val="right"/>
              <w:rPr>
                <w:rFonts w:ascii="宋体" w:hAnsi="宋体" w:eastAsia="宋体" w:cs="宋体"/>
                <w:sz w:val="18"/>
                <w:szCs w:val="18"/>
              </w:rPr>
            </w:pPr>
            <w:r>
              <w:rPr>
                <w:rFonts w:ascii="宋体" w:hAnsi="宋体" w:eastAsia="宋体" w:cs="宋体"/>
                <w:sz w:val="18"/>
                <w:szCs w:val="18"/>
              </w:rPr>
              <w:t>48.47%</w:t>
            </w:r>
          </w:p>
        </w:tc>
      </w:tr>
      <w:tr w14:paraId="788519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1FB4F80">
            <w:pPr>
              <w:spacing w:before="40" w:after="40" w:line="240" w:lineRule="exact"/>
              <w:jc w:val="left"/>
              <w:rPr>
                <w:rFonts w:ascii="宋体" w:hAnsi="宋体" w:eastAsia="宋体" w:cs="宋体"/>
                <w:sz w:val="18"/>
                <w:szCs w:val="18"/>
              </w:rPr>
            </w:pPr>
            <w:r>
              <w:rPr>
                <w:rFonts w:ascii="宋体" w:hAnsi="宋体" w:eastAsia="宋体" w:cs="宋体"/>
                <w:sz w:val="18"/>
                <w:szCs w:val="18"/>
              </w:rPr>
              <w:t>研发支出资本化的金额（元）</w:t>
            </w:r>
          </w:p>
        </w:tc>
        <w:tc>
          <w:tcPr>
            <w:tcW w:w="2410" w:type="dxa"/>
            <w:tcBorders>
              <w:top w:val="single" w:color="auto" w:sz="2" w:space="0"/>
              <w:left w:val="single" w:color="auto" w:sz="2" w:space="0"/>
              <w:bottom w:val="single" w:color="auto" w:sz="2" w:space="0"/>
              <w:right w:val="single" w:color="auto" w:sz="2" w:space="0"/>
            </w:tcBorders>
            <w:vAlign w:val="center"/>
          </w:tcPr>
          <w:p w14:paraId="37A87379">
            <w:pPr>
              <w:spacing w:before="0" w:after="0" w:line="240" w:lineRule="exact"/>
              <w:jc w:val="right"/>
              <w:rPr>
                <w:rFonts w:ascii="宋体" w:hAnsi="宋体" w:eastAsia="宋体" w:cs="宋体"/>
                <w:sz w:val="18"/>
                <w:szCs w:val="18"/>
              </w:rPr>
            </w:pPr>
            <w:r>
              <w:rPr>
                <w:rFonts w:ascii="宋体" w:hAnsi="宋体" w:eastAsia="宋体" w:cs="宋体"/>
                <w:sz w:val="18"/>
                <w:szCs w:val="18"/>
              </w:rPr>
              <w:t>833,753.45</w:t>
            </w:r>
          </w:p>
        </w:tc>
        <w:tc>
          <w:tcPr>
            <w:tcW w:w="2410" w:type="dxa"/>
            <w:tcBorders>
              <w:top w:val="single" w:color="auto" w:sz="2" w:space="0"/>
              <w:left w:val="single" w:color="auto" w:sz="2" w:space="0"/>
              <w:bottom w:val="single" w:color="auto" w:sz="2" w:space="0"/>
              <w:right w:val="single" w:color="auto" w:sz="2" w:space="0"/>
            </w:tcBorders>
            <w:vAlign w:val="center"/>
          </w:tcPr>
          <w:p w14:paraId="798ECB7D">
            <w:pPr>
              <w:spacing w:before="0" w:after="0" w:line="240" w:lineRule="exact"/>
              <w:jc w:val="right"/>
              <w:rPr>
                <w:rFonts w:ascii="宋体" w:hAnsi="宋体" w:eastAsia="宋体" w:cs="宋体"/>
                <w:sz w:val="18"/>
                <w:szCs w:val="18"/>
              </w:rPr>
            </w:pPr>
            <w:r>
              <w:rPr>
                <w:rFonts w:ascii="宋体" w:hAnsi="宋体" w:eastAsia="宋体" w:cs="宋体"/>
                <w:sz w:val="18"/>
                <w:szCs w:val="18"/>
              </w:rPr>
              <w:t>181,266,014.45</w:t>
            </w:r>
          </w:p>
        </w:tc>
        <w:tc>
          <w:tcPr>
            <w:tcW w:w="2410" w:type="dxa"/>
            <w:tcBorders>
              <w:top w:val="single" w:color="auto" w:sz="2" w:space="0"/>
              <w:left w:val="single" w:color="auto" w:sz="2" w:space="0"/>
              <w:bottom w:val="single" w:color="auto" w:sz="2" w:space="0"/>
              <w:right w:val="single" w:color="auto" w:sz="2" w:space="0"/>
            </w:tcBorders>
            <w:vAlign w:val="center"/>
          </w:tcPr>
          <w:p w14:paraId="32E195D8">
            <w:pPr>
              <w:spacing w:before="0" w:after="0" w:line="240" w:lineRule="exact"/>
              <w:jc w:val="right"/>
              <w:rPr>
                <w:rFonts w:ascii="宋体" w:hAnsi="宋体" w:eastAsia="宋体" w:cs="宋体"/>
                <w:sz w:val="18"/>
                <w:szCs w:val="18"/>
              </w:rPr>
            </w:pPr>
            <w:r>
              <w:rPr>
                <w:rFonts w:ascii="宋体" w:hAnsi="宋体" w:eastAsia="宋体" w:cs="宋体"/>
                <w:sz w:val="18"/>
                <w:szCs w:val="18"/>
              </w:rPr>
              <w:t>1,514,472.66</w:t>
            </w:r>
          </w:p>
        </w:tc>
      </w:tr>
      <w:tr w14:paraId="38EF64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F11757D">
            <w:pPr>
              <w:spacing w:before="40" w:after="40" w:line="240" w:lineRule="exact"/>
              <w:jc w:val="left"/>
              <w:rPr>
                <w:rFonts w:ascii="宋体" w:hAnsi="宋体" w:eastAsia="宋体" w:cs="宋体"/>
                <w:sz w:val="18"/>
                <w:szCs w:val="18"/>
              </w:rPr>
            </w:pPr>
            <w:r>
              <w:rPr>
                <w:rFonts w:ascii="宋体" w:hAnsi="宋体" w:eastAsia="宋体" w:cs="宋体"/>
                <w:sz w:val="18"/>
                <w:szCs w:val="18"/>
              </w:rPr>
              <w:t>资本化研发支出占研发投入的比例</w:t>
            </w:r>
          </w:p>
        </w:tc>
        <w:tc>
          <w:tcPr>
            <w:tcW w:w="2410" w:type="dxa"/>
            <w:tcBorders>
              <w:top w:val="single" w:color="auto" w:sz="2" w:space="0"/>
              <w:left w:val="single" w:color="auto" w:sz="2" w:space="0"/>
              <w:bottom w:val="single" w:color="auto" w:sz="2" w:space="0"/>
              <w:right w:val="single" w:color="auto" w:sz="2" w:space="0"/>
            </w:tcBorders>
            <w:vAlign w:val="center"/>
          </w:tcPr>
          <w:p w14:paraId="74E5FE54">
            <w:pPr>
              <w:spacing w:before="0" w:after="0" w:line="240" w:lineRule="exact"/>
              <w:jc w:val="right"/>
              <w:rPr>
                <w:rFonts w:ascii="宋体" w:hAnsi="宋体" w:eastAsia="宋体" w:cs="宋体"/>
                <w:sz w:val="18"/>
                <w:szCs w:val="18"/>
              </w:rPr>
            </w:pPr>
            <w:r>
              <w:rPr>
                <w:rFonts w:ascii="宋体" w:hAnsi="宋体" w:eastAsia="宋体" w:cs="宋体"/>
                <w:sz w:val="18"/>
                <w:szCs w:val="18"/>
              </w:rPr>
              <w:t>1.86%</w:t>
            </w:r>
          </w:p>
        </w:tc>
        <w:tc>
          <w:tcPr>
            <w:tcW w:w="2410" w:type="dxa"/>
            <w:tcBorders>
              <w:top w:val="single" w:color="auto" w:sz="2" w:space="0"/>
              <w:left w:val="single" w:color="auto" w:sz="2" w:space="0"/>
              <w:bottom w:val="single" w:color="auto" w:sz="2" w:space="0"/>
              <w:right w:val="single" w:color="auto" w:sz="2" w:space="0"/>
            </w:tcBorders>
            <w:vAlign w:val="center"/>
          </w:tcPr>
          <w:p w14:paraId="094FA337">
            <w:pPr>
              <w:spacing w:before="0" w:after="0" w:line="240" w:lineRule="exact"/>
              <w:jc w:val="right"/>
              <w:rPr>
                <w:rFonts w:ascii="宋体" w:hAnsi="宋体" w:eastAsia="宋体" w:cs="宋体"/>
                <w:sz w:val="18"/>
                <w:szCs w:val="18"/>
              </w:rPr>
            </w:pPr>
            <w:r>
              <w:rPr>
                <w:rFonts w:ascii="宋体" w:hAnsi="宋体" w:eastAsia="宋体" w:cs="宋体"/>
                <w:sz w:val="18"/>
                <w:szCs w:val="18"/>
              </w:rPr>
              <w:t>57.69%</w:t>
            </w:r>
          </w:p>
        </w:tc>
        <w:tc>
          <w:tcPr>
            <w:tcW w:w="2410" w:type="dxa"/>
            <w:tcBorders>
              <w:top w:val="single" w:color="auto" w:sz="2" w:space="0"/>
              <w:left w:val="single" w:color="auto" w:sz="2" w:space="0"/>
              <w:bottom w:val="single" w:color="auto" w:sz="2" w:space="0"/>
              <w:right w:val="single" w:color="auto" w:sz="2" w:space="0"/>
            </w:tcBorders>
            <w:vAlign w:val="center"/>
          </w:tcPr>
          <w:p w14:paraId="39940E90">
            <w:pPr>
              <w:spacing w:before="0" w:after="0" w:line="240" w:lineRule="exact"/>
              <w:jc w:val="right"/>
              <w:rPr>
                <w:rFonts w:ascii="宋体" w:hAnsi="宋体" w:eastAsia="宋体" w:cs="宋体"/>
                <w:sz w:val="18"/>
                <w:szCs w:val="18"/>
              </w:rPr>
            </w:pPr>
            <w:r>
              <w:rPr>
                <w:rFonts w:ascii="宋体" w:hAnsi="宋体" w:eastAsia="宋体" w:cs="宋体"/>
                <w:sz w:val="18"/>
                <w:szCs w:val="18"/>
              </w:rPr>
              <w:t>0.81%</w:t>
            </w:r>
          </w:p>
        </w:tc>
      </w:tr>
      <w:tr w14:paraId="0D6466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108EE6D">
            <w:pPr>
              <w:spacing w:before="40" w:after="40" w:line="240" w:lineRule="exact"/>
              <w:jc w:val="left"/>
              <w:rPr>
                <w:rFonts w:ascii="宋体" w:hAnsi="宋体" w:eastAsia="宋体" w:cs="宋体"/>
                <w:sz w:val="18"/>
                <w:szCs w:val="18"/>
              </w:rPr>
            </w:pPr>
            <w:r>
              <w:rPr>
                <w:rFonts w:ascii="宋体" w:hAnsi="宋体" w:eastAsia="宋体" w:cs="宋体"/>
                <w:sz w:val="18"/>
                <w:szCs w:val="18"/>
              </w:rPr>
              <w:t>资本化研发支出占当期净利润的比重</w:t>
            </w:r>
          </w:p>
        </w:tc>
        <w:tc>
          <w:tcPr>
            <w:tcW w:w="2410" w:type="dxa"/>
            <w:tcBorders>
              <w:top w:val="single" w:color="auto" w:sz="2" w:space="0"/>
              <w:left w:val="single" w:color="auto" w:sz="2" w:space="0"/>
              <w:bottom w:val="single" w:color="auto" w:sz="2" w:space="0"/>
              <w:right w:val="single" w:color="auto" w:sz="2" w:space="0"/>
            </w:tcBorders>
            <w:vAlign w:val="center"/>
          </w:tcPr>
          <w:p w14:paraId="7E9ABAA2">
            <w:pPr>
              <w:spacing w:before="0" w:after="0" w:line="240" w:lineRule="exact"/>
              <w:jc w:val="right"/>
              <w:rPr>
                <w:rFonts w:ascii="宋体" w:hAnsi="宋体" w:eastAsia="宋体" w:cs="宋体"/>
                <w:sz w:val="18"/>
                <w:szCs w:val="18"/>
              </w:rPr>
            </w:pPr>
            <w:r>
              <w:rPr>
                <w:rFonts w:ascii="宋体" w:hAnsi="宋体" w:eastAsia="宋体" w:cs="宋体"/>
                <w:sz w:val="18"/>
                <w:szCs w:val="18"/>
              </w:rPr>
              <w:t>-0.48%</w:t>
            </w:r>
          </w:p>
        </w:tc>
        <w:tc>
          <w:tcPr>
            <w:tcW w:w="2410" w:type="dxa"/>
            <w:tcBorders>
              <w:top w:val="single" w:color="auto" w:sz="2" w:space="0"/>
              <w:left w:val="single" w:color="auto" w:sz="2" w:space="0"/>
              <w:bottom w:val="single" w:color="auto" w:sz="2" w:space="0"/>
              <w:right w:val="single" w:color="auto" w:sz="2" w:space="0"/>
            </w:tcBorders>
            <w:vAlign w:val="center"/>
          </w:tcPr>
          <w:p w14:paraId="5C62004C">
            <w:pPr>
              <w:spacing w:before="0" w:after="0" w:line="240" w:lineRule="exact"/>
              <w:jc w:val="right"/>
              <w:rPr>
                <w:rFonts w:ascii="宋体" w:hAnsi="宋体" w:eastAsia="宋体" w:cs="宋体"/>
                <w:sz w:val="18"/>
                <w:szCs w:val="18"/>
              </w:rPr>
            </w:pPr>
            <w:r>
              <w:rPr>
                <w:rFonts w:ascii="宋体" w:hAnsi="宋体" w:eastAsia="宋体" w:cs="宋体"/>
                <w:sz w:val="18"/>
                <w:szCs w:val="18"/>
              </w:rPr>
              <w:t>-48.35%</w:t>
            </w:r>
          </w:p>
        </w:tc>
        <w:tc>
          <w:tcPr>
            <w:tcW w:w="2410" w:type="dxa"/>
            <w:tcBorders>
              <w:top w:val="single" w:color="auto" w:sz="2" w:space="0"/>
              <w:left w:val="single" w:color="auto" w:sz="2" w:space="0"/>
              <w:bottom w:val="single" w:color="auto" w:sz="2" w:space="0"/>
              <w:right w:val="single" w:color="auto" w:sz="2" w:space="0"/>
            </w:tcBorders>
            <w:vAlign w:val="center"/>
          </w:tcPr>
          <w:p w14:paraId="3ED99742">
            <w:pPr>
              <w:spacing w:before="0" w:after="0" w:line="240" w:lineRule="exact"/>
              <w:jc w:val="right"/>
              <w:rPr>
                <w:rFonts w:ascii="宋体" w:hAnsi="宋体" w:eastAsia="宋体" w:cs="宋体"/>
                <w:sz w:val="18"/>
                <w:szCs w:val="18"/>
              </w:rPr>
            </w:pPr>
            <w:r>
              <w:rPr>
                <w:rFonts w:ascii="宋体" w:hAnsi="宋体" w:eastAsia="宋体" w:cs="宋体"/>
                <w:sz w:val="18"/>
                <w:szCs w:val="18"/>
              </w:rPr>
              <w:t>-1.08%</w:t>
            </w:r>
          </w:p>
        </w:tc>
      </w:tr>
    </w:tbl>
    <w:p w14:paraId="5F708FF7">
      <w:pPr>
        <w:spacing w:before="100" w:after="100" w:line="240" w:lineRule="exact"/>
        <w:jc w:val="left"/>
        <w:rPr>
          <w:rFonts w:ascii="宋体" w:hAnsi="宋体" w:eastAsia="宋体" w:cs="宋体"/>
          <w:sz w:val="18"/>
          <w:szCs w:val="18"/>
        </w:rPr>
      </w:pPr>
      <w:r>
        <w:rPr>
          <w:rFonts w:ascii="宋体" w:hAnsi="宋体" w:eastAsia="宋体" w:cs="宋体"/>
          <w:sz w:val="18"/>
          <w:szCs w:val="18"/>
        </w:rPr>
        <w:t>公司研发人员构成发生重大变化的原因及影响</w:t>
      </w:r>
    </w:p>
    <w:p w14:paraId="782414BF">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BEA7D73">
      <w:pPr>
        <w:spacing w:before="100" w:after="100" w:line="240" w:lineRule="exact"/>
        <w:jc w:val="left"/>
        <w:rPr>
          <w:rFonts w:ascii="宋体" w:hAnsi="宋体" w:eastAsia="宋体" w:cs="宋体"/>
          <w:sz w:val="18"/>
          <w:szCs w:val="18"/>
        </w:rPr>
      </w:pPr>
      <w:r>
        <w:rPr>
          <w:rFonts w:ascii="宋体" w:hAnsi="宋体" w:eastAsia="宋体" w:cs="宋体"/>
          <w:sz w:val="18"/>
          <w:szCs w:val="18"/>
        </w:rPr>
        <w:t>研发投入总额占营业收入的比重较上年发生显著变化的原因</w:t>
      </w:r>
    </w:p>
    <w:p w14:paraId="543211BB">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57E567B8">
      <w:pPr>
        <w:pStyle w:val="2"/>
        <w:keepNext w:val="0"/>
        <w:keepLines w:val="0"/>
        <w:widowControl/>
        <w:suppressLineNumbers w:val="0"/>
      </w:pPr>
      <w:r>
        <w:rPr>
          <w:rFonts w:hint="eastAsia" w:ascii="宋体" w:hAnsi="宋体" w:cs="宋体"/>
          <w:sz w:val="18"/>
          <w:szCs w:val="18"/>
        </w:rPr>
        <w:t>主要为2023年度公司创新药项目泰中定投入较大且于2023年度获得生产批件，因此报告期研发投入有较大幅度下降。</w:t>
      </w:r>
    </w:p>
    <w:p w14:paraId="422A44C9">
      <w:pPr>
        <w:spacing w:before="100" w:after="100" w:line="240" w:lineRule="exact"/>
        <w:jc w:val="left"/>
        <w:rPr>
          <w:rFonts w:ascii="宋体" w:hAnsi="宋体" w:eastAsia="宋体" w:cs="宋体"/>
          <w:sz w:val="18"/>
          <w:szCs w:val="18"/>
        </w:rPr>
      </w:pPr>
      <w:r>
        <w:rPr>
          <w:rFonts w:ascii="宋体" w:hAnsi="宋体" w:eastAsia="宋体" w:cs="宋体"/>
          <w:sz w:val="18"/>
          <w:szCs w:val="18"/>
        </w:rPr>
        <w:t>研发投入资本化率大幅变动的原因及其合理性说明</w:t>
      </w:r>
    </w:p>
    <w:p w14:paraId="5D6D0236">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4AF188E">
      <w:pPr>
        <w:keepNext/>
        <w:keepLines/>
        <w:spacing w:before="300" w:after="300" w:line="320" w:lineRule="exact"/>
        <w:jc w:val="left"/>
        <w:outlineLvl w:val="1"/>
        <w:rPr>
          <w:rFonts w:ascii="宋体" w:hAnsi="宋体" w:eastAsia="宋体" w:cs="宋体"/>
          <w:b/>
          <w:bCs/>
          <w:sz w:val="24"/>
          <w:szCs w:val="24"/>
        </w:rPr>
      </w:pPr>
      <w:r>
        <w:rPr>
          <w:rFonts w:ascii="宋体" w:hAnsi="宋体" w:eastAsia="宋体" w:cs="宋体"/>
          <w:b/>
          <w:bCs/>
          <w:sz w:val="24"/>
          <w:szCs w:val="24"/>
        </w:rPr>
        <w:t>六、资产及负债状况分析</w:t>
      </w:r>
      <w:bookmarkEnd w:id="33"/>
    </w:p>
    <w:p w14:paraId="20BE9E0E">
      <w:pPr>
        <w:keepNext/>
        <w:keepLines/>
        <w:spacing w:before="300" w:after="300" w:line="280" w:lineRule="exact"/>
        <w:jc w:val="left"/>
        <w:outlineLvl w:val="2"/>
        <w:rPr>
          <w:rFonts w:ascii="宋体" w:hAnsi="宋体" w:eastAsia="宋体" w:cs="宋体"/>
          <w:b/>
          <w:bCs/>
          <w:sz w:val="21"/>
          <w:szCs w:val="21"/>
        </w:rPr>
      </w:pPr>
      <w:bookmarkStart w:id="34" w:name="_Toc988921"/>
      <w:r>
        <w:rPr>
          <w:rFonts w:ascii="宋体" w:hAnsi="宋体" w:eastAsia="宋体" w:cs="宋体"/>
          <w:b/>
          <w:bCs/>
          <w:sz w:val="21"/>
          <w:szCs w:val="21"/>
        </w:rPr>
        <w:t>1、资产构成重大变动情况</w:t>
      </w:r>
      <w:bookmarkEnd w:id="34"/>
    </w:p>
    <w:p w14:paraId="30E44C8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910"/>
        <w:gridCol w:w="1520"/>
        <w:gridCol w:w="1590"/>
        <w:gridCol w:w="1490"/>
        <w:gridCol w:w="860"/>
        <w:gridCol w:w="892"/>
      </w:tblGrid>
      <w:tr w14:paraId="3150BC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4F010BB"/>
        </w:tc>
        <w:tc>
          <w:tcPr>
            <w:tcW w:w="343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4B437737">
            <w:pPr>
              <w:spacing w:before="40" w:after="40" w:line="240" w:lineRule="exact"/>
              <w:jc w:val="center"/>
              <w:rPr>
                <w:rFonts w:ascii="宋体" w:hAnsi="宋体" w:eastAsia="宋体" w:cs="宋体"/>
                <w:sz w:val="18"/>
                <w:szCs w:val="18"/>
              </w:rPr>
            </w:pPr>
            <w:r>
              <w:rPr>
                <w:rFonts w:ascii="宋体" w:hAnsi="宋体" w:eastAsia="宋体" w:cs="宋体"/>
                <w:sz w:val="18"/>
                <w:szCs w:val="18"/>
              </w:rPr>
              <w:t>2024年末</w:t>
            </w:r>
          </w:p>
        </w:tc>
        <w:tc>
          <w:tcPr>
            <w:tcW w:w="308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4A0998AC">
            <w:pPr>
              <w:spacing w:before="40" w:after="40" w:line="240" w:lineRule="exact"/>
              <w:jc w:val="center"/>
              <w:rPr>
                <w:rFonts w:ascii="宋体" w:hAnsi="宋体" w:eastAsia="宋体" w:cs="宋体"/>
                <w:sz w:val="18"/>
                <w:szCs w:val="18"/>
              </w:rPr>
            </w:pPr>
            <w:r>
              <w:rPr>
                <w:rFonts w:ascii="宋体" w:hAnsi="宋体" w:eastAsia="宋体" w:cs="宋体"/>
                <w:sz w:val="18"/>
                <w:szCs w:val="18"/>
              </w:rPr>
              <w:t>2024年初</w:t>
            </w:r>
          </w:p>
        </w:tc>
        <w:tc>
          <w:tcPr>
            <w:tcW w:w="86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504F89D">
            <w:pPr>
              <w:spacing w:before="40" w:after="40" w:line="240" w:lineRule="exact"/>
              <w:jc w:val="center"/>
              <w:rPr>
                <w:rFonts w:ascii="宋体" w:hAnsi="宋体" w:eastAsia="宋体" w:cs="宋体"/>
                <w:sz w:val="18"/>
                <w:szCs w:val="18"/>
              </w:rPr>
            </w:pPr>
            <w:r>
              <w:rPr>
                <w:rFonts w:ascii="宋体" w:hAnsi="宋体" w:eastAsia="宋体" w:cs="宋体"/>
                <w:sz w:val="18"/>
                <w:szCs w:val="18"/>
              </w:rPr>
              <w:t>比重增减</w:t>
            </w:r>
          </w:p>
        </w:tc>
        <w:tc>
          <w:tcPr>
            <w:tcW w:w="89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89F134A">
            <w:pPr>
              <w:spacing w:before="40" w:after="40" w:line="240" w:lineRule="exact"/>
              <w:jc w:val="center"/>
              <w:rPr>
                <w:rFonts w:ascii="宋体" w:hAnsi="宋体" w:eastAsia="宋体" w:cs="宋体"/>
                <w:sz w:val="18"/>
                <w:szCs w:val="18"/>
              </w:rPr>
            </w:pPr>
            <w:r>
              <w:rPr>
                <w:rFonts w:ascii="宋体" w:hAnsi="宋体" w:eastAsia="宋体" w:cs="宋体"/>
                <w:sz w:val="18"/>
                <w:szCs w:val="18"/>
              </w:rPr>
              <w:t>重大变动说明</w:t>
            </w:r>
          </w:p>
        </w:tc>
      </w:tr>
      <w:tr w14:paraId="5E276D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35BB8CC"/>
        </w:tc>
        <w:tc>
          <w:tcPr>
            <w:tcW w:w="1910" w:type="dxa"/>
            <w:tcBorders>
              <w:top w:val="single" w:color="auto" w:sz="2" w:space="0"/>
              <w:left w:val="single" w:color="auto" w:sz="2" w:space="0"/>
              <w:bottom w:val="single" w:color="auto" w:sz="2" w:space="0"/>
              <w:right w:val="single" w:color="auto" w:sz="2" w:space="0"/>
            </w:tcBorders>
            <w:shd w:val="clear" w:color="auto" w:fill="D3D3D3"/>
            <w:vAlign w:val="center"/>
          </w:tcPr>
          <w:p w14:paraId="02825EC7">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520" w:type="dxa"/>
            <w:tcBorders>
              <w:top w:val="single" w:color="auto" w:sz="2" w:space="0"/>
              <w:left w:val="single" w:color="auto" w:sz="2" w:space="0"/>
              <w:bottom w:val="single" w:color="auto" w:sz="2" w:space="0"/>
              <w:right w:val="single" w:color="auto" w:sz="2" w:space="0"/>
            </w:tcBorders>
            <w:shd w:val="clear" w:color="auto" w:fill="D3D3D3"/>
            <w:vAlign w:val="center"/>
          </w:tcPr>
          <w:p w14:paraId="12F1D614">
            <w:pPr>
              <w:spacing w:before="40" w:after="40" w:line="240" w:lineRule="exact"/>
              <w:jc w:val="center"/>
              <w:rPr>
                <w:rFonts w:ascii="宋体" w:hAnsi="宋体" w:eastAsia="宋体" w:cs="宋体"/>
                <w:sz w:val="18"/>
                <w:szCs w:val="18"/>
              </w:rPr>
            </w:pPr>
            <w:r>
              <w:rPr>
                <w:rFonts w:ascii="宋体" w:hAnsi="宋体" w:eastAsia="宋体" w:cs="宋体"/>
                <w:sz w:val="18"/>
                <w:szCs w:val="18"/>
              </w:rPr>
              <w:t>占总资产比例</w:t>
            </w:r>
          </w:p>
        </w:tc>
        <w:tc>
          <w:tcPr>
            <w:tcW w:w="1590" w:type="dxa"/>
            <w:tcBorders>
              <w:top w:val="single" w:color="auto" w:sz="2" w:space="0"/>
              <w:left w:val="single" w:color="auto" w:sz="2" w:space="0"/>
              <w:bottom w:val="single" w:color="auto" w:sz="2" w:space="0"/>
              <w:right w:val="single" w:color="auto" w:sz="2" w:space="0"/>
            </w:tcBorders>
            <w:shd w:val="clear" w:color="auto" w:fill="D3D3D3"/>
            <w:vAlign w:val="center"/>
          </w:tcPr>
          <w:p w14:paraId="003606F4">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490" w:type="dxa"/>
            <w:tcBorders>
              <w:top w:val="single" w:color="auto" w:sz="2" w:space="0"/>
              <w:left w:val="single" w:color="auto" w:sz="2" w:space="0"/>
              <w:bottom w:val="single" w:color="auto" w:sz="2" w:space="0"/>
              <w:right w:val="single" w:color="auto" w:sz="2" w:space="0"/>
            </w:tcBorders>
            <w:shd w:val="clear" w:color="auto" w:fill="D3D3D3"/>
            <w:vAlign w:val="center"/>
          </w:tcPr>
          <w:p w14:paraId="7A24BB50">
            <w:pPr>
              <w:spacing w:before="40" w:after="40" w:line="240" w:lineRule="exact"/>
              <w:jc w:val="center"/>
              <w:rPr>
                <w:rFonts w:ascii="宋体" w:hAnsi="宋体" w:eastAsia="宋体" w:cs="宋体"/>
                <w:sz w:val="18"/>
                <w:szCs w:val="18"/>
              </w:rPr>
            </w:pPr>
            <w:r>
              <w:rPr>
                <w:rFonts w:ascii="宋体" w:hAnsi="宋体" w:eastAsia="宋体" w:cs="宋体"/>
                <w:sz w:val="18"/>
                <w:szCs w:val="18"/>
              </w:rPr>
              <w:t>占总资产比例</w:t>
            </w:r>
          </w:p>
        </w:tc>
        <w:tc>
          <w:tcPr>
            <w:tcW w:w="86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3D45E52"/>
        </w:tc>
        <w:tc>
          <w:tcPr>
            <w:tcW w:w="89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76395AF"/>
        </w:tc>
      </w:tr>
      <w:tr w14:paraId="0EA780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D0E2186">
            <w:pPr>
              <w:spacing w:before="40" w:after="40" w:line="240" w:lineRule="exact"/>
              <w:jc w:val="left"/>
              <w:rPr>
                <w:rFonts w:ascii="宋体" w:hAnsi="宋体" w:eastAsia="宋体" w:cs="宋体"/>
                <w:sz w:val="18"/>
                <w:szCs w:val="18"/>
              </w:rPr>
            </w:pPr>
            <w:r>
              <w:rPr>
                <w:rFonts w:ascii="宋体" w:hAnsi="宋体" w:eastAsia="宋体" w:cs="宋体"/>
                <w:sz w:val="18"/>
                <w:szCs w:val="18"/>
              </w:rPr>
              <w:t>货币资金</w:t>
            </w:r>
          </w:p>
        </w:tc>
        <w:tc>
          <w:tcPr>
            <w:tcW w:w="1910" w:type="dxa"/>
            <w:tcBorders>
              <w:top w:val="single" w:color="auto" w:sz="2" w:space="0"/>
              <w:left w:val="single" w:color="auto" w:sz="2" w:space="0"/>
              <w:bottom w:val="single" w:color="auto" w:sz="2" w:space="0"/>
              <w:right w:val="single" w:color="auto" w:sz="2" w:space="0"/>
            </w:tcBorders>
            <w:vAlign w:val="center"/>
          </w:tcPr>
          <w:p w14:paraId="05C52727">
            <w:pPr>
              <w:spacing w:before="0" w:after="0" w:line="240" w:lineRule="exact"/>
              <w:jc w:val="right"/>
              <w:rPr>
                <w:rFonts w:ascii="宋体" w:hAnsi="宋体" w:eastAsia="宋体" w:cs="宋体"/>
                <w:sz w:val="18"/>
                <w:szCs w:val="18"/>
              </w:rPr>
            </w:pPr>
            <w:r>
              <w:rPr>
                <w:rFonts w:ascii="宋体" w:hAnsi="宋体" w:eastAsia="宋体" w:cs="宋体"/>
                <w:sz w:val="18"/>
                <w:szCs w:val="18"/>
              </w:rPr>
              <w:t>143,954,066.36</w:t>
            </w:r>
          </w:p>
        </w:tc>
        <w:tc>
          <w:tcPr>
            <w:tcW w:w="1520" w:type="dxa"/>
            <w:tcBorders>
              <w:top w:val="single" w:color="auto" w:sz="2" w:space="0"/>
              <w:left w:val="single" w:color="auto" w:sz="2" w:space="0"/>
              <w:bottom w:val="single" w:color="auto" w:sz="2" w:space="0"/>
              <w:right w:val="single" w:color="auto" w:sz="2" w:space="0"/>
            </w:tcBorders>
            <w:vAlign w:val="center"/>
          </w:tcPr>
          <w:p w14:paraId="75007548">
            <w:pPr>
              <w:spacing w:before="0" w:after="0" w:line="240" w:lineRule="exact"/>
              <w:jc w:val="right"/>
              <w:rPr>
                <w:rFonts w:ascii="宋体" w:hAnsi="宋体" w:eastAsia="宋体" w:cs="宋体"/>
                <w:sz w:val="18"/>
                <w:szCs w:val="18"/>
              </w:rPr>
            </w:pPr>
            <w:r>
              <w:rPr>
                <w:rFonts w:ascii="宋体" w:hAnsi="宋体" w:eastAsia="宋体" w:cs="宋体"/>
                <w:sz w:val="18"/>
                <w:szCs w:val="18"/>
              </w:rPr>
              <w:t>10.01%</w:t>
            </w:r>
          </w:p>
        </w:tc>
        <w:tc>
          <w:tcPr>
            <w:tcW w:w="1590" w:type="dxa"/>
            <w:tcBorders>
              <w:top w:val="single" w:color="auto" w:sz="2" w:space="0"/>
              <w:left w:val="single" w:color="auto" w:sz="2" w:space="0"/>
              <w:bottom w:val="single" w:color="auto" w:sz="2" w:space="0"/>
              <w:right w:val="single" w:color="auto" w:sz="2" w:space="0"/>
            </w:tcBorders>
            <w:vAlign w:val="center"/>
          </w:tcPr>
          <w:p w14:paraId="2F1EE585">
            <w:pPr>
              <w:spacing w:before="0" w:after="0" w:line="240" w:lineRule="exact"/>
              <w:jc w:val="right"/>
              <w:rPr>
                <w:rFonts w:ascii="宋体" w:hAnsi="宋体" w:eastAsia="宋体" w:cs="宋体"/>
                <w:sz w:val="18"/>
                <w:szCs w:val="18"/>
              </w:rPr>
            </w:pPr>
            <w:r>
              <w:rPr>
                <w:rFonts w:ascii="宋体" w:hAnsi="宋体" w:eastAsia="宋体" w:cs="宋体"/>
                <w:sz w:val="18"/>
                <w:szCs w:val="18"/>
              </w:rPr>
              <w:t>202,830,792.87</w:t>
            </w:r>
          </w:p>
        </w:tc>
        <w:tc>
          <w:tcPr>
            <w:tcW w:w="1490" w:type="dxa"/>
            <w:tcBorders>
              <w:top w:val="single" w:color="auto" w:sz="2" w:space="0"/>
              <w:left w:val="single" w:color="auto" w:sz="2" w:space="0"/>
              <w:bottom w:val="single" w:color="auto" w:sz="2" w:space="0"/>
              <w:right w:val="single" w:color="auto" w:sz="2" w:space="0"/>
            </w:tcBorders>
            <w:vAlign w:val="center"/>
          </w:tcPr>
          <w:p w14:paraId="775249A7">
            <w:pPr>
              <w:spacing w:before="0" w:after="0" w:line="240" w:lineRule="exact"/>
              <w:jc w:val="right"/>
              <w:rPr>
                <w:rFonts w:ascii="宋体" w:hAnsi="宋体" w:eastAsia="宋体" w:cs="宋体"/>
                <w:sz w:val="18"/>
                <w:szCs w:val="18"/>
              </w:rPr>
            </w:pPr>
            <w:r>
              <w:rPr>
                <w:rFonts w:ascii="宋体" w:hAnsi="宋体" w:eastAsia="宋体" w:cs="宋体"/>
                <w:sz w:val="18"/>
                <w:szCs w:val="18"/>
              </w:rPr>
              <w:t>12.56%</w:t>
            </w:r>
          </w:p>
        </w:tc>
        <w:tc>
          <w:tcPr>
            <w:tcW w:w="860" w:type="dxa"/>
            <w:tcBorders>
              <w:top w:val="single" w:color="auto" w:sz="2" w:space="0"/>
              <w:left w:val="single" w:color="auto" w:sz="2" w:space="0"/>
              <w:bottom w:val="single" w:color="auto" w:sz="2" w:space="0"/>
              <w:right w:val="single" w:color="auto" w:sz="2" w:space="0"/>
            </w:tcBorders>
            <w:vAlign w:val="center"/>
          </w:tcPr>
          <w:p w14:paraId="37F1F04B">
            <w:pPr>
              <w:spacing w:before="0" w:after="0" w:line="240" w:lineRule="exact"/>
              <w:jc w:val="right"/>
              <w:rPr>
                <w:rFonts w:ascii="宋体" w:hAnsi="宋体" w:eastAsia="宋体" w:cs="宋体"/>
                <w:sz w:val="18"/>
                <w:szCs w:val="18"/>
              </w:rPr>
            </w:pPr>
            <w:r>
              <w:rPr>
                <w:rFonts w:ascii="宋体" w:hAnsi="宋体" w:eastAsia="宋体" w:cs="宋体"/>
                <w:sz w:val="18"/>
                <w:szCs w:val="18"/>
              </w:rPr>
              <w:t>-2.55%</w:t>
            </w:r>
          </w:p>
        </w:tc>
        <w:tc>
          <w:tcPr>
            <w:tcW w:w="892" w:type="dxa"/>
            <w:tcBorders>
              <w:top w:val="single" w:color="auto" w:sz="2" w:space="0"/>
              <w:left w:val="single" w:color="auto" w:sz="2" w:space="0"/>
              <w:bottom w:val="single" w:color="auto" w:sz="2" w:space="0"/>
              <w:right w:val="single" w:color="auto" w:sz="2" w:space="0"/>
            </w:tcBorders>
            <w:vAlign w:val="center"/>
          </w:tcPr>
          <w:p w14:paraId="06963F2A">
            <w:pPr>
              <w:spacing w:before="0" w:after="0" w:line="240" w:lineRule="exact"/>
              <w:jc w:val="left"/>
              <w:rPr>
                <w:rFonts w:ascii="宋体" w:hAnsi="宋体" w:eastAsia="宋体" w:cs="宋体"/>
                <w:sz w:val="18"/>
                <w:szCs w:val="18"/>
              </w:rPr>
            </w:pPr>
          </w:p>
        </w:tc>
      </w:tr>
      <w:tr w14:paraId="359848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F200AB1">
            <w:pPr>
              <w:spacing w:before="40" w:after="40" w:line="240" w:lineRule="exact"/>
              <w:jc w:val="left"/>
              <w:rPr>
                <w:rFonts w:ascii="宋体" w:hAnsi="宋体" w:eastAsia="宋体" w:cs="宋体"/>
                <w:sz w:val="18"/>
                <w:szCs w:val="18"/>
              </w:rPr>
            </w:pPr>
            <w:r>
              <w:rPr>
                <w:rFonts w:ascii="宋体" w:hAnsi="宋体" w:eastAsia="宋体" w:cs="宋体"/>
                <w:sz w:val="18"/>
                <w:szCs w:val="18"/>
              </w:rPr>
              <w:t>应收账款</w:t>
            </w:r>
          </w:p>
        </w:tc>
        <w:tc>
          <w:tcPr>
            <w:tcW w:w="1910" w:type="dxa"/>
            <w:tcBorders>
              <w:top w:val="single" w:color="auto" w:sz="2" w:space="0"/>
              <w:left w:val="single" w:color="auto" w:sz="2" w:space="0"/>
              <w:bottom w:val="single" w:color="auto" w:sz="2" w:space="0"/>
              <w:right w:val="single" w:color="auto" w:sz="2" w:space="0"/>
            </w:tcBorders>
            <w:vAlign w:val="center"/>
          </w:tcPr>
          <w:p w14:paraId="193092F3">
            <w:pPr>
              <w:spacing w:before="0" w:after="0" w:line="240" w:lineRule="exact"/>
              <w:jc w:val="right"/>
              <w:rPr>
                <w:rFonts w:ascii="宋体" w:hAnsi="宋体" w:eastAsia="宋体" w:cs="宋体"/>
                <w:sz w:val="18"/>
                <w:szCs w:val="18"/>
              </w:rPr>
            </w:pPr>
            <w:r>
              <w:rPr>
                <w:rFonts w:ascii="宋体" w:hAnsi="宋体" w:eastAsia="宋体" w:cs="宋体"/>
                <w:sz w:val="18"/>
                <w:szCs w:val="18"/>
              </w:rPr>
              <w:t>68,135,478.18</w:t>
            </w:r>
          </w:p>
        </w:tc>
        <w:tc>
          <w:tcPr>
            <w:tcW w:w="1520" w:type="dxa"/>
            <w:tcBorders>
              <w:top w:val="single" w:color="auto" w:sz="2" w:space="0"/>
              <w:left w:val="single" w:color="auto" w:sz="2" w:space="0"/>
              <w:bottom w:val="single" w:color="auto" w:sz="2" w:space="0"/>
              <w:right w:val="single" w:color="auto" w:sz="2" w:space="0"/>
            </w:tcBorders>
            <w:vAlign w:val="center"/>
          </w:tcPr>
          <w:p w14:paraId="0651C398">
            <w:pPr>
              <w:spacing w:before="0" w:after="0" w:line="240" w:lineRule="exact"/>
              <w:jc w:val="right"/>
              <w:rPr>
                <w:rFonts w:ascii="宋体" w:hAnsi="宋体" w:eastAsia="宋体" w:cs="宋体"/>
                <w:sz w:val="18"/>
                <w:szCs w:val="18"/>
              </w:rPr>
            </w:pPr>
            <w:r>
              <w:rPr>
                <w:rFonts w:ascii="宋体" w:hAnsi="宋体" w:eastAsia="宋体" w:cs="宋体"/>
                <w:sz w:val="18"/>
                <w:szCs w:val="18"/>
              </w:rPr>
              <w:t>4.74%</w:t>
            </w:r>
          </w:p>
        </w:tc>
        <w:tc>
          <w:tcPr>
            <w:tcW w:w="1590" w:type="dxa"/>
            <w:tcBorders>
              <w:top w:val="single" w:color="auto" w:sz="2" w:space="0"/>
              <w:left w:val="single" w:color="auto" w:sz="2" w:space="0"/>
              <w:bottom w:val="single" w:color="auto" w:sz="2" w:space="0"/>
              <w:right w:val="single" w:color="auto" w:sz="2" w:space="0"/>
            </w:tcBorders>
            <w:vAlign w:val="center"/>
          </w:tcPr>
          <w:p w14:paraId="71A455AD">
            <w:pPr>
              <w:spacing w:before="0" w:after="0" w:line="240" w:lineRule="exact"/>
              <w:jc w:val="right"/>
              <w:rPr>
                <w:rFonts w:ascii="宋体" w:hAnsi="宋体" w:eastAsia="宋体" w:cs="宋体"/>
                <w:sz w:val="18"/>
                <w:szCs w:val="18"/>
              </w:rPr>
            </w:pPr>
            <w:r>
              <w:rPr>
                <w:rFonts w:ascii="宋体" w:hAnsi="宋体" w:eastAsia="宋体" w:cs="宋体"/>
                <w:sz w:val="18"/>
                <w:szCs w:val="18"/>
              </w:rPr>
              <w:t>67,543,214.03</w:t>
            </w:r>
          </w:p>
        </w:tc>
        <w:tc>
          <w:tcPr>
            <w:tcW w:w="1490" w:type="dxa"/>
            <w:tcBorders>
              <w:top w:val="single" w:color="auto" w:sz="2" w:space="0"/>
              <w:left w:val="single" w:color="auto" w:sz="2" w:space="0"/>
              <w:bottom w:val="single" w:color="auto" w:sz="2" w:space="0"/>
              <w:right w:val="single" w:color="auto" w:sz="2" w:space="0"/>
            </w:tcBorders>
            <w:vAlign w:val="center"/>
          </w:tcPr>
          <w:p w14:paraId="30068F9D">
            <w:pPr>
              <w:spacing w:before="0" w:after="0" w:line="240" w:lineRule="exact"/>
              <w:jc w:val="right"/>
              <w:rPr>
                <w:rFonts w:ascii="宋体" w:hAnsi="宋体" w:eastAsia="宋体" w:cs="宋体"/>
                <w:sz w:val="18"/>
                <w:szCs w:val="18"/>
              </w:rPr>
            </w:pPr>
            <w:r>
              <w:rPr>
                <w:rFonts w:ascii="宋体" w:hAnsi="宋体" w:eastAsia="宋体" w:cs="宋体"/>
                <w:sz w:val="18"/>
                <w:szCs w:val="18"/>
              </w:rPr>
              <w:t>4.18%</w:t>
            </w:r>
          </w:p>
        </w:tc>
        <w:tc>
          <w:tcPr>
            <w:tcW w:w="860" w:type="dxa"/>
            <w:tcBorders>
              <w:top w:val="single" w:color="auto" w:sz="2" w:space="0"/>
              <w:left w:val="single" w:color="auto" w:sz="2" w:space="0"/>
              <w:bottom w:val="single" w:color="auto" w:sz="2" w:space="0"/>
              <w:right w:val="single" w:color="auto" w:sz="2" w:space="0"/>
            </w:tcBorders>
            <w:vAlign w:val="center"/>
          </w:tcPr>
          <w:p w14:paraId="5CF6734B">
            <w:pPr>
              <w:spacing w:before="0" w:after="0" w:line="240" w:lineRule="exact"/>
              <w:jc w:val="right"/>
              <w:rPr>
                <w:rFonts w:ascii="宋体" w:hAnsi="宋体" w:eastAsia="宋体" w:cs="宋体"/>
                <w:sz w:val="18"/>
                <w:szCs w:val="18"/>
              </w:rPr>
            </w:pPr>
            <w:r>
              <w:rPr>
                <w:rFonts w:ascii="宋体" w:hAnsi="宋体" w:eastAsia="宋体" w:cs="宋体"/>
                <w:sz w:val="18"/>
                <w:szCs w:val="18"/>
              </w:rPr>
              <w:t>0.56%</w:t>
            </w:r>
          </w:p>
        </w:tc>
        <w:tc>
          <w:tcPr>
            <w:tcW w:w="892" w:type="dxa"/>
            <w:tcBorders>
              <w:top w:val="single" w:color="auto" w:sz="2" w:space="0"/>
              <w:left w:val="single" w:color="auto" w:sz="2" w:space="0"/>
              <w:bottom w:val="single" w:color="auto" w:sz="2" w:space="0"/>
              <w:right w:val="single" w:color="auto" w:sz="2" w:space="0"/>
            </w:tcBorders>
            <w:vAlign w:val="center"/>
          </w:tcPr>
          <w:p w14:paraId="31A0FF23">
            <w:pPr>
              <w:spacing w:before="0" w:after="0" w:line="240" w:lineRule="exact"/>
              <w:jc w:val="left"/>
              <w:rPr>
                <w:rFonts w:ascii="宋体" w:hAnsi="宋体" w:eastAsia="宋体" w:cs="宋体"/>
                <w:sz w:val="18"/>
                <w:szCs w:val="18"/>
              </w:rPr>
            </w:pPr>
          </w:p>
        </w:tc>
      </w:tr>
      <w:tr w14:paraId="1D8459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BE0EA91">
            <w:pPr>
              <w:spacing w:before="40" w:after="40" w:line="240" w:lineRule="exact"/>
              <w:jc w:val="left"/>
              <w:rPr>
                <w:rFonts w:ascii="宋体" w:hAnsi="宋体" w:eastAsia="宋体" w:cs="宋体"/>
                <w:sz w:val="18"/>
                <w:szCs w:val="18"/>
              </w:rPr>
            </w:pPr>
            <w:r>
              <w:rPr>
                <w:rFonts w:ascii="宋体" w:hAnsi="宋体" w:eastAsia="宋体" w:cs="宋体"/>
                <w:sz w:val="18"/>
                <w:szCs w:val="18"/>
              </w:rPr>
              <w:t>存货</w:t>
            </w:r>
          </w:p>
        </w:tc>
        <w:tc>
          <w:tcPr>
            <w:tcW w:w="1910" w:type="dxa"/>
            <w:tcBorders>
              <w:top w:val="single" w:color="auto" w:sz="2" w:space="0"/>
              <w:left w:val="single" w:color="auto" w:sz="2" w:space="0"/>
              <w:bottom w:val="single" w:color="auto" w:sz="2" w:space="0"/>
              <w:right w:val="single" w:color="auto" w:sz="2" w:space="0"/>
            </w:tcBorders>
            <w:vAlign w:val="center"/>
          </w:tcPr>
          <w:p w14:paraId="4C182FA2">
            <w:pPr>
              <w:spacing w:before="0" w:after="0" w:line="240" w:lineRule="exact"/>
              <w:jc w:val="right"/>
              <w:rPr>
                <w:rFonts w:ascii="宋体" w:hAnsi="宋体" w:eastAsia="宋体" w:cs="宋体"/>
                <w:sz w:val="18"/>
                <w:szCs w:val="18"/>
              </w:rPr>
            </w:pPr>
            <w:r>
              <w:rPr>
                <w:rFonts w:ascii="宋体" w:hAnsi="宋体" w:eastAsia="宋体" w:cs="宋体"/>
                <w:sz w:val="18"/>
                <w:szCs w:val="18"/>
              </w:rPr>
              <w:t>114,475,159.49</w:t>
            </w:r>
          </w:p>
        </w:tc>
        <w:tc>
          <w:tcPr>
            <w:tcW w:w="1520" w:type="dxa"/>
            <w:tcBorders>
              <w:top w:val="single" w:color="auto" w:sz="2" w:space="0"/>
              <w:left w:val="single" w:color="auto" w:sz="2" w:space="0"/>
              <w:bottom w:val="single" w:color="auto" w:sz="2" w:space="0"/>
              <w:right w:val="single" w:color="auto" w:sz="2" w:space="0"/>
            </w:tcBorders>
            <w:vAlign w:val="center"/>
          </w:tcPr>
          <w:p w14:paraId="3329349C">
            <w:pPr>
              <w:spacing w:before="0" w:after="0" w:line="240" w:lineRule="exact"/>
              <w:jc w:val="right"/>
              <w:rPr>
                <w:rFonts w:ascii="宋体" w:hAnsi="宋体" w:eastAsia="宋体" w:cs="宋体"/>
                <w:sz w:val="18"/>
                <w:szCs w:val="18"/>
              </w:rPr>
            </w:pPr>
            <w:r>
              <w:rPr>
                <w:rFonts w:ascii="宋体" w:hAnsi="宋体" w:eastAsia="宋体" w:cs="宋体"/>
                <w:sz w:val="18"/>
                <w:szCs w:val="18"/>
              </w:rPr>
              <w:t>7.96%</w:t>
            </w:r>
          </w:p>
        </w:tc>
        <w:tc>
          <w:tcPr>
            <w:tcW w:w="1590" w:type="dxa"/>
            <w:tcBorders>
              <w:top w:val="single" w:color="auto" w:sz="2" w:space="0"/>
              <w:left w:val="single" w:color="auto" w:sz="2" w:space="0"/>
              <w:bottom w:val="single" w:color="auto" w:sz="2" w:space="0"/>
              <w:right w:val="single" w:color="auto" w:sz="2" w:space="0"/>
            </w:tcBorders>
            <w:vAlign w:val="center"/>
          </w:tcPr>
          <w:p w14:paraId="7BBF3883">
            <w:pPr>
              <w:spacing w:before="0" w:after="0" w:line="240" w:lineRule="exact"/>
              <w:jc w:val="right"/>
              <w:rPr>
                <w:rFonts w:ascii="宋体" w:hAnsi="宋体" w:eastAsia="宋体" w:cs="宋体"/>
                <w:sz w:val="18"/>
                <w:szCs w:val="18"/>
              </w:rPr>
            </w:pPr>
            <w:r>
              <w:rPr>
                <w:rFonts w:ascii="宋体" w:hAnsi="宋体" w:eastAsia="宋体" w:cs="宋体"/>
                <w:sz w:val="18"/>
                <w:szCs w:val="18"/>
              </w:rPr>
              <w:t>111,475,622.97</w:t>
            </w:r>
          </w:p>
        </w:tc>
        <w:tc>
          <w:tcPr>
            <w:tcW w:w="1490" w:type="dxa"/>
            <w:tcBorders>
              <w:top w:val="single" w:color="auto" w:sz="2" w:space="0"/>
              <w:left w:val="single" w:color="auto" w:sz="2" w:space="0"/>
              <w:bottom w:val="single" w:color="auto" w:sz="2" w:space="0"/>
              <w:right w:val="single" w:color="auto" w:sz="2" w:space="0"/>
            </w:tcBorders>
            <w:vAlign w:val="center"/>
          </w:tcPr>
          <w:p w14:paraId="1A57946B">
            <w:pPr>
              <w:spacing w:before="0" w:after="0" w:line="240" w:lineRule="exact"/>
              <w:jc w:val="right"/>
              <w:rPr>
                <w:rFonts w:ascii="宋体" w:hAnsi="宋体" w:eastAsia="宋体" w:cs="宋体"/>
                <w:sz w:val="18"/>
                <w:szCs w:val="18"/>
              </w:rPr>
            </w:pPr>
            <w:r>
              <w:rPr>
                <w:rFonts w:ascii="宋体" w:hAnsi="宋体" w:eastAsia="宋体" w:cs="宋体"/>
                <w:sz w:val="18"/>
                <w:szCs w:val="18"/>
              </w:rPr>
              <w:t>6.90%</w:t>
            </w:r>
          </w:p>
        </w:tc>
        <w:tc>
          <w:tcPr>
            <w:tcW w:w="860" w:type="dxa"/>
            <w:tcBorders>
              <w:top w:val="single" w:color="auto" w:sz="2" w:space="0"/>
              <w:left w:val="single" w:color="auto" w:sz="2" w:space="0"/>
              <w:bottom w:val="single" w:color="auto" w:sz="2" w:space="0"/>
              <w:right w:val="single" w:color="auto" w:sz="2" w:space="0"/>
            </w:tcBorders>
            <w:vAlign w:val="center"/>
          </w:tcPr>
          <w:p w14:paraId="100DF372">
            <w:pPr>
              <w:spacing w:before="0" w:after="0" w:line="240" w:lineRule="exact"/>
              <w:jc w:val="right"/>
              <w:rPr>
                <w:rFonts w:ascii="宋体" w:hAnsi="宋体" w:eastAsia="宋体" w:cs="宋体"/>
                <w:sz w:val="18"/>
                <w:szCs w:val="18"/>
              </w:rPr>
            </w:pPr>
            <w:r>
              <w:rPr>
                <w:rFonts w:ascii="宋体" w:hAnsi="宋体" w:eastAsia="宋体" w:cs="宋体"/>
                <w:sz w:val="18"/>
                <w:szCs w:val="18"/>
              </w:rPr>
              <w:t>1.06%</w:t>
            </w:r>
          </w:p>
        </w:tc>
        <w:tc>
          <w:tcPr>
            <w:tcW w:w="892" w:type="dxa"/>
            <w:tcBorders>
              <w:top w:val="single" w:color="auto" w:sz="2" w:space="0"/>
              <w:left w:val="single" w:color="auto" w:sz="2" w:space="0"/>
              <w:bottom w:val="single" w:color="auto" w:sz="2" w:space="0"/>
              <w:right w:val="single" w:color="auto" w:sz="2" w:space="0"/>
            </w:tcBorders>
            <w:vAlign w:val="center"/>
          </w:tcPr>
          <w:p w14:paraId="3F96E57F">
            <w:pPr>
              <w:spacing w:before="0" w:after="0" w:line="240" w:lineRule="exact"/>
              <w:jc w:val="left"/>
              <w:rPr>
                <w:rFonts w:ascii="宋体" w:hAnsi="宋体" w:eastAsia="宋体" w:cs="宋体"/>
                <w:sz w:val="18"/>
                <w:szCs w:val="18"/>
              </w:rPr>
            </w:pPr>
          </w:p>
        </w:tc>
      </w:tr>
      <w:tr w14:paraId="595E63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F3398A7">
            <w:pPr>
              <w:spacing w:before="40" w:after="40" w:line="240" w:lineRule="exact"/>
              <w:jc w:val="left"/>
              <w:rPr>
                <w:rFonts w:ascii="宋体" w:hAnsi="宋体" w:eastAsia="宋体" w:cs="宋体"/>
                <w:sz w:val="18"/>
                <w:szCs w:val="18"/>
              </w:rPr>
            </w:pPr>
            <w:r>
              <w:rPr>
                <w:rFonts w:ascii="宋体" w:hAnsi="宋体" w:eastAsia="宋体" w:cs="宋体"/>
                <w:sz w:val="18"/>
                <w:szCs w:val="18"/>
              </w:rPr>
              <w:t>长期股权投资</w:t>
            </w:r>
          </w:p>
        </w:tc>
        <w:tc>
          <w:tcPr>
            <w:tcW w:w="1910" w:type="dxa"/>
            <w:tcBorders>
              <w:top w:val="single" w:color="auto" w:sz="2" w:space="0"/>
              <w:left w:val="single" w:color="auto" w:sz="2" w:space="0"/>
              <w:bottom w:val="single" w:color="auto" w:sz="2" w:space="0"/>
              <w:right w:val="single" w:color="auto" w:sz="2" w:space="0"/>
            </w:tcBorders>
            <w:vAlign w:val="center"/>
          </w:tcPr>
          <w:p w14:paraId="01508562">
            <w:pPr>
              <w:spacing w:before="0" w:after="0" w:line="240" w:lineRule="exact"/>
              <w:jc w:val="right"/>
              <w:rPr>
                <w:rFonts w:ascii="宋体" w:hAnsi="宋体" w:eastAsia="宋体" w:cs="宋体"/>
                <w:sz w:val="18"/>
                <w:szCs w:val="18"/>
              </w:rPr>
            </w:pPr>
            <w:r>
              <w:rPr>
                <w:rFonts w:ascii="宋体" w:hAnsi="宋体" w:eastAsia="宋体" w:cs="宋体"/>
                <w:sz w:val="18"/>
                <w:szCs w:val="18"/>
              </w:rPr>
              <w:t>80,177,607.81</w:t>
            </w:r>
          </w:p>
        </w:tc>
        <w:tc>
          <w:tcPr>
            <w:tcW w:w="1520" w:type="dxa"/>
            <w:tcBorders>
              <w:top w:val="single" w:color="auto" w:sz="2" w:space="0"/>
              <w:left w:val="single" w:color="auto" w:sz="2" w:space="0"/>
              <w:bottom w:val="single" w:color="auto" w:sz="2" w:space="0"/>
              <w:right w:val="single" w:color="auto" w:sz="2" w:space="0"/>
            </w:tcBorders>
            <w:vAlign w:val="center"/>
          </w:tcPr>
          <w:p w14:paraId="0BF48BBF">
            <w:pPr>
              <w:spacing w:before="0" w:after="0" w:line="240" w:lineRule="exact"/>
              <w:jc w:val="right"/>
              <w:rPr>
                <w:rFonts w:ascii="宋体" w:hAnsi="宋体" w:eastAsia="宋体" w:cs="宋体"/>
                <w:sz w:val="18"/>
                <w:szCs w:val="18"/>
              </w:rPr>
            </w:pPr>
            <w:r>
              <w:rPr>
                <w:rFonts w:ascii="宋体" w:hAnsi="宋体" w:eastAsia="宋体" w:cs="宋体"/>
                <w:sz w:val="18"/>
                <w:szCs w:val="18"/>
              </w:rPr>
              <w:t>5.57%</w:t>
            </w:r>
          </w:p>
        </w:tc>
        <w:tc>
          <w:tcPr>
            <w:tcW w:w="1590" w:type="dxa"/>
            <w:tcBorders>
              <w:top w:val="single" w:color="auto" w:sz="2" w:space="0"/>
              <w:left w:val="single" w:color="auto" w:sz="2" w:space="0"/>
              <w:bottom w:val="single" w:color="auto" w:sz="2" w:space="0"/>
              <w:right w:val="single" w:color="auto" w:sz="2" w:space="0"/>
            </w:tcBorders>
            <w:vAlign w:val="center"/>
          </w:tcPr>
          <w:p w14:paraId="5326F793">
            <w:pPr>
              <w:spacing w:before="0" w:after="0" w:line="240" w:lineRule="exact"/>
              <w:jc w:val="right"/>
              <w:rPr>
                <w:rFonts w:ascii="宋体" w:hAnsi="宋体" w:eastAsia="宋体" w:cs="宋体"/>
                <w:sz w:val="18"/>
                <w:szCs w:val="18"/>
              </w:rPr>
            </w:pPr>
            <w:r>
              <w:rPr>
                <w:rFonts w:ascii="宋体" w:hAnsi="宋体" w:eastAsia="宋体" w:cs="宋体"/>
                <w:sz w:val="18"/>
                <w:szCs w:val="18"/>
              </w:rPr>
              <w:t>108,812,855.05</w:t>
            </w:r>
          </w:p>
        </w:tc>
        <w:tc>
          <w:tcPr>
            <w:tcW w:w="1490" w:type="dxa"/>
            <w:tcBorders>
              <w:top w:val="single" w:color="auto" w:sz="2" w:space="0"/>
              <w:left w:val="single" w:color="auto" w:sz="2" w:space="0"/>
              <w:bottom w:val="single" w:color="auto" w:sz="2" w:space="0"/>
              <w:right w:val="single" w:color="auto" w:sz="2" w:space="0"/>
            </w:tcBorders>
            <w:vAlign w:val="center"/>
          </w:tcPr>
          <w:p w14:paraId="0C7ED117">
            <w:pPr>
              <w:spacing w:before="0" w:after="0" w:line="240" w:lineRule="exact"/>
              <w:jc w:val="right"/>
              <w:rPr>
                <w:rFonts w:ascii="宋体" w:hAnsi="宋体" w:eastAsia="宋体" w:cs="宋体"/>
                <w:sz w:val="18"/>
                <w:szCs w:val="18"/>
              </w:rPr>
            </w:pPr>
            <w:r>
              <w:rPr>
                <w:rFonts w:ascii="宋体" w:hAnsi="宋体" w:eastAsia="宋体" w:cs="宋体"/>
                <w:sz w:val="18"/>
                <w:szCs w:val="18"/>
              </w:rPr>
              <w:t>6.74%</w:t>
            </w:r>
          </w:p>
        </w:tc>
        <w:tc>
          <w:tcPr>
            <w:tcW w:w="860" w:type="dxa"/>
            <w:tcBorders>
              <w:top w:val="single" w:color="auto" w:sz="2" w:space="0"/>
              <w:left w:val="single" w:color="auto" w:sz="2" w:space="0"/>
              <w:bottom w:val="single" w:color="auto" w:sz="2" w:space="0"/>
              <w:right w:val="single" w:color="auto" w:sz="2" w:space="0"/>
            </w:tcBorders>
            <w:vAlign w:val="center"/>
          </w:tcPr>
          <w:p w14:paraId="33F8279E">
            <w:pPr>
              <w:spacing w:before="0" w:after="0" w:line="240" w:lineRule="exact"/>
              <w:jc w:val="right"/>
              <w:rPr>
                <w:rFonts w:ascii="宋体" w:hAnsi="宋体" w:eastAsia="宋体" w:cs="宋体"/>
                <w:sz w:val="18"/>
                <w:szCs w:val="18"/>
              </w:rPr>
            </w:pPr>
            <w:r>
              <w:rPr>
                <w:rFonts w:ascii="宋体" w:hAnsi="宋体" w:eastAsia="宋体" w:cs="宋体"/>
                <w:sz w:val="18"/>
                <w:szCs w:val="18"/>
              </w:rPr>
              <w:t>-1.17%</w:t>
            </w:r>
          </w:p>
        </w:tc>
        <w:tc>
          <w:tcPr>
            <w:tcW w:w="892" w:type="dxa"/>
            <w:tcBorders>
              <w:top w:val="single" w:color="auto" w:sz="2" w:space="0"/>
              <w:left w:val="single" w:color="auto" w:sz="2" w:space="0"/>
              <w:bottom w:val="single" w:color="auto" w:sz="2" w:space="0"/>
              <w:right w:val="single" w:color="auto" w:sz="2" w:space="0"/>
            </w:tcBorders>
            <w:vAlign w:val="center"/>
          </w:tcPr>
          <w:p w14:paraId="0A68DB2D">
            <w:pPr>
              <w:spacing w:before="0" w:after="0" w:line="240" w:lineRule="exact"/>
              <w:jc w:val="left"/>
              <w:rPr>
                <w:rFonts w:ascii="宋体" w:hAnsi="宋体" w:eastAsia="宋体" w:cs="宋体"/>
                <w:sz w:val="18"/>
                <w:szCs w:val="18"/>
              </w:rPr>
            </w:pPr>
          </w:p>
        </w:tc>
      </w:tr>
      <w:tr w14:paraId="537D8A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E8CDA7A">
            <w:pPr>
              <w:spacing w:before="40" w:after="40" w:line="240" w:lineRule="exact"/>
              <w:jc w:val="left"/>
              <w:rPr>
                <w:rFonts w:ascii="宋体" w:hAnsi="宋体" w:eastAsia="宋体" w:cs="宋体"/>
                <w:sz w:val="18"/>
                <w:szCs w:val="18"/>
              </w:rPr>
            </w:pPr>
            <w:r>
              <w:rPr>
                <w:rFonts w:ascii="宋体" w:hAnsi="宋体" w:eastAsia="宋体" w:cs="宋体"/>
                <w:sz w:val="18"/>
                <w:szCs w:val="18"/>
              </w:rPr>
              <w:t>固定资产</w:t>
            </w:r>
          </w:p>
        </w:tc>
        <w:tc>
          <w:tcPr>
            <w:tcW w:w="1910" w:type="dxa"/>
            <w:tcBorders>
              <w:top w:val="single" w:color="auto" w:sz="2" w:space="0"/>
              <w:left w:val="single" w:color="auto" w:sz="2" w:space="0"/>
              <w:bottom w:val="single" w:color="auto" w:sz="2" w:space="0"/>
              <w:right w:val="single" w:color="auto" w:sz="2" w:space="0"/>
            </w:tcBorders>
            <w:vAlign w:val="center"/>
          </w:tcPr>
          <w:p w14:paraId="226EDA47">
            <w:pPr>
              <w:spacing w:before="0" w:after="0" w:line="240" w:lineRule="exact"/>
              <w:jc w:val="right"/>
              <w:rPr>
                <w:rFonts w:ascii="宋体" w:hAnsi="宋体" w:eastAsia="宋体" w:cs="宋体"/>
                <w:sz w:val="18"/>
                <w:szCs w:val="18"/>
              </w:rPr>
            </w:pPr>
            <w:r>
              <w:rPr>
                <w:rFonts w:ascii="宋体" w:hAnsi="宋体" w:eastAsia="宋体" w:cs="宋体"/>
                <w:sz w:val="18"/>
                <w:szCs w:val="18"/>
              </w:rPr>
              <w:t>558,261,569.72</w:t>
            </w:r>
          </w:p>
        </w:tc>
        <w:tc>
          <w:tcPr>
            <w:tcW w:w="1520" w:type="dxa"/>
            <w:tcBorders>
              <w:top w:val="single" w:color="auto" w:sz="2" w:space="0"/>
              <w:left w:val="single" w:color="auto" w:sz="2" w:space="0"/>
              <w:bottom w:val="single" w:color="auto" w:sz="2" w:space="0"/>
              <w:right w:val="single" w:color="auto" w:sz="2" w:space="0"/>
            </w:tcBorders>
            <w:vAlign w:val="center"/>
          </w:tcPr>
          <w:p w14:paraId="17E6A31D">
            <w:pPr>
              <w:spacing w:before="0" w:after="0" w:line="240" w:lineRule="exact"/>
              <w:jc w:val="right"/>
              <w:rPr>
                <w:rFonts w:ascii="宋体" w:hAnsi="宋体" w:eastAsia="宋体" w:cs="宋体"/>
                <w:sz w:val="18"/>
                <w:szCs w:val="18"/>
              </w:rPr>
            </w:pPr>
            <w:r>
              <w:rPr>
                <w:rFonts w:ascii="宋体" w:hAnsi="宋体" w:eastAsia="宋体" w:cs="宋体"/>
                <w:sz w:val="18"/>
                <w:szCs w:val="18"/>
              </w:rPr>
              <w:t>38.80%</w:t>
            </w:r>
          </w:p>
        </w:tc>
        <w:tc>
          <w:tcPr>
            <w:tcW w:w="1590" w:type="dxa"/>
            <w:tcBorders>
              <w:top w:val="single" w:color="auto" w:sz="2" w:space="0"/>
              <w:left w:val="single" w:color="auto" w:sz="2" w:space="0"/>
              <w:bottom w:val="single" w:color="auto" w:sz="2" w:space="0"/>
              <w:right w:val="single" w:color="auto" w:sz="2" w:space="0"/>
            </w:tcBorders>
            <w:vAlign w:val="center"/>
          </w:tcPr>
          <w:p w14:paraId="1F14CE8C">
            <w:pPr>
              <w:spacing w:before="0" w:after="0" w:line="240" w:lineRule="exact"/>
              <w:jc w:val="right"/>
              <w:rPr>
                <w:rFonts w:ascii="宋体" w:hAnsi="宋体" w:eastAsia="宋体" w:cs="宋体"/>
                <w:sz w:val="18"/>
                <w:szCs w:val="18"/>
              </w:rPr>
            </w:pPr>
            <w:r>
              <w:rPr>
                <w:rFonts w:ascii="宋体" w:hAnsi="宋体" w:eastAsia="宋体" w:cs="宋体"/>
                <w:sz w:val="18"/>
                <w:szCs w:val="18"/>
              </w:rPr>
              <w:t>609,134,772.83</w:t>
            </w:r>
          </w:p>
        </w:tc>
        <w:tc>
          <w:tcPr>
            <w:tcW w:w="1490" w:type="dxa"/>
            <w:tcBorders>
              <w:top w:val="single" w:color="auto" w:sz="2" w:space="0"/>
              <w:left w:val="single" w:color="auto" w:sz="2" w:space="0"/>
              <w:bottom w:val="single" w:color="auto" w:sz="2" w:space="0"/>
              <w:right w:val="single" w:color="auto" w:sz="2" w:space="0"/>
            </w:tcBorders>
            <w:vAlign w:val="center"/>
          </w:tcPr>
          <w:p w14:paraId="19B5E825">
            <w:pPr>
              <w:spacing w:before="0" w:after="0" w:line="240" w:lineRule="exact"/>
              <w:jc w:val="right"/>
              <w:rPr>
                <w:rFonts w:ascii="宋体" w:hAnsi="宋体" w:eastAsia="宋体" w:cs="宋体"/>
                <w:sz w:val="18"/>
                <w:szCs w:val="18"/>
              </w:rPr>
            </w:pPr>
            <w:r>
              <w:rPr>
                <w:rFonts w:ascii="宋体" w:hAnsi="宋体" w:eastAsia="宋体" w:cs="宋体"/>
                <w:sz w:val="18"/>
                <w:szCs w:val="18"/>
              </w:rPr>
              <w:t>37.73%</w:t>
            </w:r>
          </w:p>
        </w:tc>
        <w:tc>
          <w:tcPr>
            <w:tcW w:w="860" w:type="dxa"/>
            <w:tcBorders>
              <w:top w:val="single" w:color="auto" w:sz="2" w:space="0"/>
              <w:left w:val="single" w:color="auto" w:sz="2" w:space="0"/>
              <w:bottom w:val="single" w:color="auto" w:sz="2" w:space="0"/>
              <w:right w:val="single" w:color="auto" w:sz="2" w:space="0"/>
            </w:tcBorders>
            <w:vAlign w:val="center"/>
          </w:tcPr>
          <w:p w14:paraId="6FD1EABA">
            <w:pPr>
              <w:spacing w:before="0" w:after="0" w:line="240" w:lineRule="exact"/>
              <w:jc w:val="right"/>
              <w:rPr>
                <w:rFonts w:ascii="宋体" w:hAnsi="宋体" w:eastAsia="宋体" w:cs="宋体"/>
                <w:sz w:val="18"/>
                <w:szCs w:val="18"/>
              </w:rPr>
            </w:pPr>
            <w:r>
              <w:rPr>
                <w:rFonts w:ascii="宋体" w:hAnsi="宋体" w:eastAsia="宋体" w:cs="宋体"/>
                <w:sz w:val="18"/>
                <w:szCs w:val="18"/>
              </w:rPr>
              <w:t>1.07%</w:t>
            </w:r>
          </w:p>
        </w:tc>
        <w:tc>
          <w:tcPr>
            <w:tcW w:w="892" w:type="dxa"/>
            <w:tcBorders>
              <w:top w:val="single" w:color="auto" w:sz="2" w:space="0"/>
              <w:left w:val="single" w:color="auto" w:sz="2" w:space="0"/>
              <w:bottom w:val="single" w:color="auto" w:sz="2" w:space="0"/>
              <w:right w:val="single" w:color="auto" w:sz="2" w:space="0"/>
            </w:tcBorders>
            <w:vAlign w:val="center"/>
          </w:tcPr>
          <w:p w14:paraId="435EFF8D">
            <w:pPr>
              <w:spacing w:before="0" w:after="0" w:line="240" w:lineRule="exact"/>
              <w:jc w:val="left"/>
              <w:rPr>
                <w:rFonts w:ascii="宋体" w:hAnsi="宋体" w:eastAsia="宋体" w:cs="宋体"/>
                <w:sz w:val="18"/>
                <w:szCs w:val="18"/>
              </w:rPr>
            </w:pPr>
          </w:p>
        </w:tc>
      </w:tr>
      <w:tr w14:paraId="5782A7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C692F47">
            <w:pPr>
              <w:spacing w:before="40" w:after="40" w:line="240" w:lineRule="exact"/>
              <w:jc w:val="left"/>
              <w:rPr>
                <w:rFonts w:ascii="宋体" w:hAnsi="宋体" w:eastAsia="宋体" w:cs="宋体"/>
                <w:sz w:val="18"/>
                <w:szCs w:val="18"/>
              </w:rPr>
            </w:pPr>
            <w:r>
              <w:rPr>
                <w:rFonts w:ascii="宋体" w:hAnsi="宋体" w:eastAsia="宋体" w:cs="宋体"/>
                <w:sz w:val="18"/>
                <w:szCs w:val="18"/>
              </w:rPr>
              <w:t>在建工程</w:t>
            </w:r>
          </w:p>
        </w:tc>
        <w:tc>
          <w:tcPr>
            <w:tcW w:w="1910" w:type="dxa"/>
            <w:tcBorders>
              <w:top w:val="single" w:color="auto" w:sz="2" w:space="0"/>
              <w:left w:val="single" w:color="auto" w:sz="2" w:space="0"/>
              <w:bottom w:val="single" w:color="auto" w:sz="2" w:space="0"/>
              <w:right w:val="single" w:color="auto" w:sz="2" w:space="0"/>
            </w:tcBorders>
            <w:vAlign w:val="center"/>
          </w:tcPr>
          <w:p w14:paraId="64B90361">
            <w:pPr>
              <w:spacing w:before="0" w:after="0" w:line="240" w:lineRule="exact"/>
              <w:jc w:val="right"/>
              <w:rPr>
                <w:rFonts w:ascii="宋体" w:hAnsi="宋体" w:eastAsia="宋体" w:cs="宋体"/>
                <w:sz w:val="18"/>
                <w:szCs w:val="18"/>
              </w:rPr>
            </w:pPr>
            <w:r>
              <w:rPr>
                <w:rFonts w:ascii="宋体" w:hAnsi="宋体" w:eastAsia="宋体" w:cs="宋体"/>
                <w:sz w:val="18"/>
                <w:szCs w:val="18"/>
              </w:rPr>
              <w:t>29,763,197.65</w:t>
            </w:r>
          </w:p>
        </w:tc>
        <w:tc>
          <w:tcPr>
            <w:tcW w:w="1520" w:type="dxa"/>
            <w:tcBorders>
              <w:top w:val="single" w:color="auto" w:sz="2" w:space="0"/>
              <w:left w:val="single" w:color="auto" w:sz="2" w:space="0"/>
              <w:bottom w:val="single" w:color="auto" w:sz="2" w:space="0"/>
              <w:right w:val="single" w:color="auto" w:sz="2" w:space="0"/>
            </w:tcBorders>
            <w:vAlign w:val="center"/>
          </w:tcPr>
          <w:p w14:paraId="11C2E9FC">
            <w:pPr>
              <w:spacing w:before="0" w:after="0" w:line="240" w:lineRule="exact"/>
              <w:jc w:val="right"/>
              <w:rPr>
                <w:rFonts w:ascii="宋体" w:hAnsi="宋体" w:eastAsia="宋体" w:cs="宋体"/>
                <w:sz w:val="18"/>
                <w:szCs w:val="18"/>
              </w:rPr>
            </w:pPr>
            <w:r>
              <w:rPr>
                <w:rFonts w:ascii="宋体" w:hAnsi="宋体" w:eastAsia="宋体" w:cs="宋体"/>
                <w:sz w:val="18"/>
                <w:szCs w:val="18"/>
              </w:rPr>
              <w:t>2.07%</w:t>
            </w:r>
          </w:p>
        </w:tc>
        <w:tc>
          <w:tcPr>
            <w:tcW w:w="1590" w:type="dxa"/>
            <w:tcBorders>
              <w:top w:val="single" w:color="auto" w:sz="2" w:space="0"/>
              <w:left w:val="single" w:color="auto" w:sz="2" w:space="0"/>
              <w:bottom w:val="single" w:color="auto" w:sz="2" w:space="0"/>
              <w:right w:val="single" w:color="auto" w:sz="2" w:space="0"/>
            </w:tcBorders>
            <w:vAlign w:val="center"/>
          </w:tcPr>
          <w:p w14:paraId="2E6FA482">
            <w:pPr>
              <w:spacing w:before="0" w:after="0" w:line="240" w:lineRule="exact"/>
              <w:jc w:val="right"/>
              <w:rPr>
                <w:rFonts w:ascii="宋体" w:hAnsi="宋体" w:eastAsia="宋体" w:cs="宋体"/>
                <w:sz w:val="18"/>
                <w:szCs w:val="18"/>
              </w:rPr>
            </w:pPr>
            <w:r>
              <w:rPr>
                <w:rFonts w:ascii="宋体" w:hAnsi="宋体" w:eastAsia="宋体" w:cs="宋体"/>
                <w:sz w:val="18"/>
                <w:szCs w:val="18"/>
              </w:rPr>
              <w:t>29,860,540.26</w:t>
            </w:r>
          </w:p>
        </w:tc>
        <w:tc>
          <w:tcPr>
            <w:tcW w:w="1490" w:type="dxa"/>
            <w:tcBorders>
              <w:top w:val="single" w:color="auto" w:sz="2" w:space="0"/>
              <w:left w:val="single" w:color="auto" w:sz="2" w:space="0"/>
              <w:bottom w:val="single" w:color="auto" w:sz="2" w:space="0"/>
              <w:right w:val="single" w:color="auto" w:sz="2" w:space="0"/>
            </w:tcBorders>
            <w:vAlign w:val="center"/>
          </w:tcPr>
          <w:p w14:paraId="2DCE8B91">
            <w:pPr>
              <w:spacing w:before="0" w:after="0" w:line="240" w:lineRule="exact"/>
              <w:jc w:val="right"/>
              <w:rPr>
                <w:rFonts w:ascii="宋体" w:hAnsi="宋体" w:eastAsia="宋体" w:cs="宋体"/>
                <w:sz w:val="18"/>
                <w:szCs w:val="18"/>
              </w:rPr>
            </w:pPr>
            <w:r>
              <w:rPr>
                <w:rFonts w:ascii="宋体" w:hAnsi="宋体" w:eastAsia="宋体" w:cs="宋体"/>
                <w:sz w:val="18"/>
                <w:szCs w:val="18"/>
              </w:rPr>
              <w:t>1.85%</w:t>
            </w:r>
          </w:p>
        </w:tc>
        <w:tc>
          <w:tcPr>
            <w:tcW w:w="860" w:type="dxa"/>
            <w:tcBorders>
              <w:top w:val="single" w:color="auto" w:sz="2" w:space="0"/>
              <w:left w:val="single" w:color="auto" w:sz="2" w:space="0"/>
              <w:bottom w:val="single" w:color="auto" w:sz="2" w:space="0"/>
              <w:right w:val="single" w:color="auto" w:sz="2" w:space="0"/>
            </w:tcBorders>
            <w:vAlign w:val="center"/>
          </w:tcPr>
          <w:p w14:paraId="51642A4C">
            <w:pPr>
              <w:spacing w:before="0" w:after="0" w:line="240" w:lineRule="exact"/>
              <w:jc w:val="right"/>
              <w:rPr>
                <w:rFonts w:ascii="宋体" w:hAnsi="宋体" w:eastAsia="宋体" w:cs="宋体"/>
                <w:sz w:val="18"/>
                <w:szCs w:val="18"/>
              </w:rPr>
            </w:pPr>
            <w:r>
              <w:rPr>
                <w:rFonts w:ascii="宋体" w:hAnsi="宋体" w:eastAsia="宋体" w:cs="宋体"/>
                <w:sz w:val="18"/>
                <w:szCs w:val="18"/>
              </w:rPr>
              <w:t>0.22%</w:t>
            </w:r>
          </w:p>
        </w:tc>
        <w:tc>
          <w:tcPr>
            <w:tcW w:w="892" w:type="dxa"/>
            <w:tcBorders>
              <w:top w:val="single" w:color="auto" w:sz="2" w:space="0"/>
              <w:left w:val="single" w:color="auto" w:sz="2" w:space="0"/>
              <w:bottom w:val="single" w:color="auto" w:sz="2" w:space="0"/>
              <w:right w:val="single" w:color="auto" w:sz="2" w:space="0"/>
            </w:tcBorders>
            <w:vAlign w:val="center"/>
          </w:tcPr>
          <w:p w14:paraId="21D4AF90">
            <w:pPr>
              <w:spacing w:before="0" w:after="0" w:line="240" w:lineRule="exact"/>
              <w:jc w:val="left"/>
              <w:rPr>
                <w:rFonts w:ascii="宋体" w:hAnsi="宋体" w:eastAsia="宋体" w:cs="宋体"/>
                <w:sz w:val="18"/>
                <w:szCs w:val="18"/>
              </w:rPr>
            </w:pPr>
          </w:p>
        </w:tc>
      </w:tr>
      <w:tr w14:paraId="7EBAAC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F6546AE">
            <w:pPr>
              <w:spacing w:before="40" w:after="40" w:line="240" w:lineRule="exact"/>
              <w:jc w:val="left"/>
              <w:rPr>
                <w:rFonts w:ascii="宋体" w:hAnsi="宋体" w:eastAsia="宋体" w:cs="宋体"/>
                <w:sz w:val="18"/>
                <w:szCs w:val="18"/>
              </w:rPr>
            </w:pPr>
            <w:r>
              <w:rPr>
                <w:rFonts w:ascii="宋体" w:hAnsi="宋体" w:eastAsia="宋体" w:cs="宋体"/>
                <w:sz w:val="18"/>
                <w:szCs w:val="18"/>
              </w:rPr>
              <w:t>使用权资产</w:t>
            </w:r>
          </w:p>
        </w:tc>
        <w:tc>
          <w:tcPr>
            <w:tcW w:w="1910" w:type="dxa"/>
            <w:tcBorders>
              <w:top w:val="single" w:color="auto" w:sz="2" w:space="0"/>
              <w:left w:val="single" w:color="auto" w:sz="2" w:space="0"/>
              <w:bottom w:val="single" w:color="auto" w:sz="2" w:space="0"/>
              <w:right w:val="single" w:color="auto" w:sz="2" w:space="0"/>
            </w:tcBorders>
            <w:vAlign w:val="center"/>
          </w:tcPr>
          <w:p w14:paraId="6985FE4C">
            <w:pPr>
              <w:spacing w:before="0" w:after="0" w:line="240" w:lineRule="exact"/>
              <w:jc w:val="right"/>
              <w:rPr>
                <w:rFonts w:ascii="宋体" w:hAnsi="宋体" w:eastAsia="宋体" w:cs="宋体"/>
                <w:sz w:val="18"/>
                <w:szCs w:val="18"/>
              </w:rPr>
            </w:pPr>
            <w:r>
              <w:rPr>
                <w:rFonts w:ascii="宋体" w:hAnsi="宋体" w:eastAsia="宋体" w:cs="宋体"/>
                <w:sz w:val="18"/>
                <w:szCs w:val="18"/>
              </w:rPr>
              <w:t>370,756.19</w:t>
            </w:r>
          </w:p>
        </w:tc>
        <w:tc>
          <w:tcPr>
            <w:tcW w:w="1520" w:type="dxa"/>
            <w:tcBorders>
              <w:top w:val="single" w:color="auto" w:sz="2" w:space="0"/>
              <w:left w:val="single" w:color="auto" w:sz="2" w:space="0"/>
              <w:bottom w:val="single" w:color="auto" w:sz="2" w:space="0"/>
              <w:right w:val="single" w:color="auto" w:sz="2" w:space="0"/>
            </w:tcBorders>
            <w:vAlign w:val="center"/>
          </w:tcPr>
          <w:p w14:paraId="0FC56972">
            <w:pPr>
              <w:spacing w:before="0" w:after="0" w:line="240" w:lineRule="exact"/>
              <w:jc w:val="right"/>
              <w:rPr>
                <w:rFonts w:ascii="宋体" w:hAnsi="宋体" w:eastAsia="宋体" w:cs="宋体"/>
                <w:sz w:val="18"/>
                <w:szCs w:val="18"/>
              </w:rPr>
            </w:pPr>
            <w:r>
              <w:rPr>
                <w:rFonts w:ascii="宋体" w:hAnsi="宋体" w:eastAsia="宋体" w:cs="宋体"/>
                <w:sz w:val="18"/>
                <w:szCs w:val="18"/>
              </w:rPr>
              <w:t>0.03%</w:t>
            </w:r>
          </w:p>
        </w:tc>
        <w:tc>
          <w:tcPr>
            <w:tcW w:w="1590" w:type="dxa"/>
            <w:tcBorders>
              <w:top w:val="single" w:color="auto" w:sz="2" w:space="0"/>
              <w:left w:val="single" w:color="auto" w:sz="2" w:space="0"/>
              <w:bottom w:val="single" w:color="auto" w:sz="2" w:space="0"/>
              <w:right w:val="single" w:color="auto" w:sz="2" w:space="0"/>
            </w:tcBorders>
            <w:vAlign w:val="center"/>
          </w:tcPr>
          <w:p w14:paraId="7F3CBD81">
            <w:pPr>
              <w:spacing w:before="0" w:after="0" w:line="240" w:lineRule="exact"/>
              <w:jc w:val="right"/>
              <w:rPr>
                <w:rFonts w:ascii="宋体" w:hAnsi="宋体" w:eastAsia="宋体" w:cs="宋体"/>
                <w:sz w:val="18"/>
                <w:szCs w:val="18"/>
              </w:rPr>
            </w:pPr>
            <w:r>
              <w:rPr>
                <w:rFonts w:ascii="宋体" w:hAnsi="宋体" w:eastAsia="宋体" w:cs="宋体"/>
                <w:sz w:val="18"/>
                <w:szCs w:val="18"/>
              </w:rPr>
              <w:t>498,082.40</w:t>
            </w:r>
          </w:p>
        </w:tc>
        <w:tc>
          <w:tcPr>
            <w:tcW w:w="1490" w:type="dxa"/>
            <w:tcBorders>
              <w:top w:val="single" w:color="auto" w:sz="2" w:space="0"/>
              <w:left w:val="single" w:color="auto" w:sz="2" w:space="0"/>
              <w:bottom w:val="single" w:color="auto" w:sz="2" w:space="0"/>
              <w:right w:val="single" w:color="auto" w:sz="2" w:space="0"/>
            </w:tcBorders>
            <w:vAlign w:val="center"/>
          </w:tcPr>
          <w:p w14:paraId="0AAA3F24">
            <w:pPr>
              <w:spacing w:before="0" w:after="0" w:line="240" w:lineRule="exact"/>
              <w:jc w:val="right"/>
              <w:rPr>
                <w:rFonts w:ascii="宋体" w:hAnsi="宋体" w:eastAsia="宋体" w:cs="宋体"/>
                <w:sz w:val="18"/>
                <w:szCs w:val="18"/>
              </w:rPr>
            </w:pPr>
            <w:r>
              <w:rPr>
                <w:rFonts w:ascii="宋体" w:hAnsi="宋体" w:eastAsia="宋体" w:cs="宋体"/>
                <w:sz w:val="18"/>
                <w:szCs w:val="18"/>
              </w:rPr>
              <w:t>0.03%</w:t>
            </w:r>
          </w:p>
        </w:tc>
        <w:tc>
          <w:tcPr>
            <w:tcW w:w="860" w:type="dxa"/>
            <w:tcBorders>
              <w:top w:val="single" w:color="auto" w:sz="2" w:space="0"/>
              <w:left w:val="single" w:color="auto" w:sz="2" w:space="0"/>
              <w:bottom w:val="single" w:color="auto" w:sz="2" w:space="0"/>
              <w:right w:val="single" w:color="auto" w:sz="2" w:space="0"/>
            </w:tcBorders>
            <w:vAlign w:val="center"/>
          </w:tcPr>
          <w:p w14:paraId="010C84E2">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c>
          <w:tcPr>
            <w:tcW w:w="892" w:type="dxa"/>
            <w:tcBorders>
              <w:top w:val="single" w:color="auto" w:sz="2" w:space="0"/>
              <w:left w:val="single" w:color="auto" w:sz="2" w:space="0"/>
              <w:bottom w:val="single" w:color="auto" w:sz="2" w:space="0"/>
              <w:right w:val="single" w:color="auto" w:sz="2" w:space="0"/>
            </w:tcBorders>
            <w:vAlign w:val="center"/>
          </w:tcPr>
          <w:p w14:paraId="1FC57C58">
            <w:pPr>
              <w:spacing w:before="0" w:after="0" w:line="240" w:lineRule="exact"/>
              <w:jc w:val="left"/>
              <w:rPr>
                <w:rFonts w:ascii="宋体" w:hAnsi="宋体" w:eastAsia="宋体" w:cs="宋体"/>
                <w:sz w:val="18"/>
                <w:szCs w:val="18"/>
              </w:rPr>
            </w:pPr>
          </w:p>
        </w:tc>
      </w:tr>
      <w:tr w14:paraId="7CC03C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FAEA5EE">
            <w:pPr>
              <w:spacing w:before="40" w:after="40" w:line="240" w:lineRule="exact"/>
              <w:jc w:val="left"/>
              <w:rPr>
                <w:rFonts w:ascii="宋体" w:hAnsi="宋体" w:eastAsia="宋体" w:cs="宋体"/>
                <w:sz w:val="18"/>
                <w:szCs w:val="18"/>
              </w:rPr>
            </w:pPr>
            <w:r>
              <w:rPr>
                <w:rFonts w:ascii="宋体" w:hAnsi="宋体" w:eastAsia="宋体" w:cs="宋体"/>
                <w:sz w:val="18"/>
                <w:szCs w:val="18"/>
              </w:rPr>
              <w:t>短期借款</w:t>
            </w:r>
          </w:p>
        </w:tc>
        <w:tc>
          <w:tcPr>
            <w:tcW w:w="1910" w:type="dxa"/>
            <w:tcBorders>
              <w:top w:val="single" w:color="auto" w:sz="2" w:space="0"/>
              <w:left w:val="single" w:color="auto" w:sz="2" w:space="0"/>
              <w:bottom w:val="single" w:color="auto" w:sz="2" w:space="0"/>
              <w:right w:val="single" w:color="auto" w:sz="2" w:space="0"/>
            </w:tcBorders>
            <w:vAlign w:val="center"/>
          </w:tcPr>
          <w:p w14:paraId="7B4C0C67">
            <w:pPr>
              <w:spacing w:before="0" w:after="0" w:line="240" w:lineRule="exact"/>
              <w:jc w:val="right"/>
              <w:rPr>
                <w:rFonts w:ascii="宋体" w:hAnsi="宋体" w:eastAsia="宋体" w:cs="宋体"/>
                <w:sz w:val="18"/>
                <w:szCs w:val="18"/>
              </w:rPr>
            </w:pPr>
            <w:r>
              <w:rPr>
                <w:rFonts w:ascii="宋体" w:hAnsi="宋体" w:eastAsia="宋体" w:cs="宋体"/>
                <w:sz w:val="18"/>
                <w:szCs w:val="18"/>
              </w:rPr>
              <w:t>182,177,991.66</w:t>
            </w:r>
          </w:p>
        </w:tc>
        <w:tc>
          <w:tcPr>
            <w:tcW w:w="1520" w:type="dxa"/>
            <w:tcBorders>
              <w:top w:val="single" w:color="auto" w:sz="2" w:space="0"/>
              <w:left w:val="single" w:color="auto" w:sz="2" w:space="0"/>
              <w:bottom w:val="single" w:color="auto" w:sz="2" w:space="0"/>
              <w:right w:val="single" w:color="auto" w:sz="2" w:space="0"/>
            </w:tcBorders>
            <w:vAlign w:val="center"/>
          </w:tcPr>
          <w:p w14:paraId="0314F0B0">
            <w:pPr>
              <w:spacing w:before="0" w:after="0" w:line="240" w:lineRule="exact"/>
              <w:jc w:val="right"/>
              <w:rPr>
                <w:rFonts w:ascii="宋体" w:hAnsi="宋体" w:eastAsia="宋体" w:cs="宋体"/>
                <w:sz w:val="18"/>
                <w:szCs w:val="18"/>
              </w:rPr>
            </w:pPr>
            <w:r>
              <w:rPr>
                <w:rFonts w:ascii="宋体" w:hAnsi="宋体" w:eastAsia="宋体" w:cs="宋体"/>
                <w:sz w:val="18"/>
                <w:szCs w:val="18"/>
              </w:rPr>
              <w:t>12.66%</w:t>
            </w:r>
          </w:p>
        </w:tc>
        <w:tc>
          <w:tcPr>
            <w:tcW w:w="1590" w:type="dxa"/>
            <w:tcBorders>
              <w:top w:val="single" w:color="auto" w:sz="2" w:space="0"/>
              <w:left w:val="single" w:color="auto" w:sz="2" w:space="0"/>
              <w:bottom w:val="single" w:color="auto" w:sz="2" w:space="0"/>
              <w:right w:val="single" w:color="auto" w:sz="2" w:space="0"/>
            </w:tcBorders>
            <w:vAlign w:val="center"/>
          </w:tcPr>
          <w:p w14:paraId="1A20A37F">
            <w:pPr>
              <w:spacing w:before="0" w:after="0" w:line="240" w:lineRule="exact"/>
              <w:jc w:val="right"/>
              <w:rPr>
                <w:rFonts w:ascii="宋体" w:hAnsi="宋体" w:eastAsia="宋体" w:cs="宋体"/>
                <w:sz w:val="18"/>
                <w:szCs w:val="18"/>
              </w:rPr>
            </w:pPr>
            <w:r>
              <w:rPr>
                <w:rFonts w:ascii="宋体" w:hAnsi="宋体" w:eastAsia="宋体" w:cs="宋体"/>
                <w:sz w:val="18"/>
                <w:szCs w:val="18"/>
              </w:rPr>
              <w:t>219,176,048.91</w:t>
            </w:r>
          </w:p>
        </w:tc>
        <w:tc>
          <w:tcPr>
            <w:tcW w:w="1490" w:type="dxa"/>
            <w:tcBorders>
              <w:top w:val="single" w:color="auto" w:sz="2" w:space="0"/>
              <w:left w:val="single" w:color="auto" w:sz="2" w:space="0"/>
              <w:bottom w:val="single" w:color="auto" w:sz="2" w:space="0"/>
              <w:right w:val="single" w:color="auto" w:sz="2" w:space="0"/>
            </w:tcBorders>
            <w:vAlign w:val="center"/>
          </w:tcPr>
          <w:p w14:paraId="79A87DE9">
            <w:pPr>
              <w:spacing w:before="0" w:after="0" w:line="240" w:lineRule="exact"/>
              <w:jc w:val="right"/>
              <w:rPr>
                <w:rFonts w:ascii="宋体" w:hAnsi="宋体" w:eastAsia="宋体" w:cs="宋体"/>
                <w:sz w:val="18"/>
                <w:szCs w:val="18"/>
              </w:rPr>
            </w:pPr>
            <w:r>
              <w:rPr>
                <w:rFonts w:ascii="宋体" w:hAnsi="宋体" w:eastAsia="宋体" w:cs="宋体"/>
                <w:sz w:val="18"/>
                <w:szCs w:val="18"/>
              </w:rPr>
              <w:t>13.58%</w:t>
            </w:r>
          </w:p>
        </w:tc>
        <w:tc>
          <w:tcPr>
            <w:tcW w:w="860" w:type="dxa"/>
            <w:tcBorders>
              <w:top w:val="single" w:color="auto" w:sz="2" w:space="0"/>
              <w:left w:val="single" w:color="auto" w:sz="2" w:space="0"/>
              <w:bottom w:val="single" w:color="auto" w:sz="2" w:space="0"/>
              <w:right w:val="single" w:color="auto" w:sz="2" w:space="0"/>
            </w:tcBorders>
            <w:vAlign w:val="center"/>
          </w:tcPr>
          <w:p w14:paraId="390AC78A">
            <w:pPr>
              <w:spacing w:before="0" w:after="0" w:line="240" w:lineRule="exact"/>
              <w:jc w:val="right"/>
              <w:rPr>
                <w:rFonts w:ascii="宋体" w:hAnsi="宋体" w:eastAsia="宋体" w:cs="宋体"/>
                <w:sz w:val="18"/>
                <w:szCs w:val="18"/>
              </w:rPr>
            </w:pPr>
            <w:r>
              <w:rPr>
                <w:rFonts w:ascii="宋体" w:hAnsi="宋体" w:eastAsia="宋体" w:cs="宋体"/>
                <w:sz w:val="18"/>
                <w:szCs w:val="18"/>
              </w:rPr>
              <w:t>-0.92%</w:t>
            </w:r>
          </w:p>
        </w:tc>
        <w:tc>
          <w:tcPr>
            <w:tcW w:w="892" w:type="dxa"/>
            <w:tcBorders>
              <w:top w:val="single" w:color="auto" w:sz="2" w:space="0"/>
              <w:left w:val="single" w:color="auto" w:sz="2" w:space="0"/>
              <w:bottom w:val="single" w:color="auto" w:sz="2" w:space="0"/>
              <w:right w:val="single" w:color="auto" w:sz="2" w:space="0"/>
            </w:tcBorders>
            <w:vAlign w:val="center"/>
          </w:tcPr>
          <w:p w14:paraId="7F005154">
            <w:pPr>
              <w:spacing w:before="0" w:after="0" w:line="240" w:lineRule="exact"/>
              <w:jc w:val="left"/>
              <w:rPr>
                <w:rFonts w:ascii="宋体" w:hAnsi="宋体" w:eastAsia="宋体" w:cs="宋体"/>
                <w:sz w:val="18"/>
                <w:szCs w:val="18"/>
              </w:rPr>
            </w:pPr>
          </w:p>
        </w:tc>
      </w:tr>
      <w:tr w14:paraId="72CE68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A83AF9A">
            <w:pPr>
              <w:spacing w:before="40" w:after="40" w:line="240" w:lineRule="exact"/>
              <w:jc w:val="left"/>
              <w:rPr>
                <w:rFonts w:ascii="宋体" w:hAnsi="宋体" w:eastAsia="宋体" w:cs="宋体"/>
                <w:sz w:val="18"/>
                <w:szCs w:val="18"/>
              </w:rPr>
            </w:pPr>
            <w:r>
              <w:rPr>
                <w:rFonts w:ascii="宋体" w:hAnsi="宋体" w:eastAsia="宋体" w:cs="宋体"/>
                <w:sz w:val="18"/>
                <w:szCs w:val="18"/>
              </w:rPr>
              <w:t>合同负债</w:t>
            </w:r>
          </w:p>
        </w:tc>
        <w:tc>
          <w:tcPr>
            <w:tcW w:w="1910" w:type="dxa"/>
            <w:tcBorders>
              <w:top w:val="single" w:color="auto" w:sz="2" w:space="0"/>
              <w:left w:val="single" w:color="auto" w:sz="2" w:space="0"/>
              <w:bottom w:val="single" w:color="auto" w:sz="2" w:space="0"/>
              <w:right w:val="single" w:color="auto" w:sz="2" w:space="0"/>
            </w:tcBorders>
            <w:vAlign w:val="center"/>
          </w:tcPr>
          <w:p w14:paraId="269FEFD0">
            <w:pPr>
              <w:spacing w:before="0" w:after="0" w:line="240" w:lineRule="exact"/>
              <w:jc w:val="right"/>
              <w:rPr>
                <w:rFonts w:ascii="宋体" w:hAnsi="宋体" w:eastAsia="宋体" w:cs="宋体"/>
                <w:sz w:val="18"/>
                <w:szCs w:val="18"/>
              </w:rPr>
            </w:pPr>
            <w:r>
              <w:rPr>
                <w:rFonts w:ascii="宋体" w:hAnsi="宋体" w:eastAsia="宋体" w:cs="宋体"/>
                <w:sz w:val="18"/>
                <w:szCs w:val="18"/>
              </w:rPr>
              <w:t>3,566,027.15</w:t>
            </w:r>
          </w:p>
        </w:tc>
        <w:tc>
          <w:tcPr>
            <w:tcW w:w="1520" w:type="dxa"/>
            <w:tcBorders>
              <w:top w:val="single" w:color="auto" w:sz="2" w:space="0"/>
              <w:left w:val="single" w:color="auto" w:sz="2" w:space="0"/>
              <w:bottom w:val="single" w:color="auto" w:sz="2" w:space="0"/>
              <w:right w:val="single" w:color="auto" w:sz="2" w:space="0"/>
            </w:tcBorders>
            <w:vAlign w:val="center"/>
          </w:tcPr>
          <w:p w14:paraId="5688DC29">
            <w:pPr>
              <w:spacing w:before="0" w:after="0" w:line="240" w:lineRule="exact"/>
              <w:jc w:val="right"/>
              <w:rPr>
                <w:rFonts w:ascii="宋体" w:hAnsi="宋体" w:eastAsia="宋体" w:cs="宋体"/>
                <w:sz w:val="18"/>
                <w:szCs w:val="18"/>
              </w:rPr>
            </w:pPr>
            <w:r>
              <w:rPr>
                <w:rFonts w:ascii="宋体" w:hAnsi="宋体" w:eastAsia="宋体" w:cs="宋体"/>
                <w:sz w:val="18"/>
                <w:szCs w:val="18"/>
              </w:rPr>
              <w:t>0.25%</w:t>
            </w:r>
          </w:p>
        </w:tc>
        <w:tc>
          <w:tcPr>
            <w:tcW w:w="1590" w:type="dxa"/>
            <w:tcBorders>
              <w:top w:val="single" w:color="auto" w:sz="2" w:space="0"/>
              <w:left w:val="single" w:color="auto" w:sz="2" w:space="0"/>
              <w:bottom w:val="single" w:color="auto" w:sz="2" w:space="0"/>
              <w:right w:val="single" w:color="auto" w:sz="2" w:space="0"/>
            </w:tcBorders>
            <w:vAlign w:val="center"/>
          </w:tcPr>
          <w:p w14:paraId="560E8CAB">
            <w:pPr>
              <w:spacing w:before="0" w:after="0" w:line="240" w:lineRule="exact"/>
              <w:jc w:val="right"/>
              <w:rPr>
                <w:rFonts w:ascii="宋体" w:hAnsi="宋体" w:eastAsia="宋体" w:cs="宋体"/>
                <w:sz w:val="18"/>
                <w:szCs w:val="18"/>
              </w:rPr>
            </w:pPr>
            <w:r>
              <w:rPr>
                <w:rFonts w:ascii="宋体" w:hAnsi="宋体" w:eastAsia="宋体" w:cs="宋体"/>
                <w:sz w:val="18"/>
                <w:szCs w:val="18"/>
              </w:rPr>
              <w:t>11,907,797.71</w:t>
            </w:r>
          </w:p>
        </w:tc>
        <w:tc>
          <w:tcPr>
            <w:tcW w:w="1490" w:type="dxa"/>
            <w:tcBorders>
              <w:top w:val="single" w:color="auto" w:sz="2" w:space="0"/>
              <w:left w:val="single" w:color="auto" w:sz="2" w:space="0"/>
              <w:bottom w:val="single" w:color="auto" w:sz="2" w:space="0"/>
              <w:right w:val="single" w:color="auto" w:sz="2" w:space="0"/>
            </w:tcBorders>
            <w:vAlign w:val="center"/>
          </w:tcPr>
          <w:p w14:paraId="7C86FFF7">
            <w:pPr>
              <w:spacing w:before="0" w:after="0" w:line="240" w:lineRule="exact"/>
              <w:jc w:val="right"/>
              <w:rPr>
                <w:rFonts w:ascii="宋体" w:hAnsi="宋体" w:eastAsia="宋体" w:cs="宋体"/>
                <w:sz w:val="18"/>
                <w:szCs w:val="18"/>
              </w:rPr>
            </w:pPr>
            <w:r>
              <w:rPr>
                <w:rFonts w:ascii="宋体" w:hAnsi="宋体" w:eastAsia="宋体" w:cs="宋体"/>
                <w:sz w:val="18"/>
                <w:szCs w:val="18"/>
              </w:rPr>
              <w:t>0.74%</w:t>
            </w:r>
          </w:p>
        </w:tc>
        <w:tc>
          <w:tcPr>
            <w:tcW w:w="860" w:type="dxa"/>
            <w:tcBorders>
              <w:top w:val="single" w:color="auto" w:sz="2" w:space="0"/>
              <w:left w:val="single" w:color="auto" w:sz="2" w:space="0"/>
              <w:bottom w:val="single" w:color="auto" w:sz="2" w:space="0"/>
              <w:right w:val="single" w:color="auto" w:sz="2" w:space="0"/>
            </w:tcBorders>
            <w:vAlign w:val="center"/>
          </w:tcPr>
          <w:p w14:paraId="1B0FD04B">
            <w:pPr>
              <w:spacing w:before="0" w:after="0" w:line="240" w:lineRule="exact"/>
              <w:jc w:val="right"/>
              <w:rPr>
                <w:rFonts w:ascii="宋体" w:hAnsi="宋体" w:eastAsia="宋体" w:cs="宋体"/>
                <w:sz w:val="18"/>
                <w:szCs w:val="18"/>
              </w:rPr>
            </w:pPr>
            <w:r>
              <w:rPr>
                <w:rFonts w:ascii="宋体" w:hAnsi="宋体" w:eastAsia="宋体" w:cs="宋体"/>
                <w:sz w:val="18"/>
                <w:szCs w:val="18"/>
              </w:rPr>
              <w:t>-0.49%</w:t>
            </w:r>
          </w:p>
        </w:tc>
        <w:tc>
          <w:tcPr>
            <w:tcW w:w="892" w:type="dxa"/>
            <w:tcBorders>
              <w:top w:val="single" w:color="auto" w:sz="2" w:space="0"/>
              <w:left w:val="single" w:color="auto" w:sz="2" w:space="0"/>
              <w:bottom w:val="single" w:color="auto" w:sz="2" w:space="0"/>
              <w:right w:val="single" w:color="auto" w:sz="2" w:space="0"/>
            </w:tcBorders>
            <w:vAlign w:val="center"/>
          </w:tcPr>
          <w:p w14:paraId="7F215A50">
            <w:pPr>
              <w:spacing w:before="0" w:after="0" w:line="240" w:lineRule="exact"/>
              <w:jc w:val="left"/>
              <w:rPr>
                <w:rFonts w:ascii="宋体" w:hAnsi="宋体" w:eastAsia="宋体" w:cs="宋体"/>
                <w:sz w:val="18"/>
                <w:szCs w:val="18"/>
              </w:rPr>
            </w:pPr>
          </w:p>
        </w:tc>
      </w:tr>
      <w:tr w14:paraId="574741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0EE2DCB">
            <w:pPr>
              <w:spacing w:before="40" w:after="40" w:line="240" w:lineRule="exact"/>
              <w:jc w:val="left"/>
              <w:rPr>
                <w:rFonts w:ascii="宋体" w:hAnsi="宋体" w:eastAsia="宋体" w:cs="宋体"/>
                <w:sz w:val="18"/>
                <w:szCs w:val="18"/>
              </w:rPr>
            </w:pPr>
            <w:r>
              <w:rPr>
                <w:rFonts w:ascii="宋体" w:hAnsi="宋体" w:eastAsia="宋体" w:cs="宋体"/>
                <w:sz w:val="18"/>
                <w:szCs w:val="18"/>
              </w:rPr>
              <w:t>长期借款</w:t>
            </w:r>
          </w:p>
        </w:tc>
        <w:tc>
          <w:tcPr>
            <w:tcW w:w="1910" w:type="dxa"/>
            <w:tcBorders>
              <w:top w:val="single" w:color="auto" w:sz="2" w:space="0"/>
              <w:left w:val="single" w:color="auto" w:sz="2" w:space="0"/>
              <w:bottom w:val="single" w:color="auto" w:sz="2" w:space="0"/>
              <w:right w:val="single" w:color="auto" w:sz="2" w:space="0"/>
            </w:tcBorders>
            <w:vAlign w:val="center"/>
          </w:tcPr>
          <w:p w14:paraId="2D44174F">
            <w:pPr>
              <w:spacing w:before="0" w:after="0" w:line="240" w:lineRule="exact"/>
              <w:jc w:val="right"/>
              <w:rPr>
                <w:rFonts w:ascii="宋体" w:hAnsi="宋体" w:eastAsia="宋体" w:cs="宋体"/>
                <w:sz w:val="18"/>
                <w:szCs w:val="18"/>
              </w:rPr>
            </w:pPr>
            <w:r>
              <w:rPr>
                <w:rFonts w:ascii="宋体" w:hAnsi="宋体" w:eastAsia="宋体" w:cs="宋体"/>
                <w:sz w:val="18"/>
                <w:szCs w:val="18"/>
              </w:rPr>
              <w:t>142,363,100.00</w:t>
            </w:r>
          </w:p>
        </w:tc>
        <w:tc>
          <w:tcPr>
            <w:tcW w:w="1520" w:type="dxa"/>
            <w:tcBorders>
              <w:top w:val="single" w:color="auto" w:sz="2" w:space="0"/>
              <w:left w:val="single" w:color="auto" w:sz="2" w:space="0"/>
              <w:bottom w:val="single" w:color="auto" w:sz="2" w:space="0"/>
              <w:right w:val="single" w:color="auto" w:sz="2" w:space="0"/>
            </w:tcBorders>
            <w:vAlign w:val="center"/>
          </w:tcPr>
          <w:p w14:paraId="642FBF87">
            <w:pPr>
              <w:spacing w:before="0" w:after="0" w:line="240" w:lineRule="exact"/>
              <w:jc w:val="right"/>
              <w:rPr>
                <w:rFonts w:ascii="宋体" w:hAnsi="宋体" w:eastAsia="宋体" w:cs="宋体"/>
                <w:sz w:val="18"/>
                <w:szCs w:val="18"/>
              </w:rPr>
            </w:pPr>
            <w:r>
              <w:rPr>
                <w:rFonts w:ascii="宋体" w:hAnsi="宋体" w:eastAsia="宋体" w:cs="宋体"/>
                <w:sz w:val="18"/>
                <w:szCs w:val="18"/>
              </w:rPr>
              <w:t>9.89%</w:t>
            </w:r>
          </w:p>
        </w:tc>
        <w:tc>
          <w:tcPr>
            <w:tcW w:w="1590" w:type="dxa"/>
            <w:tcBorders>
              <w:top w:val="single" w:color="auto" w:sz="2" w:space="0"/>
              <w:left w:val="single" w:color="auto" w:sz="2" w:space="0"/>
              <w:bottom w:val="single" w:color="auto" w:sz="2" w:space="0"/>
              <w:right w:val="single" w:color="auto" w:sz="2" w:space="0"/>
            </w:tcBorders>
            <w:vAlign w:val="center"/>
          </w:tcPr>
          <w:p w14:paraId="7F3A3375">
            <w:pPr>
              <w:spacing w:before="0" w:after="0" w:line="240" w:lineRule="exact"/>
              <w:jc w:val="right"/>
              <w:rPr>
                <w:rFonts w:ascii="宋体" w:hAnsi="宋体" w:eastAsia="宋体" w:cs="宋体"/>
                <w:sz w:val="18"/>
                <w:szCs w:val="18"/>
              </w:rPr>
            </w:pPr>
            <w:r>
              <w:rPr>
                <w:rFonts w:ascii="宋体" w:hAnsi="宋体" w:eastAsia="宋体" w:cs="宋体"/>
                <w:sz w:val="18"/>
                <w:szCs w:val="18"/>
              </w:rPr>
              <w:t>167,692,100.00</w:t>
            </w:r>
          </w:p>
        </w:tc>
        <w:tc>
          <w:tcPr>
            <w:tcW w:w="1490" w:type="dxa"/>
            <w:tcBorders>
              <w:top w:val="single" w:color="auto" w:sz="2" w:space="0"/>
              <w:left w:val="single" w:color="auto" w:sz="2" w:space="0"/>
              <w:bottom w:val="single" w:color="auto" w:sz="2" w:space="0"/>
              <w:right w:val="single" w:color="auto" w:sz="2" w:space="0"/>
            </w:tcBorders>
            <w:vAlign w:val="center"/>
          </w:tcPr>
          <w:p w14:paraId="36E9D831">
            <w:pPr>
              <w:spacing w:before="0" w:after="0" w:line="240" w:lineRule="exact"/>
              <w:jc w:val="right"/>
              <w:rPr>
                <w:rFonts w:ascii="宋体" w:hAnsi="宋体" w:eastAsia="宋体" w:cs="宋体"/>
                <w:sz w:val="18"/>
                <w:szCs w:val="18"/>
              </w:rPr>
            </w:pPr>
            <w:r>
              <w:rPr>
                <w:rFonts w:ascii="宋体" w:hAnsi="宋体" w:eastAsia="宋体" w:cs="宋体"/>
                <w:sz w:val="18"/>
                <w:szCs w:val="18"/>
              </w:rPr>
              <w:t>10.39%</w:t>
            </w:r>
          </w:p>
        </w:tc>
        <w:tc>
          <w:tcPr>
            <w:tcW w:w="860" w:type="dxa"/>
            <w:tcBorders>
              <w:top w:val="single" w:color="auto" w:sz="2" w:space="0"/>
              <w:left w:val="single" w:color="auto" w:sz="2" w:space="0"/>
              <w:bottom w:val="single" w:color="auto" w:sz="2" w:space="0"/>
              <w:right w:val="single" w:color="auto" w:sz="2" w:space="0"/>
            </w:tcBorders>
            <w:vAlign w:val="center"/>
          </w:tcPr>
          <w:p w14:paraId="64B6881C">
            <w:pPr>
              <w:spacing w:before="0" w:after="0" w:line="240" w:lineRule="exact"/>
              <w:jc w:val="right"/>
              <w:rPr>
                <w:rFonts w:ascii="宋体" w:hAnsi="宋体" w:eastAsia="宋体" w:cs="宋体"/>
                <w:sz w:val="18"/>
                <w:szCs w:val="18"/>
              </w:rPr>
            </w:pPr>
            <w:r>
              <w:rPr>
                <w:rFonts w:ascii="宋体" w:hAnsi="宋体" w:eastAsia="宋体" w:cs="宋体"/>
                <w:sz w:val="18"/>
                <w:szCs w:val="18"/>
              </w:rPr>
              <w:t>-0.50%</w:t>
            </w:r>
          </w:p>
        </w:tc>
        <w:tc>
          <w:tcPr>
            <w:tcW w:w="892" w:type="dxa"/>
            <w:tcBorders>
              <w:top w:val="single" w:color="auto" w:sz="2" w:space="0"/>
              <w:left w:val="single" w:color="auto" w:sz="2" w:space="0"/>
              <w:bottom w:val="single" w:color="auto" w:sz="2" w:space="0"/>
              <w:right w:val="single" w:color="auto" w:sz="2" w:space="0"/>
            </w:tcBorders>
            <w:vAlign w:val="center"/>
          </w:tcPr>
          <w:p w14:paraId="084C85FE">
            <w:pPr>
              <w:spacing w:before="0" w:after="0" w:line="240" w:lineRule="exact"/>
              <w:jc w:val="left"/>
              <w:rPr>
                <w:rFonts w:ascii="宋体" w:hAnsi="宋体" w:eastAsia="宋体" w:cs="宋体"/>
                <w:sz w:val="18"/>
                <w:szCs w:val="18"/>
              </w:rPr>
            </w:pPr>
          </w:p>
        </w:tc>
      </w:tr>
      <w:tr w14:paraId="5716E1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662B176">
            <w:pPr>
              <w:spacing w:before="40" w:after="40" w:line="240" w:lineRule="exact"/>
              <w:jc w:val="left"/>
              <w:rPr>
                <w:rFonts w:ascii="宋体" w:hAnsi="宋体" w:eastAsia="宋体" w:cs="宋体"/>
                <w:sz w:val="18"/>
                <w:szCs w:val="18"/>
              </w:rPr>
            </w:pPr>
            <w:r>
              <w:rPr>
                <w:rFonts w:ascii="宋体" w:hAnsi="宋体" w:eastAsia="宋体" w:cs="宋体"/>
                <w:sz w:val="18"/>
                <w:szCs w:val="18"/>
              </w:rPr>
              <w:t>租赁负债</w:t>
            </w:r>
          </w:p>
        </w:tc>
        <w:tc>
          <w:tcPr>
            <w:tcW w:w="1910" w:type="dxa"/>
            <w:tcBorders>
              <w:top w:val="single" w:color="auto" w:sz="2" w:space="0"/>
              <w:left w:val="single" w:color="auto" w:sz="2" w:space="0"/>
              <w:bottom w:val="single" w:color="auto" w:sz="2" w:space="0"/>
              <w:right w:val="single" w:color="auto" w:sz="2" w:space="0"/>
            </w:tcBorders>
            <w:vAlign w:val="center"/>
          </w:tcPr>
          <w:p w14:paraId="7207BC0A">
            <w:pPr>
              <w:spacing w:before="0" w:after="0" w:line="240" w:lineRule="exact"/>
              <w:jc w:val="right"/>
              <w:rPr>
                <w:rFonts w:ascii="宋体" w:hAnsi="宋体" w:eastAsia="宋体" w:cs="宋体"/>
                <w:sz w:val="18"/>
                <w:szCs w:val="18"/>
              </w:rPr>
            </w:pPr>
          </w:p>
        </w:tc>
        <w:tc>
          <w:tcPr>
            <w:tcW w:w="1520" w:type="dxa"/>
            <w:tcBorders>
              <w:top w:val="single" w:color="auto" w:sz="2" w:space="0"/>
              <w:left w:val="single" w:color="auto" w:sz="2" w:space="0"/>
              <w:bottom w:val="single" w:color="auto" w:sz="2" w:space="0"/>
              <w:right w:val="single" w:color="auto" w:sz="2" w:space="0"/>
            </w:tcBorders>
            <w:vAlign w:val="center"/>
          </w:tcPr>
          <w:p w14:paraId="02218025">
            <w:pPr>
              <w:spacing w:before="0" w:after="0" w:line="240" w:lineRule="exact"/>
              <w:jc w:val="right"/>
              <w:rPr>
                <w:rFonts w:ascii="宋体" w:hAnsi="宋体" w:eastAsia="宋体" w:cs="宋体"/>
                <w:sz w:val="18"/>
                <w:szCs w:val="18"/>
              </w:rPr>
            </w:pPr>
          </w:p>
        </w:tc>
        <w:tc>
          <w:tcPr>
            <w:tcW w:w="1590" w:type="dxa"/>
            <w:tcBorders>
              <w:top w:val="single" w:color="auto" w:sz="2" w:space="0"/>
              <w:left w:val="single" w:color="auto" w:sz="2" w:space="0"/>
              <w:bottom w:val="single" w:color="auto" w:sz="2" w:space="0"/>
              <w:right w:val="single" w:color="auto" w:sz="2" w:space="0"/>
            </w:tcBorders>
            <w:vAlign w:val="center"/>
          </w:tcPr>
          <w:p w14:paraId="28883357">
            <w:pPr>
              <w:spacing w:before="0" w:after="0" w:line="240" w:lineRule="exact"/>
              <w:jc w:val="right"/>
              <w:rPr>
                <w:rFonts w:ascii="宋体" w:hAnsi="宋体" w:eastAsia="宋体" w:cs="宋体"/>
                <w:sz w:val="18"/>
                <w:szCs w:val="18"/>
              </w:rPr>
            </w:pPr>
            <w:r>
              <w:rPr>
                <w:rFonts w:ascii="宋体" w:hAnsi="宋体" w:eastAsia="宋体" w:cs="宋体"/>
                <w:sz w:val="18"/>
                <w:szCs w:val="18"/>
              </w:rPr>
              <w:t>94,867.35</w:t>
            </w:r>
          </w:p>
        </w:tc>
        <w:tc>
          <w:tcPr>
            <w:tcW w:w="1490" w:type="dxa"/>
            <w:tcBorders>
              <w:top w:val="single" w:color="auto" w:sz="2" w:space="0"/>
              <w:left w:val="single" w:color="auto" w:sz="2" w:space="0"/>
              <w:bottom w:val="single" w:color="auto" w:sz="2" w:space="0"/>
              <w:right w:val="single" w:color="auto" w:sz="2" w:space="0"/>
            </w:tcBorders>
            <w:vAlign w:val="center"/>
          </w:tcPr>
          <w:p w14:paraId="6A8439D9">
            <w:pPr>
              <w:spacing w:before="0" w:after="0" w:line="240" w:lineRule="exact"/>
              <w:jc w:val="right"/>
              <w:rPr>
                <w:rFonts w:ascii="宋体" w:hAnsi="宋体" w:eastAsia="宋体" w:cs="宋体"/>
                <w:sz w:val="18"/>
                <w:szCs w:val="18"/>
              </w:rPr>
            </w:pPr>
            <w:r>
              <w:rPr>
                <w:rFonts w:ascii="宋体" w:hAnsi="宋体" w:eastAsia="宋体" w:cs="宋体"/>
                <w:sz w:val="18"/>
                <w:szCs w:val="18"/>
              </w:rPr>
              <w:t>0.01%</w:t>
            </w:r>
          </w:p>
        </w:tc>
        <w:tc>
          <w:tcPr>
            <w:tcW w:w="860" w:type="dxa"/>
            <w:tcBorders>
              <w:top w:val="single" w:color="auto" w:sz="2" w:space="0"/>
              <w:left w:val="single" w:color="auto" w:sz="2" w:space="0"/>
              <w:bottom w:val="single" w:color="auto" w:sz="2" w:space="0"/>
              <w:right w:val="single" w:color="auto" w:sz="2" w:space="0"/>
            </w:tcBorders>
            <w:vAlign w:val="center"/>
          </w:tcPr>
          <w:p w14:paraId="66688FD4">
            <w:pPr>
              <w:spacing w:before="0" w:after="0" w:line="240" w:lineRule="exact"/>
              <w:jc w:val="right"/>
              <w:rPr>
                <w:rFonts w:ascii="宋体" w:hAnsi="宋体" w:eastAsia="宋体" w:cs="宋体"/>
                <w:sz w:val="18"/>
                <w:szCs w:val="18"/>
              </w:rPr>
            </w:pPr>
            <w:r>
              <w:rPr>
                <w:rFonts w:ascii="宋体" w:hAnsi="宋体" w:eastAsia="宋体" w:cs="宋体"/>
                <w:sz w:val="18"/>
                <w:szCs w:val="18"/>
              </w:rPr>
              <w:t>-0.01%</w:t>
            </w:r>
          </w:p>
        </w:tc>
        <w:tc>
          <w:tcPr>
            <w:tcW w:w="892" w:type="dxa"/>
            <w:tcBorders>
              <w:top w:val="single" w:color="auto" w:sz="2" w:space="0"/>
              <w:left w:val="single" w:color="auto" w:sz="2" w:space="0"/>
              <w:bottom w:val="single" w:color="auto" w:sz="2" w:space="0"/>
              <w:right w:val="single" w:color="auto" w:sz="2" w:space="0"/>
            </w:tcBorders>
            <w:vAlign w:val="center"/>
          </w:tcPr>
          <w:p w14:paraId="5D96428F">
            <w:pPr>
              <w:spacing w:before="0" w:after="0" w:line="240" w:lineRule="exact"/>
              <w:jc w:val="left"/>
              <w:rPr>
                <w:rFonts w:ascii="宋体" w:hAnsi="宋体" w:eastAsia="宋体" w:cs="宋体"/>
                <w:sz w:val="18"/>
                <w:szCs w:val="18"/>
              </w:rPr>
            </w:pPr>
          </w:p>
        </w:tc>
      </w:tr>
    </w:tbl>
    <w:p w14:paraId="46D6B0FF">
      <w:pPr>
        <w:spacing w:before="100" w:after="100" w:line="240" w:lineRule="exact"/>
        <w:jc w:val="left"/>
        <w:rPr>
          <w:rFonts w:ascii="宋体" w:hAnsi="宋体" w:eastAsia="宋体" w:cs="宋体"/>
          <w:sz w:val="18"/>
          <w:szCs w:val="18"/>
        </w:rPr>
      </w:pPr>
      <w:r>
        <w:rPr>
          <w:rFonts w:ascii="宋体" w:hAnsi="宋体" w:eastAsia="宋体" w:cs="宋体"/>
          <w:sz w:val="18"/>
          <w:szCs w:val="18"/>
        </w:rPr>
        <w:t>境外资产占比较高</w:t>
      </w:r>
    </w:p>
    <w:p w14:paraId="575A62DC">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A9020C8">
      <w:pPr>
        <w:keepNext/>
        <w:keepLines/>
        <w:spacing w:before="300" w:after="300" w:line="280" w:lineRule="exact"/>
        <w:jc w:val="left"/>
        <w:outlineLvl w:val="2"/>
        <w:rPr>
          <w:rFonts w:ascii="宋体" w:hAnsi="宋体" w:eastAsia="宋体" w:cs="宋体"/>
          <w:b/>
          <w:bCs/>
          <w:sz w:val="21"/>
          <w:szCs w:val="21"/>
        </w:rPr>
      </w:pPr>
      <w:bookmarkStart w:id="35" w:name="_Toc988922"/>
      <w:r>
        <w:rPr>
          <w:rFonts w:ascii="宋体" w:hAnsi="宋体" w:eastAsia="宋体" w:cs="宋体"/>
          <w:b/>
          <w:bCs/>
          <w:sz w:val="21"/>
          <w:szCs w:val="21"/>
        </w:rPr>
        <w:t>2、以公允价值计量的资产和负债</w:t>
      </w:r>
      <w:bookmarkEnd w:id="35"/>
    </w:p>
    <w:p w14:paraId="1C6444A8">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2FF6B56">
      <w:pPr>
        <w:keepNext/>
        <w:keepLines/>
        <w:spacing w:before="300" w:after="300" w:line="280" w:lineRule="exact"/>
        <w:jc w:val="left"/>
        <w:outlineLvl w:val="2"/>
        <w:rPr>
          <w:rFonts w:ascii="宋体" w:hAnsi="宋体" w:eastAsia="宋体" w:cs="宋体"/>
          <w:b/>
          <w:bCs/>
          <w:sz w:val="21"/>
          <w:szCs w:val="21"/>
        </w:rPr>
      </w:pPr>
      <w:bookmarkStart w:id="36" w:name="_Toc988923"/>
      <w:r>
        <w:rPr>
          <w:rFonts w:ascii="宋体" w:hAnsi="宋体" w:eastAsia="宋体" w:cs="宋体"/>
          <w:b/>
          <w:bCs/>
          <w:sz w:val="21"/>
          <w:szCs w:val="21"/>
        </w:rPr>
        <w:t>3、截至报告期末的资产权利受限情况</w:t>
      </w:r>
      <w:bookmarkEnd w:id="36"/>
    </w:p>
    <w:p w14:paraId="202E8D4E">
      <w:pPr>
        <w:pStyle w:val="2"/>
        <w:keepNext w:val="0"/>
        <w:keepLines w:val="0"/>
        <w:widowControl/>
        <w:suppressLineNumbers w:val="0"/>
        <w:spacing w:before="0" w:beforeAutospacing="0" w:after="0" w:afterAutospacing="0"/>
        <w:ind w:left="0" w:right="0" w:firstLine="360"/>
        <w:jc w:val="left"/>
        <w:rPr>
          <w:rFonts w:ascii="Calibri" w:hAnsi="Calibri" w:cs="Calibri"/>
          <w:sz w:val="21"/>
          <w:szCs w:val="21"/>
        </w:rPr>
      </w:pPr>
      <w:r>
        <w:rPr>
          <w:rFonts w:hint="eastAsia" w:ascii="宋体" w:hAnsi="宋体" w:eastAsia="宋体" w:cs="宋体"/>
          <w:sz w:val="18"/>
          <w:szCs w:val="18"/>
        </w:rPr>
        <w:t>1、期末其他货币资金200,000元系履约保证金，另银行存款795,608.55万因劳务纠纷被冻结，属使用受限的资金；</w:t>
      </w:r>
    </w:p>
    <w:p w14:paraId="01C1F193">
      <w:pPr>
        <w:pStyle w:val="2"/>
        <w:keepNext w:val="0"/>
        <w:keepLines w:val="0"/>
        <w:widowControl/>
        <w:suppressLineNumbers w:val="0"/>
        <w:spacing w:before="0" w:beforeAutospacing="0" w:after="0" w:afterAutospacing="0"/>
        <w:ind w:left="0" w:right="0" w:firstLine="360"/>
        <w:jc w:val="left"/>
        <w:rPr>
          <w:rFonts w:hint="default" w:ascii="Calibri" w:hAnsi="Calibri" w:cs="Calibri"/>
          <w:sz w:val="21"/>
          <w:szCs w:val="21"/>
        </w:rPr>
      </w:pPr>
      <w:r>
        <w:rPr>
          <w:rFonts w:hint="eastAsia" w:ascii="宋体" w:hAnsi="宋体" w:eastAsia="宋体" w:cs="宋体"/>
          <w:sz w:val="18"/>
          <w:szCs w:val="18"/>
        </w:rPr>
        <w:t>2、期末固定资产297,738,092.21元及无形资产40,864,939.93元，因贷款而抵押给贷款银行，使用受限。</w:t>
      </w:r>
    </w:p>
    <w:p w14:paraId="6FCFC923">
      <w:pPr>
        <w:keepNext/>
        <w:keepLines/>
        <w:spacing w:before="300" w:after="300" w:line="320" w:lineRule="exact"/>
        <w:jc w:val="left"/>
        <w:outlineLvl w:val="1"/>
        <w:rPr>
          <w:rFonts w:ascii="宋体" w:hAnsi="宋体" w:eastAsia="宋体" w:cs="宋体"/>
          <w:b/>
          <w:bCs/>
          <w:sz w:val="24"/>
          <w:szCs w:val="24"/>
        </w:rPr>
      </w:pPr>
      <w:bookmarkStart w:id="37" w:name="_Toc988924"/>
      <w:r>
        <w:rPr>
          <w:rFonts w:ascii="宋体" w:hAnsi="宋体" w:eastAsia="宋体" w:cs="宋体"/>
          <w:b/>
          <w:bCs/>
          <w:sz w:val="24"/>
          <w:szCs w:val="24"/>
        </w:rPr>
        <w:t>七、投资状况分析</w:t>
      </w:r>
      <w:bookmarkEnd w:id="37"/>
    </w:p>
    <w:p w14:paraId="6ACAB53A">
      <w:pPr>
        <w:keepNext/>
        <w:keepLines/>
        <w:spacing w:before="300" w:after="300" w:line="280" w:lineRule="exact"/>
        <w:jc w:val="left"/>
        <w:outlineLvl w:val="2"/>
        <w:rPr>
          <w:rFonts w:ascii="宋体" w:hAnsi="宋体" w:eastAsia="宋体" w:cs="宋体"/>
          <w:b/>
          <w:bCs/>
          <w:sz w:val="21"/>
          <w:szCs w:val="21"/>
        </w:rPr>
      </w:pPr>
      <w:bookmarkStart w:id="38" w:name="_Toc988925"/>
      <w:r>
        <w:rPr>
          <w:rFonts w:ascii="宋体" w:hAnsi="宋体" w:eastAsia="宋体" w:cs="宋体"/>
          <w:b/>
          <w:bCs/>
          <w:sz w:val="21"/>
          <w:szCs w:val="21"/>
        </w:rPr>
        <w:t>1、总体情况</w:t>
      </w:r>
      <w:bookmarkEnd w:id="38"/>
    </w:p>
    <w:p w14:paraId="42237B6D">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A68AF83">
      <w:pPr>
        <w:keepNext/>
        <w:keepLines/>
        <w:spacing w:before="300" w:after="300" w:line="280" w:lineRule="exact"/>
        <w:jc w:val="left"/>
        <w:outlineLvl w:val="2"/>
        <w:rPr>
          <w:rFonts w:ascii="宋体" w:hAnsi="宋体" w:eastAsia="宋体" w:cs="宋体"/>
          <w:b/>
          <w:bCs/>
          <w:sz w:val="21"/>
          <w:szCs w:val="21"/>
        </w:rPr>
      </w:pPr>
      <w:bookmarkStart w:id="39" w:name="_Toc988926"/>
      <w:r>
        <w:rPr>
          <w:rFonts w:ascii="宋体" w:hAnsi="宋体" w:eastAsia="宋体" w:cs="宋体"/>
          <w:b/>
          <w:bCs/>
          <w:sz w:val="21"/>
          <w:szCs w:val="21"/>
        </w:rPr>
        <w:t>2、报告期内获取的重大的股权投资情况</w:t>
      </w:r>
      <w:bookmarkEnd w:id="39"/>
    </w:p>
    <w:p w14:paraId="37A87774">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861ABDC">
      <w:pPr>
        <w:keepNext/>
        <w:keepLines/>
        <w:spacing w:before="300" w:after="300" w:line="280" w:lineRule="exact"/>
        <w:jc w:val="left"/>
        <w:outlineLvl w:val="2"/>
        <w:rPr>
          <w:rFonts w:ascii="宋体" w:hAnsi="宋体" w:eastAsia="宋体" w:cs="宋体"/>
          <w:b/>
          <w:bCs/>
          <w:sz w:val="21"/>
          <w:szCs w:val="21"/>
        </w:rPr>
      </w:pPr>
      <w:bookmarkStart w:id="40" w:name="_Toc988927"/>
      <w:r>
        <w:rPr>
          <w:rFonts w:ascii="宋体" w:hAnsi="宋体" w:eastAsia="宋体" w:cs="宋体"/>
          <w:b/>
          <w:bCs/>
          <w:sz w:val="21"/>
          <w:szCs w:val="21"/>
        </w:rPr>
        <w:t>3、报告期内正在进行的重大的非股权投资情况</w:t>
      </w:r>
      <w:bookmarkEnd w:id="40"/>
    </w:p>
    <w:p w14:paraId="23F14BF2">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736789C">
      <w:pPr>
        <w:keepNext/>
        <w:keepLines/>
        <w:spacing w:before="300" w:after="300" w:line="280" w:lineRule="exact"/>
        <w:jc w:val="left"/>
        <w:outlineLvl w:val="2"/>
        <w:rPr>
          <w:rFonts w:ascii="宋体" w:hAnsi="宋体" w:eastAsia="宋体" w:cs="宋体"/>
          <w:b/>
          <w:bCs/>
          <w:sz w:val="21"/>
          <w:szCs w:val="21"/>
        </w:rPr>
      </w:pPr>
      <w:bookmarkStart w:id="41" w:name="_Toc988928"/>
      <w:r>
        <w:rPr>
          <w:rFonts w:ascii="宋体" w:hAnsi="宋体" w:eastAsia="宋体" w:cs="宋体"/>
          <w:b/>
          <w:bCs/>
          <w:sz w:val="21"/>
          <w:szCs w:val="21"/>
        </w:rPr>
        <w:t>4、金融资产投资</w:t>
      </w:r>
      <w:bookmarkEnd w:id="41"/>
    </w:p>
    <w:p w14:paraId="1FD0751F">
      <w:pPr>
        <w:keepNext/>
        <w:keepLines/>
        <w:spacing w:before="300" w:after="300" w:line="280" w:lineRule="exact"/>
        <w:jc w:val="left"/>
        <w:outlineLvl w:val="3"/>
        <w:rPr>
          <w:rFonts w:ascii="宋体" w:hAnsi="宋体" w:eastAsia="宋体" w:cs="宋体"/>
          <w:b/>
          <w:bCs/>
          <w:sz w:val="18"/>
          <w:szCs w:val="18"/>
        </w:rPr>
      </w:pPr>
      <w:bookmarkStart w:id="42" w:name="_Toc988929"/>
      <w:r>
        <w:rPr>
          <w:rFonts w:ascii="宋体" w:hAnsi="宋体" w:eastAsia="宋体" w:cs="宋体"/>
          <w:b/>
          <w:bCs/>
          <w:sz w:val="18"/>
          <w:szCs w:val="18"/>
        </w:rPr>
        <w:t>（1） 证券投资情况</w:t>
      </w:r>
      <w:bookmarkEnd w:id="42"/>
    </w:p>
    <w:p w14:paraId="672C6767">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645305A">
      <w:pPr>
        <w:spacing w:before="40" w:after="40" w:line="240" w:lineRule="exact"/>
        <w:jc w:val="left"/>
        <w:rPr>
          <w:rFonts w:ascii="宋体" w:hAnsi="宋体" w:eastAsia="宋体" w:cs="宋体"/>
          <w:sz w:val="18"/>
          <w:szCs w:val="18"/>
        </w:rPr>
      </w:pPr>
      <w:r>
        <w:rPr>
          <w:rFonts w:ascii="宋体" w:hAnsi="宋体" w:eastAsia="宋体" w:cs="宋体"/>
          <w:sz w:val="18"/>
          <w:szCs w:val="18"/>
        </w:rPr>
        <w:t>公司报告期不存在证券投资。</w:t>
      </w:r>
    </w:p>
    <w:p w14:paraId="5F26E2CE">
      <w:pPr>
        <w:keepNext/>
        <w:keepLines/>
        <w:spacing w:before="300" w:after="300" w:line="280" w:lineRule="exact"/>
        <w:jc w:val="left"/>
        <w:outlineLvl w:val="3"/>
        <w:rPr>
          <w:rFonts w:ascii="宋体" w:hAnsi="宋体" w:eastAsia="宋体" w:cs="宋体"/>
          <w:b/>
          <w:bCs/>
          <w:sz w:val="18"/>
          <w:szCs w:val="18"/>
        </w:rPr>
      </w:pPr>
      <w:bookmarkStart w:id="43" w:name="_Toc988930"/>
      <w:r>
        <w:rPr>
          <w:rFonts w:ascii="宋体" w:hAnsi="宋体" w:eastAsia="宋体" w:cs="宋体"/>
          <w:b/>
          <w:bCs/>
          <w:sz w:val="18"/>
          <w:szCs w:val="18"/>
        </w:rPr>
        <w:t>（2） 衍生品投资情况</w:t>
      </w:r>
      <w:bookmarkEnd w:id="43"/>
    </w:p>
    <w:p w14:paraId="5FEE1878">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63726D2C">
      <w:pPr>
        <w:spacing w:before="40" w:after="40" w:line="240" w:lineRule="exact"/>
        <w:jc w:val="left"/>
        <w:rPr>
          <w:rFonts w:ascii="宋体" w:hAnsi="宋体" w:eastAsia="宋体" w:cs="宋体"/>
          <w:sz w:val="18"/>
          <w:szCs w:val="18"/>
        </w:rPr>
      </w:pPr>
      <w:r>
        <w:rPr>
          <w:rFonts w:ascii="宋体" w:hAnsi="宋体" w:eastAsia="宋体" w:cs="宋体"/>
          <w:sz w:val="18"/>
          <w:szCs w:val="18"/>
        </w:rPr>
        <w:t>公司报告期不存在衍生品投资。</w:t>
      </w:r>
    </w:p>
    <w:p w14:paraId="72F2C184">
      <w:pPr>
        <w:keepNext/>
        <w:keepLines/>
        <w:spacing w:before="300" w:after="300" w:line="280" w:lineRule="exact"/>
        <w:jc w:val="left"/>
        <w:outlineLvl w:val="2"/>
        <w:rPr>
          <w:rFonts w:ascii="宋体" w:hAnsi="宋体" w:eastAsia="宋体" w:cs="宋体"/>
          <w:b/>
          <w:bCs/>
          <w:sz w:val="21"/>
          <w:szCs w:val="21"/>
        </w:rPr>
      </w:pPr>
      <w:bookmarkStart w:id="44" w:name="_Toc988931"/>
      <w:r>
        <w:rPr>
          <w:rFonts w:ascii="宋体" w:hAnsi="宋体" w:eastAsia="宋体" w:cs="宋体"/>
          <w:b/>
          <w:bCs/>
          <w:sz w:val="21"/>
          <w:szCs w:val="21"/>
        </w:rPr>
        <w:t>5、募集资金使用情况</w:t>
      </w:r>
      <w:bookmarkEnd w:id="44"/>
    </w:p>
    <w:p w14:paraId="5542DBAD">
      <w:pPr>
        <w:spacing w:before="40" w:after="4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022FDEFA">
      <w:pPr>
        <w:keepNext/>
        <w:keepLines/>
        <w:spacing w:before="300" w:after="300" w:line="280" w:lineRule="exact"/>
        <w:jc w:val="left"/>
        <w:outlineLvl w:val="3"/>
        <w:rPr>
          <w:rFonts w:ascii="宋体" w:hAnsi="宋体" w:eastAsia="宋体" w:cs="宋体"/>
          <w:b/>
          <w:bCs/>
          <w:sz w:val="18"/>
          <w:szCs w:val="18"/>
        </w:rPr>
      </w:pPr>
      <w:bookmarkStart w:id="45" w:name="_Toc988932"/>
      <w:r>
        <w:rPr>
          <w:rFonts w:ascii="宋体" w:hAnsi="宋体" w:eastAsia="宋体" w:cs="宋体"/>
          <w:b/>
          <w:bCs/>
          <w:sz w:val="18"/>
          <w:szCs w:val="18"/>
        </w:rPr>
        <w:t>（1） 募集资金总体使用情况</w:t>
      </w:r>
      <w:bookmarkEnd w:id="45"/>
    </w:p>
    <w:p w14:paraId="780AD0CA">
      <w:pPr>
        <w:spacing w:before="40" w:after="4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37F81D62">
      <w:pPr>
        <w:spacing w:before="120" w:after="120" w:line="240" w:lineRule="exact"/>
        <w:jc w:val="right"/>
        <w:rPr>
          <w:rFonts w:ascii="宋体" w:hAnsi="宋体" w:eastAsia="宋体" w:cs="宋体"/>
          <w:sz w:val="18"/>
          <w:szCs w:val="18"/>
        </w:rPr>
      </w:pPr>
      <w:r>
        <w:rPr>
          <w:rFonts w:ascii="宋体" w:hAnsi="宋体" w:eastAsia="宋体" w:cs="宋体"/>
          <w:sz w:val="18"/>
          <w:szCs w:val="18"/>
        </w:rPr>
        <w:t>单位：万元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89"/>
        <w:gridCol w:w="689"/>
        <w:gridCol w:w="689"/>
        <w:gridCol w:w="689"/>
        <w:gridCol w:w="689"/>
        <w:gridCol w:w="689"/>
        <w:gridCol w:w="689"/>
        <w:gridCol w:w="689"/>
        <w:gridCol w:w="689"/>
        <w:gridCol w:w="689"/>
        <w:gridCol w:w="689"/>
        <w:gridCol w:w="689"/>
        <w:gridCol w:w="689"/>
        <w:gridCol w:w="689"/>
      </w:tblGrid>
      <w:tr w14:paraId="67603D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1828DED9">
            <w:pPr>
              <w:spacing w:before="40" w:after="40" w:line="240" w:lineRule="exact"/>
              <w:jc w:val="center"/>
              <w:rPr>
                <w:rFonts w:ascii="宋体" w:hAnsi="宋体" w:eastAsia="宋体" w:cs="宋体"/>
                <w:sz w:val="18"/>
                <w:szCs w:val="18"/>
              </w:rPr>
            </w:pPr>
            <w:r>
              <w:rPr>
                <w:rFonts w:ascii="宋体" w:hAnsi="宋体" w:eastAsia="宋体" w:cs="宋体"/>
                <w:sz w:val="18"/>
                <w:szCs w:val="18"/>
              </w:rPr>
              <w:t>募集年份</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A159A76">
            <w:pPr>
              <w:spacing w:before="40" w:after="40" w:line="240" w:lineRule="exact"/>
              <w:jc w:val="center"/>
              <w:rPr>
                <w:rFonts w:ascii="宋体" w:hAnsi="宋体" w:eastAsia="宋体" w:cs="宋体"/>
                <w:sz w:val="18"/>
                <w:szCs w:val="18"/>
              </w:rPr>
            </w:pPr>
            <w:r>
              <w:rPr>
                <w:rFonts w:ascii="宋体" w:hAnsi="宋体" w:eastAsia="宋体" w:cs="宋体"/>
                <w:sz w:val="18"/>
                <w:szCs w:val="18"/>
              </w:rPr>
              <w:t>募集方式</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13DDEF96">
            <w:pPr>
              <w:spacing w:before="40" w:after="40" w:line="240" w:lineRule="exact"/>
              <w:jc w:val="center"/>
              <w:rPr>
                <w:rFonts w:ascii="宋体" w:hAnsi="宋体" w:eastAsia="宋体" w:cs="宋体"/>
                <w:sz w:val="18"/>
                <w:szCs w:val="18"/>
              </w:rPr>
            </w:pPr>
            <w:r>
              <w:rPr>
                <w:rFonts w:ascii="宋体" w:hAnsi="宋体" w:eastAsia="宋体" w:cs="宋体"/>
                <w:sz w:val="18"/>
                <w:szCs w:val="18"/>
              </w:rPr>
              <w:t>证券上市日期</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65F1398F">
            <w:pPr>
              <w:spacing w:before="40" w:after="40" w:line="240" w:lineRule="exact"/>
              <w:jc w:val="center"/>
              <w:rPr>
                <w:rFonts w:ascii="宋体" w:hAnsi="宋体" w:eastAsia="宋体" w:cs="宋体"/>
                <w:sz w:val="18"/>
                <w:szCs w:val="18"/>
              </w:rPr>
            </w:pPr>
            <w:r>
              <w:rPr>
                <w:rFonts w:ascii="宋体" w:hAnsi="宋体" w:eastAsia="宋体" w:cs="宋体"/>
                <w:sz w:val="18"/>
                <w:szCs w:val="18"/>
              </w:rPr>
              <w:t>募集资金总额</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5843A013">
            <w:pPr>
              <w:spacing w:before="40" w:after="40" w:line="240" w:lineRule="exact"/>
              <w:jc w:val="center"/>
              <w:rPr>
                <w:rFonts w:ascii="宋体" w:hAnsi="宋体" w:eastAsia="宋体" w:cs="宋体"/>
                <w:sz w:val="18"/>
                <w:szCs w:val="18"/>
              </w:rPr>
            </w:pPr>
            <w:r>
              <w:rPr>
                <w:rFonts w:ascii="宋体" w:hAnsi="宋体" w:eastAsia="宋体" w:cs="宋体"/>
                <w:sz w:val="18"/>
                <w:szCs w:val="18"/>
              </w:rPr>
              <w:t>募集资金净额（1）</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6CE448A4">
            <w:pPr>
              <w:spacing w:before="40" w:after="40" w:line="240" w:lineRule="exact"/>
              <w:jc w:val="center"/>
              <w:rPr>
                <w:rFonts w:ascii="宋体" w:hAnsi="宋体" w:eastAsia="宋体" w:cs="宋体"/>
                <w:sz w:val="18"/>
                <w:szCs w:val="18"/>
              </w:rPr>
            </w:pPr>
            <w:r>
              <w:rPr>
                <w:rFonts w:ascii="宋体" w:hAnsi="宋体" w:eastAsia="宋体" w:cs="宋体"/>
                <w:sz w:val="18"/>
                <w:szCs w:val="18"/>
              </w:rPr>
              <w:t>本期已使用募集资金总额</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3B1C945">
            <w:pPr>
              <w:spacing w:before="40" w:after="40" w:line="240" w:lineRule="exact"/>
              <w:jc w:val="center"/>
              <w:rPr>
                <w:rFonts w:ascii="宋体" w:hAnsi="宋体" w:eastAsia="宋体" w:cs="宋体"/>
                <w:sz w:val="18"/>
                <w:szCs w:val="18"/>
              </w:rPr>
            </w:pPr>
            <w:r>
              <w:rPr>
                <w:rFonts w:ascii="宋体" w:hAnsi="宋体" w:eastAsia="宋体" w:cs="宋体"/>
                <w:sz w:val="18"/>
                <w:szCs w:val="18"/>
              </w:rPr>
              <w:t>已累计使用募集资金总额（2）</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0C148ADE">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报告期末募集资金使用比例（3）=（2）/（1）</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09B73ABE">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报告期内变更用途的募集资金总额</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13E01349">
            <w:pPr>
              <w:spacing w:before="40" w:after="40" w:line="240" w:lineRule="exact"/>
              <w:jc w:val="center"/>
              <w:rPr>
                <w:rFonts w:ascii="宋体" w:hAnsi="宋体" w:eastAsia="宋体" w:cs="宋体"/>
                <w:sz w:val="18"/>
                <w:szCs w:val="18"/>
              </w:rPr>
            </w:pPr>
            <w:r>
              <w:rPr>
                <w:rFonts w:ascii="宋体" w:hAnsi="宋体" w:eastAsia="宋体" w:cs="宋体"/>
                <w:sz w:val="18"/>
                <w:szCs w:val="18"/>
              </w:rPr>
              <w:t>累计变更用途的募集资金总额</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575C197E">
            <w:pPr>
              <w:spacing w:before="40" w:after="40" w:line="240" w:lineRule="exact"/>
              <w:jc w:val="center"/>
              <w:rPr>
                <w:rFonts w:ascii="宋体" w:hAnsi="宋体" w:eastAsia="宋体" w:cs="宋体"/>
                <w:sz w:val="18"/>
                <w:szCs w:val="18"/>
              </w:rPr>
            </w:pPr>
            <w:r>
              <w:rPr>
                <w:rFonts w:ascii="宋体" w:hAnsi="宋体" w:eastAsia="宋体" w:cs="宋体"/>
                <w:sz w:val="18"/>
                <w:szCs w:val="18"/>
              </w:rPr>
              <w:t>累计变更用途的募集资金总额比例</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25DD3830">
            <w:pPr>
              <w:spacing w:before="40" w:after="40" w:line="240" w:lineRule="exact"/>
              <w:jc w:val="center"/>
              <w:rPr>
                <w:rFonts w:ascii="宋体" w:hAnsi="宋体" w:eastAsia="宋体" w:cs="宋体"/>
                <w:sz w:val="18"/>
                <w:szCs w:val="18"/>
              </w:rPr>
            </w:pPr>
            <w:r>
              <w:rPr>
                <w:rFonts w:ascii="宋体" w:hAnsi="宋体" w:eastAsia="宋体" w:cs="宋体"/>
                <w:sz w:val="18"/>
                <w:szCs w:val="18"/>
              </w:rPr>
              <w:t>尚未使用募集资金总额</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5346B2EF">
            <w:pPr>
              <w:spacing w:before="40" w:after="40" w:line="240" w:lineRule="exact"/>
              <w:jc w:val="center"/>
              <w:rPr>
                <w:rFonts w:ascii="宋体" w:hAnsi="宋体" w:eastAsia="宋体" w:cs="宋体"/>
                <w:sz w:val="18"/>
                <w:szCs w:val="18"/>
              </w:rPr>
            </w:pPr>
            <w:r>
              <w:rPr>
                <w:rFonts w:ascii="宋体" w:hAnsi="宋体" w:eastAsia="宋体" w:cs="宋体"/>
                <w:sz w:val="18"/>
                <w:szCs w:val="18"/>
              </w:rPr>
              <w:t>尚未使用募集资金用途及去向</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EC383CA">
            <w:pPr>
              <w:spacing w:before="40" w:after="40" w:line="240" w:lineRule="exact"/>
              <w:jc w:val="center"/>
              <w:rPr>
                <w:rFonts w:ascii="宋体" w:hAnsi="宋体" w:eastAsia="宋体" w:cs="宋体"/>
                <w:sz w:val="18"/>
                <w:szCs w:val="18"/>
              </w:rPr>
            </w:pPr>
            <w:r>
              <w:rPr>
                <w:rFonts w:ascii="宋体" w:hAnsi="宋体" w:eastAsia="宋体" w:cs="宋体"/>
                <w:sz w:val="18"/>
                <w:szCs w:val="18"/>
              </w:rPr>
              <w:t>闲置两年以上募集资金金额</w:t>
            </w:r>
          </w:p>
        </w:tc>
      </w:tr>
      <w:tr w14:paraId="05FFCD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89" w:type="dxa"/>
            <w:tcBorders>
              <w:top w:val="single" w:color="auto" w:sz="2" w:space="0"/>
              <w:left w:val="single" w:color="auto" w:sz="2" w:space="0"/>
              <w:bottom w:val="single" w:color="auto" w:sz="2" w:space="0"/>
              <w:right w:val="single" w:color="auto" w:sz="2" w:space="0"/>
            </w:tcBorders>
            <w:vAlign w:val="center"/>
          </w:tcPr>
          <w:p w14:paraId="0DD8B289">
            <w:pPr>
              <w:spacing w:before="0" w:after="0" w:line="240" w:lineRule="exact"/>
              <w:jc w:val="left"/>
              <w:rPr>
                <w:rFonts w:ascii="宋体" w:hAnsi="宋体" w:eastAsia="宋体" w:cs="宋体"/>
                <w:sz w:val="18"/>
                <w:szCs w:val="18"/>
              </w:rPr>
            </w:pPr>
            <w:r>
              <w:rPr>
                <w:rFonts w:ascii="宋体" w:hAnsi="宋体" w:eastAsia="宋体" w:cs="宋体"/>
                <w:sz w:val="18"/>
                <w:szCs w:val="18"/>
              </w:rPr>
              <w:t>2021</w:t>
            </w:r>
          </w:p>
        </w:tc>
        <w:tc>
          <w:tcPr>
            <w:tcW w:w="689" w:type="dxa"/>
            <w:tcBorders>
              <w:top w:val="single" w:color="auto" w:sz="2" w:space="0"/>
              <w:left w:val="single" w:color="auto" w:sz="2" w:space="0"/>
              <w:bottom w:val="single" w:color="auto" w:sz="2" w:space="0"/>
              <w:right w:val="single" w:color="auto" w:sz="2" w:space="0"/>
            </w:tcBorders>
            <w:vAlign w:val="center"/>
          </w:tcPr>
          <w:p w14:paraId="5FFD0610">
            <w:pPr>
              <w:spacing w:before="0" w:after="0" w:line="240" w:lineRule="exact"/>
              <w:jc w:val="left"/>
              <w:rPr>
                <w:rFonts w:ascii="宋体" w:hAnsi="宋体" w:eastAsia="宋体" w:cs="宋体"/>
                <w:sz w:val="18"/>
                <w:szCs w:val="18"/>
              </w:rPr>
            </w:pPr>
            <w:r>
              <w:rPr>
                <w:rFonts w:ascii="宋体" w:hAnsi="宋体" w:eastAsia="宋体" w:cs="宋体"/>
                <w:sz w:val="18"/>
                <w:szCs w:val="18"/>
              </w:rPr>
              <w:t>向不特定对象发行股票</w:t>
            </w:r>
          </w:p>
        </w:tc>
        <w:tc>
          <w:tcPr>
            <w:tcW w:w="689" w:type="dxa"/>
            <w:tcBorders>
              <w:top w:val="single" w:color="auto" w:sz="2" w:space="0"/>
              <w:left w:val="single" w:color="auto" w:sz="2" w:space="0"/>
              <w:bottom w:val="single" w:color="auto" w:sz="2" w:space="0"/>
              <w:right w:val="single" w:color="auto" w:sz="2" w:space="0"/>
            </w:tcBorders>
            <w:vAlign w:val="center"/>
          </w:tcPr>
          <w:p w14:paraId="3D6382CE">
            <w:pPr>
              <w:spacing w:before="0" w:after="0" w:line="240" w:lineRule="exact"/>
              <w:jc w:val="left"/>
              <w:rPr>
                <w:rFonts w:ascii="宋体" w:hAnsi="宋体" w:eastAsia="宋体" w:cs="宋体"/>
                <w:sz w:val="18"/>
                <w:szCs w:val="18"/>
              </w:rPr>
            </w:pPr>
            <w:r>
              <w:rPr>
                <w:rFonts w:ascii="宋体" w:hAnsi="宋体" w:eastAsia="宋体" w:cs="宋体"/>
                <w:sz w:val="18"/>
                <w:szCs w:val="18"/>
              </w:rPr>
              <w:t>2021年07月09日</w:t>
            </w:r>
          </w:p>
        </w:tc>
        <w:tc>
          <w:tcPr>
            <w:tcW w:w="689" w:type="dxa"/>
            <w:tcBorders>
              <w:top w:val="single" w:color="auto" w:sz="2" w:space="0"/>
              <w:left w:val="single" w:color="auto" w:sz="2" w:space="0"/>
              <w:bottom w:val="single" w:color="auto" w:sz="2" w:space="0"/>
              <w:right w:val="single" w:color="auto" w:sz="2" w:space="0"/>
            </w:tcBorders>
            <w:vAlign w:val="center"/>
          </w:tcPr>
          <w:p w14:paraId="1FEAE871">
            <w:pPr>
              <w:spacing w:before="0" w:after="0" w:line="240" w:lineRule="exact"/>
              <w:jc w:val="right"/>
              <w:rPr>
                <w:rFonts w:ascii="宋体" w:hAnsi="宋体" w:eastAsia="宋体" w:cs="宋体"/>
                <w:sz w:val="18"/>
                <w:szCs w:val="18"/>
              </w:rPr>
            </w:pPr>
            <w:r>
              <w:rPr>
                <w:rFonts w:ascii="宋体" w:hAnsi="宋体" w:eastAsia="宋体" w:cs="宋体"/>
                <w:sz w:val="18"/>
                <w:szCs w:val="18"/>
              </w:rPr>
              <w:t>51,448.98</w:t>
            </w:r>
          </w:p>
        </w:tc>
        <w:tc>
          <w:tcPr>
            <w:tcW w:w="689" w:type="dxa"/>
            <w:tcBorders>
              <w:top w:val="single" w:color="auto" w:sz="2" w:space="0"/>
              <w:left w:val="single" w:color="auto" w:sz="2" w:space="0"/>
              <w:bottom w:val="single" w:color="auto" w:sz="2" w:space="0"/>
              <w:right w:val="single" w:color="auto" w:sz="2" w:space="0"/>
            </w:tcBorders>
            <w:vAlign w:val="center"/>
          </w:tcPr>
          <w:p w14:paraId="10B7E5F5">
            <w:pPr>
              <w:spacing w:before="0" w:after="0" w:line="240" w:lineRule="exact"/>
              <w:jc w:val="right"/>
              <w:rPr>
                <w:rFonts w:ascii="宋体" w:hAnsi="宋体" w:eastAsia="宋体" w:cs="宋体"/>
                <w:sz w:val="18"/>
                <w:szCs w:val="18"/>
              </w:rPr>
            </w:pPr>
            <w:r>
              <w:rPr>
                <w:rFonts w:ascii="宋体" w:hAnsi="宋体" w:eastAsia="宋体" w:cs="宋体"/>
                <w:sz w:val="18"/>
                <w:szCs w:val="18"/>
              </w:rPr>
              <w:t>49,958.41</w:t>
            </w:r>
          </w:p>
        </w:tc>
        <w:tc>
          <w:tcPr>
            <w:tcW w:w="689" w:type="dxa"/>
            <w:tcBorders>
              <w:top w:val="single" w:color="auto" w:sz="2" w:space="0"/>
              <w:left w:val="single" w:color="auto" w:sz="2" w:space="0"/>
              <w:bottom w:val="single" w:color="auto" w:sz="2" w:space="0"/>
              <w:right w:val="single" w:color="auto" w:sz="2" w:space="0"/>
            </w:tcBorders>
            <w:vAlign w:val="center"/>
          </w:tcPr>
          <w:p w14:paraId="154615BB">
            <w:pPr>
              <w:spacing w:before="0" w:after="0" w:line="240" w:lineRule="exact"/>
              <w:jc w:val="right"/>
              <w:rPr>
                <w:rFonts w:ascii="宋体" w:hAnsi="宋体" w:eastAsia="宋体" w:cs="宋体"/>
                <w:sz w:val="18"/>
                <w:szCs w:val="18"/>
              </w:rPr>
            </w:pPr>
            <w:r>
              <w:rPr>
                <w:rFonts w:ascii="宋体" w:hAnsi="宋体" w:eastAsia="宋体" w:cs="宋体"/>
                <w:sz w:val="18"/>
                <w:szCs w:val="18"/>
              </w:rPr>
              <w:t>12,767.72</w:t>
            </w:r>
          </w:p>
        </w:tc>
        <w:tc>
          <w:tcPr>
            <w:tcW w:w="689" w:type="dxa"/>
            <w:tcBorders>
              <w:top w:val="single" w:color="auto" w:sz="2" w:space="0"/>
              <w:left w:val="single" w:color="auto" w:sz="2" w:space="0"/>
              <w:bottom w:val="single" w:color="auto" w:sz="2" w:space="0"/>
              <w:right w:val="single" w:color="auto" w:sz="2" w:space="0"/>
            </w:tcBorders>
            <w:vAlign w:val="center"/>
          </w:tcPr>
          <w:p w14:paraId="7995437B">
            <w:pPr>
              <w:spacing w:before="0" w:after="0" w:line="240" w:lineRule="exact"/>
              <w:jc w:val="right"/>
              <w:rPr>
                <w:rFonts w:ascii="宋体" w:hAnsi="宋体" w:eastAsia="宋体" w:cs="宋体"/>
                <w:sz w:val="18"/>
                <w:szCs w:val="18"/>
              </w:rPr>
            </w:pPr>
            <w:r>
              <w:rPr>
                <w:rFonts w:ascii="宋体" w:hAnsi="宋体" w:eastAsia="宋体" w:cs="宋体"/>
                <w:sz w:val="18"/>
                <w:szCs w:val="18"/>
              </w:rPr>
              <w:t>50,787.21</w:t>
            </w:r>
          </w:p>
        </w:tc>
        <w:tc>
          <w:tcPr>
            <w:tcW w:w="689" w:type="dxa"/>
            <w:tcBorders>
              <w:top w:val="single" w:color="auto" w:sz="2" w:space="0"/>
              <w:left w:val="single" w:color="auto" w:sz="2" w:space="0"/>
              <w:bottom w:val="single" w:color="auto" w:sz="2" w:space="0"/>
              <w:right w:val="single" w:color="auto" w:sz="2" w:space="0"/>
            </w:tcBorders>
            <w:vAlign w:val="center"/>
          </w:tcPr>
          <w:p w14:paraId="254B4DA8">
            <w:pPr>
              <w:spacing w:before="0" w:after="0" w:line="240" w:lineRule="exact"/>
              <w:jc w:val="right"/>
              <w:rPr>
                <w:rFonts w:ascii="宋体" w:hAnsi="宋体" w:eastAsia="宋体" w:cs="宋体"/>
                <w:sz w:val="18"/>
                <w:szCs w:val="18"/>
              </w:rPr>
            </w:pPr>
            <w:r>
              <w:rPr>
                <w:rFonts w:ascii="宋体" w:hAnsi="宋体" w:eastAsia="宋体" w:cs="宋体"/>
                <w:sz w:val="18"/>
                <w:szCs w:val="18"/>
              </w:rPr>
              <w:t>101.66%</w:t>
            </w:r>
          </w:p>
        </w:tc>
        <w:tc>
          <w:tcPr>
            <w:tcW w:w="689" w:type="dxa"/>
            <w:tcBorders>
              <w:top w:val="single" w:color="auto" w:sz="2" w:space="0"/>
              <w:left w:val="single" w:color="auto" w:sz="2" w:space="0"/>
              <w:bottom w:val="single" w:color="auto" w:sz="2" w:space="0"/>
              <w:right w:val="single" w:color="auto" w:sz="2" w:space="0"/>
            </w:tcBorders>
            <w:vAlign w:val="center"/>
          </w:tcPr>
          <w:p w14:paraId="2F824C93">
            <w:pPr>
              <w:spacing w:before="0" w:after="0" w:line="240" w:lineRule="exact"/>
              <w:jc w:val="right"/>
              <w:rPr>
                <w:rFonts w:ascii="宋体" w:hAnsi="宋体" w:eastAsia="宋体" w:cs="宋体"/>
                <w:sz w:val="18"/>
                <w:szCs w:val="18"/>
              </w:rPr>
            </w:pPr>
            <w:r>
              <w:rPr>
                <w:rFonts w:ascii="宋体" w:hAnsi="宋体" w:eastAsia="宋体" w:cs="宋体"/>
                <w:sz w:val="18"/>
                <w:szCs w:val="18"/>
              </w:rPr>
              <w:t>8,510.52</w:t>
            </w:r>
          </w:p>
        </w:tc>
        <w:tc>
          <w:tcPr>
            <w:tcW w:w="689" w:type="dxa"/>
            <w:tcBorders>
              <w:top w:val="single" w:color="auto" w:sz="2" w:space="0"/>
              <w:left w:val="single" w:color="auto" w:sz="2" w:space="0"/>
              <w:bottom w:val="single" w:color="auto" w:sz="2" w:space="0"/>
              <w:right w:val="single" w:color="auto" w:sz="2" w:space="0"/>
            </w:tcBorders>
            <w:vAlign w:val="center"/>
          </w:tcPr>
          <w:p w14:paraId="2D75A04F">
            <w:pPr>
              <w:spacing w:before="0" w:after="0" w:line="240" w:lineRule="exact"/>
              <w:jc w:val="right"/>
              <w:rPr>
                <w:rFonts w:ascii="宋体" w:hAnsi="宋体" w:eastAsia="宋体" w:cs="宋体"/>
                <w:sz w:val="18"/>
                <w:szCs w:val="18"/>
              </w:rPr>
            </w:pPr>
            <w:r>
              <w:rPr>
                <w:rFonts w:ascii="宋体" w:hAnsi="宋体" w:eastAsia="宋体" w:cs="宋体"/>
                <w:sz w:val="18"/>
                <w:szCs w:val="18"/>
              </w:rPr>
              <w:t>8,510.52</w:t>
            </w:r>
          </w:p>
        </w:tc>
        <w:tc>
          <w:tcPr>
            <w:tcW w:w="689" w:type="dxa"/>
            <w:tcBorders>
              <w:top w:val="single" w:color="auto" w:sz="2" w:space="0"/>
              <w:left w:val="single" w:color="auto" w:sz="2" w:space="0"/>
              <w:bottom w:val="single" w:color="auto" w:sz="2" w:space="0"/>
              <w:right w:val="single" w:color="auto" w:sz="2" w:space="0"/>
            </w:tcBorders>
            <w:vAlign w:val="center"/>
          </w:tcPr>
          <w:p w14:paraId="3D04D99D">
            <w:pPr>
              <w:spacing w:before="0" w:after="0" w:line="240" w:lineRule="exact"/>
              <w:jc w:val="right"/>
              <w:rPr>
                <w:rFonts w:ascii="宋体" w:hAnsi="宋体" w:eastAsia="宋体" w:cs="宋体"/>
                <w:sz w:val="18"/>
                <w:szCs w:val="18"/>
              </w:rPr>
            </w:pPr>
            <w:r>
              <w:rPr>
                <w:rFonts w:ascii="宋体" w:hAnsi="宋体" w:eastAsia="宋体" w:cs="宋体"/>
                <w:sz w:val="18"/>
                <w:szCs w:val="18"/>
              </w:rPr>
              <w:t>17.04%</w:t>
            </w:r>
          </w:p>
        </w:tc>
        <w:tc>
          <w:tcPr>
            <w:tcW w:w="689" w:type="dxa"/>
            <w:tcBorders>
              <w:top w:val="single" w:color="auto" w:sz="2" w:space="0"/>
              <w:left w:val="single" w:color="auto" w:sz="2" w:space="0"/>
              <w:bottom w:val="single" w:color="auto" w:sz="2" w:space="0"/>
              <w:right w:val="single" w:color="auto" w:sz="2" w:space="0"/>
            </w:tcBorders>
            <w:vAlign w:val="center"/>
          </w:tcPr>
          <w:p w14:paraId="5DD73B08">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689" w:type="dxa"/>
            <w:tcBorders>
              <w:top w:val="single" w:color="auto" w:sz="2" w:space="0"/>
              <w:left w:val="single" w:color="auto" w:sz="2" w:space="0"/>
              <w:bottom w:val="single" w:color="auto" w:sz="2" w:space="0"/>
              <w:right w:val="single" w:color="auto" w:sz="2" w:space="0"/>
            </w:tcBorders>
            <w:vAlign w:val="center"/>
          </w:tcPr>
          <w:p w14:paraId="05940B6B">
            <w:pPr>
              <w:spacing w:before="0" w:after="0" w:line="240" w:lineRule="exact"/>
              <w:jc w:val="left"/>
              <w:rPr>
                <w:rFonts w:ascii="宋体" w:hAnsi="宋体" w:eastAsia="宋体" w:cs="宋体"/>
                <w:sz w:val="18"/>
                <w:szCs w:val="18"/>
              </w:rPr>
            </w:pPr>
            <w:r>
              <w:rPr>
                <w:rFonts w:ascii="宋体" w:hAnsi="宋体" w:eastAsia="宋体" w:cs="宋体"/>
                <w:sz w:val="18"/>
                <w:szCs w:val="18"/>
              </w:rPr>
              <w:t>截止2024年12月31日，募集资金已全部使用完毕，募集资金专户已注销。</w:t>
            </w:r>
          </w:p>
        </w:tc>
        <w:tc>
          <w:tcPr>
            <w:tcW w:w="689" w:type="dxa"/>
            <w:tcBorders>
              <w:top w:val="single" w:color="auto" w:sz="2" w:space="0"/>
              <w:left w:val="single" w:color="auto" w:sz="2" w:space="0"/>
              <w:bottom w:val="single" w:color="auto" w:sz="2" w:space="0"/>
              <w:right w:val="single" w:color="auto" w:sz="2" w:space="0"/>
            </w:tcBorders>
            <w:vAlign w:val="center"/>
          </w:tcPr>
          <w:p w14:paraId="302DB786">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4DEC73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28E93FEB">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B6B7F92">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33C0FEFE">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89" w:type="dxa"/>
            <w:tcBorders>
              <w:top w:val="single" w:color="auto" w:sz="2" w:space="0"/>
              <w:left w:val="single" w:color="auto" w:sz="2" w:space="0"/>
              <w:bottom w:val="single" w:color="auto" w:sz="2" w:space="0"/>
              <w:right w:val="single" w:color="auto" w:sz="2" w:space="0"/>
            </w:tcBorders>
            <w:vAlign w:val="center"/>
          </w:tcPr>
          <w:p w14:paraId="4D9BCC8C">
            <w:pPr>
              <w:spacing w:before="0" w:after="0" w:line="240" w:lineRule="exact"/>
              <w:jc w:val="right"/>
              <w:rPr>
                <w:rFonts w:ascii="宋体" w:hAnsi="宋体" w:eastAsia="宋体" w:cs="宋体"/>
                <w:sz w:val="18"/>
                <w:szCs w:val="18"/>
              </w:rPr>
            </w:pPr>
            <w:r>
              <w:rPr>
                <w:rFonts w:ascii="宋体" w:hAnsi="宋体" w:eastAsia="宋体" w:cs="宋体"/>
                <w:sz w:val="18"/>
                <w:szCs w:val="18"/>
              </w:rPr>
              <w:t>51,448.98</w:t>
            </w:r>
          </w:p>
        </w:tc>
        <w:tc>
          <w:tcPr>
            <w:tcW w:w="689" w:type="dxa"/>
            <w:tcBorders>
              <w:top w:val="single" w:color="auto" w:sz="2" w:space="0"/>
              <w:left w:val="single" w:color="auto" w:sz="2" w:space="0"/>
              <w:bottom w:val="single" w:color="auto" w:sz="2" w:space="0"/>
              <w:right w:val="single" w:color="auto" w:sz="2" w:space="0"/>
            </w:tcBorders>
            <w:vAlign w:val="center"/>
          </w:tcPr>
          <w:p w14:paraId="0532011F">
            <w:pPr>
              <w:spacing w:before="0" w:after="0" w:line="240" w:lineRule="exact"/>
              <w:jc w:val="right"/>
              <w:rPr>
                <w:rFonts w:ascii="宋体" w:hAnsi="宋体" w:eastAsia="宋体" w:cs="宋体"/>
                <w:sz w:val="18"/>
                <w:szCs w:val="18"/>
              </w:rPr>
            </w:pPr>
            <w:r>
              <w:rPr>
                <w:rFonts w:ascii="宋体" w:hAnsi="宋体" w:eastAsia="宋体" w:cs="宋体"/>
                <w:sz w:val="18"/>
                <w:szCs w:val="18"/>
              </w:rPr>
              <w:t>49,958.41</w:t>
            </w:r>
          </w:p>
        </w:tc>
        <w:tc>
          <w:tcPr>
            <w:tcW w:w="689" w:type="dxa"/>
            <w:tcBorders>
              <w:top w:val="single" w:color="auto" w:sz="2" w:space="0"/>
              <w:left w:val="single" w:color="auto" w:sz="2" w:space="0"/>
              <w:bottom w:val="single" w:color="auto" w:sz="2" w:space="0"/>
              <w:right w:val="single" w:color="auto" w:sz="2" w:space="0"/>
            </w:tcBorders>
            <w:vAlign w:val="center"/>
          </w:tcPr>
          <w:p w14:paraId="1FBB120A">
            <w:pPr>
              <w:spacing w:before="0" w:after="0" w:line="240" w:lineRule="exact"/>
              <w:jc w:val="right"/>
              <w:rPr>
                <w:rFonts w:ascii="宋体" w:hAnsi="宋体" w:eastAsia="宋体" w:cs="宋体"/>
                <w:sz w:val="18"/>
                <w:szCs w:val="18"/>
              </w:rPr>
            </w:pPr>
            <w:r>
              <w:rPr>
                <w:rFonts w:ascii="宋体" w:hAnsi="宋体" w:eastAsia="宋体" w:cs="宋体"/>
                <w:sz w:val="18"/>
                <w:szCs w:val="18"/>
              </w:rPr>
              <w:t>12,767.72</w:t>
            </w:r>
          </w:p>
        </w:tc>
        <w:tc>
          <w:tcPr>
            <w:tcW w:w="689" w:type="dxa"/>
            <w:tcBorders>
              <w:top w:val="single" w:color="auto" w:sz="2" w:space="0"/>
              <w:left w:val="single" w:color="auto" w:sz="2" w:space="0"/>
              <w:bottom w:val="single" w:color="auto" w:sz="2" w:space="0"/>
              <w:right w:val="single" w:color="auto" w:sz="2" w:space="0"/>
            </w:tcBorders>
            <w:vAlign w:val="center"/>
          </w:tcPr>
          <w:p w14:paraId="2C587832">
            <w:pPr>
              <w:spacing w:before="0" w:after="0" w:line="240" w:lineRule="exact"/>
              <w:jc w:val="right"/>
              <w:rPr>
                <w:rFonts w:ascii="宋体" w:hAnsi="宋体" w:eastAsia="宋体" w:cs="宋体"/>
                <w:sz w:val="18"/>
                <w:szCs w:val="18"/>
              </w:rPr>
            </w:pPr>
            <w:r>
              <w:rPr>
                <w:rFonts w:ascii="宋体" w:hAnsi="宋体" w:eastAsia="宋体" w:cs="宋体"/>
                <w:sz w:val="18"/>
                <w:szCs w:val="18"/>
              </w:rPr>
              <w:t>50,787.21</w:t>
            </w:r>
          </w:p>
        </w:tc>
        <w:tc>
          <w:tcPr>
            <w:tcW w:w="689" w:type="dxa"/>
            <w:tcBorders>
              <w:top w:val="single" w:color="auto" w:sz="2" w:space="0"/>
              <w:left w:val="single" w:color="auto" w:sz="2" w:space="0"/>
              <w:bottom w:val="single" w:color="auto" w:sz="2" w:space="0"/>
              <w:right w:val="single" w:color="auto" w:sz="2" w:space="0"/>
            </w:tcBorders>
            <w:vAlign w:val="center"/>
          </w:tcPr>
          <w:p w14:paraId="69604719">
            <w:pPr>
              <w:spacing w:before="0" w:after="0" w:line="240" w:lineRule="exact"/>
              <w:jc w:val="right"/>
              <w:rPr>
                <w:rFonts w:ascii="宋体" w:hAnsi="宋体" w:eastAsia="宋体" w:cs="宋体"/>
                <w:sz w:val="18"/>
                <w:szCs w:val="18"/>
              </w:rPr>
            </w:pPr>
            <w:r>
              <w:rPr>
                <w:rFonts w:ascii="宋体" w:hAnsi="宋体" w:eastAsia="宋体" w:cs="宋体"/>
                <w:sz w:val="18"/>
                <w:szCs w:val="18"/>
              </w:rPr>
              <w:t>101.66%</w:t>
            </w:r>
          </w:p>
        </w:tc>
        <w:tc>
          <w:tcPr>
            <w:tcW w:w="689" w:type="dxa"/>
            <w:tcBorders>
              <w:top w:val="single" w:color="auto" w:sz="2" w:space="0"/>
              <w:left w:val="single" w:color="auto" w:sz="2" w:space="0"/>
              <w:bottom w:val="single" w:color="auto" w:sz="2" w:space="0"/>
              <w:right w:val="single" w:color="auto" w:sz="2" w:space="0"/>
            </w:tcBorders>
            <w:vAlign w:val="center"/>
          </w:tcPr>
          <w:p w14:paraId="4134ADB6">
            <w:pPr>
              <w:spacing w:before="0" w:after="0" w:line="240" w:lineRule="exact"/>
              <w:jc w:val="right"/>
              <w:rPr>
                <w:rFonts w:ascii="宋体" w:hAnsi="宋体" w:eastAsia="宋体" w:cs="宋体"/>
                <w:sz w:val="18"/>
                <w:szCs w:val="18"/>
              </w:rPr>
            </w:pPr>
            <w:r>
              <w:rPr>
                <w:rFonts w:ascii="宋体" w:hAnsi="宋体" w:eastAsia="宋体" w:cs="宋体"/>
                <w:sz w:val="18"/>
                <w:szCs w:val="18"/>
              </w:rPr>
              <w:t>8,510.52</w:t>
            </w:r>
          </w:p>
        </w:tc>
        <w:tc>
          <w:tcPr>
            <w:tcW w:w="689" w:type="dxa"/>
            <w:tcBorders>
              <w:top w:val="single" w:color="auto" w:sz="2" w:space="0"/>
              <w:left w:val="single" w:color="auto" w:sz="2" w:space="0"/>
              <w:bottom w:val="single" w:color="auto" w:sz="2" w:space="0"/>
              <w:right w:val="single" w:color="auto" w:sz="2" w:space="0"/>
            </w:tcBorders>
            <w:vAlign w:val="center"/>
          </w:tcPr>
          <w:p w14:paraId="5EDE837E">
            <w:pPr>
              <w:spacing w:before="0" w:after="0" w:line="240" w:lineRule="exact"/>
              <w:jc w:val="right"/>
              <w:rPr>
                <w:rFonts w:ascii="宋体" w:hAnsi="宋体" w:eastAsia="宋体" w:cs="宋体"/>
                <w:sz w:val="18"/>
                <w:szCs w:val="18"/>
              </w:rPr>
            </w:pPr>
            <w:r>
              <w:rPr>
                <w:rFonts w:ascii="宋体" w:hAnsi="宋体" w:eastAsia="宋体" w:cs="宋体"/>
                <w:sz w:val="18"/>
                <w:szCs w:val="18"/>
              </w:rPr>
              <w:t>8,510.52</w:t>
            </w:r>
          </w:p>
        </w:tc>
        <w:tc>
          <w:tcPr>
            <w:tcW w:w="689" w:type="dxa"/>
            <w:tcBorders>
              <w:top w:val="single" w:color="auto" w:sz="2" w:space="0"/>
              <w:left w:val="single" w:color="auto" w:sz="2" w:space="0"/>
              <w:bottom w:val="single" w:color="auto" w:sz="2" w:space="0"/>
              <w:right w:val="single" w:color="auto" w:sz="2" w:space="0"/>
            </w:tcBorders>
            <w:vAlign w:val="center"/>
          </w:tcPr>
          <w:p w14:paraId="3479F796">
            <w:pPr>
              <w:spacing w:before="0" w:after="0" w:line="240" w:lineRule="exact"/>
              <w:jc w:val="right"/>
              <w:rPr>
                <w:rFonts w:ascii="宋体" w:hAnsi="宋体" w:eastAsia="宋体" w:cs="宋体"/>
                <w:sz w:val="18"/>
                <w:szCs w:val="18"/>
              </w:rPr>
            </w:pPr>
            <w:r>
              <w:rPr>
                <w:rFonts w:ascii="宋体" w:hAnsi="宋体" w:eastAsia="宋体" w:cs="宋体"/>
                <w:sz w:val="18"/>
                <w:szCs w:val="18"/>
              </w:rPr>
              <w:t>17.04%</w:t>
            </w:r>
          </w:p>
        </w:tc>
        <w:tc>
          <w:tcPr>
            <w:tcW w:w="689" w:type="dxa"/>
            <w:tcBorders>
              <w:top w:val="single" w:color="auto" w:sz="2" w:space="0"/>
              <w:left w:val="single" w:color="auto" w:sz="2" w:space="0"/>
              <w:bottom w:val="single" w:color="auto" w:sz="2" w:space="0"/>
              <w:right w:val="single" w:color="auto" w:sz="2" w:space="0"/>
            </w:tcBorders>
            <w:vAlign w:val="center"/>
          </w:tcPr>
          <w:p w14:paraId="44B918A5">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1AAA7C5C">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89" w:type="dxa"/>
            <w:tcBorders>
              <w:top w:val="single" w:color="auto" w:sz="2" w:space="0"/>
              <w:left w:val="single" w:color="auto" w:sz="2" w:space="0"/>
              <w:bottom w:val="single" w:color="auto" w:sz="2" w:space="0"/>
              <w:right w:val="single" w:color="auto" w:sz="2" w:space="0"/>
            </w:tcBorders>
            <w:vAlign w:val="center"/>
          </w:tcPr>
          <w:p w14:paraId="7581F881">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3C93C5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4"/>
            <w:tcBorders>
              <w:top w:val="single" w:color="auto" w:sz="2" w:space="0"/>
              <w:left w:val="single" w:color="auto" w:sz="2" w:space="0"/>
              <w:bottom w:val="single" w:color="auto" w:sz="2" w:space="0"/>
              <w:right w:val="single" w:color="auto" w:sz="2" w:space="0"/>
            </w:tcBorders>
            <w:shd w:val="clear" w:color="auto" w:fill="D3D3D3"/>
            <w:vAlign w:val="center"/>
          </w:tcPr>
          <w:p w14:paraId="44CDB0A2">
            <w:pPr>
              <w:spacing w:before="40" w:after="40" w:line="240" w:lineRule="exact"/>
              <w:jc w:val="center"/>
              <w:rPr>
                <w:rFonts w:ascii="宋体" w:hAnsi="宋体" w:eastAsia="宋体" w:cs="宋体"/>
                <w:sz w:val="18"/>
                <w:szCs w:val="18"/>
              </w:rPr>
            </w:pPr>
            <w:r>
              <w:rPr>
                <w:rFonts w:ascii="宋体" w:hAnsi="宋体" w:eastAsia="宋体" w:cs="宋体"/>
                <w:sz w:val="18"/>
                <w:szCs w:val="18"/>
              </w:rPr>
              <w:t>募集资金总体使用情况说明</w:t>
            </w:r>
          </w:p>
        </w:tc>
      </w:tr>
      <w:tr w14:paraId="1BDA04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4"/>
            <w:tcBorders>
              <w:top w:val="single" w:color="auto" w:sz="2" w:space="0"/>
              <w:left w:val="single" w:color="auto" w:sz="2" w:space="0"/>
              <w:bottom w:val="single" w:color="auto" w:sz="2" w:space="0"/>
              <w:right w:val="single" w:color="auto" w:sz="2" w:space="0"/>
            </w:tcBorders>
            <w:vAlign w:val="center"/>
          </w:tcPr>
          <w:p w14:paraId="6BB310B1">
            <w:pPr>
              <w:spacing w:before="0" w:after="0" w:line="240" w:lineRule="exact"/>
              <w:jc w:val="left"/>
              <w:rPr>
                <w:rFonts w:ascii="宋体" w:hAnsi="宋体" w:eastAsia="宋体" w:cs="宋体"/>
                <w:sz w:val="18"/>
                <w:szCs w:val="18"/>
              </w:rPr>
            </w:pPr>
            <w:r>
              <w:rPr>
                <w:rFonts w:ascii="宋体" w:hAnsi="宋体" w:eastAsia="宋体" w:cs="宋体"/>
                <w:sz w:val="18"/>
                <w:szCs w:val="18"/>
              </w:rPr>
              <w:t>经中国证券监督管理委员会证监许可[2020]2748号核准，并经深圳证券交易所同意， 本公司由主承销商中信证券股份有限公司于2021年6月向特定对象发行普通股（A 股）股票1,877.70万股，每股面值1元，每股发行价人民币27.40元。截至2021年6月21日止，本公司共募集资金514,489,800.00元，扣除发行费用（不含税）14,905,660.38元，募集资金净额499,584,139.62元。</w:t>
            </w:r>
          </w:p>
          <w:p w14:paraId="222A0A75">
            <w:pPr>
              <w:spacing w:before="0" w:after="0" w:line="240" w:lineRule="exact"/>
              <w:jc w:val="left"/>
              <w:rPr>
                <w:rFonts w:ascii="宋体" w:hAnsi="宋体" w:eastAsia="宋体" w:cs="宋体"/>
                <w:sz w:val="18"/>
                <w:szCs w:val="18"/>
              </w:rPr>
            </w:pPr>
            <w:r>
              <w:rPr>
                <w:rFonts w:ascii="宋体" w:hAnsi="宋体" w:eastAsia="宋体" w:cs="宋体"/>
                <w:sz w:val="18"/>
                <w:szCs w:val="18"/>
              </w:rPr>
              <w:t>截止2021年6月21日，上述募集资金已全部到位，业经大华会计师事务所（特殊普通合伙）以“大华验字[2021]000437号”验资报告验证确认。</w:t>
            </w:r>
          </w:p>
          <w:p w14:paraId="5A89FEE8">
            <w:pPr>
              <w:spacing w:before="0" w:after="0" w:line="240" w:lineRule="exact"/>
              <w:jc w:val="left"/>
              <w:rPr>
                <w:rFonts w:ascii="宋体" w:hAnsi="宋体" w:eastAsia="宋体" w:cs="宋体"/>
                <w:sz w:val="18"/>
                <w:szCs w:val="18"/>
              </w:rPr>
            </w:pPr>
            <w:r>
              <w:rPr>
                <w:rFonts w:ascii="宋体" w:hAnsi="宋体" w:eastAsia="宋体" w:cs="宋体"/>
                <w:sz w:val="18"/>
                <w:szCs w:val="18"/>
              </w:rPr>
              <w:t>截止2024年12月31日，公司对募集资金项目累计投入507,872,135.96元，其中：公司于募集资金到位之前利用自有资金先期投入募集资金项目人民币53,166,737.48元。2021年6月21日至2023年12月31日止使用募集资金人民币380,194,892.72元；本年度使用募集资金人民币127,677,243.24元；截止2024年12月31日，募集资金已全部使用完毕，募集资金专户已注销。</w:t>
            </w:r>
          </w:p>
        </w:tc>
      </w:tr>
    </w:tbl>
    <w:p w14:paraId="316B6F62">
      <w:pPr>
        <w:keepNext/>
        <w:keepLines/>
        <w:spacing w:before="300" w:after="300" w:line="280" w:lineRule="exact"/>
        <w:jc w:val="left"/>
        <w:outlineLvl w:val="3"/>
        <w:rPr>
          <w:rFonts w:ascii="宋体" w:hAnsi="宋体" w:eastAsia="宋体" w:cs="宋体"/>
          <w:b/>
          <w:bCs/>
          <w:sz w:val="18"/>
          <w:szCs w:val="18"/>
        </w:rPr>
      </w:pPr>
      <w:bookmarkStart w:id="46" w:name="_Toc988933"/>
      <w:r>
        <w:rPr>
          <w:rFonts w:ascii="宋体" w:hAnsi="宋体" w:eastAsia="宋体" w:cs="宋体"/>
          <w:b/>
          <w:bCs/>
          <w:sz w:val="18"/>
          <w:szCs w:val="18"/>
        </w:rPr>
        <w:t>（2） 募集资金承诺项目情况</w:t>
      </w:r>
      <w:bookmarkEnd w:id="46"/>
    </w:p>
    <w:p w14:paraId="18534FA9">
      <w:pPr>
        <w:spacing w:before="40" w:after="4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6C6C800F">
      <w:pPr>
        <w:spacing w:before="120" w:after="120" w:line="240" w:lineRule="exact"/>
        <w:jc w:val="right"/>
        <w:rPr>
          <w:rFonts w:ascii="宋体" w:hAnsi="宋体" w:eastAsia="宋体" w:cs="宋体"/>
          <w:sz w:val="18"/>
          <w:szCs w:val="18"/>
        </w:rPr>
      </w:pPr>
      <w:r>
        <w:rPr>
          <w:rFonts w:ascii="宋体" w:hAnsi="宋体" w:eastAsia="宋体" w:cs="宋体"/>
          <w:sz w:val="18"/>
          <w:szCs w:val="18"/>
        </w:rPr>
        <w:t>单位：万元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43"/>
        <w:gridCol w:w="643"/>
        <w:gridCol w:w="643"/>
        <w:gridCol w:w="643"/>
        <w:gridCol w:w="643"/>
        <w:gridCol w:w="643"/>
        <w:gridCol w:w="643"/>
        <w:gridCol w:w="643"/>
        <w:gridCol w:w="643"/>
        <w:gridCol w:w="643"/>
        <w:gridCol w:w="643"/>
        <w:gridCol w:w="643"/>
        <w:gridCol w:w="643"/>
        <w:gridCol w:w="643"/>
        <w:gridCol w:w="643"/>
      </w:tblGrid>
      <w:tr w14:paraId="5CE2DD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2B6655E6">
            <w:pPr>
              <w:spacing w:before="40" w:after="40" w:line="240" w:lineRule="exact"/>
              <w:jc w:val="center"/>
              <w:rPr>
                <w:rFonts w:ascii="宋体" w:hAnsi="宋体" w:eastAsia="宋体" w:cs="宋体"/>
                <w:sz w:val="18"/>
                <w:szCs w:val="18"/>
              </w:rPr>
            </w:pPr>
            <w:r>
              <w:rPr>
                <w:rFonts w:ascii="宋体" w:hAnsi="宋体" w:eastAsia="宋体" w:cs="宋体"/>
                <w:sz w:val="18"/>
                <w:szCs w:val="18"/>
              </w:rPr>
              <w:t>融资项目名称</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29448730">
            <w:pPr>
              <w:spacing w:before="40" w:after="40" w:line="240" w:lineRule="exact"/>
              <w:jc w:val="center"/>
              <w:rPr>
                <w:rFonts w:ascii="宋体" w:hAnsi="宋体" w:eastAsia="宋体" w:cs="宋体"/>
                <w:sz w:val="18"/>
                <w:szCs w:val="18"/>
              </w:rPr>
            </w:pPr>
            <w:r>
              <w:rPr>
                <w:rFonts w:ascii="宋体" w:hAnsi="宋体" w:eastAsia="宋体" w:cs="宋体"/>
                <w:sz w:val="18"/>
                <w:szCs w:val="18"/>
              </w:rPr>
              <w:t>证券上市日期</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1D8C6201">
            <w:pPr>
              <w:spacing w:before="40" w:after="40" w:line="240" w:lineRule="exact"/>
              <w:jc w:val="center"/>
              <w:rPr>
                <w:rFonts w:ascii="宋体" w:hAnsi="宋体" w:eastAsia="宋体" w:cs="宋体"/>
                <w:sz w:val="18"/>
                <w:szCs w:val="18"/>
              </w:rPr>
            </w:pPr>
            <w:r>
              <w:rPr>
                <w:rFonts w:ascii="宋体" w:hAnsi="宋体" w:eastAsia="宋体" w:cs="宋体"/>
                <w:sz w:val="18"/>
                <w:szCs w:val="18"/>
              </w:rPr>
              <w:t>承诺投资项目和超募资金投向</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2BF609F7">
            <w:pPr>
              <w:spacing w:before="40" w:after="40" w:line="240" w:lineRule="exact"/>
              <w:jc w:val="center"/>
              <w:rPr>
                <w:rFonts w:ascii="宋体" w:hAnsi="宋体" w:eastAsia="宋体" w:cs="宋体"/>
                <w:sz w:val="18"/>
                <w:szCs w:val="18"/>
              </w:rPr>
            </w:pPr>
            <w:r>
              <w:rPr>
                <w:rFonts w:ascii="宋体" w:hAnsi="宋体" w:eastAsia="宋体" w:cs="宋体"/>
                <w:sz w:val="18"/>
                <w:szCs w:val="18"/>
              </w:rPr>
              <w:t>项目性质</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62E73A8E">
            <w:pPr>
              <w:spacing w:before="40" w:after="40" w:line="240" w:lineRule="exact"/>
              <w:jc w:val="center"/>
              <w:rPr>
                <w:rFonts w:ascii="宋体" w:hAnsi="宋体" w:eastAsia="宋体" w:cs="宋体"/>
                <w:sz w:val="18"/>
                <w:szCs w:val="18"/>
              </w:rPr>
            </w:pPr>
            <w:r>
              <w:rPr>
                <w:rFonts w:ascii="宋体" w:hAnsi="宋体" w:eastAsia="宋体" w:cs="宋体"/>
                <w:sz w:val="18"/>
                <w:szCs w:val="18"/>
              </w:rPr>
              <w:t>是否已变更项目(含部分变更)</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2CC2FB52">
            <w:pPr>
              <w:spacing w:before="40" w:after="40" w:line="240" w:lineRule="exact"/>
              <w:jc w:val="center"/>
              <w:rPr>
                <w:rFonts w:ascii="宋体" w:hAnsi="宋体" w:eastAsia="宋体" w:cs="宋体"/>
                <w:sz w:val="18"/>
                <w:szCs w:val="18"/>
              </w:rPr>
            </w:pPr>
            <w:r>
              <w:rPr>
                <w:rFonts w:ascii="宋体" w:hAnsi="宋体" w:eastAsia="宋体" w:cs="宋体"/>
                <w:sz w:val="18"/>
                <w:szCs w:val="18"/>
              </w:rPr>
              <w:t>募集资金承诺投资总额</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3F9179C2">
            <w:pPr>
              <w:spacing w:before="40" w:after="40" w:line="240" w:lineRule="exact"/>
              <w:jc w:val="center"/>
              <w:rPr>
                <w:rFonts w:ascii="宋体" w:hAnsi="宋体" w:eastAsia="宋体" w:cs="宋体"/>
                <w:sz w:val="18"/>
                <w:szCs w:val="18"/>
              </w:rPr>
            </w:pPr>
            <w:r>
              <w:rPr>
                <w:rFonts w:ascii="宋体" w:hAnsi="宋体" w:eastAsia="宋体" w:cs="宋体"/>
                <w:sz w:val="18"/>
                <w:szCs w:val="18"/>
              </w:rPr>
              <w:t>调整后投资总额(1)</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27030BAA">
            <w:pPr>
              <w:spacing w:before="40" w:after="40" w:line="240" w:lineRule="exact"/>
              <w:jc w:val="center"/>
              <w:rPr>
                <w:rFonts w:ascii="宋体" w:hAnsi="宋体" w:eastAsia="宋体" w:cs="宋体"/>
                <w:sz w:val="18"/>
                <w:szCs w:val="18"/>
              </w:rPr>
            </w:pPr>
            <w:r>
              <w:rPr>
                <w:rFonts w:ascii="宋体" w:hAnsi="宋体" w:eastAsia="宋体" w:cs="宋体"/>
                <w:sz w:val="18"/>
                <w:szCs w:val="18"/>
              </w:rPr>
              <w:t>本报告期投入金额</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740090C0">
            <w:pPr>
              <w:spacing w:before="40" w:after="40" w:line="240" w:lineRule="exact"/>
              <w:jc w:val="center"/>
              <w:rPr>
                <w:rFonts w:ascii="宋体" w:hAnsi="宋体" w:eastAsia="宋体" w:cs="宋体"/>
                <w:sz w:val="18"/>
                <w:szCs w:val="18"/>
              </w:rPr>
            </w:pPr>
            <w:r>
              <w:rPr>
                <w:rFonts w:ascii="宋体" w:hAnsi="宋体" w:eastAsia="宋体" w:cs="宋体"/>
                <w:sz w:val="18"/>
                <w:szCs w:val="18"/>
              </w:rPr>
              <w:t>截至期末累计投入金额(2)</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1D012821">
            <w:pPr>
              <w:spacing w:before="40" w:after="40" w:line="240" w:lineRule="exact"/>
              <w:jc w:val="center"/>
              <w:rPr>
                <w:rFonts w:ascii="宋体" w:hAnsi="宋体" w:eastAsia="宋体" w:cs="宋体"/>
                <w:sz w:val="18"/>
                <w:szCs w:val="18"/>
              </w:rPr>
            </w:pPr>
            <w:r>
              <w:rPr>
                <w:rFonts w:ascii="宋体" w:hAnsi="宋体" w:eastAsia="宋体" w:cs="宋体"/>
                <w:sz w:val="18"/>
                <w:szCs w:val="18"/>
              </w:rPr>
              <w:t>截至期末投资进度(3)＝(2)/(1)</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229F7327">
            <w:pPr>
              <w:spacing w:before="40" w:after="40" w:line="240" w:lineRule="exact"/>
              <w:jc w:val="center"/>
              <w:rPr>
                <w:rFonts w:ascii="宋体" w:hAnsi="宋体" w:eastAsia="宋体" w:cs="宋体"/>
                <w:sz w:val="18"/>
                <w:szCs w:val="18"/>
              </w:rPr>
            </w:pPr>
            <w:r>
              <w:rPr>
                <w:rFonts w:ascii="宋体" w:hAnsi="宋体" w:eastAsia="宋体" w:cs="宋体"/>
                <w:sz w:val="18"/>
                <w:szCs w:val="18"/>
              </w:rPr>
              <w:t>项目达到预定可使用状态日期</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18E252C4">
            <w:pPr>
              <w:spacing w:before="40" w:after="40" w:line="240" w:lineRule="exact"/>
              <w:jc w:val="center"/>
              <w:rPr>
                <w:rFonts w:ascii="宋体" w:hAnsi="宋体" w:eastAsia="宋体" w:cs="宋体"/>
                <w:sz w:val="18"/>
                <w:szCs w:val="18"/>
              </w:rPr>
            </w:pPr>
            <w:r>
              <w:rPr>
                <w:rFonts w:ascii="宋体" w:hAnsi="宋体" w:eastAsia="宋体" w:cs="宋体"/>
                <w:sz w:val="18"/>
                <w:szCs w:val="18"/>
              </w:rPr>
              <w:t>本报告期实现的效益</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45097766">
            <w:pPr>
              <w:spacing w:before="40" w:after="40" w:line="240" w:lineRule="exact"/>
              <w:jc w:val="center"/>
              <w:rPr>
                <w:rFonts w:ascii="宋体" w:hAnsi="宋体" w:eastAsia="宋体" w:cs="宋体"/>
                <w:sz w:val="18"/>
                <w:szCs w:val="18"/>
              </w:rPr>
            </w:pPr>
            <w:r>
              <w:rPr>
                <w:rFonts w:ascii="宋体" w:hAnsi="宋体" w:eastAsia="宋体" w:cs="宋体"/>
                <w:sz w:val="18"/>
                <w:szCs w:val="18"/>
              </w:rPr>
              <w:t>截止报告期末累计实现的效益</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0492EE8C">
            <w:pPr>
              <w:spacing w:before="40" w:after="40" w:line="240" w:lineRule="exact"/>
              <w:jc w:val="center"/>
              <w:rPr>
                <w:rFonts w:ascii="宋体" w:hAnsi="宋体" w:eastAsia="宋体" w:cs="宋体"/>
                <w:sz w:val="18"/>
                <w:szCs w:val="18"/>
              </w:rPr>
            </w:pPr>
            <w:r>
              <w:rPr>
                <w:rFonts w:ascii="宋体" w:hAnsi="宋体" w:eastAsia="宋体" w:cs="宋体"/>
                <w:sz w:val="18"/>
                <w:szCs w:val="18"/>
              </w:rPr>
              <w:t>是否达到预计效益</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3E6F843F">
            <w:pPr>
              <w:spacing w:before="40" w:after="40" w:line="240" w:lineRule="exact"/>
              <w:jc w:val="center"/>
              <w:rPr>
                <w:rFonts w:ascii="宋体" w:hAnsi="宋体" w:eastAsia="宋体" w:cs="宋体"/>
                <w:sz w:val="18"/>
                <w:szCs w:val="18"/>
              </w:rPr>
            </w:pPr>
            <w:r>
              <w:rPr>
                <w:rFonts w:ascii="宋体" w:hAnsi="宋体" w:eastAsia="宋体" w:cs="宋体"/>
                <w:sz w:val="18"/>
                <w:szCs w:val="18"/>
              </w:rPr>
              <w:t>项目可行性是否发生重大变化</w:t>
            </w:r>
          </w:p>
        </w:tc>
      </w:tr>
      <w:tr w14:paraId="1BA9D6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5"/>
            <w:tcBorders>
              <w:top w:val="single" w:color="auto" w:sz="2" w:space="0"/>
              <w:left w:val="single" w:color="auto" w:sz="2" w:space="0"/>
              <w:bottom w:val="single" w:color="auto" w:sz="2" w:space="0"/>
              <w:right w:val="single" w:color="auto" w:sz="2" w:space="0"/>
            </w:tcBorders>
            <w:shd w:val="clear" w:color="auto" w:fill="D3D3D3"/>
            <w:vAlign w:val="center"/>
          </w:tcPr>
          <w:p w14:paraId="6A3F3CC1">
            <w:pPr>
              <w:spacing w:before="40" w:after="40" w:line="240" w:lineRule="exact"/>
              <w:jc w:val="left"/>
              <w:rPr>
                <w:rFonts w:ascii="宋体" w:hAnsi="宋体" w:eastAsia="宋体" w:cs="宋体"/>
                <w:sz w:val="18"/>
                <w:szCs w:val="18"/>
              </w:rPr>
            </w:pPr>
            <w:r>
              <w:rPr>
                <w:rFonts w:ascii="宋体" w:hAnsi="宋体" w:eastAsia="宋体" w:cs="宋体"/>
                <w:sz w:val="18"/>
                <w:szCs w:val="18"/>
              </w:rPr>
              <w:t>承诺投资项目</w:t>
            </w:r>
          </w:p>
        </w:tc>
      </w:tr>
      <w:tr w14:paraId="27A377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3" w:type="dxa"/>
            <w:tcBorders>
              <w:top w:val="single" w:color="auto" w:sz="2" w:space="0"/>
              <w:left w:val="single" w:color="auto" w:sz="2" w:space="0"/>
              <w:bottom w:val="single" w:color="auto" w:sz="2" w:space="0"/>
              <w:right w:val="single" w:color="auto" w:sz="2" w:space="0"/>
            </w:tcBorders>
            <w:vAlign w:val="center"/>
          </w:tcPr>
          <w:p w14:paraId="5D84CD31">
            <w:pPr>
              <w:spacing w:before="0" w:after="0" w:line="240" w:lineRule="exact"/>
              <w:jc w:val="left"/>
              <w:rPr>
                <w:rFonts w:ascii="宋体" w:hAnsi="宋体" w:eastAsia="宋体" w:cs="宋体"/>
                <w:sz w:val="18"/>
                <w:szCs w:val="18"/>
              </w:rPr>
            </w:pPr>
            <w:r>
              <w:rPr>
                <w:rFonts w:ascii="宋体" w:hAnsi="宋体" w:eastAsia="宋体" w:cs="宋体"/>
                <w:sz w:val="18"/>
                <w:szCs w:val="18"/>
              </w:rPr>
              <w:t>1. 原料药制剂一体化生产基地建设项目</w:t>
            </w:r>
          </w:p>
        </w:tc>
        <w:tc>
          <w:tcPr>
            <w:tcW w:w="643" w:type="dxa"/>
            <w:tcBorders>
              <w:top w:val="single" w:color="auto" w:sz="2" w:space="0"/>
              <w:left w:val="single" w:color="auto" w:sz="2" w:space="0"/>
              <w:bottom w:val="single" w:color="auto" w:sz="2" w:space="0"/>
              <w:right w:val="single" w:color="auto" w:sz="2" w:space="0"/>
            </w:tcBorders>
            <w:vAlign w:val="center"/>
          </w:tcPr>
          <w:p w14:paraId="6E0A7160">
            <w:pPr>
              <w:spacing w:before="0" w:after="0" w:line="240" w:lineRule="exact"/>
              <w:jc w:val="left"/>
              <w:rPr>
                <w:rFonts w:ascii="宋体" w:hAnsi="宋体" w:eastAsia="宋体" w:cs="宋体"/>
                <w:sz w:val="18"/>
                <w:szCs w:val="18"/>
              </w:rPr>
            </w:pPr>
            <w:r>
              <w:rPr>
                <w:rFonts w:ascii="宋体" w:hAnsi="宋体" w:eastAsia="宋体" w:cs="宋体"/>
                <w:sz w:val="18"/>
                <w:szCs w:val="18"/>
              </w:rPr>
              <w:t>2021年07月09日</w:t>
            </w:r>
          </w:p>
        </w:tc>
        <w:tc>
          <w:tcPr>
            <w:tcW w:w="643" w:type="dxa"/>
            <w:tcBorders>
              <w:top w:val="single" w:color="auto" w:sz="2" w:space="0"/>
              <w:left w:val="single" w:color="auto" w:sz="2" w:space="0"/>
              <w:bottom w:val="single" w:color="auto" w:sz="2" w:space="0"/>
              <w:right w:val="single" w:color="auto" w:sz="2" w:space="0"/>
            </w:tcBorders>
            <w:vAlign w:val="center"/>
          </w:tcPr>
          <w:p w14:paraId="6542A4A6">
            <w:pPr>
              <w:spacing w:before="0" w:after="0" w:line="240" w:lineRule="exact"/>
              <w:jc w:val="left"/>
              <w:rPr>
                <w:rFonts w:ascii="宋体" w:hAnsi="宋体" w:eastAsia="宋体" w:cs="宋体"/>
                <w:sz w:val="18"/>
                <w:szCs w:val="18"/>
              </w:rPr>
            </w:pPr>
            <w:r>
              <w:rPr>
                <w:rFonts w:ascii="宋体" w:hAnsi="宋体" w:eastAsia="宋体" w:cs="宋体"/>
                <w:sz w:val="18"/>
                <w:szCs w:val="18"/>
              </w:rPr>
              <w:t>1. 原料药制剂一体化生产基地建设项目</w:t>
            </w:r>
          </w:p>
        </w:tc>
        <w:tc>
          <w:tcPr>
            <w:tcW w:w="643" w:type="dxa"/>
            <w:tcBorders>
              <w:top w:val="single" w:color="auto" w:sz="2" w:space="0"/>
              <w:left w:val="single" w:color="auto" w:sz="2" w:space="0"/>
              <w:bottom w:val="single" w:color="auto" w:sz="2" w:space="0"/>
              <w:right w:val="single" w:color="auto" w:sz="2" w:space="0"/>
            </w:tcBorders>
            <w:vAlign w:val="center"/>
          </w:tcPr>
          <w:p w14:paraId="22064D99">
            <w:pPr>
              <w:spacing w:before="0" w:after="0" w:line="240" w:lineRule="exact"/>
              <w:jc w:val="left"/>
              <w:rPr>
                <w:rFonts w:ascii="宋体" w:hAnsi="宋体" w:eastAsia="宋体" w:cs="宋体"/>
                <w:sz w:val="18"/>
                <w:szCs w:val="18"/>
              </w:rPr>
            </w:pPr>
            <w:r>
              <w:rPr>
                <w:rFonts w:ascii="宋体" w:hAnsi="宋体" w:eastAsia="宋体" w:cs="宋体"/>
                <w:sz w:val="18"/>
                <w:szCs w:val="18"/>
              </w:rPr>
              <w:t>生产建设</w:t>
            </w:r>
          </w:p>
        </w:tc>
        <w:tc>
          <w:tcPr>
            <w:tcW w:w="643" w:type="dxa"/>
            <w:tcBorders>
              <w:top w:val="single" w:color="auto" w:sz="2" w:space="0"/>
              <w:left w:val="single" w:color="auto" w:sz="2" w:space="0"/>
              <w:bottom w:val="single" w:color="auto" w:sz="2" w:space="0"/>
              <w:right w:val="single" w:color="auto" w:sz="2" w:space="0"/>
            </w:tcBorders>
            <w:vAlign w:val="center"/>
          </w:tcPr>
          <w:p w14:paraId="4F17810F">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643" w:type="dxa"/>
            <w:tcBorders>
              <w:top w:val="single" w:color="auto" w:sz="2" w:space="0"/>
              <w:left w:val="single" w:color="auto" w:sz="2" w:space="0"/>
              <w:bottom w:val="single" w:color="auto" w:sz="2" w:space="0"/>
              <w:right w:val="single" w:color="auto" w:sz="2" w:space="0"/>
            </w:tcBorders>
            <w:vAlign w:val="center"/>
          </w:tcPr>
          <w:p w14:paraId="7447C198">
            <w:pPr>
              <w:spacing w:before="0" w:after="0" w:line="240" w:lineRule="exact"/>
              <w:jc w:val="right"/>
              <w:rPr>
                <w:rFonts w:ascii="宋体" w:hAnsi="宋体" w:eastAsia="宋体" w:cs="宋体"/>
                <w:sz w:val="18"/>
                <w:szCs w:val="18"/>
              </w:rPr>
            </w:pPr>
            <w:r>
              <w:rPr>
                <w:rFonts w:ascii="宋体" w:hAnsi="宋体" w:eastAsia="宋体" w:cs="宋体"/>
                <w:sz w:val="18"/>
                <w:szCs w:val="18"/>
              </w:rPr>
              <w:t>26,500</w:t>
            </w:r>
          </w:p>
        </w:tc>
        <w:tc>
          <w:tcPr>
            <w:tcW w:w="643" w:type="dxa"/>
            <w:tcBorders>
              <w:top w:val="single" w:color="auto" w:sz="2" w:space="0"/>
              <w:left w:val="single" w:color="auto" w:sz="2" w:space="0"/>
              <w:bottom w:val="single" w:color="auto" w:sz="2" w:space="0"/>
              <w:right w:val="single" w:color="auto" w:sz="2" w:space="0"/>
            </w:tcBorders>
            <w:vAlign w:val="center"/>
          </w:tcPr>
          <w:p w14:paraId="4868E2D3">
            <w:pPr>
              <w:spacing w:before="0" w:after="0" w:line="240" w:lineRule="exact"/>
              <w:jc w:val="right"/>
              <w:rPr>
                <w:rFonts w:ascii="宋体" w:hAnsi="宋体" w:eastAsia="宋体" w:cs="宋体"/>
                <w:sz w:val="18"/>
                <w:szCs w:val="18"/>
              </w:rPr>
            </w:pPr>
            <w:r>
              <w:rPr>
                <w:rFonts w:ascii="宋体" w:hAnsi="宋体" w:eastAsia="宋体" w:cs="宋体"/>
                <w:sz w:val="18"/>
                <w:szCs w:val="18"/>
              </w:rPr>
              <w:t>24,070.87</w:t>
            </w:r>
          </w:p>
        </w:tc>
        <w:tc>
          <w:tcPr>
            <w:tcW w:w="643" w:type="dxa"/>
            <w:tcBorders>
              <w:top w:val="single" w:color="auto" w:sz="2" w:space="0"/>
              <w:left w:val="single" w:color="auto" w:sz="2" w:space="0"/>
              <w:bottom w:val="single" w:color="auto" w:sz="2" w:space="0"/>
              <w:right w:val="single" w:color="auto" w:sz="2" w:space="0"/>
            </w:tcBorders>
            <w:vAlign w:val="center"/>
          </w:tcPr>
          <w:p w14:paraId="4845079E">
            <w:pPr>
              <w:spacing w:before="0" w:after="0" w:line="240" w:lineRule="exact"/>
              <w:jc w:val="right"/>
              <w:rPr>
                <w:rFonts w:ascii="宋体" w:hAnsi="宋体" w:eastAsia="宋体" w:cs="宋体"/>
                <w:sz w:val="18"/>
                <w:szCs w:val="18"/>
              </w:rPr>
            </w:pPr>
            <w:r>
              <w:rPr>
                <w:rFonts w:ascii="宋体" w:hAnsi="宋体" w:eastAsia="宋体" w:cs="宋体"/>
                <w:sz w:val="18"/>
                <w:szCs w:val="18"/>
              </w:rPr>
              <w:t>455.46</w:t>
            </w:r>
          </w:p>
        </w:tc>
        <w:tc>
          <w:tcPr>
            <w:tcW w:w="643" w:type="dxa"/>
            <w:tcBorders>
              <w:top w:val="single" w:color="auto" w:sz="2" w:space="0"/>
              <w:left w:val="single" w:color="auto" w:sz="2" w:space="0"/>
              <w:bottom w:val="single" w:color="auto" w:sz="2" w:space="0"/>
              <w:right w:val="single" w:color="auto" w:sz="2" w:space="0"/>
            </w:tcBorders>
            <w:vAlign w:val="center"/>
          </w:tcPr>
          <w:p w14:paraId="1C23B2C6">
            <w:pPr>
              <w:spacing w:before="0" w:after="0" w:line="240" w:lineRule="exact"/>
              <w:jc w:val="right"/>
              <w:rPr>
                <w:rFonts w:ascii="宋体" w:hAnsi="宋体" w:eastAsia="宋体" w:cs="宋体"/>
                <w:sz w:val="18"/>
                <w:szCs w:val="18"/>
              </w:rPr>
            </w:pPr>
            <w:r>
              <w:rPr>
                <w:rFonts w:ascii="宋体" w:hAnsi="宋体" w:eastAsia="宋体" w:cs="宋体"/>
                <w:sz w:val="18"/>
                <w:szCs w:val="18"/>
              </w:rPr>
              <w:t>21,097.93</w:t>
            </w:r>
          </w:p>
        </w:tc>
        <w:tc>
          <w:tcPr>
            <w:tcW w:w="643" w:type="dxa"/>
            <w:tcBorders>
              <w:top w:val="single" w:color="auto" w:sz="2" w:space="0"/>
              <w:left w:val="single" w:color="auto" w:sz="2" w:space="0"/>
              <w:bottom w:val="single" w:color="auto" w:sz="2" w:space="0"/>
              <w:right w:val="single" w:color="auto" w:sz="2" w:space="0"/>
            </w:tcBorders>
            <w:vAlign w:val="center"/>
          </w:tcPr>
          <w:p w14:paraId="3B25F8C8">
            <w:pPr>
              <w:spacing w:before="0" w:after="0" w:line="240" w:lineRule="exact"/>
              <w:jc w:val="right"/>
              <w:rPr>
                <w:rFonts w:ascii="宋体" w:hAnsi="宋体" w:eastAsia="宋体" w:cs="宋体"/>
                <w:sz w:val="18"/>
                <w:szCs w:val="18"/>
              </w:rPr>
            </w:pPr>
            <w:r>
              <w:rPr>
                <w:rFonts w:ascii="宋体" w:hAnsi="宋体" w:eastAsia="宋体" w:cs="宋体"/>
                <w:sz w:val="18"/>
                <w:szCs w:val="18"/>
              </w:rPr>
              <w:t>87.65%</w:t>
            </w:r>
          </w:p>
        </w:tc>
        <w:tc>
          <w:tcPr>
            <w:tcW w:w="643" w:type="dxa"/>
            <w:tcBorders>
              <w:top w:val="single" w:color="auto" w:sz="2" w:space="0"/>
              <w:left w:val="single" w:color="auto" w:sz="2" w:space="0"/>
              <w:bottom w:val="single" w:color="auto" w:sz="2" w:space="0"/>
              <w:right w:val="single" w:color="auto" w:sz="2" w:space="0"/>
            </w:tcBorders>
            <w:vAlign w:val="center"/>
          </w:tcPr>
          <w:p w14:paraId="05419F45">
            <w:pPr>
              <w:spacing w:before="0" w:after="0" w:line="240" w:lineRule="exact"/>
              <w:jc w:val="left"/>
              <w:rPr>
                <w:rFonts w:ascii="宋体" w:hAnsi="宋体" w:eastAsia="宋体" w:cs="宋体"/>
                <w:sz w:val="18"/>
                <w:szCs w:val="18"/>
              </w:rPr>
            </w:pPr>
            <w:r>
              <w:rPr>
                <w:rFonts w:ascii="宋体" w:hAnsi="宋体" w:eastAsia="宋体" w:cs="宋体"/>
                <w:sz w:val="18"/>
                <w:szCs w:val="18"/>
              </w:rPr>
              <w:t>2023年03月24日</w:t>
            </w:r>
          </w:p>
        </w:tc>
        <w:tc>
          <w:tcPr>
            <w:tcW w:w="643" w:type="dxa"/>
            <w:tcBorders>
              <w:top w:val="single" w:color="auto" w:sz="2" w:space="0"/>
              <w:left w:val="single" w:color="auto" w:sz="2" w:space="0"/>
              <w:bottom w:val="single" w:color="auto" w:sz="2" w:space="0"/>
              <w:right w:val="single" w:color="auto" w:sz="2" w:space="0"/>
            </w:tcBorders>
            <w:vAlign w:val="center"/>
          </w:tcPr>
          <w:p w14:paraId="26729F48">
            <w:pPr>
              <w:spacing w:before="0" w:after="0" w:line="240" w:lineRule="exact"/>
              <w:jc w:val="right"/>
              <w:rPr>
                <w:rFonts w:ascii="宋体" w:hAnsi="宋体" w:eastAsia="宋体" w:cs="宋体"/>
                <w:sz w:val="18"/>
                <w:szCs w:val="18"/>
              </w:rPr>
            </w:pPr>
            <w:r>
              <w:rPr>
                <w:rFonts w:ascii="宋体" w:hAnsi="宋体" w:eastAsia="宋体" w:cs="宋体"/>
                <w:sz w:val="18"/>
                <w:szCs w:val="18"/>
              </w:rPr>
              <w:t>1,651.89</w:t>
            </w:r>
          </w:p>
        </w:tc>
        <w:tc>
          <w:tcPr>
            <w:tcW w:w="643" w:type="dxa"/>
            <w:tcBorders>
              <w:top w:val="single" w:color="auto" w:sz="2" w:space="0"/>
              <w:left w:val="single" w:color="auto" w:sz="2" w:space="0"/>
              <w:bottom w:val="single" w:color="auto" w:sz="2" w:space="0"/>
              <w:right w:val="single" w:color="auto" w:sz="2" w:space="0"/>
            </w:tcBorders>
            <w:vAlign w:val="center"/>
          </w:tcPr>
          <w:p w14:paraId="1E7EF16E">
            <w:pPr>
              <w:spacing w:before="0" w:after="0" w:line="240" w:lineRule="exact"/>
              <w:jc w:val="right"/>
              <w:rPr>
                <w:rFonts w:ascii="宋体" w:hAnsi="宋体" w:eastAsia="宋体" w:cs="宋体"/>
                <w:sz w:val="18"/>
                <w:szCs w:val="18"/>
              </w:rPr>
            </w:pPr>
            <w:r>
              <w:rPr>
                <w:rFonts w:ascii="宋体" w:hAnsi="宋体" w:eastAsia="宋体" w:cs="宋体"/>
                <w:sz w:val="18"/>
                <w:szCs w:val="18"/>
              </w:rPr>
              <w:t>1,796.43</w:t>
            </w:r>
          </w:p>
        </w:tc>
        <w:tc>
          <w:tcPr>
            <w:tcW w:w="643" w:type="dxa"/>
            <w:tcBorders>
              <w:top w:val="single" w:color="auto" w:sz="2" w:space="0"/>
              <w:left w:val="single" w:color="auto" w:sz="2" w:space="0"/>
              <w:bottom w:val="single" w:color="auto" w:sz="2" w:space="0"/>
              <w:right w:val="single" w:color="auto" w:sz="2" w:space="0"/>
            </w:tcBorders>
            <w:vAlign w:val="center"/>
          </w:tcPr>
          <w:p w14:paraId="4DD4B2DE">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643" w:type="dxa"/>
            <w:tcBorders>
              <w:top w:val="single" w:color="auto" w:sz="2" w:space="0"/>
              <w:left w:val="single" w:color="auto" w:sz="2" w:space="0"/>
              <w:bottom w:val="single" w:color="auto" w:sz="2" w:space="0"/>
              <w:right w:val="single" w:color="auto" w:sz="2" w:space="0"/>
            </w:tcBorders>
            <w:vAlign w:val="center"/>
          </w:tcPr>
          <w:p w14:paraId="4C6289BA">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76F36A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3" w:type="dxa"/>
            <w:tcBorders>
              <w:top w:val="single" w:color="auto" w:sz="2" w:space="0"/>
              <w:left w:val="single" w:color="auto" w:sz="2" w:space="0"/>
              <w:bottom w:val="single" w:color="auto" w:sz="2" w:space="0"/>
              <w:right w:val="single" w:color="auto" w:sz="2" w:space="0"/>
            </w:tcBorders>
            <w:vAlign w:val="center"/>
          </w:tcPr>
          <w:p w14:paraId="7F3CA9F9">
            <w:pPr>
              <w:spacing w:before="0" w:after="0" w:line="240" w:lineRule="exact"/>
              <w:jc w:val="left"/>
              <w:rPr>
                <w:rFonts w:ascii="宋体" w:hAnsi="宋体" w:eastAsia="宋体" w:cs="宋体"/>
                <w:sz w:val="18"/>
                <w:szCs w:val="18"/>
              </w:rPr>
            </w:pPr>
            <w:r>
              <w:rPr>
                <w:rFonts w:ascii="宋体" w:hAnsi="宋体" w:eastAsia="宋体" w:cs="宋体"/>
                <w:sz w:val="18"/>
                <w:szCs w:val="18"/>
              </w:rPr>
              <w:t>2. 江苏中兴制剂车间建设项目</w:t>
            </w:r>
          </w:p>
        </w:tc>
        <w:tc>
          <w:tcPr>
            <w:tcW w:w="643" w:type="dxa"/>
            <w:tcBorders>
              <w:top w:val="single" w:color="auto" w:sz="2" w:space="0"/>
              <w:left w:val="single" w:color="auto" w:sz="2" w:space="0"/>
              <w:bottom w:val="single" w:color="auto" w:sz="2" w:space="0"/>
              <w:right w:val="single" w:color="auto" w:sz="2" w:space="0"/>
            </w:tcBorders>
            <w:vAlign w:val="center"/>
          </w:tcPr>
          <w:p w14:paraId="1A04C0ED">
            <w:pPr>
              <w:spacing w:before="0" w:after="0" w:line="240" w:lineRule="exact"/>
              <w:jc w:val="left"/>
              <w:rPr>
                <w:rFonts w:ascii="宋体" w:hAnsi="宋体" w:eastAsia="宋体" w:cs="宋体"/>
                <w:sz w:val="18"/>
                <w:szCs w:val="18"/>
              </w:rPr>
            </w:pPr>
            <w:r>
              <w:rPr>
                <w:rFonts w:ascii="宋体" w:hAnsi="宋体" w:eastAsia="宋体" w:cs="宋体"/>
                <w:sz w:val="18"/>
                <w:szCs w:val="18"/>
              </w:rPr>
              <w:t>2021年07月09日</w:t>
            </w:r>
          </w:p>
        </w:tc>
        <w:tc>
          <w:tcPr>
            <w:tcW w:w="643" w:type="dxa"/>
            <w:tcBorders>
              <w:top w:val="single" w:color="auto" w:sz="2" w:space="0"/>
              <w:left w:val="single" w:color="auto" w:sz="2" w:space="0"/>
              <w:bottom w:val="single" w:color="auto" w:sz="2" w:space="0"/>
              <w:right w:val="single" w:color="auto" w:sz="2" w:space="0"/>
            </w:tcBorders>
            <w:vAlign w:val="center"/>
          </w:tcPr>
          <w:p w14:paraId="29A98EAB">
            <w:pPr>
              <w:spacing w:before="0" w:after="0" w:line="240" w:lineRule="exact"/>
              <w:jc w:val="left"/>
              <w:rPr>
                <w:rFonts w:ascii="宋体" w:hAnsi="宋体" w:eastAsia="宋体" w:cs="宋体"/>
                <w:sz w:val="18"/>
                <w:szCs w:val="18"/>
              </w:rPr>
            </w:pPr>
            <w:r>
              <w:rPr>
                <w:rFonts w:ascii="宋体" w:hAnsi="宋体" w:eastAsia="宋体" w:cs="宋体"/>
                <w:sz w:val="18"/>
                <w:szCs w:val="18"/>
              </w:rPr>
              <w:t>2. 江苏中兴制剂车间建设项目</w:t>
            </w:r>
          </w:p>
        </w:tc>
        <w:tc>
          <w:tcPr>
            <w:tcW w:w="643" w:type="dxa"/>
            <w:tcBorders>
              <w:top w:val="single" w:color="auto" w:sz="2" w:space="0"/>
              <w:left w:val="single" w:color="auto" w:sz="2" w:space="0"/>
              <w:bottom w:val="single" w:color="auto" w:sz="2" w:space="0"/>
              <w:right w:val="single" w:color="auto" w:sz="2" w:space="0"/>
            </w:tcBorders>
            <w:vAlign w:val="center"/>
          </w:tcPr>
          <w:p w14:paraId="472628DB">
            <w:pPr>
              <w:spacing w:before="0" w:after="0" w:line="240" w:lineRule="exact"/>
              <w:jc w:val="left"/>
              <w:rPr>
                <w:rFonts w:ascii="宋体" w:hAnsi="宋体" w:eastAsia="宋体" w:cs="宋体"/>
                <w:sz w:val="18"/>
                <w:szCs w:val="18"/>
              </w:rPr>
            </w:pPr>
            <w:r>
              <w:rPr>
                <w:rFonts w:ascii="宋体" w:hAnsi="宋体" w:eastAsia="宋体" w:cs="宋体"/>
                <w:sz w:val="18"/>
                <w:szCs w:val="18"/>
              </w:rPr>
              <w:t>生产建设</w:t>
            </w:r>
          </w:p>
        </w:tc>
        <w:tc>
          <w:tcPr>
            <w:tcW w:w="643" w:type="dxa"/>
            <w:tcBorders>
              <w:top w:val="single" w:color="auto" w:sz="2" w:space="0"/>
              <w:left w:val="single" w:color="auto" w:sz="2" w:space="0"/>
              <w:bottom w:val="single" w:color="auto" w:sz="2" w:space="0"/>
              <w:right w:val="single" w:color="auto" w:sz="2" w:space="0"/>
            </w:tcBorders>
            <w:vAlign w:val="center"/>
          </w:tcPr>
          <w:p w14:paraId="44D5196C">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c>
          <w:tcPr>
            <w:tcW w:w="643" w:type="dxa"/>
            <w:tcBorders>
              <w:top w:val="single" w:color="auto" w:sz="2" w:space="0"/>
              <w:left w:val="single" w:color="auto" w:sz="2" w:space="0"/>
              <w:bottom w:val="single" w:color="auto" w:sz="2" w:space="0"/>
              <w:right w:val="single" w:color="auto" w:sz="2" w:space="0"/>
            </w:tcBorders>
            <w:vAlign w:val="center"/>
          </w:tcPr>
          <w:p w14:paraId="67A10ACE">
            <w:pPr>
              <w:spacing w:before="0" w:after="0" w:line="240" w:lineRule="exact"/>
              <w:jc w:val="right"/>
              <w:rPr>
                <w:rFonts w:ascii="宋体" w:hAnsi="宋体" w:eastAsia="宋体" w:cs="宋体"/>
                <w:sz w:val="18"/>
                <w:szCs w:val="18"/>
              </w:rPr>
            </w:pPr>
            <w:r>
              <w:rPr>
                <w:rFonts w:ascii="宋体" w:hAnsi="宋体" w:eastAsia="宋体" w:cs="宋体"/>
                <w:sz w:val="18"/>
                <w:szCs w:val="18"/>
              </w:rPr>
              <w:t>12,500</w:t>
            </w:r>
          </w:p>
        </w:tc>
        <w:tc>
          <w:tcPr>
            <w:tcW w:w="643" w:type="dxa"/>
            <w:tcBorders>
              <w:top w:val="single" w:color="auto" w:sz="2" w:space="0"/>
              <w:left w:val="single" w:color="auto" w:sz="2" w:space="0"/>
              <w:bottom w:val="single" w:color="auto" w:sz="2" w:space="0"/>
              <w:right w:val="single" w:color="auto" w:sz="2" w:space="0"/>
            </w:tcBorders>
            <w:vAlign w:val="center"/>
          </w:tcPr>
          <w:p w14:paraId="0C97D070">
            <w:pPr>
              <w:spacing w:before="0" w:after="0" w:line="240" w:lineRule="exact"/>
              <w:jc w:val="right"/>
              <w:rPr>
                <w:rFonts w:ascii="宋体" w:hAnsi="宋体" w:eastAsia="宋体" w:cs="宋体"/>
                <w:sz w:val="18"/>
                <w:szCs w:val="18"/>
              </w:rPr>
            </w:pPr>
            <w:r>
              <w:rPr>
                <w:rFonts w:ascii="宋体" w:hAnsi="宋体" w:eastAsia="宋体" w:cs="宋体"/>
                <w:sz w:val="18"/>
                <w:szCs w:val="18"/>
              </w:rPr>
              <w:t>2,843.67</w:t>
            </w:r>
          </w:p>
        </w:tc>
        <w:tc>
          <w:tcPr>
            <w:tcW w:w="643" w:type="dxa"/>
            <w:tcBorders>
              <w:top w:val="single" w:color="auto" w:sz="2" w:space="0"/>
              <w:left w:val="single" w:color="auto" w:sz="2" w:space="0"/>
              <w:bottom w:val="single" w:color="auto" w:sz="2" w:space="0"/>
              <w:right w:val="single" w:color="auto" w:sz="2" w:space="0"/>
            </w:tcBorders>
            <w:vAlign w:val="center"/>
          </w:tcPr>
          <w:p w14:paraId="7D383BD5">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643" w:type="dxa"/>
            <w:tcBorders>
              <w:top w:val="single" w:color="auto" w:sz="2" w:space="0"/>
              <w:left w:val="single" w:color="auto" w:sz="2" w:space="0"/>
              <w:bottom w:val="single" w:color="auto" w:sz="2" w:space="0"/>
              <w:right w:val="single" w:color="auto" w:sz="2" w:space="0"/>
            </w:tcBorders>
            <w:vAlign w:val="center"/>
          </w:tcPr>
          <w:p w14:paraId="7F16CD9B">
            <w:pPr>
              <w:spacing w:before="0" w:after="0" w:line="240" w:lineRule="exact"/>
              <w:jc w:val="right"/>
              <w:rPr>
                <w:rFonts w:ascii="宋体" w:hAnsi="宋体" w:eastAsia="宋体" w:cs="宋体"/>
                <w:sz w:val="18"/>
                <w:szCs w:val="18"/>
              </w:rPr>
            </w:pPr>
            <w:r>
              <w:rPr>
                <w:rFonts w:ascii="宋体" w:hAnsi="宋体" w:eastAsia="宋体" w:cs="宋体"/>
                <w:sz w:val="18"/>
                <w:szCs w:val="18"/>
              </w:rPr>
              <w:t>2,843.67</w:t>
            </w:r>
          </w:p>
        </w:tc>
        <w:tc>
          <w:tcPr>
            <w:tcW w:w="643" w:type="dxa"/>
            <w:tcBorders>
              <w:top w:val="single" w:color="auto" w:sz="2" w:space="0"/>
              <w:left w:val="single" w:color="auto" w:sz="2" w:space="0"/>
              <w:bottom w:val="single" w:color="auto" w:sz="2" w:space="0"/>
              <w:right w:val="single" w:color="auto" w:sz="2" w:space="0"/>
            </w:tcBorders>
            <w:vAlign w:val="center"/>
          </w:tcPr>
          <w:p w14:paraId="3DB5F299">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643" w:type="dxa"/>
            <w:tcBorders>
              <w:top w:val="single" w:color="auto" w:sz="2" w:space="0"/>
              <w:left w:val="single" w:color="auto" w:sz="2" w:space="0"/>
              <w:bottom w:val="single" w:color="auto" w:sz="2" w:space="0"/>
              <w:right w:val="single" w:color="auto" w:sz="2" w:space="0"/>
            </w:tcBorders>
            <w:vAlign w:val="center"/>
          </w:tcPr>
          <w:p w14:paraId="54E4DBB1">
            <w:pPr>
              <w:spacing w:before="0" w:after="0" w:line="240" w:lineRule="exact"/>
              <w:jc w:val="lef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14:paraId="08EEC5DF">
            <w:pPr>
              <w:spacing w:before="0" w:after="0" w:line="240" w:lineRule="exact"/>
              <w:jc w:val="righ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14:paraId="2DAD313E">
            <w:pPr>
              <w:spacing w:before="0" w:after="0" w:line="240" w:lineRule="exact"/>
              <w:jc w:val="righ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14:paraId="147F2004">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643" w:type="dxa"/>
            <w:tcBorders>
              <w:top w:val="single" w:color="auto" w:sz="2" w:space="0"/>
              <w:left w:val="single" w:color="auto" w:sz="2" w:space="0"/>
              <w:bottom w:val="single" w:color="auto" w:sz="2" w:space="0"/>
              <w:right w:val="single" w:color="auto" w:sz="2" w:space="0"/>
            </w:tcBorders>
            <w:vAlign w:val="center"/>
          </w:tcPr>
          <w:p w14:paraId="6BB22DC3">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308BEB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3" w:type="dxa"/>
            <w:tcBorders>
              <w:top w:val="single" w:color="auto" w:sz="2" w:space="0"/>
              <w:left w:val="single" w:color="auto" w:sz="2" w:space="0"/>
              <w:bottom w:val="single" w:color="auto" w:sz="2" w:space="0"/>
              <w:right w:val="single" w:color="auto" w:sz="2" w:space="0"/>
            </w:tcBorders>
            <w:vAlign w:val="center"/>
          </w:tcPr>
          <w:p w14:paraId="0BAC170D">
            <w:pPr>
              <w:spacing w:before="0" w:after="0" w:line="240" w:lineRule="exact"/>
              <w:jc w:val="left"/>
              <w:rPr>
                <w:rFonts w:ascii="宋体" w:hAnsi="宋体" w:eastAsia="宋体" w:cs="宋体"/>
                <w:sz w:val="18"/>
                <w:szCs w:val="18"/>
              </w:rPr>
            </w:pPr>
            <w:r>
              <w:rPr>
                <w:rFonts w:ascii="宋体" w:hAnsi="宋体" w:eastAsia="宋体" w:cs="宋体"/>
                <w:sz w:val="18"/>
                <w:szCs w:val="18"/>
              </w:rPr>
              <w:t>3. 补充流动资金项目</w:t>
            </w:r>
          </w:p>
        </w:tc>
        <w:tc>
          <w:tcPr>
            <w:tcW w:w="643" w:type="dxa"/>
            <w:tcBorders>
              <w:top w:val="single" w:color="auto" w:sz="2" w:space="0"/>
              <w:left w:val="single" w:color="auto" w:sz="2" w:space="0"/>
              <w:bottom w:val="single" w:color="auto" w:sz="2" w:space="0"/>
              <w:right w:val="single" w:color="auto" w:sz="2" w:space="0"/>
            </w:tcBorders>
            <w:vAlign w:val="center"/>
          </w:tcPr>
          <w:p w14:paraId="26527C74">
            <w:pPr>
              <w:spacing w:before="0" w:after="0" w:line="240" w:lineRule="exact"/>
              <w:jc w:val="left"/>
              <w:rPr>
                <w:rFonts w:ascii="宋体" w:hAnsi="宋体" w:eastAsia="宋体" w:cs="宋体"/>
                <w:sz w:val="18"/>
                <w:szCs w:val="18"/>
              </w:rPr>
            </w:pPr>
            <w:r>
              <w:rPr>
                <w:rFonts w:ascii="宋体" w:hAnsi="宋体" w:eastAsia="宋体" w:cs="宋体"/>
                <w:sz w:val="18"/>
                <w:szCs w:val="18"/>
              </w:rPr>
              <w:t>2021年07月09日</w:t>
            </w:r>
          </w:p>
        </w:tc>
        <w:tc>
          <w:tcPr>
            <w:tcW w:w="643" w:type="dxa"/>
            <w:tcBorders>
              <w:top w:val="single" w:color="auto" w:sz="2" w:space="0"/>
              <w:left w:val="single" w:color="auto" w:sz="2" w:space="0"/>
              <w:bottom w:val="single" w:color="auto" w:sz="2" w:space="0"/>
              <w:right w:val="single" w:color="auto" w:sz="2" w:space="0"/>
            </w:tcBorders>
            <w:vAlign w:val="center"/>
          </w:tcPr>
          <w:p w14:paraId="47CEAC35">
            <w:pPr>
              <w:spacing w:before="0" w:after="0" w:line="240" w:lineRule="exact"/>
              <w:jc w:val="left"/>
              <w:rPr>
                <w:rFonts w:ascii="宋体" w:hAnsi="宋体" w:eastAsia="宋体" w:cs="宋体"/>
                <w:sz w:val="18"/>
                <w:szCs w:val="18"/>
              </w:rPr>
            </w:pPr>
            <w:r>
              <w:rPr>
                <w:rFonts w:ascii="宋体" w:hAnsi="宋体" w:eastAsia="宋体" w:cs="宋体"/>
                <w:sz w:val="18"/>
                <w:szCs w:val="18"/>
              </w:rPr>
              <w:t>3. 补充流动资金项目</w:t>
            </w:r>
          </w:p>
        </w:tc>
        <w:tc>
          <w:tcPr>
            <w:tcW w:w="643" w:type="dxa"/>
            <w:tcBorders>
              <w:top w:val="single" w:color="auto" w:sz="2" w:space="0"/>
              <w:left w:val="single" w:color="auto" w:sz="2" w:space="0"/>
              <w:bottom w:val="single" w:color="auto" w:sz="2" w:space="0"/>
              <w:right w:val="single" w:color="auto" w:sz="2" w:space="0"/>
            </w:tcBorders>
            <w:vAlign w:val="center"/>
          </w:tcPr>
          <w:p w14:paraId="1D43A0F5">
            <w:pPr>
              <w:spacing w:before="0" w:after="0" w:line="240" w:lineRule="exact"/>
              <w:jc w:val="left"/>
              <w:rPr>
                <w:rFonts w:ascii="宋体" w:hAnsi="宋体" w:eastAsia="宋体" w:cs="宋体"/>
                <w:sz w:val="18"/>
                <w:szCs w:val="18"/>
              </w:rPr>
            </w:pPr>
            <w:r>
              <w:rPr>
                <w:rFonts w:ascii="宋体" w:hAnsi="宋体" w:eastAsia="宋体" w:cs="宋体"/>
                <w:sz w:val="18"/>
                <w:szCs w:val="18"/>
              </w:rPr>
              <w:t>补流</w:t>
            </w:r>
          </w:p>
        </w:tc>
        <w:tc>
          <w:tcPr>
            <w:tcW w:w="643" w:type="dxa"/>
            <w:tcBorders>
              <w:top w:val="single" w:color="auto" w:sz="2" w:space="0"/>
              <w:left w:val="single" w:color="auto" w:sz="2" w:space="0"/>
              <w:bottom w:val="single" w:color="auto" w:sz="2" w:space="0"/>
              <w:right w:val="single" w:color="auto" w:sz="2" w:space="0"/>
            </w:tcBorders>
            <w:vAlign w:val="center"/>
          </w:tcPr>
          <w:p w14:paraId="05D00B36">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643" w:type="dxa"/>
            <w:tcBorders>
              <w:top w:val="single" w:color="auto" w:sz="2" w:space="0"/>
              <w:left w:val="single" w:color="auto" w:sz="2" w:space="0"/>
              <w:bottom w:val="single" w:color="auto" w:sz="2" w:space="0"/>
              <w:right w:val="single" w:color="auto" w:sz="2" w:space="0"/>
            </w:tcBorders>
            <w:vAlign w:val="center"/>
          </w:tcPr>
          <w:p w14:paraId="78B1C185">
            <w:pPr>
              <w:spacing w:before="0" w:after="0" w:line="240" w:lineRule="exact"/>
              <w:jc w:val="right"/>
              <w:rPr>
                <w:rFonts w:ascii="宋体" w:hAnsi="宋体" w:eastAsia="宋体" w:cs="宋体"/>
                <w:sz w:val="18"/>
                <w:szCs w:val="18"/>
              </w:rPr>
            </w:pPr>
            <w:r>
              <w:rPr>
                <w:rFonts w:ascii="宋体" w:hAnsi="宋体" w:eastAsia="宋体" w:cs="宋体"/>
                <w:sz w:val="18"/>
                <w:szCs w:val="18"/>
              </w:rPr>
              <w:t>16,000</w:t>
            </w:r>
          </w:p>
        </w:tc>
        <w:tc>
          <w:tcPr>
            <w:tcW w:w="643" w:type="dxa"/>
            <w:tcBorders>
              <w:top w:val="single" w:color="auto" w:sz="2" w:space="0"/>
              <w:left w:val="single" w:color="auto" w:sz="2" w:space="0"/>
              <w:bottom w:val="single" w:color="auto" w:sz="2" w:space="0"/>
              <w:right w:val="single" w:color="auto" w:sz="2" w:space="0"/>
            </w:tcBorders>
            <w:vAlign w:val="center"/>
          </w:tcPr>
          <w:p w14:paraId="5AB25E85">
            <w:pPr>
              <w:spacing w:before="0" w:after="0" w:line="240" w:lineRule="exact"/>
              <w:jc w:val="right"/>
              <w:rPr>
                <w:rFonts w:ascii="宋体" w:hAnsi="宋体" w:eastAsia="宋体" w:cs="宋体"/>
                <w:sz w:val="18"/>
                <w:szCs w:val="18"/>
              </w:rPr>
            </w:pPr>
            <w:r>
              <w:rPr>
                <w:rFonts w:ascii="宋体" w:hAnsi="宋体" w:eastAsia="宋体" w:cs="宋体"/>
                <w:sz w:val="18"/>
                <w:szCs w:val="18"/>
              </w:rPr>
              <w:t>23,043.87</w:t>
            </w:r>
          </w:p>
        </w:tc>
        <w:tc>
          <w:tcPr>
            <w:tcW w:w="643" w:type="dxa"/>
            <w:tcBorders>
              <w:top w:val="single" w:color="auto" w:sz="2" w:space="0"/>
              <w:left w:val="single" w:color="auto" w:sz="2" w:space="0"/>
              <w:bottom w:val="single" w:color="auto" w:sz="2" w:space="0"/>
              <w:right w:val="single" w:color="auto" w:sz="2" w:space="0"/>
            </w:tcBorders>
            <w:vAlign w:val="center"/>
          </w:tcPr>
          <w:p w14:paraId="59F133A0">
            <w:pPr>
              <w:spacing w:before="0" w:after="0" w:line="240" w:lineRule="exact"/>
              <w:jc w:val="right"/>
              <w:rPr>
                <w:rFonts w:ascii="宋体" w:hAnsi="宋体" w:eastAsia="宋体" w:cs="宋体"/>
                <w:sz w:val="18"/>
                <w:szCs w:val="18"/>
              </w:rPr>
            </w:pPr>
            <w:r>
              <w:rPr>
                <w:rFonts w:ascii="宋体" w:hAnsi="宋体" w:eastAsia="宋体" w:cs="宋体"/>
                <w:sz w:val="18"/>
                <w:szCs w:val="18"/>
              </w:rPr>
              <w:t>12,312.26</w:t>
            </w:r>
          </w:p>
        </w:tc>
        <w:tc>
          <w:tcPr>
            <w:tcW w:w="643" w:type="dxa"/>
            <w:tcBorders>
              <w:top w:val="single" w:color="auto" w:sz="2" w:space="0"/>
              <w:left w:val="single" w:color="auto" w:sz="2" w:space="0"/>
              <w:bottom w:val="single" w:color="auto" w:sz="2" w:space="0"/>
              <w:right w:val="single" w:color="auto" w:sz="2" w:space="0"/>
            </w:tcBorders>
            <w:vAlign w:val="center"/>
          </w:tcPr>
          <w:p w14:paraId="5084EA3B">
            <w:pPr>
              <w:spacing w:before="0" w:after="0" w:line="240" w:lineRule="exact"/>
              <w:jc w:val="right"/>
              <w:rPr>
                <w:rFonts w:ascii="宋体" w:hAnsi="宋体" w:eastAsia="宋体" w:cs="宋体"/>
                <w:sz w:val="18"/>
                <w:szCs w:val="18"/>
              </w:rPr>
            </w:pPr>
            <w:r>
              <w:rPr>
                <w:rFonts w:ascii="宋体" w:hAnsi="宋体" w:eastAsia="宋体" w:cs="宋体"/>
                <w:sz w:val="18"/>
                <w:szCs w:val="18"/>
              </w:rPr>
              <w:t>26,845.61</w:t>
            </w:r>
          </w:p>
        </w:tc>
        <w:tc>
          <w:tcPr>
            <w:tcW w:w="643" w:type="dxa"/>
            <w:tcBorders>
              <w:top w:val="single" w:color="auto" w:sz="2" w:space="0"/>
              <w:left w:val="single" w:color="auto" w:sz="2" w:space="0"/>
              <w:bottom w:val="single" w:color="auto" w:sz="2" w:space="0"/>
              <w:right w:val="single" w:color="auto" w:sz="2" w:space="0"/>
            </w:tcBorders>
            <w:vAlign w:val="center"/>
          </w:tcPr>
          <w:p w14:paraId="441DE182">
            <w:pPr>
              <w:spacing w:before="0" w:after="0" w:line="240" w:lineRule="exact"/>
              <w:jc w:val="right"/>
              <w:rPr>
                <w:rFonts w:ascii="宋体" w:hAnsi="宋体" w:eastAsia="宋体" w:cs="宋体"/>
                <w:sz w:val="18"/>
                <w:szCs w:val="18"/>
              </w:rPr>
            </w:pPr>
            <w:r>
              <w:rPr>
                <w:rFonts w:ascii="宋体" w:hAnsi="宋体" w:eastAsia="宋体" w:cs="宋体"/>
                <w:sz w:val="18"/>
                <w:szCs w:val="18"/>
              </w:rPr>
              <w:t>116.50%</w:t>
            </w:r>
          </w:p>
        </w:tc>
        <w:tc>
          <w:tcPr>
            <w:tcW w:w="643" w:type="dxa"/>
            <w:tcBorders>
              <w:top w:val="single" w:color="auto" w:sz="2" w:space="0"/>
              <w:left w:val="single" w:color="auto" w:sz="2" w:space="0"/>
              <w:bottom w:val="single" w:color="auto" w:sz="2" w:space="0"/>
              <w:right w:val="single" w:color="auto" w:sz="2" w:space="0"/>
            </w:tcBorders>
            <w:vAlign w:val="center"/>
          </w:tcPr>
          <w:p w14:paraId="05DD578C">
            <w:pPr>
              <w:spacing w:before="0" w:after="0" w:line="240" w:lineRule="exact"/>
              <w:jc w:val="lef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14:paraId="4C184653">
            <w:pPr>
              <w:spacing w:before="0" w:after="0" w:line="240" w:lineRule="exact"/>
              <w:jc w:val="righ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14:paraId="0638D0D5">
            <w:pPr>
              <w:spacing w:before="0" w:after="0" w:line="240" w:lineRule="exact"/>
              <w:jc w:val="righ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14:paraId="1573BE00">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643" w:type="dxa"/>
            <w:tcBorders>
              <w:top w:val="single" w:color="auto" w:sz="2" w:space="0"/>
              <w:left w:val="single" w:color="auto" w:sz="2" w:space="0"/>
              <w:bottom w:val="single" w:color="auto" w:sz="2" w:space="0"/>
              <w:right w:val="single" w:color="auto" w:sz="2" w:space="0"/>
            </w:tcBorders>
            <w:vAlign w:val="center"/>
          </w:tcPr>
          <w:p w14:paraId="073D9F81">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13F988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70"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76BE342D">
            <w:pPr>
              <w:spacing w:before="40" w:after="40" w:line="240" w:lineRule="exact"/>
              <w:jc w:val="left"/>
              <w:rPr>
                <w:rFonts w:ascii="宋体" w:hAnsi="宋体" w:eastAsia="宋体" w:cs="宋体"/>
                <w:sz w:val="18"/>
                <w:szCs w:val="18"/>
              </w:rPr>
            </w:pPr>
            <w:r>
              <w:rPr>
                <w:rFonts w:ascii="宋体" w:hAnsi="宋体" w:eastAsia="宋体" w:cs="宋体"/>
                <w:sz w:val="18"/>
                <w:szCs w:val="18"/>
              </w:rPr>
              <w:t>承诺投资项目小计</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6116092F">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vAlign w:val="center"/>
          </w:tcPr>
          <w:p w14:paraId="1D3F5E4B">
            <w:pPr>
              <w:spacing w:before="0" w:after="0" w:line="240" w:lineRule="exact"/>
              <w:jc w:val="right"/>
              <w:rPr>
                <w:rFonts w:ascii="宋体" w:hAnsi="宋体" w:eastAsia="宋体" w:cs="宋体"/>
                <w:sz w:val="18"/>
                <w:szCs w:val="18"/>
              </w:rPr>
            </w:pPr>
            <w:r>
              <w:rPr>
                <w:rFonts w:ascii="宋体" w:hAnsi="宋体" w:eastAsia="宋体" w:cs="宋体"/>
                <w:sz w:val="18"/>
                <w:szCs w:val="18"/>
              </w:rPr>
              <w:t>55,000</w:t>
            </w:r>
          </w:p>
        </w:tc>
        <w:tc>
          <w:tcPr>
            <w:tcW w:w="643" w:type="dxa"/>
            <w:tcBorders>
              <w:top w:val="single" w:color="auto" w:sz="2" w:space="0"/>
              <w:left w:val="single" w:color="auto" w:sz="2" w:space="0"/>
              <w:bottom w:val="single" w:color="auto" w:sz="2" w:space="0"/>
              <w:right w:val="single" w:color="auto" w:sz="2" w:space="0"/>
            </w:tcBorders>
            <w:vAlign w:val="center"/>
          </w:tcPr>
          <w:p w14:paraId="562D2409">
            <w:pPr>
              <w:spacing w:before="0" w:after="0" w:line="240" w:lineRule="exact"/>
              <w:jc w:val="right"/>
              <w:rPr>
                <w:rFonts w:ascii="宋体" w:hAnsi="宋体" w:eastAsia="宋体" w:cs="宋体"/>
                <w:sz w:val="18"/>
                <w:szCs w:val="18"/>
              </w:rPr>
            </w:pPr>
            <w:r>
              <w:rPr>
                <w:rFonts w:ascii="宋体" w:hAnsi="宋体" w:eastAsia="宋体" w:cs="宋体"/>
                <w:sz w:val="18"/>
                <w:szCs w:val="18"/>
              </w:rPr>
              <w:t>49,958.41</w:t>
            </w:r>
          </w:p>
        </w:tc>
        <w:tc>
          <w:tcPr>
            <w:tcW w:w="643" w:type="dxa"/>
            <w:tcBorders>
              <w:top w:val="single" w:color="auto" w:sz="2" w:space="0"/>
              <w:left w:val="single" w:color="auto" w:sz="2" w:space="0"/>
              <w:bottom w:val="single" w:color="auto" w:sz="2" w:space="0"/>
              <w:right w:val="single" w:color="auto" w:sz="2" w:space="0"/>
            </w:tcBorders>
            <w:vAlign w:val="center"/>
          </w:tcPr>
          <w:p w14:paraId="4BD4937E">
            <w:pPr>
              <w:spacing w:before="0" w:after="0" w:line="240" w:lineRule="exact"/>
              <w:jc w:val="right"/>
              <w:rPr>
                <w:rFonts w:ascii="宋体" w:hAnsi="宋体" w:eastAsia="宋体" w:cs="宋体"/>
                <w:sz w:val="18"/>
                <w:szCs w:val="18"/>
              </w:rPr>
            </w:pPr>
            <w:r>
              <w:rPr>
                <w:rFonts w:ascii="宋体" w:hAnsi="宋体" w:eastAsia="宋体" w:cs="宋体"/>
                <w:sz w:val="18"/>
                <w:szCs w:val="18"/>
              </w:rPr>
              <w:t>12,767.72</w:t>
            </w:r>
          </w:p>
        </w:tc>
        <w:tc>
          <w:tcPr>
            <w:tcW w:w="643" w:type="dxa"/>
            <w:tcBorders>
              <w:top w:val="single" w:color="auto" w:sz="2" w:space="0"/>
              <w:left w:val="single" w:color="auto" w:sz="2" w:space="0"/>
              <w:bottom w:val="single" w:color="auto" w:sz="2" w:space="0"/>
              <w:right w:val="single" w:color="auto" w:sz="2" w:space="0"/>
            </w:tcBorders>
            <w:vAlign w:val="center"/>
          </w:tcPr>
          <w:p w14:paraId="1B4477B9">
            <w:pPr>
              <w:spacing w:before="0" w:after="0" w:line="240" w:lineRule="exact"/>
              <w:jc w:val="right"/>
              <w:rPr>
                <w:rFonts w:ascii="宋体" w:hAnsi="宋体" w:eastAsia="宋体" w:cs="宋体"/>
                <w:sz w:val="18"/>
                <w:szCs w:val="18"/>
              </w:rPr>
            </w:pPr>
            <w:r>
              <w:rPr>
                <w:rFonts w:ascii="宋体" w:hAnsi="宋体" w:eastAsia="宋体" w:cs="宋体"/>
                <w:sz w:val="18"/>
                <w:szCs w:val="18"/>
              </w:rPr>
              <w:t>50,787.21</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0D0E5833">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57B5372C">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vAlign w:val="center"/>
          </w:tcPr>
          <w:p w14:paraId="40A31736">
            <w:pPr>
              <w:spacing w:before="0" w:after="0" w:line="240" w:lineRule="exact"/>
              <w:jc w:val="right"/>
              <w:rPr>
                <w:rFonts w:ascii="宋体" w:hAnsi="宋体" w:eastAsia="宋体" w:cs="宋体"/>
                <w:sz w:val="18"/>
                <w:szCs w:val="18"/>
              </w:rPr>
            </w:pPr>
            <w:r>
              <w:rPr>
                <w:rFonts w:ascii="宋体" w:hAnsi="宋体" w:eastAsia="宋体" w:cs="宋体"/>
                <w:sz w:val="18"/>
                <w:szCs w:val="18"/>
              </w:rPr>
              <w:t>1,651.89</w:t>
            </w:r>
          </w:p>
        </w:tc>
        <w:tc>
          <w:tcPr>
            <w:tcW w:w="643" w:type="dxa"/>
            <w:tcBorders>
              <w:top w:val="single" w:color="auto" w:sz="2" w:space="0"/>
              <w:left w:val="single" w:color="auto" w:sz="2" w:space="0"/>
              <w:bottom w:val="single" w:color="auto" w:sz="2" w:space="0"/>
              <w:right w:val="single" w:color="auto" w:sz="2" w:space="0"/>
            </w:tcBorders>
            <w:vAlign w:val="center"/>
          </w:tcPr>
          <w:p w14:paraId="0AE4D22A">
            <w:pPr>
              <w:spacing w:before="0" w:after="0" w:line="240" w:lineRule="exact"/>
              <w:jc w:val="right"/>
              <w:rPr>
                <w:rFonts w:ascii="宋体" w:hAnsi="宋体" w:eastAsia="宋体" w:cs="宋体"/>
                <w:sz w:val="18"/>
                <w:szCs w:val="18"/>
              </w:rPr>
            </w:pPr>
            <w:r>
              <w:rPr>
                <w:rFonts w:ascii="宋体" w:hAnsi="宋体" w:eastAsia="宋体" w:cs="宋体"/>
                <w:sz w:val="18"/>
                <w:szCs w:val="18"/>
              </w:rPr>
              <w:t>1,796.43</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6329A760">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3285C240">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r w14:paraId="76D104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5"/>
            <w:tcBorders>
              <w:top w:val="single" w:color="auto" w:sz="2" w:space="0"/>
              <w:left w:val="single" w:color="auto" w:sz="2" w:space="0"/>
              <w:bottom w:val="single" w:color="auto" w:sz="2" w:space="0"/>
              <w:right w:val="single" w:color="auto" w:sz="2" w:space="0"/>
            </w:tcBorders>
            <w:shd w:val="clear" w:color="auto" w:fill="D3D3D3"/>
            <w:vAlign w:val="center"/>
          </w:tcPr>
          <w:p w14:paraId="31E4C555">
            <w:pPr>
              <w:spacing w:before="40" w:after="40" w:line="240" w:lineRule="exact"/>
              <w:jc w:val="left"/>
              <w:rPr>
                <w:rFonts w:ascii="宋体" w:hAnsi="宋体" w:eastAsia="宋体" w:cs="宋体"/>
                <w:sz w:val="18"/>
                <w:szCs w:val="18"/>
              </w:rPr>
            </w:pPr>
            <w:r>
              <w:rPr>
                <w:rFonts w:ascii="宋体" w:hAnsi="宋体" w:eastAsia="宋体" w:cs="宋体"/>
                <w:sz w:val="18"/>
                <w:szCs w:val="18"/>
              </w:rPr>
              <w:t>超募资金投向</w:t>
            </w:r>
          </w:p>
        </w:tc>
      </w:tr>
      <w:tr w14:paraId="0CA92E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3" w:type="dxa"/>
            <w:tcBorders>
              <w:top w:val="single" w:color="auto" w:sz="2" w:space="0"/>
              <w:left w:val="single" w:color="auto" w:sz="2" w:space="0"/>
              <w:bottom w:val="single" w:color="auto" w:sz="2" w:space="0"/>
              <w:right w:val="single" w:color="auto" w:sz="2" w:space="0"/>
            </w:tcBorders>
            <w:vAlign w:val="center"/>
          </w:tcPr>
          <w:p w14:paraId="5623EDB2">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643" w:type="dxa"/>
            <w:tcBorders>
              <w:top w:val="single" w:color="auto" w:sz="2" w:space="0"/>
              <w:left w:val="single" w:color="auto" w:sz="2" w:space="0"/>
              <w:bottom w:val="single" w:color="auto" w:sz="2" w:space="0"/>
              <w:right w:val="single" w:color="auto" w:sz="2" w:space="0"/>
            </w:tcBorders>
            <w:vAlign w:val="center"/>
          </w:tcPr>
          <w:p w14:paraId="1E2C61EF">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643" w:type="dxa"/>
            <w:tcBorders>
              <w:top w:val="single" w:color="auto" w:sz="2" w:space="0"/>
              <w:left w:val="single" w:color="auto" w:sz="2" w:space="0"/>
              <w:bottom w:val="single" w:color="auto" w:sz="2" w:space="0"/>
              <w:right w:val="single" w:color="auto" w:sz="2" w:space="0"/>
            </w:tcBorders>
            <w:vAlign w:val="center"/>
          </w:tcPr>
          <w:p w14:paraId="0E32816A">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643" w:type="dxa"/>
            <w:tcBorders>
              <w:top w:val="single" w:color="auto" w:sz="2" w:space="0"/>
              <w:left w:val="single" w:color="auto" w:sz="2" w:space="0"/>
              <w:bottom w:val="single" w:color="auto" w:sz="2" w:space="0"/>
              <w:right w:val="single" w:color="auto" w:sz="2" w:space="0"/>
            </w:tcBorders>
            <w:vAlign w:val="center"/>
          </w:tcPr>
          <w:p w14:paraId="4E94962D">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643" w:type="dxa"/>
            <w:tcBorders>
              <w:top w:val="single" w:color="auto" w:sz="2" w:space="0"/>
              <w:left w:val="single" w:color="auto" w:sz="2" w:space="0"/>
              <w:bottom w:val="single" w:color="auto" w:sz="2" w:space="0"/>
              <w:right w:val="single" w:color="auto" w:sz="2" w:space="0"/>
            </w:tcBorders>
            <w:vAlign w:val="center"/>
          </w:tcPr>
          <w:p w14:paraId="32D4F9EA">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643" w:type="dxa"/>
            <w:tcBorders>
              <w:top w:val="single" w:color="auto" w:sz="2" w:space="0"/>
              <w:left w:val="single" w:color="auto" w:sz="2" w:space="0"/>
              <w:bottom w:val="single" w:color="auto" w:sz="2" w:space="0"/>
              <w:right w:val="single" w:color="auto" w:sz="2" w:space="0"/>
            </w:tcBorders>
            <w:vAlign w:val="center"/>
          </w:tcPr>
          <w:p w14:paraId="7CD5C835">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643" w:type="dxa"/>
            <w:tcBorders>
              <w:top w:val="single" w:color="auto" w:sz="2" w:space="0"/>
              <w:left w:val="single" w:color="auto" w:sz="2" w:space="0"/>
              <w:bottom w:val="single" w:color="auto" w:sz="2" w:space="0"/>
              <w:right w:val="single" w:color="auto" w:sz="2" w:space="0"/>
            </w:tcBorders>
            <w:vAlign w:val="center"/>
          </w:tcPr>
          <w:p w14:paraId="29FD111A">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643" w:type="dxa"/>
            <w:tcBorders>
              <w:top w:val="single" w:color="auto" w:sz="2" w:space="0"/>
              <w:left w:val="single" w:color="auto" w:sz="2" w:space="0"/>
              <w:bottom w:val="single" w:color="auto" w:sz="2" w:space="0"/>
              <w:right w:val="single" w:color="auto" w:sz="2" w:space="0"/>
            </w:tcBorders>
            <w:vAlign w:val="center"/>
          </w:tcPr>
          <w:p w14:paraId="76F81559">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643" w:type="dxa"/>
            <w:tcBorders>
              <w:top w:val="single" w:color="auto" w:sz="2" w:space="0"/>
              <w:left w:val="single" w:color="auto" w:sz="2" w:space="0"/>
              <w:bottom w:val="single" w:color="auto" w:sz="2" w:space="0"/>
              <w:right w:val="single" w:color="auto" w:sz="2" w:space="0"/>
            </w:tcBorders>
            <w:vAlign w:val="center"/>
          </w:tcPr>
          <w:p w14:paraId="223308A4">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643" w:type="dxa"/>
            <w:tcBorders>
              <w:top w:val="single" w:color="auto" w:sz="2" w:space="0"/>
              <w:left w:val="single" w:color="auto" w:sz="2" w:space="0"/>
              <w:bottom w:val="single" w:color="auto" w:sz="2" w:space="0"/>
              <w:right w:val="single" w:color="auto" w:sz="2" w:space="0"/>
            </w:tcBorders>
            <w:vAlign w:val="center"/>
          </w:tcPr>
          <w:p w14:paraId="13A5324F">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c>
          <w:tcPr>
            <w:tcW w:w="643" w:type="dxa"/>
            <w:tcBorders>
              <w:top w:val="single" w:color="auto" w:sz="2" w:space="0"/>
              <w:left w:val="single" w:color="auto" w:sz="2" w:space="0"/>
              <w:bottom w:val="single" w:color="auto" w:sz="2" w:space="0"/>
              <w:right w:val="single" w:color="auto" w:sz="2" w:space="0"/>
            </w:tcBorders>
            <w:vAlign w:val="center"/>
          </w:tcPr>
          <w:p w14:paraId="113B80D3">
            <w:pPr>
              <w:spacing w:before="0" w:after="0" w:line="240" w:lineRule="exact"/>
              <w:jc w:val="lef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14:paraId="170279B9">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643" w:type="dxa"/>
            <w:tcBorders>
              <w:top w:val="single" w:color="auto" w:sz="2" w:space="0"/>
              <w:left w:val="single" w:color="auto" w:sz="2" w:space="0"/>
              <w:bottom w:val="single" w:color="auto" w:sz="2" w:space="0"/>
              <w:right w:val="single" w:color="auto" w:sz="2" w:space="0"/>
            </w:tcBorders>
            <w:vAlign w:val="center"/>
          </w:tcPr>
          <w:p w14:paraId="5A41A70C">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643" w:type="dxa"/>
            <w:tcBorders>
              <w:top w:val="single" w:color="auto" w:sz="2" w:space="0"/>
              <w:left w:val="single" w:color="auto" w:sz="2" w:space="0"/>
              <w:bottom w:val="single" w:color="auto" w:sz="2" w:space="0"/>
              <w:right w:val="single" w:color="auto" w:sz="2" w:space="0"/>
            </w:tcBorders>
            <w:vAlign w:val="center"/>
          </w:tcPr>
          <w:p w14:paraId="184612F6">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643" w:type="dxa"/>
            <w:tcBorders>
              <w:top w:val="single" w:color="auto" w:sz="2" w:space="0"/>
              <w:left w:val="single" w:color="auto" w:sz="2" w:space="0"/>
              <w:bottom w:val="single" w:color="auto" w:sz="2" w:space="0"/>
              <w:right w:val="single" w:color="auto" w:sz="2" w:space="0"/>
            </w:tcBorders>
            <w:vAlign w:val="center"/>
          </w:tcPr>
          <w:p w14:paraId="6D641A96">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109C94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70"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10E56554">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5B6E0900">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vAlign w:val="center"/>
          </w:tcPr>
          <w:p w14:paraId="20C07BF9">
            <w:pPr>
              <w:spacing w:before="0" w:after="0" w:line="240" w:lineRule="exact"/>
              <w:jc w:val="right"/>
              <w:rPr>
                <w:rFonts w:ascii="宋体" w:hAnsi="宋体" w:eastAsia="宋体" w:cs="宋体"/>
                <w:sz w:val="18"/>
                <w:szCs w:val="18"/>
              </w:rPr>
            </w:pPr>
            <w:r>
              <w:rPr>
                <w:rFonts w:ascii="宋体" w:hAnsi="宋体" w:eastAsia="宋体" w:cs="宋体"/>
                <w:sz w:val="18"/>
                <w:szCs w:val="18"/>
              </w:rPr>
              <w:t>55,000</w:t>
            </w:r>
          </w:p>
        </w:tc>
        <w:tc>
          <w:tcPr>
            <w:tcW w:w="643" w:type="dxa"/>
            <w:tcBorders>
              <w:top w:val="single" w:color="auto" w:sz="2" w:space="0"/>
              <w:left w:val="single" w:color="auto" w:sz="2" w:space="0"/>
              <w:bottom w:val="single" w:color="auto" w:sz="2" w:space="0"/>
              <w:right w:val="single" w:color="auto" w:sz="2" w:space="0"/>
            </w:tcBorders>
            <w:vAlign w:val="center"/>
          </w:tcPr>
          <w:p w14:paraId="3A4FA7E2">
            <w:pPr>
              <w:spacing w:before="0" w:after="0" w:line="240" w:lineRule="exact"/>
              <w:jc w:val="right"/>
              <w:rPr>
                <w:rFonts w:ascii="宋体" w:hAnsi="宋体" w:eastAsia="宋体" w:cs="宋体"/>
                <w:sz w:val="18"/>
                <w:szCs w:val="18"/>
              </w:rPr>
            </w:pPr>
            <w:r>
              <w:rPr>
                <w:rFonts w:ascii="宋体" w:hAnsi="宋体" w:eastAsia="宋体" w:cs="宋体"/>
                <w:sz w:val="18"/>
                <w:szCs w:val="18"/>
              </w:rPr>
              <w:t>49,958.41</w:t>
            </w:r>
          </w:p>
        </w:tc>
        <w:tc>
          <w:tcPr>
            <w:tcW w:w="643" w:type="dxa"/>
            <w:tcBorders>
              <w:top w:val="single" w:color="auto" w:sz="2" w:space="0"/>
              <w:left w:val="single" w:color="auto" w:sz="2" w:space="0"/>
              <w:bottom w:val="single" w:color="auto" w:sz="2" w:space="0"/>
              <w:right w:val="single" w:color="auto" w:sz="2" w:space="0"/>
            </w:tcBorders>
            <w:vAlign w:val="center"/>
          </w:tcPr>
          <w:p w14:paraId="0F55520F">
            <w:pPr>
              <w:spacing w:before="0" w:after="0" w:line="240" w:lineRule="exact"/>
              <w:jc w:val="right"/>
              <w:rPr>
                <w:rFonts w:ascii="宋体" w:hAnsi="宋体" w:eastAsia="宋体" w:cs="宋体"/>
                <w:sz w:val="18"/>
                <w:szCs w:val="18"/>
              </w:rPr>
            </w:pPr>
            <w:r>
              <w:rPr>
                <w:rFonts w:ascii="宋体" w:hAnsi="宋体" w:eastAsia="宋体" w:cs="宋体"/>
                <w:sz w:val="18"/>
                <w:szCs w:val="18"/>
              </w:rPr>
              <w:t>12,767.72</w:t>
            </w:r>
          </w:p>
        </w:tc>
        <w:tc>
          <w:tcPr>
            <w:tcW w:w="643" w:type="dxa"/>
            <w:tcBorders>
              <w:top w:val="single" w:color="auto" w:sz="2" w:space="0"/>
              <w:left w:val="single" w:color="auto" w:sz="2" w:space="0"/>
              <w:bottom w:val="single" w:color="auto" w:sz="2" w:space="0"/>
              <w:right w:val="single" w:color="auto" w:sz="2" w:space="0"/>
            </w:tcBorders>
            <w:vAlign w:val="center"/>
          </w:tcPr>
          <w:p w14:paraId="070B5B02">
            <w:pPr>
              <w:spacing w:before="0" w:after="0" w:line="240" w:lineRule="exact"/>
              <w:jc w:val="right"/>
              <w:rPr>
                <w:rFonts w:ascii="宋体" w:hAnsi="宋体" w:eastAsia="宋体" w:cs="宋体"/>
                <w:sz w:val="18"/>
                <w:szCs w:val="18"/>
              </w:rPr>
            </w:pPr>
            <w:r>
              <w:rPr>
                <w:rFonts w:ascii="宋体" w:hAnsi="宋体" w:eastAsia="宋体" w:cs="宋体"/>
                <w:sz w:val="18"/>
                <w:szCs w:val="18"/>
              </w:rPr>
              <w:t>50,787.21</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6BF443DB">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5FC9B9BE">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vAlign w:val="center"/>
          </w:tcPr>
          <w:p w14:paraId="58885155">
            <w:pPr>
              <w:spacing w:before="0" w:after="0" w:line="240" w:lineRule="exact"/>
              <w:jc w:val="right"/>
              <w:rPr>
                <w:rFonts w:ascii="宋体" w:hAnsi="宋体" w:eastAsia="宋体" w:cs="宋体"/>
                <w:sz w:val="18"/>
                <w:szCs w:val="18"/>
              </w:rPr>
            </w:pPr>
            <w:r>
              <w:rPr>
                <w:rFonts w:ascii="宋体" w:hAnsi="宋体" w:eastAsia="宋体" w:cs="宋体"/>
                <w:sz w:val="18"/>
                <w:szCs w:val="18"/>
              </w:rPr>
              <w:t>1,651.89</w:t>
            </w:r>
          </w:p>
        </w:tc>
        <w:tc>
          <w:tcPr>
            <w:tcW w:w="643" w:type="dxa"/>
            <w:tcBorders>
              <w:top w:val="single" w:color="auto" w:sz="2" w:space="0"/>
              <w:left w:val="single" w:color="auto" w:sz="2" w:space="0"/>
              <w:bottom w:val="single" w:color="auto" w:sz="2" w:space="0"/>
              <w:right w:val="single" w:color="auto" w:sz="2" w:space="0"/>
            </w:tcBorders>
            <w:vAlign w:val="center"/>
          </w:tcPr>
          <w:p w14:paraId="04A69F3E">
            <w:pPr>
              <w:spacing w:before="0" w:after="0" w:line="240" w:lineRule="exact"/>
              <w:jc w:val="right"/>
              <w:rPr>
                <w:rFonts w:ascii="宋体" w:hAnsi="宋体" w:eastAsia="宋体" w:cs="宋体"/>
                <w:sz w:val="18"/>
                <w:szCs w:val="18"/>
              </w:rPr>
            </w:pPr>
            <w:r>
              <w:rPr>
                <w:rFonts w:ascii="宋体" w:hAnsi="宋体" w:eastAsia="宋体" w:cs="宋体"/>
                <w:sz w:val="18"/>
                <w:szCs w:val="18"/>
              </w:rPr>
              <w:t>1,796.43</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63A19BA3">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724C7F4B">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r w14:paraId="5CD00D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680DC87">
            <w:pPr>
              <w:spacing w:before="40" w:after="40" w:line="240" w:lineRule="exact"/>
              <w:jc w:val="left"/>
              <w:rPr>
                <w:rFonts w:ascii="宋体" w:hAnsi="宋体" w:eastAsia="宋体" w:cs="宋体"/>
                <w:sz w:val="18"/>
                <w:szCs w:val="18"/>
              </w:rPr>
            </w:pPr>
            <w:r>
              <w:rPr>
                <w:rFonts w:ascii="宋体" w:hAnsi="宋体" w:eastAsia="宋体" w:cs="宋体"/>
                <w:sz w:val="18"/>
                <w:szCs w:val="18"/>
              </w:rPr>
              <w:t>分项目说明未达到计划进度、预计收益的情况和原因（含“是否达到预计效益”选择“不适用”的原因）</w:t>
            </w:r>
          </w:p>
        </w:tc>
        <w:tc>
          <w:tcPr>
            <w:tcW w:w="8354" w:type="dxa"/>
            <w:gridSpan w:val="13"/>
            <w:tcBorders>
              <w:top w:val="single" w:color="auto" w:sz="2" w:space="0"/>
              <w:left w:val="single" w:color="auto" w:sz="2" w:space="0"/>
              <w:bottom w:val="single" w:color="auto" w:sz="2" w:space="0"/>
              <w:right w:val="single" w:color="auto" w:sz="2" w:space="0"/>
            </w:tcBorders>
            <w:vAlign w:val="center"/>
          </w:tcPr>
          <w:p w14:paraId="7C7DA54F">
            <w:pPr>
              <w:spacing w:before="0" w:after="0" w:line="240" w:lineRule="exact"/>
              <w:jc w:val="left"/>
              <w:rPr>
                <w:rFonts w:ascii="宋体" w:hAnsi="宋体" w:eastAsia="宋体" w:cs="宋体"/>
                <w:sz w:val="18"/>
                <w:szCs w:val="18"/>
              </w:rPr>
            </w:pPr>
            <w:r>
              <w:rPr>
                <w:rFonts w:ascii="宋体" w:hAnsi="宋体" w:eastAsia="宋体" w:cs="宋体"/>
                <w:sz w:val="18"/>
                <w:szCs w:val="18"/>
              </w:rPr>
              <w:t>1、原料药制剂一体化生产基地建设项目：本项目包括投资建设原料药生产基地和制剂生产基地。</w:t>
            </w:r>
          </w:p>
          <w:p w14:paraId="79A592A9">
            <w:pPr>
              <w:spacing w:before="0" w:after="0" w:line="240" w:lineRule="exact"/>
              <w:jc w:val="left"/>
              <w:rPr>
                <w:rFonts w:ascii="宋体" w:hAnsi="宋体" w:eastAsia="宋体" w:cs="宋体"/>
                <w:sz w:val="18"/>
                <w:szCs w:val="18"/>
              </w:rPr>
            </w:pPr>
            <w:r>
              <w:rPr>
                <w:rFonts w:ascii="宋体" w:hAnsi="宋体" w:eastAsia="宋体" w:cs="宋体"/>
                <w:sz w:val="18"/>
                <w:szCs w:val="18"/>
              </w:rPr>
              <w:t>（1）由全资子公司福建广生堂金塘药业有限公司负责执行的原料药生产基地建设项目已完成建设，目前受原料药项目规模、市场环境及成本效益的综合影响，该项目尚未取得原料药生产许可并进入原料药的生产阶段。为了提升项目经济效益，前述生产基地已完成公司产品水飞蓟宾葡甲胺片原料药起始物料水飞蓟宾的工艺开发，正开展试生产并实现商业化销售。</w:t>
            </w:r>
          </w:p>
          <w:p w14:paraId="455916F3">
            <w:pPr>
              <w:spacing w:before="0" w:after="0" w:line="240" w:lineRule="exact"/>
              <w:jc w:val="left"/>
              <w:rPr>
                <w:rFonts w:ascii="宋体" w:hAnsi="宋体" w:eastAsia="宋体" w:cs="宋体"/>
                <w:sz w:val="18"/>
                <w:szCs w:val="18"/>
              </w:rPr>
            </w:pPr>
            <w:r>
              <w:rPr>
                <w:rFonts w:ascii="宋体" w:hAnsi="宋体" w:eastAsia="宋体" w:cs="宋体"/>
                <w:sz w:val="18"/>
                <w:szCs w:val="18"/>
              </w:rPr>
              <w:t>（2）由广生堂公司负责执行的制剂生产基地建设项目，目前基本已完成建设并投入使用，相关药品的生产工作正根据市场需求及产能状况有序安排且已实现了一定的运营效益。由于相关药品市场推广周期较短，部分药品仍处于市场开拓阶段，产能尚未完全释放，同时叠加固定资产折旧等因素影响，项目效益尚未充分释放。</w:t>
            </w:r>
          </w:p>
          <w:p w14:paraId="1BBBDD32">
            <w:pPr>
              <w:spacing w:before="0" w:after="0" w:line="240" w:lineRule="exact"/>
              <w:jc w:val="left"/>
              <w:rPr>
                <w:rFonts w:ascii="宋体" w:hAnsi="宋体" w:eastAsia="宋体" w:cs="宋体"/>
                <w:sz w:val="18"/>
                <w:szCs w:val="18"/>
              </w:rPr>
            </w:pPr>
            <w:r>
              <w:rPr>
                <w:rFonts w:ascii="宋体" w:hAnsi="宋体" w:eastAsia="宋体" w:cs="宋体"/>
                <w:sz w:val="18"/>
                <w:szCs w:val="18"/>
              </w:rPr>
              <w:t>2、江苏中兴制剂车间建设项目：结合公司实际产能情况、相关产品的产销情况及未来市场预期，预计现有产能并通过内部挖潜和技改能够满足现阶段及未来一定期间的市场需求。同时，公司近几年持续的创新药研发投入及经营规模的扩大，公司对流动资金的需求不断增加，需要有足够的营运资金作为保障，以增强公司抗风险能力及竞争能力。根据公司创新战略发展和资源综合调度的需求，本着控制风险、审慎投资的原则，公司决定终止并将该项目全部剩余募集资金用于永久补充流动资金。2023年12月29日，公司召开第四届董事会第二十七次会议和第四届监事会第二十四次会议，审议通过了《关于终止部分募集资金投资项目并将剩余募集资金永久补充流动资金的议案》，为提高募集资金使用效率，降低募集资金投资风险，根据公司募投项目的实际进展情况及市场环境变化，同意公司对 “江苏中兴制剂车间建设项目”予以终止，并将上述项目终止后剩余的募集资金永久补充流动资金，用于公司日常生产经营及业务发展。本议案在2024年1月15日召开的2024年第一次临时股东大会决议中获得通过。</w:t>
            </w:r>
          </w:p>
        </w:tc>
      </w:tr>
      <w:tr w14:paraId="76A4C6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3CC68E8">
            <w:pPr>
              <w:spacing w:before="40" w:after="40" w:line="240" w:lineRule="exact"/>
              <w:jc w:val="left"/>
              <w:rPr>
                <w:rFonts w:ascii="宋体" w:hAnsi="宋体" w:eastAsia="宋体" w:cs="宋体"/>
                <w:sz w:val="18"/>
                <w:szCs w:val="18"/>
              </w:rPr>
            </w:pPr>
            <w:r>
              <w:rPr>
                <w:rFonts w:ascii="宋体" w:hAnsi="宋体" w:eastAsia="宋体" w:cs="宋体"/>
                <w:sz w:val="18"/>
                <w:szCs w:val="18"/>
              </w:rPr>
              <w:t>项目可行性发生重大变化的情况说明</w:t>
            </w:r>
          </w:p>
        </w:tc>
        <w:tc>
          <w:tcPr>
            <w:tcW w:w="8354" w:type="dxa"/>
            <w:gridSpan w:val="13"/>
            <w:tcBorders>
              <w:top w:val="single" w:color="auto" w:sz="2" w:space="0"/>
              <w:left w:val="single" w:color="auto" w:sz="2" w:space="0"/>
              <w:bottom w:val="single" w:color="auto" w:sz="2" w:space="0"/>
              <w:right w:val="single" w:color="auto" w:sz="2" w:space="0"/>
            </w:tcBorders>
            <w:vAlign w:val="center"/>
          </w:tcPr>
          <w:p w14:paraId="2B3E408B">
            <w:pPr>
              <w:spacing w:before="0" w:after="0" w:line="240" w:lineRule="exact"/>
              <w:jc w:val="left"/>
              <w:rPr>
                <w:rFonts w:ascii="宋体" w:hAnsi="宋体" w:eastAsia="宋体" w:cs="宋体"/>
                <w:sz w:val="18"/>
                <w:szCs w:val="18"/>
              </w:rPr>
            </w:pPr>
            <w:r>
              <w:rPr>
                <w:rFonts w:ascii="宋体" w:hAnsi="宋体" w:eastAsia="宋体" w:cs="宋体"/>
                <w:sz w:val="18"/>
                <w:szCs w:val="18"/>
              </w:rPr>
              <w:t>募投项目建设期内，水飞蓟宾葡甲胺片、参芪健胃颗粒等市场需求和产品销售总体平稳增长，但未发生重大变化，随着近几年江苏中兴生产组织和管理效率提升、生产工人技术更加成熟所带来的生产效率提高及生产车间的技改升级，相关产品生产线产能和产能利用率得到进一步优化及提升，结合相关产品最近三年一期的产销情况及未来市场预期，预计现有产能并通过内部挖潜和技改能够满足现阶段及未来一定期间的市场需求；此外，随着药品上市许可持有人制度相关的配套法规出台，药品的生产不再受限于企业自身生产基地的制约，可以通过委托生产等方式，灵活保障产能并减少大额资金投入和节约生产成本。鉴于公司近几年持续的创新药研发投入及经营规模的扩大，且公司抗新冠病毒口服小分子 3CL 蛋白酶抑制剂一类创新药泰中定获批上市销售，公司对流动资金的需求不断增加，需要有足够的营运资金作为保障，以增强公司抗风险能力及竞争能力。综上所述，为提升公司募集资金使用效率，优化资源配置，缓解公司正常经营所需的流动资金压力，降低公司运营风险，根据公司创新战略发展和资源综合调度的需求，本着控制风险、审慎投资的原则，公司决定终止并将该项目全部剩余募集资金用于永久补充流动资金。未来公司将根据市场需求及经营状况，若有需要将使用自有资金进行项目建设。</w:t>
            </w:r>
          </w:p>
        </w:tc>
      </w:tr>
      <w:tr w14:paraId="3208F8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0D837CB">
            <w:pPr>
              <w:spacing w:before="40" w:after="40" w:line="240" w:lineRule="exact"/>
              <w:jc w:val="left"/>
              <w:rPr>
                <w:rFonts w:ascii="宋体" w:hAnsi="宋体" w:eastAsia="宋体" w:cs="宋体"/>
                <w:sz w:val="18"/>
                <w:szCs w:val="18"/>
              </w:rPr>
            </w:pPr>
            <w:r>
              <w:rPr>
                <w:rFonts w:ascii="宋体" w:hAnsi="宋体" w:eastAsia="宋体" w:cs="宋体"/>
                <w:sz w:val="18"/>
                <w:szCs w:val="18"/>
              </w:rPr>
              <w:t>超募资金的金额、用途及使用进展情况</w:t>
            </w:r>
          </w:p>
        </w:tc>
        <w:tc>
          <w:tcPr>
            <w:tcW w:w="8354" w:type="dxa"/>
            <w:gridSpan w:val="13"/>
            <w:tcBorders>
              <w:top w:val="single" w:color="auto" w:sz="2" w:space="0"/>
              <w:left w:val="single" w:color="auto" w:sz="2" w:space="0"/>
              <w:bottom w:val="single" w:color="auto" w:sz="2" w:space="0"/>
              <w:right w:val="single" w:color="auto" w:sz="2" w:space="0"/>
            </w:tcBorders>
            <w:vAlign w:val="center"/>
          </w:tcPr>
          <w:p w14:paraId="2605C3BF">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3B7A9E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013B883">
            <w:pPr>
              <w:spacing w:before="40" w:after="40" w:line="240" w:lineRule="exact"/>
              <w:jc w:val="left"/>
              <w:rPr>
                <w:rFonts w:ascii="宋体" w:hAnsi="宋体" w:eastAsia="宋体" w:cs="宋体"/>
                <w:sz w:val="18"/>
                <w:szCs w:val="18"/>
              </w:rPr>
            </w:pPr>
            <w:r>
              <w:rPr>
                <w:rFonts w:ascii="宋体" w:hAnsi="宋体" w:eastAsia="宋体" w:cs="宋体"/>
                <w:sz w:val="18"/>
                <w:szCs w:val="18"/>
              </w:rPr>
              <w:t>募集资金投资项目实施地点变更情况</w:t>
            </w:r>
          </w:p>
        </w:tc>
        <w:tc>
          <w:tcPr>
            <w:tcW w:w="8354" w:type="dxa"/>
            <w:gridSpan w:val="13"/>
            <w:tcBorders>
              <w:top w:val="single" w:color="auto" w:sz="2" w:space="0"/>
              <w:left w:val="single" w:color="auto" w:sz="2" w:space="0"/>
              <w:bottom w:val="single" w:color="auto" w:sz="2" w:space="0"/>
              <w:right w:val="single" w:color="auto" w:sz="2" w:space="0"/>
            </w:tcBorders>
            <w:vAlign w:val="center"/>
          </w:tcPr>
          <w:p w14:paraId="6A68502B">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6AB8D9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3CA7DD6">
            <w:pPr>
              <w:spacing w:before="40" w:after="40" w:line="240" w:lineRule="exact"/>
              <w:jc w:val="left"/>
              <w:rPr>
                <w:rFonts w:ascii="宋体" w:hAnsi="宋体" w:eastAsia="宋体" w:cs="宋体"/>
                <w:sz w:val="18"/>
                <w:szCs w:val="18"/>
              </w:rPr>
            </w:pPr>
            <w:r>
              <w:rPr>
                <w:rFonts w:ascii="宋体" w:hAnsi="宋体" w:eastAsia="宋体" w:cs="宋体"/>
                <w:sz w:val="18"/>
                <w:szCs w:val="18"/>
              </w:rPr>
              <w:t>募集资金投资项目实施方式调整情况</w:t>
            </w:r>
          </w:p>
        </w:tc>
        <w:tc>
          <w:tcPr>
            <w:tcW w:w="8354" w:type="dxa"/>
            <w:gridSpan w:val="13"/>
            <w:tcBorders>
              <w:top w:val="single" w:color="auto" w:sz="2" w:space="0"/>
              <w:left w:val="single" w:color="auto" w:sz="2" w:space="0"/>
              <w:bottom w:val="single" w:color="auto" w:sz="2" w:space="0"/>
              <w:right w:val="single" w:color="auto" w:sz="2" w:space="0"/>
            </w:tcBorders>
            <w:vAlign w:val="center"/>
          </w:tcPr>
          <w:p w14:paraId="18131F03">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461A55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75C6BFD">
            <w:pPr>
              <w:spacing w:before="40" w:after="40" w:line="240" w:lineRule="exact"/>
              <w:jc w:val="left"/>
              <w:rPr>
                <w:rFonts w:ascii="宋体" w:hAnsi="宋体" w:eastAsia="宋体" w:cs="宋体"/>
                <w:sz w:val="18"/>
                <w:szCs w:val="18"/>
              </w:rPr>
            </w:pPr>
            <w:r>
              <w:rPr>
                <w:rFonts w:ascii="宋体" w:hAnsi="宋体" w:eastAsia="宋体" w:cs="宋体"/>
                <w:sz w:val="18"/>
                <w:szCs w:val="18"/>
              </w:rPr>
              <w:t>募集资金投资项目先期投入及置换情况</w:t>
            </w:r>
          </w:p>
        </w:tc>
        <w:tc>
          <w:tcPr>
            <w:tcW w:w="8354" w:type="dxa"/>
            <w:gridSpan w:val="13"/>
            <w:tcBorders>
              <w:top w:val="single" w:color="auto" w:sz="2" w:space="0"/>
              <w:left w:val="single" w:color="auto" w:sz="2" w:space="0"/>
              <w:bottom w:val="single" w:color="auto" w:sz="2" w:space="0"/>
              <w:right w:val="single" w:color="auto" w:sz="2" w:space="0"/>
            </w:tcBorders>
            <w:vAlign w:val="center"/>
          </w:tcPr>
          <w:p w14:paraId="54426EA5">
            <w:pPr>
              <w:spacing w:before="0" w:after="0" w:line="240" w:lineRule="exact"/>
              <w:jc w:val="left"/>
              <w:rPr>
                <w:rFonts w:ascii="宋体" w:hAnsi="宋体" w:eastAsia="宋体" w:cs="宋体"/>
                <w:sz w:val="18"/>
                <w:szCs w:val="18"/>
              </w:rPr>
            </w:pPr>
            <w:r>
              <w:rPr>
                <w:rFonts w:ascii="宋体" w:hAnsi="宋体" w:eastAsia="宋体" w:cs="宋体"/>
                <w:sz w:val="18"/>
                <w:szCs w:val="18"/>
              </w:rPr>
              <w:t>适用</w:t>
            </w:r>
          </w:p>
        </w:tc>
      </w:tr>
      <w:tr w14:paraId="2C7834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71C0FD9"/>
        </w:tc>
        <w:tc>
          <w:tcPr>
            <w:tcW w:w="8354" w:type="dxa"/>
            <w:gridSpan w:val="13"/>
            <w:tcBorders>
              <w:top w:val="single" w:color="auto" w:sz="2" w:space="0"/>
              <w:left w:val="single" w:color="auto" w:sz="2" w:space="0"/>
              <w:bottom w:val="single" w:color="auto" w:sz="2" w:space="0"/>
              <w:right w:val="single" w:color="auto" w:sz="2" w:space="0"/>
            </w:tcBorders>
            <w:vAlign w:val="center"/>
          </w:tcPr>
          <w:p w14:paraId="6D1B3214">
            <w:pPr>
              <w:spacing w:before="0" w:after="0" w:line="240" w:lineRule="exact"/>
              <w:jc w:val="left"/>
              <w:rPr>
                <w:rFonts w:ascii="宋体" w:hAnsi="宋体" w:eastAsia="宋体" w:cs="宋体"/>
                <w:sz w:val="18"/>
                <w:szCs w:val="18"/>
              </w:rPr>
            </w:pPr>
            <w:r>
              <w:rPr>
                <w:rFonts w:ascii="宋体" w:hAnsi="宋体" w:eastAsia="宋体" w:cs="宋体"/>
                <w:sz w:val="18"/>
                <w:szCs w:val="18"/>
              </w:rPr>
              <w:t>2021年1月1日至2021年6月30日期间，公司不存在使用募集资金置换前期投入募集资金投资项目的情况。</w:t>
            </w:r>
          </w:p>
          <w:p w14:paraId="5A1F9BC2">
            <w:pPr>
              <w:spacing w:before="0" w:after="0" w:line="240" w:lineRule="exact"/>
              <w:jc w:val="left"/>
              <w:rPr>
                <w:rFonts w:ascii="宋体" w:hAnsi="宋体" w:eastAsia="宋体" w:cs="宋体"/>
                <w:sz w:val="18"/>
                <w:szCs w:val="18"/>
              </w:rPr>
            </w:pPr>
            <w:r>
              <w:rPr>
                <w:rFonts w:ascii="宋体" w:hAnsi="宋体" w:eastAsia="宋体" w:cs="宋体"/>
                <w:sz w:val="18"/>
                <w:szCs w:val="18"/>
              </w:rPr>
              <w:t>2021年8月6日公司召开第四届董事会第五次会议及第四届监事会第五次会议，审议通过了《关于使用募集资金置换已预先投入募投项目的自筹资金的议案》，同意公司以募集资金置换预先投入募投项目的自筹资金 53,166,737.48 元。大华会计师事务所（特殊普通合伙）对公司以自筹资金预先投入募投项目情况进行了审核，出具了《福建广生堂药业股份有限公司以自筹资金预先投入募集资金投资项目的鉴证报告》大华核字[2021]0010334 号。</w:t>
            </w:r>
          </w:p>
        </w:tc>
      </w:tr>
      <w:tr w14:paraId="2FB63E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6D6960F">
            <w:pPr>
              <w:spacing w:before="40" w:after="40" w:line="240" w:lineRule="exact"/>
              <w:jc w:val="left"/>
              <w:rPr>
                <w:rFonts w:ascii="宋体" w:hAnsi="宋体" w:eastAsia="宋体" w:cs="宋体"/>
                <w:sz w:val="18"/>
                <w:szCs w:val="18"/>
              </w:rPr>
            </w:pPr>
            <w:r>
              <w:rPr>
                <w:rFonts w:ascii="宋体" w:hAnsi="宋体" w:eastAsia="宋体" w:cs="宋体"/>
                <w:sz w:val="18"/>
                <w:szCs w:val="18"/>
              </w:rPr>
              <w:t>用闲置募集资金暂时补充流动资金情况</w:t>
            </w:r>
          </w:p>
        </w:tc>
        <w:tc>
          <w:tcPr>
            <w:tcW w:w="8354" w:type="dxa"/>
            <w:gridSpan w:val="13"/>
            <w:tcBorders>
              <w:top w:val="single" w:color="auto" w:sz="2" w:space="0"/>
              <w:left w:val="single" w:color="auto" w:sz="2" w:space="0"/>
              <w:bottom w:val="single" w:color="auto" w:sz="2" w:space="0"/>
              <w:right w:val="single" w:color="auto" w:sz="2" w:space="0"/>
            </w:tcBorders>
            <w:vAlign w:val="center"/>
          </w:tcPr>
          <w:p w14:paraId="4F27E332">
            <w:pPr>
              <w:spacing w:before="0" w:after="0" w:line="240" w:lineRule="exact"/>
              <w:jc w:val="left"/>
              <w:rPr>
                <w:rFonts w:ascii="宋体" w:hAnsi="宋体" w:eastAsia="宋体" w:cs="宋体"/>
                <w:sz w:val="18"/>
                <w:szCs w:val="18"/>
              </w:rPr>
            </w:pPr>
            <w:r>
              <w:rPr>
                <w:rFonts w:ascii="宋体" w:hAnsi="宋体" w:eastAsia="宋体" w:cs="宋体"/>
                <w:sz w:val="18"/>
                <w:szCs w:val="18"/>
              </w:rPr>
              <w:t>适用</w:t>
            </w:r>
          </w:p>
        </w:tc>
      </w:tr>
      <w:tr w14:paraId="475429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070456B"/>
        </w:tc>
        <w:tc>
          <w:tcPr>
            <w:tcW w:w="8354" w:type="dxa"/>
            <w:gridSpan w:val="13"/>
            <w:tcBorders>
              <w:top w:val="single" w:color="auto" w:sz="2" w:space="0"/>
              <w:left w:val="single" w:color="auto" w:sz="2" w:space="0"/>
              <w:bottom w:val="single" w:color="auto" w:sz="2" w:space="0"/>
              <w:right w:val="single" w:color="auto" w:sz="2" w:space="0"/>
            </w:tcBorders>
            <w:vAlign w:val="center"/>
          </w:tcPr>
          <w:p w14:paraId="508CDA6C">
            <w:pPr>
              <w:spacing w:before="0" w:after="0" w:line="240" w:lineRule="exact"/>
              <w:jc w:val="left"/>
              <w:rPr>
                <w:rFonts w:ascii="宋体" w:hAnsi="宋体" w:eastAsia="宋体" w:cs="宋体"/>
                <w:sz w:val="18"/>
                <w:szCs w:val="18"/>
              </w:rPr>
            </w:pPr>
            <w:r>
              <w:rPr>
                <w:rFonts w:ascii="宋体" w:hAnsi="宋体" w:eastAsia="宋体" w:cs="宋体"/>
                <w:sz w:val="18"/>
                <w:szCs w:val="18"/>
              </w:rPr>
              <w:t>（1）2022年7月27日，召开第四届董事会第十四次会议和第四届监事会第十三次会议，审议通过了《关于使用部分闲置募集资金暂时补充流动资金的议案》，同意公司使用部分闲置募集资金5,000万元暂时补充流动资金，使用期限自董事会审议通过之日起不超过12个月，到期后将归还至募集资金专户。公司实际使用闲置募集资金 3,500 万元暂时补充流动资金，并已于2023年6月归还至募集资金专户。</w:t>
            </w:r>
          </w:p>
          <w:p w14:paraId="31F73C95">
            <w:pPr>
              <w:spacing w:before="0" w:after="0" w:line="240" w:lineRule="exact"/>
              <w:jc w:val="left"/>
              <w:rPr>
                <w:rFonts w:ascii="宋体" w:hAnsi="宋体" w:eastAsia="宋体" w:cs="宋体"/>
                <w:sz w:val="18"/>
                <w:szCs w:val="18"/>
              </w:rPr>
            </w:pPr>
            <w:r>
              <w:rPr>
                <w:rFonts w:ascii="宋体" w:hAnsi="宋体" w:eastAsia="宋体" w:cs="宋体"/>
                <w:sz w:val="18"/>
                <w:szCs w:val="18"/>
              </w:rPr>
              <w:t>（2）2023年7月13日，公司召开第四届董事会第二十三次会议和第四届监事会第二十一次会议，审议通过《关于使用部分闲置募集资金暂时补充流动资金的议案》，同意公司使用部分闲置募集资金不超过人民币7,000万元（含本数）暂时补充流动资金，使用期限自董事会审议通过之日起不超过12个月，到期前或募集资金投资项目需要时立即归还至募集资金专户。公司实际使用4,500万元用于暂时补充流动资金。并已于2024年1月15日归还至募集资金专户。</w:t>
            </w:r>
          </w:p>
        </w:tc>
      </w:tr>
      <w:tr w14:paraId="32589D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FFA9016">
            <w:pPr>
              <w:spacing w:before="40" w:after="40" w:line="240" w:lineRule="exact"/>
              <w:jc w:val="left"/>
              <w:rPr>
                <w:rFonts w:ascii="宋体" w:hAnsi="宋体" w:eastAsia="宋体" w:cs="宋体"/>
                <w:sz w:val="18"/>
                <w:szCs w:val="18"/>
              </w:rPr>
            </w:pPr>
            <w:r>
              <w:rPr>
                <w:rFonts w:ascii="宋体" w:hAnsi="宋体" w:eastAsia="宋体" w:cs="宋体"/>
                <w:sz w:val="18"/>
                <w:szCs w:val="18"/>
              </w:rPr>
              <w:t>项目实施出现募集资金结余的金额及原因</w:t>
            </w:r>
          </w:p>
        </w:tc>
        <w:tc>
          <w:tcPr>
            <w:tcW w:w="8354" w:type="dxa"/>
            <w:gridSpan w:val="13"/>
            <w:tcBorders>
              <w:top w:val="single" w:color="auto" w:sz="2" w:space="0"/>
              <w:left w:val="single" w:color="auto" w:sz="2" w:space="0"/>
              <w:bottom w:val="single" w:color="auto" w:sz="2" w:space="0"/>
              <w:right w:val="single" w:color="auto" w:sz="2" w:space="0"/>
            </w:tcBorders>
            <w:vAlign w:val="center"/>
          </w:tcPr>
          <w:p w14:paraId="3950DB59">
            <w:pPr>
              <w:spacing w:before="0" w:after="0" w:line="240" w:lineRule="exact"/>
              <w:jc w:val="left"/>
              <w:rPr>
                <w:rFonts w:ascii="宋体" w:hAnsi="宋体" w:eastAsia="宋体" w:cs="宋体"/>
                <w:sz w:val="18"/>
                <w:szCs w:val="18"/>
              </w:rPr>
            </w:pPr>
            <w:r>
              <w:rPr>
                <w:rFonts w:ascii="宋体" w:hAnsi="宋体" w:eastAsia="宋体" w:cs="宋体"/>
                <w:sz w:val="18"/>
                <w:szCs w:val="18"/>
              </w:rPr>
              <w:t>适用</w:t>
            </w:r>
          </w:p>
        </w:tc>
      </w:tr>
      <w:tr w14:paraId="69ACDD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7C8DA9B"/>
        </w:tc>
        <w:tc>
          <w:tcPr>
            <w:tcW w:w="8354" w:type="dxa"/>
            <w:gridSpan w:val="13"/>
            <w:tcBorders>
              <w:top w:val="single" w:color="auto" w:sz="2" w:space="0"/>
              <w:left w:val="single" w:color="auto" w:sz="2" w:space="0"/>
              <w:bottom w:val="single" w:color="auto" w:sz="2" w:space="0"/>
              <w:right w:val="single" w:color="auto" w:sz="2" w:space="0"/>
            </w:tcBorders>
            <w:vAlign w:val="center"/>
          </w:tcPr>
          <w:p w14:paraId="159B5157">
            <w:pPr>
              <w:spacing w:before="0" w:after="0" w:line="240" w:lineRule="exact"/>
              <w:jc w:val="left"/>
              <w:rPr>
                <w:rFonts w:ascii="宋体" w:hAnsi="宋体" w:eastAsia="宋体" w:cs="宋体"/>
                <w:sz w:val="18"/>
                <w:szCs w:val="18"/>
              </w:rPr>
            </w:pPr>
            <w:r>
              <w:rPr>
                <w:rFonts w:ascii="宋体" w:hAnsi="宋体" w:eastAsia="宋体" w:cs="宋体"/>
                <w:sz w:val="18"/>
                <w:szCs w:val="18"/>
              </w:rPr>
              <w:t>公司于2024年7月30日召开第五届董事会第二次会议和第五届监事会第二次会议，审议通过了《关于部分募投项目结项并将节余募集资金永久补充流动资金的议案》。公司2020年创业板向特定对象发行A股股票的募集资金投资项目中的“原料药制剂一体化生产基地建设项目”已达到预定可使用状态，满足结项条件，同意公司将该项目节余资金用于永久补充流动资金，同时授权公司管理层及其授权人士负责办理本次专户注销事项。2024年8月16日，本议案在公司2024年第三次临时股东大会决议中获得通过。2024年8月，公司将剩余募集资金（含利息）3,801.74万元划转至公司基本户，其中利息828.80万元。募集资金节余的主要原因为：</w:t>
            </w:r>
          </w:p>
          <w:p w14:paraId="2DB70782">
            <w:pPr>
              <w:spacing w:before="0" w:after="0" w:line="240" w:lineRule="exact"/>
              <w:jc w:val="left"/>
              <w:rPr>
                <w:rFonts w:ascii="宋体" w:hAnsi="宋体" w:eastAsia="宋体" w:cs="宋体"/>
                <w:sz w:val="18"/>
                <w:szCs w:val="18"/>
              </w:rPr>
            </w:pPr>
            <w:r>
              <w:rPr>
                <w:rFonts w:ascii="宋体" w:hAnsi="宋体" w:eastAsia="宋体" w:cs="宋体"/>
                <w:sz w:val="18"/>
                <w:szCs w:val="18"/>
              </w:rPr>
              <w:t>（1）本次募投项目“原料药制剂一体化生产基地建设项目”结项后节余金额包括尚未支付的工程施工合同质保金等，因该等合同质保金支付时间周期较长，拟将节余金额永久补充流动资金，用于公司日常生产经营，有利于提高资金使用效率，避免资金长期闲置。</w:t>
            </w:r>
          </w:p>
          <w:p w14:paraId="0A68FAAF">
            <w:pPr>
              <w:spacing w:before="0" w:after="0" w:line="240" w:lineRule="exact"/>
              <w:jc w:val="left"/>
              <w:rPr>
                <w:rFonts w:ascii="宋体" w:hAnsi="宋体" w:eastAsia="宋体" w:cs="宋体"/>
                <w:sz w:val="18"/>
                <w:szCs w:val="18"/>
              </w:rPr>
            </w:pPr>
            <w:r>
              <w:rPr>
                <w:rFonts w:ascii="宋体" w:hAnsi="宋体" w:eastAsia="宋体" w:cs="宋体"/>
                <w:sz w:val="18"/>
                <w:szCs w:val="18"/>
              </w:rPr>
              <w:t>（2）在募投项目实施过程中，公司严格遵守募集资金使用的有关规定，本着合理、节约、有效的原则，从项目的实际情况出发，科学审慎地使用募集资金。在保证项目质量和控制实施风险的前提下，加强项目建设各个环节费用的控制、监督和管理，对各项资源进行合理调度和优化，合理降低项目建设成本和费用，节约了募集资金支出。</w:t>
            </w:r>
          </w:p>
        </w:tc>
      </w:tr>
      <w:tr w14:paraId="71C771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2598D86">
            <w:pPr>
              <w:spacing w:before="40" w:after="40" w:line="240" w:lineRule="exact"/>
              <w:jc w:val="left"/>
              <w:rPr>
                <w:rFonts w:ascii="宋体" w:hAnsi="宋体" w:eastAsia="宋体" w:cs="宋体"/>
                <w:sz w:val="18"/>
                <w:szCs w:val="18"/>
              </w:rPr>
            </w:pPr>
            <w:r>
              <w:rPr>
                <w:rFonts w:ascii="宋体" w:hAnsi="宋体" w:eastAsia="宋体" w:cs="宋体"/>
                <w:sz w:val="18"/>
                <w:szCs w:val="18"/>
              </w:rPr>
              <w:t>尚未使用的募集资金用途及去向</w:t>
            </w:r>
          </w:p>
        </w:tc>
        <w:tc>
          <w:tcPr>
            <w:tcW w:w="8354" w:type="dxa"/>
            <w:gridSpan w:val="13"/>
            <w:tcBorders>
              <w:top w:val="single" w:color="auto" w:sz="2" w:space="0"/>
              <w:left w:val="single" w:color="auto" w:sz="2" w:space="0"/>
              <w:bottom w:val="single" w:color="auto" w:sz="2" w:space="0"/>
              <w:right w:val="single" w:color="auto" w:sz="2" w:space="0"/>
            </w:tcBorders>
            <w:vAlign w:val="center"/>
          </w:tcPr>
          <w:p w14:paraId="492D895F">
            <w:pPr>
              <w:spacing w:before="0" w:after="0" w:line="240" w:lineRule="exact"/>
              <w:jc w:val="left"/>
              <w:rPr>
                <w:rFonts w:ascii="宋体" w:hAnsi="宋体" w:eastAsia="宋体" w:cs="宋体"/>
                <w:sz w:val="18"/>
                <w:szCs w:val="18"/>
              </w:rPr>
            </w:pPr>
            <w:r>
              <w:rPr>
                <w:rFonts w:ascii="宋体" w:hAnsi="宋体" w:eastAsia="宋体" w:cs="宋体"/>
                <w:sz w:val="18"/>
                <w:szCs w:val="18"/>
              </w:rPr>
              <w:t>截止2024年12月31日，募集资金已使用完毕。</w:t>
            </w:r>
          </w:p>
        </w:tc>
      </w:tr>
      <w:tr w14:paraId="6E39A9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85"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ED399AE">
            <w:pPr>
              <w:spacing w:before="40" w:after="40" w:line="240" w:lineRule="exact"/>
              <w:jc w:val="left"/>
              <w:rPr>
                <w:rFonts w:ascii="宋体" w:hAnsi="宋体" w:eastAsia="宋体" w:cs="宋体"/>
                <w:sz w:val="18"/>
                <w:szCs w:val="18"/>
              </w:rPr>
            </w:pPr>
            <w:r>
              <w:rPr>
                <w:rFonts w:ascii="宋体" w:hAnsi="宋体" w:eastAsia="宋体" w:cs="宋体"/>
                <w:sz w:val="18"/>
                <w:szCs w:val="18"/>
              </w:rPr>
              <w:t>募集资金使用及披露中存在的问题或其他情况</w:t>
            </w:r>
          </w:p>
        </w:tc>
        <w:tc>
          <w:tcPr>
            <w:tcW w:w="8354" w:type="dxa"/>
            <w:gridSpan w:val="13"/>
            <w:tcBorders>
              <w:top w:val="single" w:color="auto" w:sz="2" w:space="0"/>
              <w:left w:val="single" w:color="auto" w:sz="2" w:space="0"/>
              <w:bottom w:val="single" w:color="auto" w:sz="2" w:space="0"/>
              <w:right w:val="single" w:color="auto" w:sz="2" w:space="0"/>
            </w:tcBorders>
            <w:vAlign w:val="center"/>
          </w:tcPr>
          <w:p w14:paraId="2C725F8B">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bl>
    <w:p w14:paraId="5ACB8554">
      <w:pPr>
        <w:keepNext/>
        <w:keepLines/>
        <w:spacing w:before="300" w:after="300" w:line="280" w:lineRule="exact"/>
        <w:jc w:val="left"/>
        <w:outlineLvl w:val="3"/>
        <w:rPr>
          <w:rFonts w:ascii="宋体" w:hAnsi="宋体" w:eastAsia="宋体" w:cs="宋体"/>
          <w:b/>
          <w:bCs/>
          <w:sz w:val="18"/>
          <w:szCs w:val="18"/>
        </w:rPr>
      </w:pPr>
      <w:bookmarkStart w:id="47" w:name="_Toc988934"/>
      <w:r>
        <w:rPr>
          <w:rFonts w:ascii="宋体" w:hAnsi="宋体" w:eastAsia="宋体" w:cs="宋体"/>
          <w:b/>
          <w:bCs/>
          <w:sz w:val="18"/>
          <w:szCs w:val="18"/>
        </w:rPr>
        <w:t>（3） 募集资金变更项目情况</w:t>
      </w:r>
      <w:bookmarkEnd w:id="47"/>
    </w:p>
    <w:p w14:paraId="59D8B45A">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60432B87">
      <w:pPr>
        <w:spacing w:before="120" w:after="120" w:line="240" w:lineRule="exact"/>
        <w:jc w:val="right"/>
        <w:rPr>
          <w:rFonts w:ascii="宋体" w:hAnsi="宋体" w:eastAsia="宋体" w:cs="宋体"/>
          <w:sz w:val="18"/>
          <w:szCs w:val="18"/>
        </w:rPr>
      </w:pPr>
      <w:r>
        <w:rPr>
          <w:rFonts w:ascii="宋体" w:hAnsi="宋体" w:eastAsia="宋体" w:cs="宋体"/>
          <w:sz w:val="18"/>
          <w:szCs w:val="18"/>
        </w:rPr>
        <w:t>单位：万元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03"/>
        <w:gridCol w:w="803"/>
        <w:gridCol w:w="803"/>
        <w:gridCol w:w="803"/>
        <w:gridCol w:w="803"/>
        <w:gridCol w:w="803"/>
        <w:gridCol w:w="803"/>
        <w:gridCol w:w="803"/>
        <w:gridCol w:w="803"/>
        <w:gridCol w:w="803"/>
        <w:gridCol w:w="803"/>
        <w:gridCol w:w="803"/>
      </w:tblGrid>
      <w:tr w14:paraId="1855A1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1516E9FD">
            <w:pPr>
              <w:spacing w:before="40" w:after="40" w:line="240" w:lineRule="exact"/>
              <w:jc w:val="center"/>
              <w:rPr>
                <w:rFonts w:ascii="宋体" w:hAnsi="宋体" w:eastAsia="宋体" w:cs="宋体"/>
                <w:sz w:val="18"/>
                <w:szCs w:val="18"/>
              </w:rPr>
            </w:pPr>
            <w:r>
              <w:rPr>
                <w:rFonts w:ascii="宋体" w:hAnsi="宋体" w:eastAsia="宋体" w:cs="宋体"/>
                <w:sz w:val="18"/>
                <w:szCs w:val="18"/>
              </w:rPr>
              <w:t>融资项目名称</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316D17DC">
            <w:pPr>
              <w:spacing w:before="40" w:after="40" w:line="240" w:lineRule="exact"/>
              <w:jc w:val="center"/>
              <w:rPr>
                <w:rFonts w:ascii="宋体" w:hAnsi="宋体" w:eastAsia="宋体" w:cs="宋体"/>
                <w:sz w:val="18"/>
                <w:szCs w:val="18"/>
              </w:rPr>
            </w:pPr>
            <w:r>
              <w:rPr>
                <w:rFonts w:ascii="宋体" w:hAnsi="宋体" w:eastAsia="宋体" w:cs="宋体"/>
                <w:sz w:val="18"/>
                <w:szCs w:val="18"/>
              </w:rPr>
              <w:t>募集方式</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1C883F1F">
            <w:pPr>
              <w:spacing w:before="40" w:after="40" w:line="240" w:lineRule="exact"/>
              <w:jc w:val="center"/>
              <w:rPr>
                <w:rFonts w:ascii="宋体" w:hAnsi="宋体" w:eastAsia="宋体" w:cs="宋体"/>
                <w:sz w:val="18"/>
                <w:szCs w:val="18"/>
              </w:rPr>
            </w:pPr>
            <w:r>
              <w:rPr>
                <w:rFonts w:ascii="宋体" w:hAnsi="宋体" w:eastAsia="宋体" w:cs="宋体"/>
                <w:sz w:val="18"/>
                <w:szCs w:val="18"/>
              </w:rPr>
              <w:t>变更后的项目</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29968177">
            <w:pPr>
              <w:spacing w:before="40" w:after="40" w:line="240" w:lineRule="exact"/>
              <w:jc w:val="center"/>
              <w:rPr>
                <w:rFonts w:ascii="宋体" w:hAnsi="宋体" w:eastAsia="宋体" w:cs="宋体"/>
                <w:sz w:val="18"/>
                <w:szCs w:val="18"/>
              </w:rPr>
            </w:pPr>
            <w:r>
              <w:rPr>
                <w:rFonts w:ascii="宋体" w:hAnsi="宋体" w:eastAsia="宋体" w:cs="宋体"/>
                <w:sz w:val="18"/>
                <w:szCs w:val="18"/>
              </w:rPr>
              <w:t>对应的原承诺项目</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25E01E14">
            <w:pPr>
              <w:spacing w:before="40" w:after="40" w:line="240" w:lineRule="exact"/>
              <w:jc w:val="center"/>
              <w:rPr>
                <w:rFonts w:ascii="宋体" w:hAnsi="宋体" w:eastAsia="宋体" w:cs="宋体"/>
                <w:sz w:val="18"/>
                <w:szCs w:val="18"/>
              </w:rPr>
            </w:pPr>
            <w:r>
              <w:rPr>
                <w:rFonts w:ascii="宋体" w:hAnsi="宋体" w:eastAsia="宋体" w:cs="宋体"/>
                <w:sz w:val="18"/>
                <w:szCs w:val="18"/>
              </w:rPr>
              <w:t>变更后项目拟投入募集资金总额(1)</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4C3E010A">
            <w:pPr>
              <w:spacing w:before="40" w:after="40" w:line="240" w:lineRule="exact"/>
              <w:jc w:val="center"/>
              <w:rPr>
                <w:rFonts w:ascii="宋体" w:hAnsi="宋体" w:eastAsia="宋体" w:cs="宋体"/>
                <w:sz w:val="18"/>
                <w:szCs w:val="18"/>
              </w:rPr>
            </w:pPr>
            <w:r>
              <w:rPr>
                <w:rFonts w:ascii="宋体" w:hAnsi="宋体" w:eastAsia="宋体" w:cs="宋体"/>
                <w:sz w:val="18"/>
                <w:szCs w:val="18"/>
              </w:rPr>
              <w:t>本报告期实际投入金额</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2AF8D3BF">
            <w:pPr>
              <w:spacing w:before="40" w:after="40" w:line="240" w:lineRule="exact"/>
              <w:jc w:val="center"/>
              <w:rPr>
                <w:rFonts w:ascii="宋体" w:hAnsi="宋体" w:eastAsia="宋体" w:cs="宋体"/>
                <w:sz w:val="18"/>
                <w:szCs w:val="18"/>
              </w:rPr>
            </w:pPr>
            <w:r>
              <w:rPr>
                <w:rFonts w:ascii="宋体" w:hAnsi="宋体" w:eastAsia="宋体" w:cs="宋体"/>
                <w:sz w:val="18"/>
                <w:szCs w:val="18"/>
              </w:rPr>
              <w:t>截至期末实际累计投入金额(2)</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044AEE66">
            <w:pPr>
              <w:spacing w:before="40" w:after="40" w:line="240" w:lineRule="exact"/>
              <w:jc w:val="center"/>
              <w:rPr>
                <w:rFonts w:ascii="宋体" w:hAnsi="宋体" w:eastAsia="宋体" w:cs="宋体"/>
                <w:sz w:val="18"/>
                <w:szCs w:val="18"/>
              </w:rPr>
            </w:pPr>
            <w:r>
              <w:rPr>
                <w:rFonts w:ascii="宋体" w:hAnsi="宋体" w:eastAsia="宋体" w:cs="宋体"/>
                <w:sz w:val="18"/>
                <w:szCs w:val="18"/>
              </w:rPr>
              <w:t>截至期末投资进度(3)=(2)/(1)</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1947E3BA">
            <w:pPr>
              <w:spacing w:before="40" w:after="40" w:line="240" w:lineRule="exact"/>
              <w:jc w:val="center"/>
              <w:rPr>
                <w:rFonts w:ascii="宋体" w:hAnsi="宋体" w:eastAsia="宋体" w:cs="宋体"/>
                <w:sz w:val="18"/>
                <w:szCs w:val="18"/>
              </w:rPr>
            </w:pPr>
            <w:r>
              <w:rPr>
                <w:rFonts w:ascii="宋体" w:hAnsi="宋体" w:eastAsia="宋体" w:cs="宋体"/>
                <w:sz w:val="18"/>
                <w:szCs w:val="18"/>
              </w:rPr>
              <w:t>项目达到预定可使用状态日期</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13648699">
            <w:pPr>
              <w:spacing w:before="40" w:after="40" w:line="240" w:lineRule="exact"/>
              <w:jc w:val="center"/>
              <w:rPr>
                <w:rFonts w:ascii="宋体" w:hAnsi="宋体" w:eastAsia="宋体" w:cs="宋体"/>
                <w:sz w:val="18"/>
                <w:szCs w:val="18"/>
              </w:rPr>
            </w:pPr>
            <w:r>
              <w:rPr>
                <w:rFonts w:ascii="宋体" w:hAnsi="宋体" w:eastAsia="宋体" w:cs="宋体"/>
                <w:sz w:val="18"/>
                <w:szCs w:val="18"/>
              </w:rPr>
              <w:t>本报告期实现的效益</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24C365FE">
            <w:pPr>
              <w:spacing w:before="40" w:after="40" w:line="240" w:lineRule="exact"/>
              <w:jc w:val="center"/>
              <w:rPr>
                <w:rFonts w:ascii="宋体" w:hAnsi="宋体" w:eastAsia="宋体" w:cs="宋体"/>
                <w:sz w:val="18"/>
                <w:szCs w:val="18"/>
              </w:rPr>
            </w:pPr>
            <w:r>
              <w:rPr>
                <w:rFonts w:ascii="宋体" w:hAnsi="宋体" w:eastAsia="宋体" w:cs="宋体"/>
                <w:sz w:val="18"/>
                <w:szCs w:val="18"/>
              </w:rPr>
              <w:t>是否达到预计效益</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3CC31CC8">
            <w:pPr>
              <w:spacing w:before="40" w:after="40" w:line="240" w:lineRule="exact"/>
              <w:jc w:val="center"/>
              <w:rPr>
                <w:rFonts w:ascii="宋体" w:hAnsi="宋体" w:eastAsia="宋体" w:cs="宋体"/>
                <w:sz w:val="18"/>
                <w:szCs w:val="18"/>
              </w:rPr>
            </w:pPr>
            <w:r>
              <w:rPr>
                <w:rFonts w:ascii="宋体" w:hAnsi="宋体" w:eastAsia="宋体" w:cs="宋体"/>
                <w:sz w:val="18"/>
                <w:szCs w:val="18"/>
              </w:rPr>
              <w:t>变更后的项目可行性是否发生重大变化</w:t>
            </w:r>
          </w:p>
        </w:tc>
      </w:tr>
      <w:tr w14:paraId="4E90EA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14:paraId="3A7ABF24">
            <w:pPr>
              <w:spacing w:before="0" w:after="0" w:line="240" w:lineRule="exact"/>
              <w:jc w:val="left"/>
              <w:rPr>
                <w:rFonts w:ascii="宋体" w:hAnsi="宋体" w:eastAsia="宋体" w:cs="宋体"/>
                <w:sz w:val="18"/>
                <w:szCs w:val="18"/>
              </w:rPr>
            </w:pPr>
            <w:r>
              <w:rPr>
                <w:rFonts w:ascii="宋体" w:hAnsi="宋体" w:eastAsia="宋体" w:cs="宋体"/>
                <w:sz w:val="18"/>
                <w:szCs w:val="18"/>
              </w:rPr>
              <w:t>江苏中兴制剂车间建设项目</w:t>
            </w:r>
          </w:p>
        </w:tc>
        <w:tc>
          <w:tcPr>
            <w:tcW w:w="803" w:type="dxa"/>
            <w:tcBorders>
              <w:top w:val="single" w:color="auto" w:sz="2" w:space="0"/>
              <w:left w:val="single" w:color="auto" w:sz="2" w:space="0"/>
              <w:bottom w:val="single" w:color="auto" w:sz="2" w:space="0"/>
              <w:right w:val="single" w:color="auto" w:sz="2" w:space="0"/>
            </w:tcBorders>
            <w:vAlign w:val="center"/>
          </w:tcPr>
          <w:p w14:paraId="28BC34FA">
            <w:pPr>
              <w:spacing w:before="0" w:after="0" w:line="240" w:lineRule="exact"/>
              <w:jc w:val="left"/>
              <w:rPr>
                <w:rFonts w:ascii="宋体" w:hAnsi="宋体" w:eastAsia="宋体" w:cs="宋体"/>
                <w:sz w:val="18"/>
                <w:szCs w:val="18"/>
              </w:rPr>
            </w:pPr>
            <w:r>
              <w:rPr>
                <w:rFonts w:ascii="宋体" w:hAnsi="宋体" w:eastAsia="宋体" w:cs="宋体"/>
                <w:sz w:val="18"/>
                <w:szCs w:val="18"/>
              </w:rPr>
              <w:t>向特定对象发行股票</w:t>
            </w:r>
          </w:p>
        </w:tc>
        <w:tc>
          <w:tcPr>
            <w:tcW w:w="803" w:type="dxa"/>
            <w:tcBorders>
              <w:top w:val="single" w:color="auto" w:sz="2" w:space="0"/>
              <w:left w:val="single" w:color="auto" w:sz="2" w:space="0"/>
              <w:bottom w:val="single" w:color="auto" w:sz="2" w:space="0"/>
              <w:right w:val="single" w:color="auto" w:sz="2" w:space="0"/>
            </w:tcBorders>
            <w:vAlign w:val="center"/>
          </w:tcPr>
          <w:p w14:paraId="1489A57C">
            <w:pPr>
              <w:spacing w:before="0" w:after="0" w:line="240" w:lineRule="exact"/>
              <w:jc w:val="left"/>
              <w:rPr>
                <w:rFonts w:ascii="宋体" w:hAnsi="宋体" w:eastAsia="宋体" w:cs="宋体"/>
                <w:sz w:val="18"/>
                <w:szCs w:val="18"/>
              </w:rPr>
            </w:pPr>
            <w:r>
              <w:rPr>
                <w:rFonts w:ascii="宋体" w:hAnsi="宋体" w:eastAsia="宋体" w:cs="宋体"/>
                <w:sz w:val="18"/>
                <w:szCs w:val="18"/>
              </w:rPr>
              <w:t>补充流动资金</w:t>
            </w:r>
          </w:p>
        </w:tc>
        <w:tc>
          <w:tcPr>
            <w:tcW w:w="803" w:type="dxa"/>
            <w:tcBorders>
              <w:top w:val="single" w:color="auto" w:sz="2" w:space="0"/>
              <w:left w:val="single" w:color="auto" w:sz="2" w:space="0"/>
              <w:bottom w:val="single" w:color="auto" w:sz="2" w:space="0"/>
              <w:right w:val="single" w:color="auto" w:sz="2" w:space="0"/>
            </w:tcBorders>
            <w:vAlign w:val="center"/>
          </w:tcPr>
          <w:p w14:paraId="09CA497C">
            <w:pPr>
              <w:spacing w:before="0" w:after="0" w:line="240" w:lineRule="exact"/>
              <w:jc w:val="left"/>
              <w:rPr>
                <w:rFonts w:ascii="宋体" w:hAnsi="宋体" w:eastAsia="宋体" w:cs="宋体"/>
                <w:sz w:val="18"/>
                <w:szCs w:val="18"/>
              </w:rPr>
            </w:pPr>
            <w:r>
              <w:rPr>
                <w:rFonts w:ascii="宋体" w:hAnsi="宋体" w:eastAsia="宋体" w:cs="宋体"/>
                <w:sz w:val="18"/>
                <w:szCs w:val="18"/>
              </w:rPr>
              <w:t>江苏中兴制剂车间建设项目</w:t>
            </w:r>
          </w:p>
        </w:tc>
        <w:tc>
          <w:tcPr>
            <w:tcW w:w="803" w:type="dxa"/>
            <w:tcBorders>
              <w:top w:val="single" w:color="auto" w:sz="2" w:space="0"/>
              <w:left w:val="single" w:color="auto" w:sz="2" w:space="0"/>
              <w:bottom w:val="single" w:color="auto" w:sz="2" w:space="0"/>
              <w:right w:val="single" w:color="auto" w:sz="2" w:space="0"/>
            </w:tcBorders>
            <w:vAlign w:val="center"/>
          </w:tcPr>
          <w:p w14:paraId="4C1F4E59">
            <w:pPr>
              <w:spacing w:line="240" w:lineRule="exact"/>
              <w:jc w:val="right"/>
              <w:rPr>
                <w:rFonts w:ascii="宋体" w:hAnsi="宋体" w:eastAsia="宋体" w:cs="宋体"/>
                <w:sz w:val="18"/>
                <w:szCs w:val="18"/>
              </w:rPr>
            </w:pPr>
            <w:r>
              <w:rPr>
                <w:rFonts w:ascii="宋体" w:hAnsi="宋体" w:cs="宋体"/>
                <w:sz w:val="18"/>
                <w:szCs w:val="18"/>
              </w:rPr>
              <w:t>23,043.87</w:t>
            </w:r>
          </w:p>
        </w:tc>
        <w:tc>
          <w:tcPr>
            <w:tcW w:w="803" w:type="dxa"/>
            <w:tcBorders>
              <w:top w:val="single" w:color="auto" w:sz="2" w:space="0"/>
              <w:left w:val="single" w:color="auto" w:sz="2" w:space="0"/>
              <w:bottom w:val="single" w:color="auto" w:sz="2" w:space="0"/>
              <w:right w:val="single" w:color="auto" w:sz="2" w:space="0"/>
            </w:tcBorders>
            <w:vAlign w:val="center"/>
          </w:tcPr>
          <w:p w14:paraId="03F46012">
            <w:pPr>
              <w:spacing w:line="240" w:lineRule="exact"/>
              <w:jc w:val="right"/>
              <w:rPr>
                <w:rFonts w:ascii="宋体" w:hAnsi="宋体" w:eastAsia="宋体" w:cs="宋体"/>
                <w:sz w:val="18"/>
                <w:szCs w:val="18"/>
              </w:rPr>
            </w:pPr>
            <w:r>
              <w:rPr>
                <w:rFonts w:ascii="宋体" w:hAnsi="宋体" w:cs="宋体"/>
                <w:sz w:val="18"/>
                <w:szCs w:val="18"/>
              </w:rPr>
              <w:t>8,510.52</w:t>
            </w:r>
          </w:p>
        </w:tc>
        <w:tc>
          <w:tcPr>
            <w:tcW w:w="803" w:type="dxa"/>
            <w:tcBorders>
              <w:top w:val="single" w:color="auto" w:sz="2" w:space="0"/>
              <w:left w:val="single" w:color="auto" w:sz="2" w:space="0"/>
              <w:bottom w:val="single" w:color="auto" w:sz="2" w:space="0"/>
              <w:right w:val="single" w:color="auto" w:sz="2" w:space="0"/>
            </w:tcBorders>
            <w:vAlign w:val="center"/>
          </w:tcPr>
          <w:p w14:paraId="5427D736">
            <w:pPr>
              <w:spacing w:line="240" w:lineRule="exact"/>
              <w:jc w:val="right"/>
              <w:rPr>
                <w:rFonts w:ascii="宋体" w:hAnsi="宋体" w:eastAsia="宋体" w:cs="宋体"/>
                <w:sz w:val="18"/>
                <w:szCs w:val="18"/>
              </w:rPr>
            </w:pPr>
            <w:r>
              <w:rPr>
                <w:rFonts w:ascii="宋体" w:hAnsi="宋体" w:cs="宋体"/>
                <w:sz w:val="18"/>
                <w:szCs w:val="18"/>
              </w:rPr>
              <w:t>26,845.62</w:t>
            </w:r>
          </w:p>
        </w:tc>
        <w:tc>
          <w:tcPr>
            <w:tcW w:w="803" w:type="dxa"/>
            <w:tcBorders>
              <w:top w:val="single" w:color="auto" w:sz="2" w:space="0"/>
              <w:left w:val="single" w:color="auto" w:sz="2" w:space="0"/>
              <w:bottom w:val="single" w:color="auto" w:sz="2" w:space="0"/>
              <w:right w:val="single" w:color="auto" w:sz="2" w:space="0"/>
            </w:tcBorders>
            <w:vAlign w:val="center"/>
          </w:tcPr>
          <w:p w14:paraId="4E7EE73F">
            <w:pPr>
              <w:spacing w:before="0" w:after="0" w:line="240" w:lineRule="exact"/>
              <w:jc w:val="right"/>
              <w:rPr>
                <w:rFonts w:ascii="宋体" w:hAnsi="宋体" w:eastAsia="宋体" w:cs="宋体"/>
                <w:sz w:val="18"/>
                <w:szCs w:val="18"/>
              </w:rPr>
            </w:pPr>
            <w:r>
              <w:rPr>
                <w:rFonts w:hint="eastAsia" w:ascii="宋体" w:hAnsi="宋体" w:cs="宋体"/>
                <w:sz w:val="18"/>
                <w:szCs w:val="18"/>
              </w:rPr>
              <w:t>116.50</w:t>
            </w:r>
            <w:r>
              <w:rPr>
                <w:rFonts w:ascii="宋体" w:hAnsi="宋体" w:cs="宋体"/>
                <w:sz w:val="18"/>
                <w:szCs w:val="18"/>
              </w:rPr>
              <w:t>%</w:t>
            </w:r>
          </w:p>
        </w:tc>
        <w:tc>
          <w:tcPr>
            <w:tcW w:w="803" w:type="dxa"/>
            <w:tcBorders>
              <w:top w:val="single" w:color="auto" w:sz="2" w:space="0"/>
              <w:left w:val="single" w:color="auto" w:sz="2" w:space="0"/>
              <w:bottom w:val="single" w:color="auto" w:sz="2" w:space="0"/>
              <w:right w:val="single" w:color="auto" w:sz="2" w:space="0"/>
            </w:tcBorders>
            <w:vAlign w:val="center"/>
          </w:tcPr>
          <w:p w14:paraId="7037F776">
            <w:pPr>
              <w:spacing w:before="0" w:after="0" w:line="240" w:lineRule="exact"/>
              <w:jc w:val="left"/>
              <w:rPr>
                <w:rFonts w:ascii="宋体" w:hAnsi="宋体" w:eastAsia="宋体" w:cs="宋体"/>
                <w:sz w:val="18"/>
                <w:szCs w:val="18"/>
              </w:rPr>
            </w:pPr>
            <w:r>
              <w:rPr>
                <w:rFonts w:ascii="宋体" w:hAnsi="宋体" w:eastAsia="宋体" w:cs="宋体"/>
                <w:sz w:val="18"/>
                <w:szCs w:val="18"/>
              </w:rPr>
              <w:t>2024年08月16日</w:t>
            </w:r>
          </w:p>
        </w:tc>
        <w:tc>
          <w:tcPr>
            <w:tcW w:w="803" w:type="dxa"/>
            <w:tcBorders>
              <w:top w:val="single" w:color="auto" w:sz="2" w:space="0"/>
              <w:left w:val="single" w:color="auto" w:sz="2" w:space="0"/>
              <w:bottom w:val="single" w:color="auto" w:sz="2" w:space="0"/>
              <w:right w:val="single" w:color="auto" w:sz="2" w:space="0"/>
            </w:tcBorders>
            <w:vAlign w:val="center"/>
          </w:tcPr>
          <w:p w14:paraId="1DC8B842">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803" w:type="dxa"/>
            <w:tcBorders>
              <w:top w:val="single" w:color="auto" w:sz="2" w:space="0"/>
              <w:left w:val="single" w:color="auto" w:sz="2" w:space="0"/>
              <w:bottom w:val="single" w:color="auto" w:sz="2" w:space="0"/>
              <w:right w:val="single" w:color="auto" w:sz="2" w:space="0"/>
            </w:tcBorders>
            <w:vAlign w:val="center"/>
          </w:tcPr>
          <w:p w14:paraId="61FCD1FB">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803" w:type="dxa"/>
            <w:tcBorders>
              <w:top w:val="single" w:color="auto" w:sz="2" w:space="0"/>
              <w:left w:val="single" w:color="auto" w:sz="2" w:space="0"/>
              <w:bottom w:val="single" w:color="auto" w:sz="2" w:space="0"/>
              <w:right w:val="single" w:color="auto" w:sz="2" w:space="0"/>
            </w:tcBorders>
            <w:vAlign w:val="center"/>
          </w:tcPr>
          <w:p w14:paraId="3A90B26A">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76171D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086C82C1">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21C96C93">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4CB1AF4A">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40AB48BD">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803" w:type="dxa"/>
            <w:tcBorders>
              <w:top w:val="single" w:color="auto" w:sz="2" w:space="0"/>
              <w:left w:val="single" w:color="auto" w:sz="2" w:space="0"/>
              <w:bottom w:val="single" w:color="auto" w:sz="2" w:space="0"/>
              <w:right w:val="single" w:color="auto" w:sz="2" w:space="0"/>
            </w:tcBorders>
            <w:vAlign w:val="center"/>
          </w:tcPr>
          <w:p w14:paraId="33EEA5E0">
            <w:pPr>
              <w:spacing w:line="240" w:lineRule="exact"/>
              <w:jc w:val="right"/>
              <w:rPr>
                <w:rFonts w:ascii="宋体" w:hAnsi="宋体" w:eastAsia="宋体" w:cs="宋体"/>
                <w:sz w:val="18"/>
                <w:szCs w:val="18"/>
              </w:rPr>
            </w:pPr>
            <w:r>
              <w:rPr>
                <w:rFonts w:ascii="宋体" w:hAnsi="宋体" w:cs="宋体"/>
                <w:sz w:val="18"/>
                <w:szCs w:val="18"/>
              </w:rPr>
              <w:t>23,043.87</w:t>
            </w:r>
          </w:p>
        </w:tc>
        <w:tc>
          <w:tcPr>
            <w:tcW w:w="803" w:type="dxa"/>
            <w:tcBorders>
              <w:top w:val="single" w:color="auto" w:sz="2" w:space="0"/>
              <w:left w:val="single" w:color="auto" w:sz="2" w:space="0"/>
              <w:bottom w:val="single" w:color="auto" w:sz="2" w:space="0"/>
              <w:right w:val="single" w:color="auto" w:sz="2" w:space="0"/>
            </w:tcBorders>
            <w:vAlign w:val="center"/>
          </w:tcPr>
          <w:p w14:paraId="13131C2A">
            <w:pPr>
              <w:spacing w:line="240" w:lineRule="exact"/>
              <w:jc w:val="right"/>
              <w:rPr>
                <w:rFonts w:ascii="宋体" w:hAnsi="宋体" w:eastAsia="宋体" w:cs="宋体"/>
                <w:sz w:val="18"/>
                <w:szCs w:val="18"/>
              </w:rPr>
            </w:pPr>
            <w:r>
              <w:rPr>
                <w:rFonts w:ascii="宋体" w:hAnsi="宋体" w:cs="宋体"/>
                <w:sz w:val="18"/>
                <w:szCs w:val="18"/>
              </w:rPr>
              <w:t>8,510.52</w:t>
            </w:r>
          </w:p>
        </w:tc>
        <w:tc>
          <w:tcPr>
            <w:tcW w:w="803" w:type="dxa"/>
            <w:tcBorders>
              <w:top w:val="single" w:color="auto" w:sz="2" w:space="0"/>
              <w:left w:val="single" w:color="auto" w:sz="2" w:space="0"/>
              <w:bottom w:val="single" w:color="auto" w:sz="2" w:space="0"/>
              <w:right w:val="single" w:color="auto" w:sz="2" w:space="0"/>
            </w:tcBorders>
            <w:vAlign w:val="center"/>
          </w:tcPr>
          <w:p w14:paraId="3F610407">
            <w:pPr>
              <w:spacing w:line="240" w:lineRule="exact"/>
              <w:jc w:val="right"/>
              <w:rPr>
                <w:rFonts w:ascii="宋体" w:hAnsi="宋体" w:eastAsia="宋体" w:cs="宋体"/>
                <w:sz w:val="18"/>
                <w:szCs w:val="18"/>
              </w:rPr>
            </w:pPr>
            <w:r>
              <w:rPr>
                <w:rFonts w:ascii="宋体" w:hAnsi="宋体" w:cs="宋体"/>
                <w:sz w:val="18"/>
                <w:szCs w:val="18"/>
              </w:rPr>
              <w:t>26,845.62</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60A8D9E0">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1E61E048">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803" w:type="dxa"/>
            <w:tcBorders>
              <w:top w:val="single" w:color="auto" w:sz="2" w:space="0"/>
              <w:left w:val="single" w:color="auto" w:sz="2" w:space="0"/>
              <w:bottom w:val="single" w:color="auto" w:sz="2" w:space="0"/>
              <w:right w:val="single" w:color="auto" w:sz="2" w:space="0"/>
            </w:tcBorders>
            <w:vAlign w:val="center"/>
          </w:tcPr>
          <w:p w14:paraId="1CE9A080">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79E88AEF">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5F5AD32A">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r w14:paraId="31AEB8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00C1CC44">
            <w:pPr>
              <w:spacing w:before="40" w:after="40" w:line="240" w:lineRule="exact"/>
              <w:jc w:val="left"/>
              <w:rPr>
                <w:rFonts w:ascii="宋体" w:hAnsi="宋体" w:eastAsia="宋体" w:cs="宋体"/>
                <w:sz w:val="18"/>
                <w:szCs w:val="18"/>
              </w:rPr>
            </w:pPr>
            <w:r>
              <w:rPr>
                <w:rFonts w:ascii="宋体" w:hAnsi="宋体" w:eastAsia="宋体" w:cs="宋体"/>
                <w:sz w:val="18"/>
                <w:szCs w:val="18"/>
              </w:rPr>
              <w:t>变更原因、决策程序及信息披露情况说明(分具体项目)</w:t>
            </w:r>
          </w:p>
        </w:tc>
        <w:tc>
          <w:tcPr>
            <w:tcW w:w="7229" w:type="dxa"/>
            <w:gridSpan w:val="9"/>
            <w:tcBorders>
              <w:top w:val="single" w:color="auto" w:sz="2" w:space="0"/>
              <w:left w:val="single" w:color="auto" w:sz="2" w:space="0"/>
              <w:bottom w:val="single" w:color="auto" w:sz="2" w:space="0"/>
              <w:right w:val="single" w:color="auto" w:sz="2" w:space="0"/>
            </w:tcBorders>
            <w:vAlign w:val="center"/>
          </w:tcPr>
          <w:p w14:paraId="24373319">
            <w:pPr>
              <w:spacing w:before="0" w:after="0" w:line="240" w:lineRule="exact"/>
              <w:jc w:val="left"/>
              <w:rPr>
                <w:rFonts w:ascii="宋体" w:hAnsi="宋体" w:eastAsia="宋体" w:cs="宋体"/>
                <w:sz w:val="18"/>
                <w:szCs w:val="18"/>
              </w:rPr>
            </w:pPr>
            <w:r>
              <w:rPr>
                <w:rFonts w:ascii="宋体" w:hAnsi="宋体" w:eastAsia="宋体" w:cs="宋体"/>
                <w:sz w:val="18"/>
                <w:szCs w:val="18"/>
              </w:rPr>
              <w:t>江苏中兴制剂车间建设项目：结合公司实际产能情况、相关产品的产销情况及未来市场预期，预计现有产能并通过内部挖潜和技改能够满足现阶段及未来一定期间的市场需求。同时，公司近几年持续的创新药研发投入及经营规模的扩大，公司对流动资金的需求不断增加，需要有足够的营运资金作为保障，以增强公司抗风险能力及竞争能力。根据公司创新战略发展和资源综合调度的需求，本着控制风险、审慎投资的原则，公司决定终止并将该项目全部剩余募集资金用于永久补充流动资金。2023年12月29日，公司召开第四届董事会第二十七次会议和第四届监事会第二十四次会议，审议通过了《关于终止部分募集资金投资项目并将剩余募集资金永久补充流动资金的议案》，为提高募集资金使用效率，降低募集资金投资风险，根据公司募投项目的实际进展情况及市场环境变化，同意公司对 “江苏中兴制剂车间建设项目”予以终止，并将上述项目终止后剩余的募集资金永久补充流动资金，用于公司日常生产经营及业务发展。本议案在2024年1月15日召开的2024年第一次临时股东大会决议中获得通过。</w:t>
            </w:r>
          </w:p>
        </w:tc>
      </w:tr>
      <w:tr w14:paraId="50F1E3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324F1BAA">
            <w:pPr>
              <w:spacing w:before="40" w:after="40" w:line="240" w:lineRule="exact"/>
              <w:jc w:val="left"/>
              <w:rPr>
                <w:rFonts w:ascii="宋体" w:hAnsi="宋体" w:eastAsia="宋体" w:cs="宋体"/>
                <w:sz w:val="18"/>
                <w:szCs w:val="18"/>
              </w:rPr>
            </w:pPr>
            <w:r>
              <w:rPr>
                <w:rFonts w:ascii="宋体" w:hAnsi="宋体" w:eastAsia="宋体" w:cs="宋体"/>
                <w:sz w:val="18"/>
                <w:szCs w:val="18"/>
              </w:rPr>
              <w:t>未达到计划进度或预计收益的情况和原因(分具体项目)</w:t>
            </w:r>
          </w:p>
        </w:tc>
        <w:tc>
          <w:tcPr>
            <w:tcW w:w="7229" w:type="dxa"/>
            <w:gridSpan w:val="9"/>
            <w:tcBorders>
              <w:top w:val="single" w:color="auto" w:sz="2" w:space="0"/>
              <w:left w:val="single" w:color="auto" w:sz="2" w:space="0"/>
              <w:bottom w:val="single" w:color="auto" w:sz="2" w:space="0"/>
              <w:right w:val="single" w:color="auto" w:sz="2" w:space="0"/>
            </w:tcBorders>
            <w:vAlign w:val="center"/>
          </w:tcPr>
          <w:p w14:paraId="12153A15">
            <w:pPr>
              <w:spacing w:before="0" w:after="0" w:line="240" w:lineRule="exact"/>
              <w:jc w:val="left"/>
              <w:rPr>
                <w:rFonts w:ascii="宋体" w:hAnsi="宋体" w:eastAsia="宋体" w:cs="宋体"/>
                <w:sz w:val="18"/>
                <w:szCs w:val="18"/>
              </w:rPr>
            </w:pPr>
            <w:r>
              <w:rPr>
                <w:rFonts w:ascii="宋体" w:hAnsi="宋体" w:eastAsia="宋体" w:cs="宋体"/>
                <w:sz w:val="18"/>
                <w:szCs w:val="18"/>
              </w:rPr>
              <w:t>募投项目建设期内，水飞蓟宾葡甲胺片、参芪健胃颗粒等市场需求和产品销售总体平稳增长，但未发生重大变化，随着近几年江苏中兴生产组织和管理效率提升、生产工人技术更加成熟所带来的生产效率提高及生产车间的技改升级，相关产品生产线产能和产能利用率得到进一步优化及提升，结合相关产品最近三年一期的产销情况及未来市场预期，预计现有产能并通过内部挖潜和技改能够满足现阶段及未来一定期间的市场需求；此外，随着药品上市许可持有人制度相关的配套法规出台，药品的生产不再受限于企业自身生产基地的制约，可以通过委托生产等方式，灵活保障产能并减少大额资金投入和节约生产成本。鉴于公司近几年持续的创新药研发投入及经营规模的扩大，且公司抗新冠病毒口服小分子 3CL 蛋白酶抑制剂一类创新药泰中定获批上市销售，公司对流动资金的需求不断增加，需要有足够的营运资金作为保障，以增强公司抗风险能力及竞争能力。综上所述，为提升公司募集资金使用效率，优化资源配置，缓解公司正常经营所需的流动资金压力，降低公司运营风险，根据公司创新战略发展和资源综合调度的需求，本着控制风险、审慎投资的原则，公司决定终止并将该项目全部剩余募集资金用于永久补充流动资金。未来公司将根据市场需求及经营状况，若有需要将使用自有资金进行项目建设。</w:t>
            </w:r>
          </w:p>
        </w:tc>
      </w:tr>
      <w:tr w14:paraId="7AA937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34BD9202">
            <w:pPr>
              <w:spacing w:before="40" w:after="40" w:line="240" w:lineRule="exact"/>
              <w:jc w:val="left"/>
              <w:rPr>
                <w:rFonts w:ascii="宋体" w:hAnsi="宋体" w:eastAsia="宋体" w:cs="宋体"/>
                <w:sz w:val="18"/>
                <w:szCs w:val="18"/>
              </w:rPr>
            </w:pPr>
            <w:r>
              <w:rPr>
                <w:rFonts w:ascii="宋体" w:hAnsi="宋体" w:eastAsia="宋体" w:cs="宋体"/>
                <w:sz w:val="18"/>
                <w:szCs w:val="18"/>
              </w:rPr>
              <w:t>变更后的项目可行性发生重大变化的情况说明</w:t>
            </w:r>
          </w:p>
        </w:tc>
        <w:tc>
          <w:tcPr>
            <w:tcW w:w="7229" w:type="dxa"/>
            <w:gridSpan w:val="9"/>
            <w:tcBorders>
              <w:top w:val="single" w:color="auto" w:sz="2" w:space="0"/>
              <w:left w:val="single" w:color="auto" w:sz="2" w:space="0"/>
              <w:bottom w:val="single" w:color="auto" w:sz="2" w:space="0"/>
              <w:right w:val="single" w:color="auto" w:sz="2" w:space="0"/>
            </w:tcBorders>
            <w:vAlign w:val="center"/>
          </w:tcPr>
          <w:p w14:paraId="7D22E7CA">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bl>
    <w:p w14:paraId="7B3AC713">
      <w:pPr>
        <w:spacing w:before="40" w:after="40" w:line="240" w:lineRule="exact"/>
        <w:jc w:val="left"/>
        <w:rPr>
          <w:rFonts w:hint="eastAsia" w:ascii="宋体" w:hAnsi="宋体" w:eastAsia="宋体" w:cs="宋体"/>
          <w:sz w:val="18"/>
          <w:szCs w:val="18"/>
        </w:rPr>
      </w:pPr>
      <w:bookmarkStart w:id="48" w:name="_Toc988935"/>
      <w:r>
        <w:rPr>
          <w:rFonts w:hint="eastAsia" w:ascii="宋体" w:hAnsi="宋体" w:eastAsia="宋体" w:cs="宋体"/>
          <w:sz w:val="18"/>
          <w:szCs w:val="18"/>
        </w:rPr>
        <w:t>注：所列“本报告期实际投入金额”系江苏中兴制剂车间建设项目终止后永久补充流动资金部分，与“（2）募集资金承诺项目情况”中“补充流动资金项目”本年度投入金额12,312.26万元之间的差异系募投项目“原料药制剂一体化生产基地建设项目”结项并将节余募集资金永久补充流动资金所致。</w:t>
      </w:r>
    </w:p>
    <w:p w14:paraId="134F8250">
      <w:pPr>
        <w:keepNext/>
        <w:keepLines/>
        <w:spacing w:before="300" w:after="300" w:line="320" w:lineRule="exact"/>
        <w:jc w:val="left"/>
        <w:outlineLvl w:val="1"/>
        <w:rPr>
          <w:rFonts w:ascii="宋体" w:hAnsi="宋体" w:eastAsia="宋体" w:cs="宋体"/>
          <w:b/>
          <w:bCs/>
          <w:sz w:val="24"/>
          <w:szCs w:val="24"/>
        </w:rPr>
      </w:pPr>
      <w:r>
        <w:rPr>
          <w:rFonts w:ascii="宋体" w:hAnsi="宋体" w:eastAsia="宋体" w:cs="宋体"/>
          <w:b/>
          <w:bCs/>
          <w:sz w:val="24"/>
          <w:szCs w:val="24"/>
        </w:rPr>
        <w:t>八、重大资产和股权出售</w:t>
      </w:r>
      <w:bookmarkEnd w:id="48"/>
    </w:p>
    <w:p w14:paraId="3CF6DC9D">
      <w:pPr>
        <w:keepNext/>
        <w:keepLines/>
        <w:spacing w:before="300" w:after="300" w:line="280" w:lineRule="exact"/>
        <w:jc w:val="left"/>
        <w:outlineLvl w:val="2"/>
        <w:rPr>
          <w:rFonts w:ascii="宋体" w:hAnsi="宋体" w:eastAsia="宋体" w:cs="宋体"/>
          <w:b/>
          <w:bCs/>
          <w:sz w:val="21"/>
          <w:szCs w:val="21"/>
        </w:rPr>
      </w:pPr>
      <w:bookmarkStart w:id="49" w:name="_Toc988936"/>
      <w:r>
        <w:rPr>
          <w:rFonts w:ascii="宋体" w:hAnsi="宋体" w:eastAsia="宋体" w:cs="宋体"/>
          <w:b/>
          <w:bCs/>
          <w:sz w:val="21"/>
          <w:szCs w:val="21"/>
        </w:rPr>
        <w:t>1、出售重大资产情况</w:t>
      </w:r>
      <w:bookmarkEnd w:id="49"/>
    </w:p>
    <w:p w14:paraId="50AB8F12">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5B471FF5">
      <w:pPr>
        <w:spacing w:before="40" w:after="40" w:line="240" w:lineRule="exact"/>
        <w:jc w:val="left"/>
        <w:rPr>
          <w:rFonts w:ascii="宋体" w:hAnsi="宋体" w:eastAsia="宋体" w:cs="宋体"/>
          <w:sz w:val="18"/>
          <w:szCs w:val="18"/>
        </w:rPr>
      </w:pPr>
      <w:r>
        <w:rPr>
          <w:rFonts w:ascii="宋体" w:hAnsi="宋体" w:eastAsia="宋体" w:cs="宋体"/>
          <w:sz w:val="18"/>
          <w:szCs w:val="18"/>
        </w:rPr>
        <w:t>公司报告期未出售重大资产。</w:t>
      </w:r>
    </w:p>
    <w:p w14:paraId="243023CB">
      <w:pPr>
        <w:keepNext/>
        <w:keepLines/>
        <w:spacing w:before="300" w:after="300" w:line="280" w:lineRule="exact"/>
        <w:jc w:val="left"/>
        <w:outlineLvl w:val="2"/>
        <w:rPr>
          <w:rFonts w:ascii="宋体" w:hAnsi="宋体" w:eastAsia="宋体" w:cs="宋体"/>
          <w:b/>
          <w:bCs/>
          <w:sz w:val="21"/>
          <w:szCs w:val="21"/>
        </w:rPr>
      </w:pPr>
      <w:bookmarkStart w:id="50" w:name="_Toc988937"/>
      <w:r>
        <w:rPr>
          <w:rFonts w:ascii="宋体" w:hAnsi="宋体" w:eastAsia="宋体" w:cs="宋体"/>
          <w:b/>
          <w:bCs/>
          <w:sz w:val="21"/>
          <w:szCs w:val="21"/>
        </w:rPr>
        <w:t>2、出售重大股权情况</w:t>
      </w:r>
      <w:bookmarkEnd w:id="50"/>
    </w:p>
    <w:p w14:paraId="1B40D518">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84FC300">
      <w:pPr>
        <w:keepNext/>
        <w:keepLines/>
        <w:spacing w:before="300" w:after="300" w:line="320" w:lineRule="exact"/>
        <w:jc w:val="left"/>
        <w:outlineLvl w:val="1"/>
        <w:rPr>
          <w:rFonts w:ascii="宋体" w:hAnsi="宋体" w:eastAsia="宋体" w:cs="宋体"/>
          <w:b/>
          <w:bCs/>
          <w:sz w:val="24"/>
          <w:szCs w:val="24"/>
        </w:rPr>
      </w:pPr>
      <w:bookmarkStart w:id="51" w:name="_Toc988938"/>
      <w:r>
        <w:rPr>
          <w:rFonts w:ascii="宋体" w:hAnsi="宋体" w:eastAsia="宋体" w:cs="宋体"/>
          <w:b/>
          <w:bCs/>
          <w:sz w:val="24"/>
          <w:szCs w:val="24"/>
        </w:rPr>
        <w:t>九、主要控股参股公司分析</w:t>
      </w:r>
      <w:bookmarkEnd w:id="51"/>
    </w:p>
    <w:p w14:paraId="7AA434B1">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50634EA5">
      <w:pPr>
        <w:spacing w:before="100" w:after="100" w:line="240" w:lineRule="exact"/>
        <w:jc w:val="left"/>
        <w:rPr>
          <w:rFonts w:ascii="宋体" w:hAnsi="宋体" w:eastAsia="宋体" w:cs="宋体"/>
          <w:sz w:val="18"/>
          <w:szCs w:val="18"/>
        </w:rPr>
      </w:pPr>
      <w:r>
        <w:rPr>
          <w:rFonts w:ascii="宋体" w:hAnsi="宋体" w:eastAsia="宋体" w:cs="宋体"/>
          <w:sz w:val="18"/>
          <w:szCs w:val="18"/>
        </w:rPr>
        <w:t>主要子公司及对公司净利润影响达10%以上的参股公司情况</w:t>
      </w:r>
    </w:p>
    <w:p w14:paraId="66D23F8C">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3903CB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ED34A0C">
            <w:pPr>
              <w:spacing w:before="40" w:after="40" w:line="240" w:lineRule="exact"/>
              <w:jc w:val="center"/>
              <w:rPr>
                <w:rFonts w:ascii="宋体" w:hAnsi="宋体" w:eastAsia="宋体" w:cs="宋体"/>
                <w:sz w:val="18"/>
                <w:szCs w:val="18"/>
              </w:rPr>
            </w:pPr>
            <w:r>
              <w:rPr>
                <w:rFonts w:ascii="宋体" w:hAnsi="宋体" w:eastAsia="宋体" w:cs="宋体"/>
                <w:sz w:val="18"/>
                <w:szCs w:val="18"/>
              </w:rPr>
              <w:t>公司名称</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DE22B01">
            <w:pPr>
              <w:spacing w:before="40" w:after="40" w:line="240" w:lineRule="exact"/>
              <w:jc w:val="center"/>
              <w:rPr>
                <w:rFonts w:ascii="宋体" w:hAnsi="宋体" w:eastAsia="宋体" w:cs="宋体"/>
                <w:sz w:val="18"/>
                <w:szCs w:val="18"/>
              </w:rPr>
            </w:pPr>
            <w:r>
              <w:rPr>
                <w:rFonts w:ascii="宋体" w:hAnsi="宋体" w:eastAsia="宋体" w:cs="宋体"/>
                <w:sz w:val="18"/>
                <w:szCs w:val="18"/>
              </w:rPr>
              <w:t>公司类型</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764BE42">
            <w:pPr>
              <w:spacing w:before="40" w:after="40" w:line="240" w:lineRule="exact"/>
              <w:jc w:val="center"/>
              <w:rPr>
                <w:rFonts w:ascii="宋体" w:hAnsi="宋体" w:eastAsia="宋体" w:cs="宋体"/>
                <w:sz w:val="18"/>
                <w:szCs w:val="18"/>
              </w:rPr>
            </w:pPr>
            <w:r>
              <w:rPr>
                <w:rFonts w:ascii="宋体" w:hAnsi="宋体" w:eastAsia="宋体" w:cs="宋体"/>
                <w:sz w:val="18"/>
                <w:szCs w:val="18"/>
              </w:rPr>
              <w:t>主要业务</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5CED2B1">
            <w:pPr>
              <w:spacing w:before="40" w:after="40" w:line="240" w:lineRule="exact"/>
              <w:jc w:val="center"/>
              <w:rPr>
                <w:rFonts w:ascii="宋体" w:hAnsi="宋体" w:eastAsia="宋体" w:cs="宋体"/>
                <w:sz w:val="18"/>
                <w:szCs w:val="18"/>
              </w:rPr>
            </w:pPr>
            <w:r>
              <w:rPr>
                <w:rFonts w:ascii="宋体" w:hAnsi="宋体" w:eastAsia="宋体" w:cs="宋体"/>
                <w:sz w:val="18"/>
                <w:szCs w:val="18"/>
              </w:rPr>
              <w:t>注册资本</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BBD7CA4">
            <w:pPr>
              <w:spacing w:before="40" w:after="40" w:line="240" w:lineRule="exact"/>
              <w:jc w:val="center"/>
              <w:rPr>
                <w:rFonts w:ascii="宋体" w:hAnsi="宋体" w:eastAsia="宋体" w:cs="宋体"/>
                <w:sz w:val="18"/>
                <w:szCs w:val="18"/>
              </w:rPr>
            </w:pPr>
            <w:r>
              <w:rPr>
                <w:rFonts w:ascii="宋体" w:hAnsi="宋体" w:eastAsia="宋体" w:cs="宋体"/>
                <w:sz w:val="18"/>
                <w:szCs w:val="18"/>
              </w:rPr>
              <w:t>总资产</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3AF231E">
            <w:pPr>
              <w:spacing w:before="40" w:after="40" w:line="240" w:lineRule="exact"/>
              <w:jc w:val="center"/>
              <w:rPr>
                <w:rFonts w:ascii="宋体" w:hAnsi="宋体" w:eastAsia="宋体" w:cs="宋体"/>
                <w:sz w:val="18"/>
                <w:szCs w:val="18"/>
              </w:rPr>
            </w:pPr>
            <w:r>
              <w:rPr>
                <w:rFonts w:ascii="宋体" w:hAnsi="宋体" w:eastAsia="宋体" w:cs="宋体"/>
                <w:sz w:val="18"/>
                <w:szCs w:val="18"/>
              </w:rPr>
              <w:t>净资产</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8C8C89B">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5751DF4">
            <w:pPr>
              <w:spacing w:before="40" w:after="40" w:line="240" w:lineRule="exact"/>
              <w:jc w:val="center"/>
              <w:rPr>
                <w:rFonts w:ascii="宋体" w:hAnsi="宋体" w:eastAsia="宋体" w:cs="宋体"/>
                <w:sz w:val="18"/>
                <w:szCs w:val="18"/>
              </w:rPr>
            </w:pPr>
            <w:r>
              <w:rPr>
                <w:rFonts w:ascii="宋体" w:hAnsi="宋体" w:eastAsia="宋体" w:cs="宋体"/>
                <w:sz w:val="18"/>
                <w:szCs w:val="18"/>
              </w:rPr>
              <w:t>营业利润</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8EBF2B0">
            <w:pPr>
              <w:spacing w:before="40" w:after="40" w:line="240" w:lineRule="exact"/>
              <w:jc w:val="center"/>
              <w:rPr>
                <w:rFonts w:ascii="宋体" w:hAnsi="宋体" w:eastAsia="宋体" w:cs="宋体"/>
                <w:sz w:val="18"/>
                <w:szCs w:val="18"/>
              </w:rPr>
            </w:pPr>
            <w:r>
              <w:rPr>
                <w:rFonts w:ascii="宋体" w:hAnsi="宋体" w:eastAsia="宋体" w:cs="宋体"/>
                <w:sz w:val="18"/>
                <w:szCs w:val="18"/>
              </w:rPr>
              <w:t>净利润</w:t>
            </w:r>
          </w:p>
        </w:tc>
      </w:tr>
      <w:tr w14:paraId="59806C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30B6C63F">
            <w:pPr>
              <w:spacing w:before="0" w:after="0" w:line="240" w:lineRule="exact"/>
              <w:jc w:val="left"/>
              <w:rPr>
                <w:rFonts w:ascii="宋体" w:hAnsi="宋体" w:eastAsia="宋体" w:cs="宋体"/>
                <w:sz w:val="18"/>
                <w:szCs w:val="18"/>
              </w:rPr>
            </w:pPr>
            <w:r>
              <w:rPr>
                <w:rFonts w:ascii="宋体" w:hAnsi="宋体" w:eastAsia="宋体" w:cs="宋体"/>
                <w:sz w:val="18"/>
                <w:szCs w:val="18"/>
              </w:rPr>
              <w:t>福建广生中霖生物科技有限公司</w:t>
            </w:r>
          </w:p>
        </w:tc>
        <w:tc>
          <w:tcPr>
            <w:tcW w:w="1071" w:type="dxa"/>
            <w:tcBorders>
              <w:top w:val="single" w:color="auto" w:sz="2" w:space="0"/>
              <w:left w:val="single" w:color="auto" w:sz="2" w:space="0"/>
              <w:bottom w:val="single" w:color="auto" w:sz="2" w:space="0"/>
              <w:right w:val="single" w:color="auto" w:sz="2" w:space="0"/>
            </w:tcBorders>
            <w:vAlign w:val="center"/>
          </w:tcPr>
          <w:p w14:paraId="59268498">
            <w:pPr>
              <w:spacing w:before="0" w:after="0" w:line="240" w:lineRule="exact"/>
              <w:jc w:val="left"/>
              <w:rPr>
                <w:rFonts w:ascii="宋体" w:hAnsi="宋体" w:eastAsia="宋体" w:cs="宋体"/>
                <w:sz w:val="18"/>
                <w:szCs w:val="18"/>
              </w:rPr>
            </w:pPr>
            <w:r>
              <w:rPr>
                <w:rFonts w:ascii="宋体" w:hAnsi="宋体" w:eastAsia="宋体" w:cs="宋体"/>
                <w:sz w:val="18"/>
                <w:szCs w:val="18"/>
              </w:rPr>
              <w:t>子公司</w:t>
            </w:r>
          </w:p>
        </w:tc>
        <w:tc>
          <w:tcPr>
            <w:tcW w:w="1071" w:type="dxa"/>
            <w:tcBorders>
              <w:top w:val="single" w:color="auto" w:sz="2" w:space="0"/>
              <w:left w:val="single" w:color="auto" w:sz="2" w:space="0"/>
              <w:bottom w:val="single" w:color="auto" w:sz="2" w:space="0"/>
              <w:right w:val="single" w:color="auto" w:sz="2" w:space="0"/>
            </w:tcBorders>
            <w:vAlign w:val="center"/>
          </w:tcPr>
          <w:p w14:paraId="29AD79A7">
            <w:pPr>
              <w:spacing w:before="0" w:after="0" w:line="240" w:lineRule="exact"/>
              <w:jc w:val="left"/>
              <w:rPr>
                <w:rFonts w:ascii="宋体" w:hAnsi="宋体" w:eastAsia="宋体" w:cs="宋体"/>
                <w:sz w:val="18"/>
                <w:szCs w:val="18"/>
              </w:rPr>
            </w:pPr>
            <w:r>
              <w:rPr>
                <w:rFonts w:ascii="宋体" w:hAnsi="宋体" w:eastAsia="宋体" w:cs="宋体"/>
                <w:sz w:val="18"/>
                <w:szCs w:val="18"/>
              </w:rPr>
              <w:t>药品的研发、生产与销售</w:t>
            </w:r>
          </w:p>
        </w:tc>
        <w:tc>
          <w:tcPr>
            <w:tcW w:w="1071" w:type="dxa"/>
            <w:tcBorders>
              <w:top w:val="single" w:color="auto" w:sz="2" w:space="0"/>
              <w:left w:val="single" w:color="auto" w:sz="2" w:space="0"/>
              <w:bottom w:val="single" w:color="auto" w:sz="2" w:space="0"/>
              <w:right w:val="single" w:color="auto" w:sz="2" w:space="0"/>
            </w:tcBorders>
            <w:vAlign w:val="center"/>
          </w:tcPr>
          <w:p w14:paraId="48786318">
            <w:pPr>
              <w:spacing w:before="0" w:after="0" w:line="240" w:lineRule="exact"/>
              <w:jc w:val="left"/>
              <w:rPr>
                <w:rFonts w:ascii="宋体" w:hAnsi="宋体" w:eastAsia="宋体" w:cs="宋体"/>
                <w:sz w:val="18"/>
                <w:szCs w:val="18"/>
              </w:rPr>
            </w:pPr>
            <w:r>
              <w:rPr>
                <w:rFonts w:ascii="宋体" w:hAnsi="宋体" w:eastAsia="宋体" w:cs="宋体"/>
                <w:sz w:val="18"/>
                <w:szCs w:val="18"/>
              </w:rPr>
              <w:t>388,500,000.00</w:t>
            </w:r>
          </w:p>
        </w:tc>
        <w:tc>
          <w:tcPr>
            <w:tcW w:w="1071" w:type="dxa"/>
            <w:tcBorders>
              <w:top w:val="single" w:color="auto" w:sz="2" w:space="0"/>
              <w:left w:val="single" w:color="auto" w:sz="2" w:space="0"/>
              <w:bottom w:val="single" w:color="auto" w:sz="2" w:space="0"/>
              <w:right w:val="single" w:color="auto" w:sz="2" w:space="0"/>
            </w:tcBorders>
            <w:vAlign w:val="center"/>
          </w:tcPr>
          <w:p w14:paraId="5478BB03">
            <w:pPr>
              <w:spacing w:before="0" w:after="0" w:line="240" w:lineRule="exact"/>
              <w:jc w:val="right"/>
              <w:rPr>
                <w:rFonts w:ascii="宋体" w:hAnsi="宋体" w:eastAsia="宋体" w:cs="宋体"/>
                <w:sz w:val="18"/>
                <w:szCs w:val="18"/>
              </w:rPr>
            </w:pPr>
            <w:r>
              <w:rPr>
                <w:rFonts w:ascii="宋体" w:hAnsi="宋体" w:eastAsia="宋体" w:cs="宋体"/>
                <w:sz w:val="18"/>
                <w:szCs w:val="18"/>
              </w:rPr>
              <w:t>513,346,033.67</w:t>
            </w:r>
          </w:p>
        </w:tc>
        <w:tc>
          <w:tcPr>
            <w:tcW w:w="1071" w:type="dxa"/>
            <w:tcBorders>
              <w:top w:val="single" w:color="auto" w:sz="2" w:space="0"/>
              <w:left w:val="single" w:color="auto" w:sz="2" w:space="0"/>
              <w:bottom w:val="single" w:color="auto" w:sz="2" w:space="0"/>
              <w:right w:val="single" w:color="auto" w:sz="2" w:space="0"/>
            </w:tcBorders>
            <w:vAlign w:val="center"/>
          </w:tcPr>
          <w:p w14:paraId="2E71791B">
            <w:pPr>
              <w:spacing w:before="0" w:after="0" w:line="240" w:lineRule="exact"/>
              <w:jc w:val="right"/>
              <w:rPr>
                <w:rFonts w:ascii="宋体" w:hAnsi="宋体" w:eastAsia="宋体" w:cs="宋体"/>
                <w:sz w:val="18"/>
                <w:szCs w:val="18"/>
              </w:rPr>
            </w:pPr>
            <w:r>
              <w:rPr>
                <w:rFonts w:ascii="宋体" w:hAnsi="宋体" w:eastAsia="宋体" w:cs="宋体"/>
                <w:sz w:val="18"/>
                <w:szCs w:val="18"/>
              </w:rPr>
              <w:t>193,452,653.15</w:t>
            </w:r>
          </w:p>
        </w:tc>
        <w:tc>
          <w:tcPr>
            <w:tcW w:w="1071" w:type="dxa"/>
            <w:tcBorders>
              <w:top w:val="single" w:color="auto" w:sz="2" w:space="0"/>
              <w:left w:val="single" w:color="auto" w:sz="2" w:space="0"/>
              <w:bottom w:val="single" w:color="auto" w:sz="2" w:space="0"/>
              <w:right w:val="single" w:color="auto" w:sz="2" w:space="0"/>
            </w:tcBorders>
            <w:vAlign w:val="center"/>
          </w:tcPr>
          <w:p w14:paraId="05813B0B">
            <w:pPr>
              <w:spacing w:before="0" w:after="0" w:line="240" w:lineRule="exact"/>
              <w:jc w:val="right"/>
              <w:rPr>
                <w:rFonts w:ascii="宋体" w:hAnsi="宋体" w:eastAsia="宋体" w:cs="宋体"/>
                <w:sz w:val="18"/>
                <w:szCs w:val="18"/>
              </w:rPr>
            </w:pPr>
            <w:r>
              <w:rPr>
                <w:rFonts w:ascii="宋体" w:hAnsi="宋体" w:eastAsia="宋体" w:cs="宋体"/>
                <w:sz w:val="18"/>
                <w:szCs w:val="18"/>
              </w:rPr>
              <w:t>28,907,238.51</w:t>
            </w:r>
          </w:p>
        </w:tc>
        <w:tc>
          <w:tcPr>
            <w:tcW w:w="1071" w:type="dxa"/>
            <w:tcBorders>
              <w:top w:val="single" w:color="auto" w:sz="2" w:space="0"/>
              <w:left w:val="single" w:color="auto" w:sz="2" w:space="0"/>
              <w:bottom w:val="single" w:color="auto" w:sz="2" w:space="0"/>
              <w:right w:val="single" w:color="auto" w:sz="2" w:space="0"/>
            </w:tcBorders>
            <w:vAlign w:val="center"/>
          </w:tcPr>
          <w:p w14:paraId="5BE1C932">
            <w:pPr>
              <w:spacing w:before="0" w:after="0" w:line="240" w:lineRule="exact"/>
              <w:jc w:val="right"/>
              <w:rPr>
                <w:rFonts w:ascii="宋体" w:hAnsi="宋体" w:eastAsia="宋体" w:cs="宋体"/>
                <w:sz w:val="18"/>
                <w:szCs w:val="18"/>
              </w:rPr>
            </w:pPr>
            <w:r>
              <w:rPr>
                <w:rFonts w:ascii="宋体" w:hAnsi="宋体" w:eastAsia="宋体" w:cs="宋体"/>
                <w:sz w:val="18"/>
                <w:szCs w:val="18"/>
              </w:rPr>
              <w:t>-83,819,671.47</w:t>
            </w:r>
          </w:p>
        </w:tc>
        <w:tc>
          <w:tcPr>
            <w:tcW w:w="1071" w:type="dxa"/>
            <w:tcBorders>
              <w:top w:val="single" w:color="auto" w:sz="2" w:space="0"/>
              <w:left w:val="single" w:color="auto" w:sz="2" w:space="0"/>
              <w:bottom w:val="single" w:color="auto" w:sz="2" w:space="0"/>
              <w:right w:val="single" w:color="auto" w:sz="2" w:space="0"/>
            </w:tcBorders>
            <w:vAlign w:val="center"/>
          </w:tcPr>
          <w:p w14:paraId="53776AF0">
            <w:pPr>
              <w:spacing w:before="0" w:after="0" w:line="240" w:lineRule="exact"/>
              <w:jc w:val="right"/>
              <w:rPr>
                <w:rFonts w:ascii="宋体" w:hAnsi="宋体" w:eastAsia="宋体" w:cs="宋体"/>
                <w:sz w:val="18"/>
                <w:szCs w:val="18"/>
              </w:rPr>
            </w:pPr>
            <w:r>
              <w:rPr>
                <w:rFonts w:ascii="宋体" w:hAnsi="宋体" w:eastAsia="宋体" w:cs="宋体"/>
                <w:sz w:val="18"/>
                <w:szCs w:val="18"/>
              </w:rPr>
              <w:t>-85,431,314.72</w:t>
            </w:r>
          </w:p>
        </w:tc>
      </w:tr>
      <w:tr w14:paraId="4FD1A8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70DC0FD2">
            <w:pPr>
              <w:spacing w:before="0" w:after="0" w:line="240" w:lineRule="exact"/>
              <w:jc w:val="left"/>
              <w:rPr>
                <w:rFonts w:ascii="宋体" w:hAnsi="宋体" w:eastAsia="宋体" w:cs="宋体"/>
                <w:sz w:val="18"/>
                <w:szCs w:val="18"/>
              </w:rPr>
            </w:pPr>
            <w:r>
              <w:rPr>
                <w:rFonts w:ascii="宋体" w:hAnsi="宋体" w:eastAsia="宋体" w:cs="宋体"/>
                <w:sz w:val="18"/>
                <w:szCs w:val="18"/>
              </w:rPr>
              <w:t>江苏中兴药业有限公司</w:t>
            </w:r>
          </w:p>
        </w:tc>
        <w:tc>
          <w:tcPr>
            <w:tcW w:w="1071" w:type="dxa"/>
            <w:tcBorders>
              <w:top w:val="single" w:color="auto" w:sz="2" w:space="0"/>
              <w:left w:val="single" w:color="auto" w:sz="2" w:space="0"/>
              <w:bottom w:val="single" w:color="auto" w:sz="2" w:space="0"/>
              <w:right w:val="single" w:color="auto" w:sz="2" w:space="0"/>
            </w:tcBorders>
            <w:vAlign w:val="center"/>
          </w:tcPr>
          <w:p w14:paraId="3A3CEEE7">
            <w:pPr>
              <w:spacing w:before="0" w:after="0" w:line="240" w:lineRule="exact"/>
              <w:jc w:val="left"/>
              <w:rPr>
                <w:rFonts w:ascii="宋体" w:hAnsi="宋体" w:eastAsia="宋体" w:cs="宋体"/>
                <w:sz w:val="18"/>
                <w:szCs w:val="18"/>
              </w:rPr>
            </w:pPr>
            <w:r>
              <w:rPr>
                <w:rFonts w:ascii="宋体" w:hAnsi="宋体" w:eastAsia="宋体" w:cs="宋体"/>
                <w:sz w:val="18"/>
                <w:szCs w:val="18"/>
              </w:rPr>
              <w:t>子公司</w:t>
            </w:r>
          </w:p>
        </w:tc>
        <w:tc>
          <w:tcPr>
            <w:tcW w:w="1071" w:type="dxa"/>
            <w:tcBorders>
              <w:top w:val="single" w:color="auto" w:sz="2" w:space="0"/>
              <w:left w:val="single" w:color="auto" w:sz="2" w:space="0"/>
              <w:bottom w:val="single" w:color="auto" w:sz="2" w:space="0"/>
              <w:right w:val="single" w:color="auto" w:sz="2" w:space="0"/>
            </w:tcBorders>
            <w:vAlign w:val="center"/>
          </w:tcPr>
          <w:p w14:paraId="55147041">
            <w:pPr>
              <w:spacing w:before="0" w:after="0" w:line="240" w:lineRule="exact"/>
              <w:jc w:val="left"/>
              <w:rPr>
                <w:rFonts w:ascii="宋体" w:hAnsi="宋体" w:eastAsia="宋体" w:cs="宋体"/>
                <w:sz w:val="18"/>
                <w:szCs w:val="18"/>
              </w:rPr>
            </w:pPr>
            <w:r>
              <w:rPr>
                <w:rFonts w:ascii="宋体" w:hAnsi="宋体" w:eastAsia="宋体" w:cs="宋体"/>
                <w:sz w:val="18"/>
                <w:szCs w:val="18"/>
              </w:rPr>
              <w:t>药品的生产与销售</w:t>
            </w:r>
          </w:p>
        </w:tc>
        <w:tc>
          <w:tcPr>
            <w:tcW w:w="1071" w:type="dxa"/>
            <w:tcBorders>
              <w:top w:val="single" w:color="auto" w:sz="2" w:space="0"/>
              <w:left w:val="single" w:color="auto" w:sz="2" w:space="0"/>
              <w:bottom w:val="single" w:color="auto" w:sz="2" w:space="0"/>
              <w:right w:val="single" w:color="auto" w:sz="2" w:space="0"/>
            </w:tcBorders>
            <w:vAlign w:val="center"/>
          </w:tcPr>
          <w:p w14:paraId="52682314">
            <w:pPr>
              <w:spacing w:before="0" w:after="0" w:line="240" w:lineRule="exact"/>
              <w:jc w:val="left"/>
              <w:rPr>
                <w:rFonts w:ascii="宋体" w:hAnsi="宋体" w:eastAsia="宋体" w:cs="宋体"/>
                <w:sz w:val="18"/>
                <w:szCs w:val="18"/>
              </w:rPr>
            </w:pPr>
            <w:r>
              <w:rPr>
                <w:rFonts w:ascii="宋体" w:hAnsi="宋体" w:eastAsia="宋体" w:cs="宋体"/>
                <w:sz w:val="18"/>
                <w:szCs w:val="18"/>
              </w:rPr>
              <w:t>64,285,714.00</w:t>
            </w:r>
          </w:p>
        </w:tc>
        <w:tc>
          <w:tcPr>
            <w:tcW w:w="1071" w:type="dxa"/>
            <w:tcBorders>
              <w:top w:val="single" w:color="auto" w:sz="2" w:space="0"/>
              <w:left w:val="single" w:color="auto" w:sz="2" w:space="0"/>
              <w:bottom w:val="single" w:color="auto" w:sz="2" w:space="0"/>
              <w:right w:val="single" w:color="auto" w:sz="2" w:space="0"/>
            </w:tcBorders>
            <w:vAlign w:val="center"/>
          </w:tcPr>
          <w:p w14:paraId="3CEBB1CE">
            <w:pPr>
              <w:spacing w:before="0" w:after="0" w:line="240" w:lineRule="exact"/>
              <w:jc w:val="right"/>
              <w:rPr>
                <w:rFonts w:ascii="宋体" w:hAnsi="宋体" w:eastAsia="宋体" w:cs="宋体"/>
                <w:sz w:val="18"/>
                <w:szCs w:val="18"/>
              </w:rPr>
            </w:pPr>
            <w:r>
              <w:rPr>
                <w:rFonts w:ascii="宋体" w:hAnsi="宋体" w:eastAsia="宋体" w:cs="宋体"/>
                <w:sz w:val="18"/>
                <w:szCs w:val="18"/>
              </w:rPr>
              <w:t>251,584,706.78</w:t>
            </w:r>
          </w:p>
        </w:tc>
        <w:tc>
          <w:tcPr>
            <w:tcW w:w="1071" w:type="dxa"/>
            <w:tcBorders>
              <w:top w:val="single" w:color="auto" w:sz="2" w:space="0"/>
              <w:left w:val="single" w:color="auto" w:sz="2" w:space="0"/>
              <w:bottom w:val="single" w:color="auto" w:sz="2" w:space="0"/>
              <w:right w:val="single" w:color="auto" w:sz="2" w:space="0"/>
            </w:tcBorders>
            <w:vAlign w:val="center"/>
          </w:tcPr>
          <w:p w14:paraId="18AE3406">
            <w:pPr>
              <w:spacing w:before="0" w:after="0" w:line="240" w:lineRule="exact"/>
              <w:jc w:val="right"/>
              <w:rPr>
                <w:rFonts w:ascii="宋体" w:hAnsi="宋体" w:eastAsia="宋体" w:cs="宋体"/>
                <w:sz w:val="18"/>
                <w:szCs w:val="18"/>
              </w:rPr>
            </w:pPr>
            <w:r>
              <w:rPr>
                <w:rFonts w:ascii="宋体" w:hAnsi="宋体" w:eastAsia="宋体" w:cs="宋体"/>
                <w:sz w:val="18"/>
                <w:szCs w:val="18"/>
              </w:rPr>
              <w:t>119,325,752.47</w:t>
            </w:r>
          </w:p>
        </w:tc>
        <w:tc>
          <w:tcPr>
            <w:tcW w:w="1071" w:type="dxa"/>
            <w:tcBorders>
              <w:top w:val="single" w:color="auto" w:sz="2" w:space="0"/>
              <w:left w:val="single" w:color="auto" w:sz="2" w:space="0"/>
              <w:bottom w:val="single" w:color="auto" w:sz="2" w:space="0"/>
              <w:right w:val="single" w:color="auto" w:sz="2" w:space="0"/>
            </w:tcBorders>
            <w:vAlign w:val="center"/>
          </w:tcPr>
          <w:p w14:paraId="37622271">
            <w:pPr>
              <w:spacing w:before="0" w:after="0" w:line="240" w:lineRule="exact"/>
              <w:jc w:val="right"/>
              <w:rPr>
                <w:rFonts w:ascii="宋体" w:hAnsi="宋体" w:eastAsia="宋体" w:cs="宋体"/>
                <w:sz w:val="18"/>
                <w:szCs w:val="18"/>
              </w:rPr>
            </w:pPr>
            <w:r>
              <w:rPr>
                <w:rFonts w:ascii="宋体" w:hAnsi="宋体" w:eastAsia="宋体" w:cs="宋体"/>
                <w:sz w:val="18"/>
                <w:szCs w:val="18"/>
              </w:rPr>
              <w:t>231,563,792.28</w:t>
            </w:r>
          </w:p>
        </w:tc>
        <w:tc>
          <w:tcPr>
            <w:tcW w:w="1071" w:type="dxa"/>
            <w:tcBorders>
              <w:top w:val="single" w:color="auto" w:sz="2" w:space="0"/>
              <w:left w:val="single" w:color="auto" w:sz="2" w:space="0"/>
              <w:bottom w:val="single" w:color="auto" w:sz="2" w:space="0"/>
              <w:right w:val="single" w:color="auto" w:sz="2" w:space="0"/>
            </w:tcBorders>
            <w:vAlign w:val="center"/>
          </w:tcPr>
          <w:p w14:paraId="4470B2C3">
            <w:pPr>
              <w:spacing w:before="0" w:after="0" w:line="240" w:lineRule="exact"/>
              <w:jc w:val="right"/>
              <w:rPr>
                <w:rFonts w:ascii="宋体" w:hAnsi="宋体" w:eastAsia="宋体" w:cs="宋体"/>
                <w:sz w:val="18"/>
                <w:szCs w:val="18"/>
              </w:rPr>
            </w:pPr>
            <w:r>
              <w:rPr>
                <w:rFonts w:ascii="宋体" w:hAnsi="宋体" w:eastAsia="宋体" w:cs="宋体"/>
                <w:sz w:val="18"/>
                <w:szCs w:val="18"/>
              </w:rPr>
              <w:t>32,458,033.29</w:t>
            </w:r>
          </w:p>
        </w:tc>
        <w:tc>
          <w:tcPr>
            <w:tcW w:w="1071" w:type="dxa"/>
            <w:tcBorders>
              <w:top w:val="single" w:color="auto" w:sz="2" w:space="0"/>
              <w:left w:val="single" w:color="auto" w:sz="2" w:space="0"/>
              <w:bottom w:val="single" w:color="auto" w:sz="2" w:space="0"/>
              <w:right w:val="single" w:color="auto" w:sz="2" w:space="0"/>
            </w:tcBorders>
            <w:vAlign w:val="center"/>
          </w:tcPr>
          <w:p w14:paraId="3CFE9475">
            <w:pPr>
              <w:spacing w:before="0" w:after="0" w:line="240" w:lineRule="exact"/>
              <w:jc w:val="right"/>
              <w:rPr>
                <w:rFonts w:ascii="宋体" w:hAnsi="宋体" w:eastAsia="宋体" w:cs="宋体"/>
                <w:sz w:val="18"/>
                <w:szCs w:val="18"/>
              </w:rPr>
            </w:pPr>
            <w:r>
              <w:rPr>
                <w:rFonts w:ascii="宋体" w:hAnsi="宋体" w:eastAsia="宋体" w:cs="宋体"/>
                <w:sz w:val="18"/>
                <w:szCs w:val="18"/>
              </w:rPr>
              <w:t>24,195,322.54</w:t>
            </w:r>
          </w:p>
        </w:tc>
      </w:tr>
    </w:tbl>
    <w:p w14:paraId="7E4A386C">
      <w:pPr>
        <w:spacing w:before="40" w:after="40" w:line="240" w:lineRule="exact"/>
        <w:jc w:val="left"/>
        <w:rPr>
          <w:rFonts w:ascii="宋体" w:hAnsi="宋体" w:eastAsia="宋体" w:cs="宋体"/>
          <w:sz w:val="18"/>
          <w:szCs w:val="18"/>
        </w:rPr>
      </w:pPr>
      <w:r>
        <w:rPr>
          <w:rFonts w:ascii="宋体" w:hAnsi="宋体" w:eastAsia="宋体" w:cs="宋体"/>
          <w:sz w:val="18"/>
          <w:szCs w:val="18"/>
        </w:rPr>
        <w:t>报告期内取得和处置子公司的情况</w:t>
      </w:r>
    </w:p>
    <w:p w14:paraId="027A2594">
      <w:pPr>
        <w:spacing w:before="40" w:after="4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45946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61D455B">
            <w:pPr>
              <w:spacing w:before="40" w:after="40" w:line="240" w:lineRule="exact"/>
              <w:jc w:val="center"/>
              <w:rPr>
                <w:rFonts w:ascii="宋体" w:hAnsi="宋体" w:eastAsia="宋体" w:cs="宋体"/>
                <w:sz w:val="18"/>
                <w:szCs w:val="18"/>
              </w:rPr>
            </w:pPr>
            <w:r>
              <w:rPr>
                <w:rFonts w:ascii="宋体" w:hAnsi="宋体" w:eastAsia="宋体" w:cs="宋体"/>
                <w:sz w:val="18"/>
                <w:szCs w:val="18"/>
              </w:rPr>
              <w:t>公司名称</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6FB236D">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报告期内取得和处置子公司方式</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5129678">
            <w:pPr>
              <w:spacing w:before="40" w:after="40" w:line="240" w:lineRule="exact"/>
              <w:jc w:val="center"/>
              <w:rPr>
                <w:rFonts w:ascii="宋体" w:hAnsi="宋体" w:eastAsia="宋体" w:cs="宋体"/>
                <w:sz w:val="18"/>
                <w:szCs w:val="18"/>
              </w:rPr>
            </w:pPr>
            <w:r>
              <w:rPr>
                <w:rFonts w:ascii="宋体" w:hAnsi="宋体" w:eastAsia="宋体" w:cs="宋体"/>
                <w:sz w:val="18"/>
                <w:szCs w:val="18"/>
              </w:rPr>
              <w:t>对整体生产经营和业绩的影响</w:t>
            </w:r>
          </w:p>
        </w:tc>
      </w:tr>
      <w:tr w14:paraId="5E20FC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E67DD53">
            <w:pPr>
              <w:spacing w:before="0" w:after="0" w:line="240" w:lineRule="exact"/>
              <w:jc w:val="left"/>
              <w:rPr>
                <w:rFonts w:ascii="宋体" w:hAnsi="宋体" w:eastAsia="宋体" w:cs="宋体"/>
                <w:sz w:val="18"/>
                <w:szCs w:val="18"/>
              </w:rPr>
            </w:pPr>
            <w:r>
              <w:rPr>
                <w:rFonts w:ascii="宋体" w:hAnsi="宋体" w:eastAsia="宋体" w:cs="宋体"/>
                <w:sz w:val="18"/>
                <w:szCs w:val="18"/>
              </w:rPr>
              <w:t>广福来（北京）国际生物技术有限公司</w:t>
            </w:r>
          </w:p>
        </w:tc>
        <w:tc>
          <w:tcPr>
            <w:tcW w:w="3213" w:type="dxa"/>
            <w:tcBorders>
              <w:top w:val="single" w:color="auto" w:sz="2" w:space="0"/>
              <w:left w:val="single" w:color="auto" w:sz="2" w:space="0"/>
              <w:bottom w:val="single" w:color="auto" w:sz="2" w:space="0"/>
              <w:right w:val="single" w:color="auto" w:sz="2" w:space="0"/>
            </w:tcBorders>
            <w:vAlign w:val="center"/>
          </w:tcPr>
          <w:p w14:paraId="0D909934">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c>
          <w:tcPr>
            <w:tcW w:w="3213" w:type="dxa"/>
            <w:tcBorders>
              <w:top w:val="single" w:color="auto" w:sz="2" w:space="0"/>
              <w:left w:val="single" w:color="auto" w:sz="2" w:space="0"/>
              <w:bottom w:val="single" w:color="auto" w:sz="2" w:space="0"/>
              <w:right w:val="single" w:color="auto" w:sz="2" w:space="0"/>
            </w:tcBorders>
            <w:vAlign w:val="center"/>
          </w:tcPr>
          <w:p w14:paraId="17563BB6">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r w14:paraId="6B663F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6DA4346">
            <w:pPr>
              <w:spacing w:before="0" w:after="0" w:line="240" w:lineRule="exact"/>
              <w:jc w:val="left"/>
              <w:rPr>
                <w:rFonts w:ascii="宋体" w:hAnsi="宋体" w:eastAsia="宋体" w:cs="宋体"/>
                <w:sz w:val="18"/>
                <w:szCs w:val="18"/>
              </w:rPr>
            </w:pPr>
            <w:r>
              <w:rPr>
                <w:rFonts w:ascii="宋体" w:hAnsi="宋体" w:eastAsia="宋体" w:cs="宋体"/>
                <w:sz w:val="18"/>
                <w:szCs w:val="18"/>
              </w:rPr>
              <w:t>广生堂药业（漳州）有限公司</w:t>
            </w:r>
          </w:p>
        </w:tc>
        <w:tc>
          <w:tcPr>
            <w:tcW w:w="3213" w:type="dxa"/>
            <w:tcBorders>
              <w:top w:val="single" w:color="auto" w:sz="2" w:space="0"/>
              <w:left w:val="single" w:color="auto" w:sz="2" w:space="0"/>
              <w:bottom w:val="single" w:color="auto" w:sz="2" w:space="0"/>
              <w:right w:val="single" w:color="auto" w:sz="2" w:space="0"/>
            </w:tcBorders>
            <w:vAlign w:val="center"/>
          </w:tcPr>
          <w:p w14:paraId="7AE5315B">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c>
          <w:tcPr>
            <w:tcW w:w="3213" w:type="dxa"/>
            <w:tcBorders>
              <w:top w:val="single" w:color="auto" w:sz="2" w:space="0"/>
              <w:left w:val="single" w:color="auto" w:sz="2" w:space="0"/>
              <w:bottom w:val="single" w:color="auto" w:sz="2" w:space="0"/>
              <w:right w:val="single" w:color="auto" w:sz="2" w:space="0"/>
            </w:tcBorders>
            <w:vAlign w:val="center"/>
          </w:tcPr>
          <w:p w14:paraId="6C69E32F">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bl>
    <w:p w14:paraId="494C4868">
      <w:pPr>
        <w:spacing w:before="100" w:after="100" w:line="240" w:lineRule="exact"/>
        <w:jc w:val="left"/>
        <w:rPr>
          <w:rFonts w:ascii="宋体" w:hAnsi="宋体" w:eastAsia="宋体" w:cs="宋体"/>
          <w:sz w:val="18"/>
          <w:szCs w:val="18"/>
        </w:rPr>
      </w:pPr>
      <w:r>
        <w:rPr>
          <w:rFonts w:ascii="宋体" w:hAnsi="宋体" w:eastAsia="宋体" w:cs="宋体"/>
          <w:sz w:val="18"/>
          <w:szCs w:val="18"/>
        </w:rPr>
        <w:t>主要控股参股公司情况说明</w:t>
      </w:r>
    </w:p>
    <w:p w14:paraId="13AB52A9">
      <w:pPr>
        <w:pStyle w:val="2"/>
        <w:keepNext w:val="0"/>
        <w:keepLines w:val="0"/>
        <w:widowControl/>
        <w:suppressLineNumbers w:val="0"/>
        <w:spacing w:before="0" w:beforeAutospacing="0" w:after="0" w:afterAutospacing="0"/>
        <w:ind w:left="0" w:right="0" w:firstLine="360"/>
        <w:jc w:val="left"/>
        <w:rPr>
          <w:rFonts w:ascii="Calibri" w:hAnsi="Calibri" w:cs="Calibri"/>
          <w:sz w:val="21"/>
          <w:szCs w:val="21"/>
        </w:rPr>
      </w:pPr>
      <w:r>
        <w:rPr>
          <w:rFonts w:hint="eastAsia" w:ascii="宋体" w:hAnsi="宋体" w:eastAsia="宋体" w:cs="宋体"/>
          <w:sz w:val="18"/>
          <w:szCs w:val="18"/>
        </w:rPr>
        <w:t>1、江苏中兴自2018年6月收购以来，业绩保持逐年持续增长，报告期营业收入增长2.85%，实现净利润2,419.53万元，同比增长26.73%；</w:t>
      </w:r>
    </w:p>
    <w:p w14:paraId="46581101">
      <w:pPr>
        <w:pStyle w:val="2"/>
        <w:keepNext w:val="0"/>
        <w:keepLines w:val="0"/>
        <w:widowControl/>
        <w:suppressLineNumbers w:val="0"/>
        <w:spacing w:before="0" w:beforeAutospacing="0" w:after="0" w:afterAutospacing="0"/>
        <w:ind w:left="0" w:right="0" w:firstLine="360"/>
        <w:jc w:val="left"/>
        <w:rPr>
          <w:rFonts w:hint="default" w:ascii="Calibri" w:hAnsi="Calibri" w:cs="Calibri"/>
          <w:sz w:val="21"/>
          <w:szCs w:val="21"/>
        </w:rPr>
      </w:pPr>
      <w:r>
        <w:rPr>
          <w:rFonts w:hint="eastAsia" w:ascii="宋体" w:hAnsi="宋体" w:eastAsia="宋体" w:cs="宋体"/>
          <w:sz w:val="18"/>
          <w:szCs w:val="18"/>
        </w:rPr>
        <w:t>2、2021年11月，公司设立创新药控股子公司福建广生中霖生物科技有限公司，报告期内营业收入下降34.03%，由于研发投入较大，净利润亏损约8,543.13万元。</w:t>
      </w:r>
    </w:p>
    <w:p w14:paraId="4484073B">
      <w:pPr>
        <w:keepNext/>
        <w:keepLines/>
        <w:spacing w:before="300" w:after="300" w:line="320" w:lineRule="exact"/>
        <w:jc w:val="left"/>
        <w:outlineLvl w:val="1"/>
        <w:rPr>
          <w:rFonts w:ascii="宋体" w:hAnsi="宋体" w:eastAsia="宋体" w:cs="宋体"/>
          <w:b/>
          <w:bCs/>
          <w:sz w:val="24"/>
          <w:szCs w:val="24"/>
        </w:rPr>
      </w:pPr>
      <w:bookmarkStart w:id="52" w:name="_Toc988939"/>
      <w:r>
        <w:rPr>
          <w:rFonts w:ascii="宋体" w:hAnsi="宋体" w:eastAsia="宋体" w:cs="宋体"/>
          <w:b/>
          <w:bCs/>
          <w:sz w:val="24"/>
          <w:szCs w:val="24"/>
        </w:rPr>
        <w:t>十、公司控制的结构化主体情况</w:t>
      </w:r>
      <w:bookmarkEnd w:id="52"/>
    </w:p>
    <w:p w14:paraId="6F04EF67">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645DE985">
      <w:pPr>
        <w:keepNext/>
        <w:keepLines/>
        <w:spacing w:before="300" w:after="300" w:line="320" w:lineRule="exact"/>
        <w:jc w:val="left"/>
        <w:outlineLvl w:val="1"/>
        <w:rPr>
          <w:rFonts w:ascii="宋体" w:hAnsi="宋体" w:eastAsia="宋体" w:cs="宋体"/>
          <w:b/>
          <w:bCs/>
          <w:sz w:val="24"/>
          <w:szCs w:val="24"/>
        </w:rPr>
      </w:pPr>
      <w:bookmarkStart w:id="53" w:name="_Toc988940"/>
      <w:r>
        <w:rPr>
          <w:rFonts w:ascii="宋体" w:hAnsi="宋体" w:eastAsia="宋体" w:cs="宋体"/>
          <w:b/>
          <w:bCs/>
          <w:sz w:val="24"/>
          <w:szCs w:val="24"/>
        </w:rPr>
        <w:t>十一、公司未来发展的展望</w:t>
      </w:r>
      <w:bookmarkEnd w:id="53"/>
    </w:p>
    <w:p w14:paraId="11AA9C0F">
      <w:pPr>
        <w:pStyle w:val="2"/>
        <w:keepNext w:val="0"/>
        <w:keepLines w:val="0"/>
        <w:widowControl/>
        <w:suppressLineNumbers w:val="0"/>
        <w:spacing w:before="0" w:beforeAutospacing="0" w:after="0" w:afterAutospacing="0" w:line="360" w:lineRule="auto"/>
        <w:ind w:left="0" w:firstLine="361"/>
        <w:jc w:val="left"/>
        <w:rPr>
          <w:rFonts w:hint="eastAsia" w:ascii="宋体" w:hAnsi="宋体" w:eastAsia="宋体" w:cs="宋体"/>
          <w:sz w:val="24"/>
          <w:szCs w:val="24"/>
        </w:rPr>
      </w:pPr>
      <w:r>
        <w:rPr>
          <w:rFonts w:hint="eastAsia" w:ascii="宋体" w:hAnsi="宋体" w:eastAsia="宋体" w:cs="宋体"/>
          <w:b/>
          <w:bCs/>
          <w:sz w:val="18"/>
          <w:szCs w:val="18"/>
        </w:rPr>
        <w:t>（一）未来发展战略和经营计划</w:t>
      </w:r>
    </w:p>
    <w:p w14:paraId="3D7D899B">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2025年对于公司而言，是实现高质量、跨越式发展的关键时期。公司将坚持仿制药与创新药相结合的发展模式，坚定不移地推进创新战略，同时将“扭亏为盈”作为核心工作，全面强化营销意识，中西药并重，开发OTC品牌，持续推动成本控制和效率提升，探索建立公司的国际化运营实力，从而在不断变化的市场环境中，稳步提升公司的市场地位和综合实力。</w:t>
      </w:r>
    </w:p>
    <w:p w14:paraId="37C17D0C">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1、深化营销改革，实现产品突破</w:t>
      </w:r>
    </w:p>
    <w:p w14:paraId="3246EC46">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2025年，公司将通过深化营销体系改革、聚焦重点产品培育突破以及强化与漳州大健康产业战略合作，多维度驱动营收增长。稳固肝病产品基本盘的同时，重点突破水飞蓟宾葡甲胺、泰中定、参芪健胃、参梅养胃等产品的销量增长。同步推进化药与中药双轮战略，依托漳州子公司加快布局中药领域，加强与漳州大健康产业链企业品牌、渠道合作，推动中药传统名方引入和产业化，打造高品质、道地中药新IP，构建业绩增长新引擎。</w:t>
      </w:r>
    </w:p>
    <w:p w14:paraId="3F59EC68">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2、强化资本运作，推动融资与并购</w:t>
      </w:r>
    </w:p>
    <w:p w14:paraId="46111AA7">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2025年，公司将持续深化资本运作，重点推进上市公司再融资进程，确保创新药临床研究的资金需求得到高效保障。积极筛选具备战略协同效应或优势产品的并购标的及BD项目，择机实施并购整合，以增强核心竞争力并释放长期增长动能。此外，持续提升信息披露质量和加强投资者沟通，更精准地传递企业内在价值，塑造资本市场创新新形象。</w:t>
      </w:r>
    </w:p>
    <w:p w14:paraId="7EFC793F">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3、坚定创新，聚焦核心研发</w:t>
      </w:r>
    </w:p>
    <w:p w14:paraId="1F8C947A">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2025年，公司将坚定创新发展不动摇，聚焦乙肝创新药核心管线的突破性进展，加速推进关键临床试验进程。通过动态优化研发体系和加强合作机构深度共创协同，提升研发资金使用效率。在国际化布局方面，探寻全球战略合作，重点推进创新药license-out及国际合作项目落地，与跨国药企、国际研发机构建立多层次伙伴关系，打造具有国际竞争力的创新药管线；积极参与国际学术交流及行业峰会，提升全球品牌影响力。</w:t>
      </w:r>
    </w:p>
    <w:p w14:paraId="5F34229B">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4、精益运营，持续降本增效</w:t>
      </w:r>
    </w:p>
    <w:p w14:paraId="3E79EEE9">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2025年，公司将全面深化精益管理，持续降本增效，重点构建覆盖研发、生产、销售及前中后台的精益运营体系。持续系统性优化业务流程，完善多元化原料竞价供应体系，科学、动态调配产能，提升资产利用率，激活存量资源价值，提升公司的管理效能和盈利能力。</w:t>
      </w:r>
    </w:p>
    <w:p w14:paraId="0B788908">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（二）公司面临的风险和应对措施</w:t>
      </w:r>
    </w:p>
    <w:p w14:paraId="46505EE5">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1、行业政策与市场风险</w:t>
      </w:r>
    </w:p>
    <w:p w14:paraId="5BE70AD2">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（1）产业政策变化风险</w:t>
      </w:r>
    </w:p>
    <w:p w14:paraId="7F3D3A35">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近年来，国家引导和鼓励战略性新兴产业进行产业升级和结构优化，支持以创新为驱动的医药行业的发展，医药企业面临难得的创新发展机遇。但随着医疗体制改革的深入，“两票制”、“一致性评价”、“带量采购”政策陆续推出，医药行业的药品研发、注册、生产与质量管理、销售、招标价格等受到重大影响，短期对国内医药企业带来较大的经营压力和挑战，在一定程度上增加了经营风险。上述政策可能导致公司产品的销售地区、销售价格受到限制，若公司在经营策略上不能及时调整，顺应国家有关医药行业的政策和行业法规的变化，将会对公司经营活动产生不利影响。</w:t>
      </w:r>
    </w:p>
    <w:p w14:paraId="745EC49D">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公司将根据行业政策的变化，积极探索和创新发展适合中国医疗水平、医改方向的经营模式，高效完成产品研发、注册、生产和质量控制、营销推广等全方面经营工作，确保公司能够适应外部经营环境变化，防范政策性风险。</w:t>
      </w:r>
    </w:p>
    <w:p w14:paraId="61EB5F31">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（2）市场竞争加剧风险</w:t>
      </w:r>
    </w:p>
    <w:p w14:paraId="02B05926">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中国医药市场广阔而且发展潜力大，国际、国内企业竞相进入，医药创新加速升级，市场竞争不断加剧，给医药企业带来持续的经营压力。如果公司不能够在产品疗效和安全性、工艺研发、产品质量处于领先优势，不能在销售网络建设和营销策略的设计等方面适应市场竞争状况的变化，公司可能在市场竞争中无法持续保持或提升自身的竞争优势，从而对公司的效益产生影响。</w:t>
      </w:r>
    </w:p>
    <w:p w14:paraId="5697EB09">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公司将不断加强创新研发、优化生产工艺，不断提高产品质量和综合成本优势，加强品牌建设，以保持自身的市场竞争优势。</w:t>
      </w:r>
    </w:p>
    <w:p w14:paraId="5B5E68CA">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2、技术与产品风险</w:t>
      </w:r>
    </w:p>
    <w:p w14:paraId="5CBA961E">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（1）新药研发风险</w:t>
      </w:r>
    </w:p>
    <w:p w14:paraId="22AE420C">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新药研发涉及多个学科的专业知识组合、长时间的投入和高昂资本开支，具有投入大、风险高、周期长等特点。根据《药品注册管理办法》等相关规定，新药注册一般需经过临床前基础工作、临床试验申请审评、开展系列临床试验研究、新药上市许可审评等阶段。虽然公司正积极推进多个在研创新药项目的临床试验工作，提升在研产品的成药率，但药品研发仍可能存在临床实施效果不及预期、未能通过相关主管部门的审批、上市时间晚于计划时间或研发周期延长的风险。</w:t>
      </w:r>
    </w:p>
    <w:p w14:paraId="15863103">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创新研发，是医药行业未来发展的必然趋势。公司将积极组织实施产品研发工作，不断提升自主创新能力，提高研发水平，并严格按照国家政策、指导原则开展研发工作，对研发项目关键节点进行风险评估，降低过程风险。</w:t>
      </w:r>
    </w:p>
    <w:p w14:paraId="7F7D5539">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（2）核心技术人员流失风险</w:t>
      </w:r>
    </w:p>
    <w:p w14:paraId="6053AADC">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公司持续推进创新发展战略，坚定不移地推动创新药物的研发，在新药研发过程中，需要由专业知识与技能过硬、技术创新能力突出的技术人员参与。公司能否维持研发团队的稳定，并持续进行优秀技术人才的招募，将直接影响公司各研发项目的推进以及技术竞争实力。如果公司薪酬待遇与同行业相比失去优势，或者公司无法满足核心技术人员的激励及晋升需求，将可能导致相关核心技术人员的流失。</w:t>
      </w:r>
    </w:p>
    <w:p w14:paraId="0BFDF444">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员工是企业生产发展之根本，公司高度重视员工的稳定性，特别是研发技术人员。公司将每年根据激励政策，制定有针对性的激励方案，保持核心技术人员团队的稳定。</w:t>
      </w:r>
    </w:p>
    <w:p w14:paraId="265F73DB">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（3）新产品上市销售不及预期风险</w:t>
      </w:r>
    </w:p>
    <w:p w14:paraId="1E5AAC62">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公司新药研发成功并获批后，仍需要经过学术推广、市场拓展等环节，才可能被医生、患者以及其他医疗行业人士所认可。由于下游市场需求不断发生变化，新药上市后存在无法满足市场最新需求或未被市场所接受的可能性。此外，如有在价格、药效、品质等方面优于公司的其他厂家产品获批上市，公司新产品的市场推广亦将受到相关不利影响，进而导致销售不及预期。</w:t>
      </w:r>
    </w:p>
    <w:p w14:paraId="21BA3EEB">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公司将不断拓展多类型的销售网络渠道，根据品种特点制定差异化的销售模式，加大新品市场推广力度。</w:t>
      </w:r>
    </w:p>
    <w:p w14:paraId="474B77D2">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3、经营业绩亏损的风险</w:t>
      </w:r>
    </w:p>
    <w:p w14:paraId="7CD113E2">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最近三年公司经营业绩均出现亏损。一方面，公司坚定实施创新发展战略，持续进行大额研发投入，虽然创新药研发进展取得突破，但研发投入占营业收入占比大，且公司未来仍需保持较大金额的研发投入，用于推进研发进程，对公司业绩产生较大影响。另一方面，受国家药品集中采购等政策持续影响，公司抗乙肝病毒药物毛利率较低，传统仿制药业务收入和利润贡献有所下降。</w:t>
      </w:r>
    </w:p>
    <w:p w14:paraId="5A22E418">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公司将持续推进精益管理，全面提升运营效率，深化营销改革，构建专业化推广能力，加速创新药商业化进程，培育新的利润增长点。</w:t>
      </w:r>
    </w:p>
    <w:p w14:paraId="7DBA768F">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4、募集资金投资项目实施风险</w:t>
      </w:r>
    </w:p>
    <w:p w14:paraId="52947708">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2021年6月，公司完成2020年向特定对象发行股份，募集资金用于原料药制剂一体化生产基地建设项目、江苏中兴制剂车间建设项目。相关项目是基于当时的产业政策、市场环境、技术背景，经过充分的市场调研和可行性论证做出的。但在项目实施过程中，如若宏观政策和市场环境发生不利变动、产品技术出现重大变化或因不可预见因素等原因造成募投项目无法实施、延期实施、项目变更，将可能对项目的完成进度和预期效果产生一定的不利影响。</w:t>
      </w:r>
    </w:p>
    <w:p w14:paraId="3537DAA9">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报告期内，公司已履行必要审批程序，终止了“江苏中兴制剂车间建设项目”并将项目终止后剩余的募集资金永久补充流动资金，将“原料药制剂一体化生产基地建设项目”结项并将节余募集资金用于永久补充流动资金。</w:t>
      </w:r>
    </w:p>
    <w:p w14:paraId="5E56F070">
      <w:pPr>
        <w:pStyle w:val="2"/>
        <w:keepNext w:val="0"/>
        <w:keepLines w:val="0"/>
        <w:widowControl/>
        <w:suppressLineNumbers w:val="0"/>
        <w:spacing w:before="0" w:beforeAutospacing="0" w:after="0" w:afterAutospacing="0" w:line="360" w:lineRule="auto"/>
        <w:ind w:left="0" w:firstLine="361"/>
        <w:jc w:val="both"/>
        <w:rPr>
          <w:rFonts w:hint="eastAsia" w:ascii="宋体" w:hAnsi="宋体" w:eastAsia="宋体" w:cs="宋体"/>
          <w:sz w:val="24"/>
          <w:szCs w:val="24"/>
        </w:rPr>
      </w:pPr>
      <w:r>
        <w:rPr>
          <w:rFonts w:hint="eastAsia" w:ascii="宋体" w:hAnsi="宋体" w:eastAsia="宋体" w:cs="宋体"/>
          <w:b/>
          <w:bCs/>
          <w:sz w:val="18"/>
          <w:szCs w:val="18"/>
        </w:rPr>
        <w:t>5、资产减值风险</w:t>
      </w:r>
    </w:p>
    <w:p w14:paraId="2033F52B">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公司已根据企业会计准则相关规定，结合产品销售情况、资产使用状况及市场环境变化，计提了相应的资产减值准备，但未来若公司所处的经济、技术或者法律等环境或下游市场需求等因素发生不利变化，公司相关资产仍将面临进一步减值的风险，将会对公司的财务状况及经营成果带来不利影响。</w:t>
      </w:r>
    </w:p>
    <w:p w14:paraId="36E30DF6">
      <w:pPr>
        <w:pStyle w:val="2"/>
        <w:keepNext w:val="0"/>
        <w:keepLines w:val="0"/>
        <w:widowControl/>
        <w:suppressLineNumbers w:val="0"/>
        <w:spacing w:before="0" w:beforeAutospacing="0" w:after="0" w:afterAutospacing="0"/>
        <w:ind w:left="0" w:firstLine="360"/>
        <w:jc w:val="both"/>
        <w:rPr>
          <w:rFonts w:hint="eastAsia" w:ascii="宋体" w:hAnsi="宋体" w:eastAsia="宋体" w:cs="宋体"/>
          <w:sz w:val="24"/>
          <w:szCs w:val="24"/>
        </w:rPr>
      </w:pPr>
      <w:r>
        <w:rPr>
          <w:rFonts w:hint="eastAsia" w:ascii="宋体" w:hAnsi="宋体" w:eastAsia="宋体" w:cs="宋体"/>
          <w:sz w:val="18"/>
          <w:szCs w:val="18"/>
        </w:rPr>
        <w:t>公司将持续提升资产使用效能，强化市场和环境趋势研判，提高经营决策的前瞻性，同时加强资产运营效率监控，动态评估减值风险。</w:t>
      </w:r>
    </w:p>
    <w:p w14:paraId="457540F7">
      <w:pPr>
        <w:keepNext/>
        <w:keepLines/>
        <w:spacing w:before="300" w:after="300" w:line="320" w:lineRule="exact"/>
        <w:jc w:val="left"/>
        <w:outlineLvl w:val="1"/>
        <w:rPr>
          <w:rFonts w:ascii="宋体" w:hAnsi="宋体" w:eastAsia="宋体" w:cs="宋体"/>
          <w:b/>
          <w:bCs/>
          <w:sz w:val="24"/>
          <w:szCs w:val="24"/>
        </w:rPr>
      </w:pPr>
      <w:bookmarkStart w:id="54" w:name="_Toc988941"/>
      <w:r>
        <w:rPr>
          <w:rFonts w:ascii="宋体" w:hAnsi="宋体" w:eastAsia="宋体" w:cs="宋体"/>
          <w:b/>
          <w:bCs/>
          <w:sz w:val="24"/>
          <w:szCs w:val="24"/>
        </w:rPr>
        <w:t>十二、报告期内接待调研、沟通、采访等活动登记表</w:t>
      </w:r>
      <w:bookmarkEnd w:id="54"/>
    </w:p>
    <w:p w14:paraId="498CEB58">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1A4D60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0456AC9">
            <w:pPr>
              <w:spacing w:before="40" w:after="40" w:line="240" w:lineRule="exact"/>
              <w:jc w:val="center"/>
              <w:rPr>
                <w:rFonts w:ascii="宋体" w:hAnsi="宋体" w:eastAsia="宋体" w:cs="宋体"/>
                <w:sz w:val="18"/>
                <w:szCs w:val="18"/>
              </w:rPr>
            </w:pPr>
            <w:r>
              <w:rPr>
                <w:rFonts w:ascii="宋体" w:hAnsi="宋体" w:eastAsia="宋体" w:cs="宋体"/>
                <w:sz w:val="18"/>
                <w:szCs w:val="18"/>
              </w:rPr>
              <w:t>接待时间</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BD31261">
            <w:pPr>
              <w:spacing w:before="40" w:after="40" w:line="240" w:lineRule="exact"/>
              <w:jc w:val="center"/>
              <w:rPr>
                <w:rFonts w:ascii="宋体" w:hAnsi="宋体" w:eastAsia="宋体" w:cs="宋体"/>
                <w:sz w:val="18"/>
                <w:szCs w:val="18"/>
              </w:rPr>
            </w:pPr>
            <w:r>
              <w:rPr>
                <w:rFonts w:ascii="宋体" w:hAnsi="宋体" w:eastAsia="宋体" w:cs="宋体"/>
                <w:sz w:val="18"/>
                <w:szCs w:val="18"/>
              </w:rPr>
              <w:t>接待地点</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12F94F3">
            <w:pPr>
              <w:spacing w:before="40" w:after="40" w:line="240" w:lineRule="exact"/>
              <w:jc w:val="center"/>
              <w:rPr>
                <w:rFonts w:ascii="宋体" w:hAnsi="宋体" w:eastAsia="宋体" w:cs="宋体"/>
                <w:sz w:val="18"/>
                <w:szCs w:val="18"/>
              </w:rPr>
            </w:pPr>
            <w:r>
              <w:rPr>
                <w:rFonts w:ascii="宋体" w:hAnsi="宋体" w:eastAsia="宋体" w:cs="宋体"/>
                <w:sz w:val="18"/>
                <w:szCs w:val="18"/>
              </w:rPr>
              <w:t>接待方式</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4758F84">
            <w:pPr>
              <w:spacing w:before="40" w:after="40" w:line="240" w:lineRule="exact"/>
              <w:jc w:val="center"/>
              <w:rPr>
                <w:rFonts w:ascii="宋体" w:hAnsi="宋体" w:eastAsia="宋体" w:cs="宋体"/>
                <w:sz w:val="18"/>
                <w:szCs w:val="18"/>
              </w:rPr>
            </w:pPr>
            <w:r>
              <w:rPr>
                <w:rFonts w:ascii="宋体" w:hAnsi="宋体" w:eastAsia="宋体" w:cs="宋体"/>
                <w:sz w:val="18"/>
                <w:szCs w:val="18"/>
              </w:rPr>
              <w:t>接待对象类型</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86C310E">
            <w:pPr>
              <w:spacing w:before="40" w:after="40" w:line="240" w:lineRule="exact"/>
              <w:jc w:val="center"/>
              <w:rPr>
                <w:rFonts w:ascii="宋体" w:hAnsi="宋体" w:eastAsia="宋体" w:cs="宋体"/>
                <w:sz w:val="18"/>
                <w:szCs w:val="18"/>
              </w:rPr>
            </w:pPr>
            <w:r>
              <w:rPr>
                <w:rFonts w:ascii="宋体" w:hAnsi="宋体" w:eastAsia="宋体" w:cs="宋体"/>
                <w:sz w:val="18"/>
                <w:szCs w:val="18"/>
              </w:rPr>
              <w:t>接待对象</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6306C33">
            <w:pPr>
              <w:spacing w:before="40" w:after="40" w:line="240" w:lineRule="exact"/>
              <w:jc w:val="center"/>
              <w:rPr>
                <w:rFonts w:ascii="宋体" w:hAnsi="宋体" w:eastAsia="宋体" w:cs="宋体"/>
                <w:sz w:val="18"/>
                <w:szCs w:val="18"/>
              </w:rPr>
            </w:pPr>
            <w:r>
              <w:rPr>
                <w:rFonts w:ascii="宋体" w:hAnsi="宋体" w:eastAsia="宋体" w:cs="宋体"/>
                <w:sz w:val="18"/>
                <w:szCs w:val="18"/>
              </w:rPr>
              <w:t>谈论的主要内容及提供的资料</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AD80DE5">
            <w:pPr>
              <w:spacing w:before="40" w:after="40" w:line="240" w:lineRule="exact"/>
              <w:jc w:val="center"/>
              <w:rPr>
                <w:rFonts w:ascii="宋体" w:hAnsi="宋体" w:eastAsia="宋体" w:cs="宋体"/>
                <w:sz w:val="18"/>
                <w:szCs w:val="18"/>
              </w:rPr>
            </w:pPr>
            <w:r>
              <w:rPr>
                <w:rFonts w:ascii="宋体" w:hAnsi="宋体" w:eastAsia="宋体" w:cs="宋体"/>
                <w:sz w:val="18"/>
                <w:szCs w:val="18"/>
              </w:rPr>
              <w:t>调研的基本情况索引</w:t>
            </w:r>
          </w:p>
        </w:tc>
      </w:tr>
      <w:tr w14:paraId="07C1C1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19426460">
            <w:pPr>
              <w:spacing w:before="0" w:after="0" w:line="240" w:lineRule="exact"/>
              <w:jc w:val="left"/>
              <w:rPr>
                <w:rFonts w:ascii="宋体" w:hAnsi="宋体" w:eastAsia="宋体" w:cs="宋体"/>
                <w:sz w:val="18"/>
                <w:szCs w:val="18"/>
              </w:rPr>
            </w:pPr>
            <w:r>
              <w:rPr>
                <w:rFonts w:ascii="宋体" w:hAnsi="宋体" w:eastAsia="宋体" w:cs="宋体"/>
                <w:sz w:val="18"/>
                <w:szCs w:val="18"/>
              </w:rPr>
              <w:t>2024年04月23日</w:t>
            </w:r>
          </w:p>
        </w:tc>
        <w:tc>
          <w:tcPr>
            <w:tcW w:w="1377" w:type="dxa"/>
            <w:tcBorders>
              <w:top w:val="single" w:color="auto" w:sz="2" w:space="0"/>
              <w:left w:val="single" w:color="auto" w:sz="2" w:space="0"/>
              <w:bottom w:val="single" w:color="auto" w:sz="2" w:space="0"/>
              <w:right w:val="single" w:color="auto" w:sz="2" w:space="0"/>
            </w:tcBorders>
            <w:vAlign w:val="center"/>
          </w:tcPr>
          <w:p w14:paraId="1B10ACBD">
            <w:pPr>
              <w:spacing w:before="0" w:after="0" w:line="240" w:lineRule="exact"/>
              <w:jc w:val="left"/>
              <w:rPr>
                <w:rFonts w:ascii="宋体" w:hAnsi="宋体" w:eastAsia="宋体" w:cs="宋体"/>
                <w:sz w:val="18"/>
                <w:szCs w:val="18"/>
              </w:rPr>
            </w:pPr>
            <w:r>
              <w:rPr>
                <w:rFonts w:ascii="宋体" w:hAnsi="宋体" w:eastAsia="宋体" w:cs="宋体"/>
                <w:sz w:val="18"/>
                <w:szCs w:val="18"/>
              </w:rPr>
              <w:t>网络远程</w:t>
            </w:r>
          </w:p>
        </w:tc>
        <w:tc>
          <w:tcPr>
            <w:tcW w:w="1377" w:type="dxa"/>
            <w:tcBorders>
              <w:top w:val="single" w:color="auto" w:sz="2" w:space="0"/>
              <w:left w:val="single" w:color="auto" w:sz="2" w:space="0"/>
              <w:bottom w:val="single" w:color="auto" w:sz="2" w:space="0"/>
              <w:right w:val="single" w:color="auto" w:sz="2" w:space="0"/>
            </w:tcBorders>
            <w:vAlign w:val="center"/>
          </w:tcPr>
          <w:p w14:paraId="3CAB761A">
            <w:pPr>
              <w:spacing w:before="0" w:after="0" w:line="240" w:lineRule="exact"/>
              <w:jc w:val="left"/>
              <w:rPr>
                <w:rFonts w:ascii="宋体" w:hAnsi="宋体" w:eastAsia="宋体" w:cs="宋体"/>
                <w:sz w:val="18"/>
                <w:szCs w:val="18"/>
              </w:rPr>
            </w:pPr>
            <w:r>
              <w:rPr>
                <w:rFonts w:ascii="宋体" w:hAnsi="宋体" w:eastAsia="宋体" w:cs="宋体"/>
                <w:sz w:val="18"/>
                <w:szCs w:val="18"/>
              </w:rPr>
              <w:t>网络平台线上交流</w:t>
            </w:r>
          </w:p>
        </w:tc>
        <w:tc>
          <w:tcPr>
            <w:tcW w:w="1377" w:type="dxa"/>
            <w:tcBorders>
              <w:top w:val="single" w:color="auto" w:sz="2" w:space="0"/>
              <w:left w:val="single" w:color="auto" w:sz="2" w:space="0"/>
              <w:bottom w:val="single" w:color="auto" w:sz="2" w:space="0"/>
              <w:right w:val="single" w:color="auto" w:sz="2" w:space="0"/>
            </w:tcBorders>
            <w:vAlign w:val="center"/>
          </w:tcPr>
          <w:p w14:paraId="30F415ED">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vAlign w:val="center"/>
          </w:tcPr>
          <w:p w14:paraId="2810BF19">
            <w:pPr>
              <w:spacing w:before="0" w:after="0" w:line="240" w:lineRule="exact"/>
              <w:jc w:val="left"/>
              <w:rPr>
                <w:rFonts w:ascii="宋体" w:hAnsi="宋体" w:eastAsia="宋体" w:cs="宋体"/>
                <w:sz w:val="18"/>
                <w:szCs w:val="18"/>
              </w:rPr>
            </w:pPr>
            <w:r>
              <w:rPr>
                <w:rFonts w:ascii="宋体" w:hAnsi="宋体" w:eastAsia="宋体" w:cs="宋体"/>
                <w:sz w:val="18"/>
                <w:szCs w:val="18"/>
              </w:rPr>
              <w:t>线上参与广生堂2023年度网上业绩说明会的投资者</w:t>
            </w:r>
          </w:p>
        </w:tc>
        <w:tc>
          <w:tcPr>
            <w:tcW w:w="1377" w:type="dxa"/>
            <w:tcBorders>
              <w:top w:val="single" w:color="auto" w:sz="2" w:space="0"/>
              <w:left w:val="single" w:color="auto" w:sz="2" w:space="0"/>
              <w:bottom w:val="single" w:color="auto" w:sz="2" w:space="0"/>
              <w:right w:val="single" w:color="auto" w:sz="2" w:space="0"/>
            </w:tcBorders>
            <w:vAlign w:val="center"/>
          </w:tcPr>
          <w:p w14:paraId="2FE11D6C">
            <w:pPr>
              <w:spacing w:before="0" w:after="0" w:line="240" w:lineRule="exact"/>
              <w:jc w:val="left"/>
              <w:rPr>
                <w:rFonts w:ascii="宋体" w:hAnsi="宋体" w:eastAsia="宋体" w:cs="宋体"/>
                <w:sz w:val="18"/>
                <w:szCs w:val="18"/>
              </w:rPr>
            </w:pPr>
            <w:r>
              <w:rPr>
                <w:rFonts w:ascii="宋体" w:hAnsi="宋体" w:eastAsia="宋体" w:cs="宋体"/>
                <w:sz w:val="18"/>
                <w:szCs w:val="18"/>
              </w:rPr>
              <w:t>参见巨潮资讯网</w:t>
            </w:r>
          </w:p>
        </w:tc>
        <w:tc>
          <w:tcPr>
            <w:tcW w:w="1377" w:type="dxa"/>
            <w:tcBorders>
              <w:top w:val="single" w:color="auto" w:sz="2" w:space="0"/>
              <w:left w:val="single" w:color="auto" w:sz="2" w:space="0"/>
              <w:bottom w:val="single" w:color="auto" w:sz="2" w:space="0"/>
              <w:right w:val="single" w:color="auto" w:sz="2" w:space="0"/>
            </w:tcBorders>
            <w:vAlign w:val="center"/>
          </w:tcPr>
          <w:p w14:paraId="0B61AAD0">
            <w:pPr>
              <w:spacing w:before="0" w:after="0" w:line="240" w:lineRule="exact"/>
              <w:jc w:val="left"/>
              <w:rPr>
                <w:rFonts w:ascii="宋体" w:hAnsi="宋体" w:eastAsia="宋体" w:cs="宋体"/>
                <w:sz w:val="18"/>
                <w:szCs w:val="18"/>
              </w:rPr>
            </w:pPr>
            <w:r>
              <w:rPr>
                <w:rFonts w:ascii="宋体" w:hAnsi="宋体" w:eastAsia="宋体" w:cs="宋体"/>
                <w:sz w:val="18"/>
                <w:szCs w:val="18"/>
              </w:rPr>
              <w:t>广生堂：300436广生堂投资者关系管理信息20240424</w:t>
            </w:r>
          </w:p>
        </w:tc>
      </w:tr>
    </w:tbl>
    <w:p w14:paraId="502986E0">
      <w:pPr>
        <w:keepNext/>
        <w:keepLines/>
        <w:spacing w:before="300" w:after="300" w:line="320" w:lineRule="exact"/>
        <w:jc w:val="left"/>
        <w:outlineLvl w:val="1"/>
        <w:rPr>
          <w:rFonts w:ascii="宋体" w:hAnsi="宋体" w:eastAsia="宋体" w:cs="宋体"/>
          <w:b/>
          <w:bCs/>
          <w:sz w:val="24"/>
          <w:szCs w:val="24"/>
        </w:rPr>
      </w:pPr>
      <w:bookmarkStart w:id="55" w:name="_Toc988942"/>
      <w:r>
        <w:rPr>
          <w:rFonts w:ascii="宋体" w:hAnsi="宋体" w:eastAsia="宋体" w:cs="宋体"/>
          <w:b/>
          <w:bCs/>
          <w:sz w:val="24"/>
          <w:szCs w:val="24"/>
        </w:rPr>
        <w:t>十三、市值管理制度和估值提升计划的制定落实情况</w:t>
      </w:r>
      <w:bookmarkEnd w:id="55"/>
    </w:p>
    <w:p w14:paraId="725CCC2C">
      <w:pPr>
        <w:spacing w:before="100" w:after="100" w:line="240" w:lineRule="exact"/>
        <w:jc w:val="left"/>
        <w:rPr>
          <w:rFonts w:ascii="宋体" w:hAnsi="宋体" w:eastAsia="宋体" w:cs="宋体"/>
          <w:sz w:val="18"/>
          <w:szCs w:val="18"/>
        </w:rPr>
      </w:pPr>
      <w:r>
        <w:rPr>
          <w:rFonts w:ascii="宋体" w:hAnsi="宋体" w:eastAsia="宋体" w:cs="宋体"/>
          <w:sz w:val="18"/>
          <w:szCs w:val="18"/>
        </w:rPr>
        <w:t>公司是否制定了市值管理制度。</w:t>
      </w:r>
    </w:p>
    <w:p w14:paraId="4D65EF97">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56980FD3">
      <w:pPr>
        <w:spacing w:before="100" w:after="100" w:line="240" w:lineRule="exact"/>
        <w:jc w:val="left"/>
        <w:rPr>
          <w:rFonts w:ascii="宋体" w:hAnsi="宋体" w:eastAsia="宋体" w:cs="宋体"/>
          <w:sz w:val="18"/>
          <w:szCs w:val="18"/>
        </w:rPr>
      </w:pPr>
      <w:r>
        <w:rPr>
          <w:rFonts w:ascii="宋体" w:hAnsi="宋体" w:eastAsia="宋体" w:cs="宋体"/>
          <w:sz w:val="18"/>
          <w:szCs w:val="18"/>
        </w:rPr>
        <w:t>公司是否披露了估值提升计划。</w:t>
      </w:r>
    </w:p>
    <w:p w14:paraId="6AB4D687">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6D57EB48">
      <w:pPr>
        <w:keepNext/>
        <w:keepLines/>
        <w:spacing w:before="300" w:after="300" w:line="320" w:lineRule="exact"/>
        <w:jc w:val="left"/>
        <w:outlineLvl w:val="1"/>
        <w:rPr>
          <w:rFonts w:ascii="宋体" w:hAnsi="宋体" w:eastAsia="宋体" w:cs="宋体"/>
          <w:b/>
          <w:bCs/>
          <w:sz w:val="24"/>
          <w:szCs w:val="24"/>
        </w:rPr>
      </w:pPr>
      <w:bookmarkStart w:id="56" w:name="_Toc988943"/>
      <w:r>
        <w:rPr>
          <w:rFonts w:ascii="宋体" w:hAnsi="宋体" w:eastAsia="宋体" w:cs="宋体"/>
          <w:b/>
          <w:bCs/>
          <w:sz w:val="24"/>
          <w:szCs w:val="24"/>
        </w:rPr>
        <w:t>十四、“质量回报双提升”行动方案贯彻落实情况</w:t>
      </w:r>
      <w:bookmarkEnd w:id="56"/>
    </w:p>
    <w:p w14:paraId="28ED8DFD">
      <w:pPr>
        <w:spacing w:before="100" w:after="100" w:line="240" w:lineRule="exact"/>
        <w:jc w:val="left"/>
        <w:rPr>
          <w:rFonts w:ascii="宋体" w:hAnsi="宋体" w:eastAsia="宋体" w:cs="宋体"/>
          <w:sz w:val="18"/>
          <w:szCs w:val="18"/>
        </w:rPr>
      </w:pPr>
      <w:r>
        <w:rPr>
          <w:rFonts w:ascii="宋体" w:hAnsi="宋体" w:eastAsia="宋体" w:cs="宋体"/>
          <w:sz w:val="18"/>
          <w:szCs w:val="18"/>
        </w:rPr>
        <w:t>公司是否披露了“质量回报双提升”行动方案公告。</w:t>
      </w:r>
    </w:p>
    <w:p w14:paraId="552AB48B">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7584597B">
      <w:r>
        <w:br w:type="page"/>
      </w:r>
    </w:p>
    <w:p w14:paraId="38E10735">
      <w:pPr>
        <w:keepNext/>
        <w:keepLines/>
        <w:spacing w:before="340" w:after="330" w:line="773" w:lineRule="exact"/>
        <w:jc w:val="center"/>
        <w:outlineLvl w:val="0"/>
        <w:rPr>
          <w:rFonts w:ascii="宋体" w:hAnsi="宋体" w:eastAsia="宋体" w:cs="宋体"/>
          <w:b/>
          <w:bCs/>
          <w:sz w:val="32"/>
          <w:szCs w:val="32"/>
        </w:rPr>
      </w:pPr>
      <w:bookmarkStart w:id="57" w:name="_Toc988944"/>
      <w:r>
        <w:rPr>
          <w:rFonts w:ascii="宋体" w:hAnsi="宋体" w:eastAsia="宋体" w:cs="宋体"/>
          <w:b/>
          <w:bCs/>
          <w:sz w:val="32"/>
          <w:szCs w:val="32"/>
        </w:rPr>
        <w:t>第四节 公司治理</w:t>
      </w:r>
      <w:bookmarkEnd w:id="57"/>
    </w:p>
    <w:p w14:paraId="2C7F10C5">
      <w:pPr>
        <w:keepNext/>
        <w:keepLines/>
        <w:spacing w:before="300" w:after="300" w:line="320" w:lineRule="exact"/>
        <w:jc w:val="left"/>
        <w:outlineLvl w:val="1"/>
        <w:rPr>
          <w:rFonts w:ascii="宋体" w:hAnsi="宋体" w:eastAsia="宋体" w:cs="宋体"/>
          <w:b/>
          <w:bCs/>
          <w:sz w:val="24"/>
          <w:szCs w:val="24"/>
        </w:rPr>
      </w:pPr>
      <w:bookmarkStart w:id="58" w:name="_Toc988945"/>
      <w:r>
        <w:rPr>
          <w:rFonts w:ascii="宋体" w:hAnsi="宋体" w:eastAsia="宋体" w:cs="宋体"/>
          <w:b/>
          <w:bCs/>
          <w:sz w:val="24"/>
          <w:szCs w:val="24"/>
        </w:rPr>
        <w:t>一、公司治理的基本状况</w:t>
      </w:r>
      <w:bookmarkEnd w:id="58"/>
    </w:p>
    <w:p w14:paraId="672C5D9B">
      <w:pPr>
        <w:pStyle w:val="2"/>
        <w:keepNext w:val="0"/>
        <w:keepLines w:val="0"/>
        <w:widowControl/>
        <w:suppressLineNumbers w:val="0"/>
        <w:spacing w:before="40" w:beforeAutospacing="0" w:after="40" w:afterAutospacing="0"/>
        <w:ind w:left="0" w:right="0" w:firstLine="360"/>
        <w:jc w:val="both"/>
        <w:rPr>
          <w:rFonts w:ascii="Calibri" w:hAnsi="Calibri" w:cs="Calibri"/>
          <w:sz w:val="21"/>
          <w:szCs w:val="21"/>
        </w:rPr>
      </w:pPr>
      <w:r>
        <w:rPr>
          <w:rFonts w:hint="eastAsia" w:ascii="宋体" w:hAnsi="宋体" w:eastAsia="宋体" w:cs="宋体"/>
          <w:sz w:val="18"/>
          <w:szCs w:val="18"/>
        </w:rPr>
        <w:t>报告期内，公司严格按照《公司法》《证券法》《上市公司治理准则》《深圳证券交易所创业板股票上市规则》《深圳证券交易所上市公司自律监管指引第2号——创业板上市公司规范运作》及中国证监会有关法律、法规及规章的要求，不断完善、健全公司内部管理和控制制度，规范公司行为及运作方式，控制经营决策及管理风险，严格进行信息披露，保护广大投资者利益。截止报告期末，公司内部治理结构完整健全、治理模式合理清晰，符合《公司法》等法律法规和规范性文件的规定。报告期内，公司股东大会、董事会、监事会的召集、召开、表决程序、信息披露均符合有关法律法规的要求。公司及其控股股东、实际控制人、董事、监事、高级管理人员依法开展公司治理活动，经营行为合法合规。</w:t>
      </w:r>
    </w:p>
    <w:p w14:paraId="3A1E517C">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Style w:val="6"/>
          <w:rFonts w:hint="eastAsia" w:ascii="宋体" w:hAnsi="宋体" w:eastAsia="宋体" w:cs="宋体"/>
          <w:b/>
          <w:bCs/>
          <w:sz w:val="18"/>
          <w:szCs w:val="18"/>
        </w:rPr>
        <w:t>（一）股东与股东大会</w:t>
      </w:r>
    </w:p>
    <w:p w14:paraId="61C76135">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严格按照最新的《公司法》《上市公司股东会规则》以及《公司章程》《股东大会议事规则》和深圳证券交易所创业板的相关规定和要求，规范股东大会的召集、召开和表决程序，全面采取现场投票与网络投票结合的方式，审议影响中小投资者利益的重大事项时对中小投资者表决单独计票，并及时披露中小投资者的表决结果。</w:t>
      </w:r>
    </w:p>
    <w:p w14:paraId="13C93638">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报告期内，公司召开的股东大会均按照相关规定召集和召开，邀请见证律师进行现场见证并出具了法律意见书。在股东大会上保证各位股东有充分的发言权，确保全体股东特别是中小股东享有平等地位，充分行使自己的权力；在审议关联交易议案时，关联股东回避表决，确保关联交易公平合理，股东大会决议符合法律法规的规定。</w:t>
      </w:r>
    </w:p>
    <w:p w14:paraId="5C0B6488">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Style w:val="6"/>
          <w:rFonts w:hint="eastAsia" w:ascii="宋体" w:hAnsi="宋体" w:eastAsia="宋体" w:cs="宋体"/>
          <w:b/>
          <w:bCs/>
          <w:sz w:val="18"/>
          <w:szCs w:val="18"/>
        </w:rPr>
        <w:t>（二）公司与控股股东及实际控制人</w:t>
      </w:r>
    </w:p>
    <w:p w14:paraId="73AB734A">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控股股东奥华集团及实际控制人李国平、叶理青、李国栋严格按照《上市公司治理准则》《深圳证券交易所创业板股票上市规则》《公司章程》等规定和要求，控股股东严格规范自己的行为，根据法律法规依法行使其权利并承担义务，不存在超越股东大会直接或间接干预公司的决策及依法开展的生产经营活动的情形，不存在控股股东占用公司资金的情况，亦不存在公司为控股股东及实际控制人提供担保的情形，公司的重大决策均由股东大会和董事会依法作出；公司具有独立的业务及自主经营能力，公司与控股股东在业务、人员、资产、机构、财务等方面完全做到独立。</w:t>
      </w:r>
    </w:p>
    <w:p w14:paraId="13632214">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Style w:val="6"/>
          <w:rFonts w:hint="eastAsia" w:ascii="宋体" w:hAnsi="宋体" w:eastAsia="宋体" w:cs="宋体"/>
          <w:b/>
          <w:bCs/>
          <w:sz w:val="18"/>
          <w:szCs w:val="18"/>
        </w:rPr>
        <w:t>（三）董事与董事会</w:t>
      </w:r>
    </w:p>
    <w:p w14:paraId="2D66E8AA">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公司董事会严格按照《公司法》《公司章程》及《董事会议事规则》开展工作。公司董事会设董事</w:t>
      </w:r>
      <w:r>
        <w:rPr>
          <w:rFonts w:hint="eastAsia" w:ascii="宋体" w:hAnsi="宋体" w:cs="宋体"/>
          <w:sz w:val="18"/>
          <w:szCs w:val="18"/>
          <w:lang w:val="en-US" w:eastAsia="zh-CN"/>
        </w:rPr>
        <w:t>9</w:t>
      </w:r>
      <w:r>
        <w:rPr>
          <w:rFonts w:hint="eastAsia" w:ascii="宋体" w:hAnsi="宋体" w:eastAsia="宋体" w:cs="宋体"/>
          <w:sz w:val="18"/>
          <w:szCs w:val="18"/>
        </w:rPr>
        <w:t>名，现在任董事8名，其中独立董事3名，董事会的人数及人员构成符合法律法规和《公司章程》的要求。公司明确董事的职权与义务，各位董事依据《董事会议事规则》等制度，认真出席董事会、专门委员会和股东大会，认真负责、勤勉诚信地履行各自的职责和义务。独立董事独立于公司实际控制人、控股股东和其他关联方，能够专业、独立地作出判断并发表意见。公司董事会下设审计委员会、战略委员会、提名委员会、薪酬与考核委员会四个专门委员会，运行良好，董事会各专业委员会根据各自职责对公司经营与发展提出相关的专业意见和建议。</w:t>
      </w:r>
    </w:p>
    <w:p w14:paraId="7A78315D">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报告期内，公司董事能够切实履行职责，勤勉尽责，并积极提高自身专业知识，有力增强了公司规范运作水平。</w:t>
      </w:r>
    </w:p>
    <w:p w14:paraId="0AC21CBC">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Style w:val="6"/>
          <w:rFonts w:hint="eastAsia" w:ascii="宋体" w:hAnsi="宋体" w:eastAsia="宋体" w:cs="宋体"/>
          <w:b/>
          <w:bCs/>
          <w:sz w:val="18"/>
          <w:szCs w:val="18"/>
        </w:rPr>
        <w:t>（四）监事与监事会</w:t>
      </w:r>
    </w:p>
    <w:p w14:paraId="2E037254">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监事会设监事3名，其中职工监事1名，监事会的人数和构成符合法律法规和《公司章程》的要求。监事会会议的召集、召开程序，严格按照《监事会议事规则》的要求履行，并按照拟定的会议议程进行。报告期内，公司各监事严格执行《公司法》《公司章程》等有关规定，依据《监事会议事规则》等制度认真履行自己的职责，本着对公司和全体股东负责的态度，依法、独立对公司重大事项、财务状况以及董事和高级管理人员履行职责的合法合规性进行监督，并提出科学合理的建议，为公司及股东合法权益的维护起到积极作用。</w:t>
      </w:r>
    </w:p>
    <w:p w14:paraId="44F71CC5">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Style w:val="6"/>
          <w:rFonts w:hint="eastAsia" w:ascii="宋体" w:hAnsi="宋体" w:eastAsia="宋体" w:cs="宋体"/>
          <w:b/>
          <w:bCs/>
          <w:sz w:val="18"/>
          <w:szCs w:val="18"/>
        </w:rPr>
        <w:t>（五）信息披露与透明度</w:t>
      </w:r>
    </w:p>
    <w:p w14:paraId="41B06644">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高度重视信息披露工作，严格按照《上市公司信息披露管理办法》《深圳证券交易所创业板上市公司自律监管指南第2号——公告格式》《深圳证券交易所上市公司自律监管指引第4号——创业板行业信息披露》等规定以及公司制定的《信息披露事务管理制度》《投资者关系管理制度》《重大信息内部报告制度》等文件的要求，真实、准确、完整、及时地披露信息，确保所有股东能够以平等的机会获得信息，并指定《证券时报》《中国证券报》《上海证券报》《证券日报》和巨潮资讯网（www.cninfo.com.cn）为公司信息披露的指定报纸和网站。同时，明确董事长为公司信息披露第一责任人，董事会秘书为信息披露负责人，证券投资部负责信息披露日常事务及股东来访及咨询。</w:t>
      </w:r>
    </w:p>
    <w:p w14:paraId="66B2B837">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高度重视投资者关系管理工作，不断学习先进的投资者关系管理经验，以更便捷有效的方式开展投资者管理工作。公司设置投资者热线电话（0591-38265188），由专人负责接听投资者来电，保证专线电话、传真（0591-83052199）、邮箱（zhangqinghe@cosunter.com）等沟通渠道的畅通，广泛听取投资者关于公司经营和管理的意见与建议。公司在官方网站开办“投资者关系”专栏，及时刊登信息披露文件，同时及时回复深交所互动易上投资者关心的重要问题，与广大投资者保持良好沟通关系，有效提高公司信息披露的透明度，树立公司在资本市场的良好形象。</w:t>
      </w:r>
    </w:p>
    <w:p w14:paraId="18EE4B3D">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Style w:val="6"/>
          <w:rFonts w:hint="eastAsia" w:ascii="宋体" w:hAnsi="宋体" w:eastAsia="宋体" w:cs="宋体"/>
          <w:b/>
          <w:bCs/>
          <w:sz w:val="18"/>
          <w:szCs w:val="18"/>
        </w:rPr>
        <w:t>（六）绩效评价和激励约束机制</w:t>
      </w:r>
    </w:p>
    <w:p w14:paraId="7A03903E">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公司已建立董事和高级管理人员绩效评价与激励约束机制，高级管理人员的薪酬和激励均与公司经营业绩直接挂钩。公司将进一步完善公司绩效考核机制，更好地激励公司管理层和核心人员。</w:t>
      </w:r>
    </w:p>
    <w:p w14:paraId="29F2EE3E">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Style w:val="6"/>
          <w:rFonts w:hint="eastAsia" w:ascii="宋体" w:hAnsi="宋体" w:eastAsia="宋体" w:cs="宋体"/>
          <w:b/>
          <w:bCs/>
          <w:sz w:val="18"/>
          <w:szCs w:val="18"/>
        </w:rPr>
        <w:t>（七）相关利益者</w:t>
      </w:r>
    </w:p>
    <w:p w14:paraId="612EFDFC">
      <w:pPr>
        <w:pStyle w:val="2"/>
        <w:keepNext w:val="0"/>
        <w:keepLines w:val="0"/>
        <w:widowControl/>
        <w:suppressLineNumbers w:val="0"/>
        <w:spacing w:before="40" w:beforeAutospacing="0" w:after="4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公司充分尊重和维护相关利益者的合法权益，重视公司的社会责任，积极与相关利益者合作，加强与各方的沟通和交流，实现股东、员工、社会等各方利益的协调平衡，共同推动公司持续、健康的发展。</w:t>
      </w:r>
    </w:p>
    <w:p w14:paraId="57EB719A">
      <w:pPr>
        <w:spacing w:before="100" w:after="100" w:line="240" w:lineRule="exact"/>
        <w:jc w:val="left"/>
        <w:rPr>
          <w:rFonts w:ascii="宋体" w:hAnsi="宋体" w:eastAsia="宋体" w:cs="宋体"/>
          <w:sz w:val="18"/>
          <w:szCs w:val="18"/>
        </w:rPr>
      </w:pPr>
      <w:r>
        <w:rPr>
          <w:rFonts w:ascii="宋体" w:hAnsi="宋体" w:eastAsia="宋体" w:cs="宋体"/>
          <w:sz w:val="18"/>
          <w:szCs w:val="18"/>
        </w:rPr>
        <w:t>公司治理的实际状况与法律、行政法规和中国证监会发布的关于上市公司治理的规定是否存在重大差异</w:t>
      </w:r>
    </w:p>
    <w:p w14:paraId="1ADA0D21">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569083ED">
      <w:pPr>
        <w:spacing w:before="100" w:after="100" w:line="240" w:lineRule="exact"/>
        <w:jc w:val="left"/>
        <w:rPr>
          <w:rFonts w:ascii="宋体" w:hAnsi="宋体" w:eastAsia="宋体" w:cs="宋体"/>
          <w:sz w:val="18"/>
          <w:szCs w:val="18"/>
        </w:rPr>
      </w:pPr>
      <w:r>
        <w:rPr>
          <w:rFonts w:ascii="宋体" w:hAnsi="宋体" w:eastAsia="宋体" w:cs="宋体"/>
          <w:sz w:val="18"/>
          <w:szCs w:val="18"/>
        </w:rPr>
        <w:t>公司治理的实际状况与法律、行政法规和中国证监会发布的关于上市公司治理的规定不存在重大差异。</w:t>
      </w:r>
    </w:p>
    <w:p w14:paraId="79CC3A60">
      <w:pPr>
        <w:keepNext/>
        <w:keepLines/>
        <w:spacing w:before="300" w:after="300" w:line="320" w:lineRule="exact"/>
        <w:jc w:val="left"/>
        <w:outlineLvl w:val="1"/>
        <w:rPr>
          <w:rFonts w:ascii="宋体" w:hAnsi="宋体" w:eastAsia="宋体" w:cs="宋体"/>
          <w:b/>
          <w:bCs/>
          <w:sz w:val="24"/>
          <w:szCs w:val="24"/>
        </w:rPr>
      </w:pPr>
      <w:bookmarkStart w:id="59" w:name="_Toc988946"/>
      <w:r>
        <w:rPr>
          <w:rFonts w:ascii="宋体" w:hAnsi="宋体" w:eastAsia="宋体" w:cs="宋体"/>
          <w:b/>
          <w:bCs/>
          <w:sz w:val="24"/>
          <w:szCs w:val="24"/>
        </w:rPr>
        <w:t>二、公司相对于控股股东、实际控制人在保证公司资产、人员、财务、机构、业务等方面的独立情况</w:t>
      </w:r>
      <w:bookmarkEnd w:id="59"/>
    </w:p>
    <w:p w14:paraId="2612370C">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公司自成立以来严格按照《公司法》《证券法》等有关法律、法规和《公司章程》的要求规范运作，在资产、人员、机构、业务和财务等方面与控股股东、实际控制人相互独立，拥有独立完整的生产、销售、研发系统，具备面向市场自主经营的能力。</w:t>
      </w:r>
    </w:p>
    <w:p w14:paraId="423D4B6D">
      <w:pPr>
        <w:pStyle w:val="2"/>
        <w:keepNext w:val="0"/>
        <w:keepLines w:val="0"/>
        <w:widowControl/>
        <w:suppressLineNumbers w:val="0"/>
        <w:spacing w:before="0" w:beforeAutospacing="0" w:after="0" w:afterAutospacing="0"/>
        <w:ind w:left="0" w:right="0" w:firstLine="361"/>
        <w:jc w:val="both"/>
        <w:rPr>
          <w:rFonts w:hint="default" w:ascii="Calibri" w:hAnsi="Calibri" w:cs="Calibri"/>
          <w:sz w:val="21"/>
          <w:szCs w:val="21"/>
        </w:rPr>
      </w:pPr>
      <w:r>
        <w:rPr>
          <w:rStyle w:val="6"/>
          <w:rFonts w:hint="eastAsia" w:ascii="宋体" w:hAnsi="宋体" w:eastAsia="宋体" w:cs="宋体"/>
          <w:b/>
          <w:bCs/>
          <w:sz w:val="18"/>
          <w:szCs w:val="18"/>
        </w:rPr>
        <w:t>（一）资产独立情况。</w:t>
      </w:r>
      <w:r>
        <w:rPr>
          <w:rFonts w:hint="eastAsia" w:ascii="宋体" w:hAnsi="宋体" w:eastAsia="宋体" w:cs="宋体"/>
          <w:sz w:val="18"/>
          <w:szCs w:val="18"/>
        </w:rPr>
        <w:t>公司资产独立完整、权属清晰，公司不存在以资产、权益或信誉为控股股东及实际控制人的债务提供担保的情况，公司亦不存在资产、资金被控股股东及实际控制人占用而损害公司利益的情况。</w:t>
      </w:r>
    </w:p>
    <w:p w14:paraId="27E63C6C">
      <w:pPr>
        <w:pStyle w:val="2"/>
        <w:keepNext w:val="0"/>
        <w:keepLines w:val="0"/>
        <w:widowControl/>
        <w:suppressLineNumbers w:val="0"/>
        <w:spacing w:before="0" w:beforeAutospacing="0" w:after="0" w:afterAutospacing="0"/>
        <w:ind w:left="0" w:right="0" w:firstLine="361"/>
        <w:jc w:val="both"/>
        <w:rPr>
          <w:rFonts w:hint="default" w:ascii="Calibri" w:hAnsi="Calibri" w:cs="Calibri"/>
          <w:sz w:val="21"/>
          <w:szCs w:val="21"/>
        </w:rPr>
      </w:pPr>
      <w:r>
        <w:rPr>
          <w:rStyle w:val="6"/>
          <w:rFonts w:hint="eastAsia" w:ascii="宋体" w:hAnsi="宋体" w:eastAsia="宋体" w:cs="宋体"/>
          <w:b/>
          <w:bCs/>
          <w:sz w:val="18"/>
          <w:szCs w:val="18"/>
        </w:rPr>
        <w:t>（二）人员独立情况。</w:t>
      </w:r>
      <w:r>
        <w:rPr>
          <w:rFonts w:hint="eastAsia" w:ascii="宋体" w:hAnsi="宋体" w:eastAsia="宋体" w:cs="宋体"/>
          <w:sz w:val="18"/>
          <w:szCs w:val="18"/>
        </w:rPr>
        <w:t>公司具有独立的人事体系，公司董事、监事、高级管理人员均依据合法程序选举或聘任，不存在股东非法干预公司董事会和股东大会已经做出的人事任免决定的情形。公司高级管理人员专职在公司任职并领取相应薪酬，不存在控股股东及实际控制人无偿要求公司人员为其提供服务的情形。</w:t>
      </w:r>
    </w:p>
    <w:p w14:paraId="774FF50A">
      <w:pPr>
        <w:pStyle w:val="2"/>
        <w:keepNext w:val="0"/>
        <w:keepLines w:val="0"/>
        <w:widowControl/>
        <w:suppressLineNumbers w:val="0"/>
        <w:spacing w:before="0" w:beforeAutospacing="0" w:after="0" w:afterAutospacing="0"/>
        <w:ind w:left="0" w:right="0" w:firstLine="361"/>
        <w:jc w:val="both"/>
        <w:rPr>
          <w:rFonts w:hint="default" w:ascii="Calibri" w:hAnsi="Calibri" w:cs="Calibri"/>
          <w:sz w:val="21"/>
          <w:szCs w:val="21"/>
        </w:rPr>
      </w:pPr>
      <w:r>
        <w:rPr>
          <w:rStyle w:val="6"/>
          <w:rFonts w:hint="eastAsia" w:ascii="宋体" w:hAnsi="宋体" w:eastAsia="宋体" w:cs="宋体"/>
          <w:b/>
          <w:bCs/>
          <w:sz w:val="18"/>
          <w:szCs w:val="18"/>
        </w:rPr>
        <w:t>（三）财务独立情况。</w:t>
      </w:r>
      <w:r>
        <w:rPr>
          <w:rFonts w:hint="eastAsia" w:ascii="宋体" w:hAnsi="宋体" w:eastAsia="宋体" w:cs="宋体"/>
          <w:sz w:val="18"/>
          <w:szCs w:val="18"/>
        </w:rPr>
        <w:t>公司开设了独立银行账户，依法独立纳税。公司设有独立和专门的财务管理部门和内部审计部门，并配备专职财务管理人员和内部审计人员。公司建立了独立的会计核算体系、财务管理制度和内部审计管理制度，进行独立财务决策。公司不存在为股东及其下属单位、其他关联企业提供担保的情况。</w:t>
      </w:r>
    </w:p>
    <w:p w14:paraId="71826F3D">
      <w:pPr>
        <w:pStyle w:val="2"/>
        <w:keepNext w:val="0"/>
        <w:keepLines w:val="0"/>
        <w:widowControl/>
        <w:suppressLineNumbers w:val="0"/>
        <w:spacing w:before="0" w:beforeAutospacing="0" w:after="0" w:afterAutospacing="0"/>
        <w:ind w:left="0" w:right="0" w:firstLine="361"/>
        <w:jc w:val="both"/>
        <w:rPr>
          <w:rFonts w:hint="default" w:ascii="Calibri" w:hAnsi="Calibri" w:cs="Calibri"/>
          <w:sz w:val="21"/>
          <w:szCs w:val="21"/>
        </w:rPr>
      </w:pPr>
      <w:r>
        <w:rPr>
          <w:rStyle w:val="6"/>
          <w:rFonts w:hint="eastAsia" w:ascii="宋体" w:hAnsi="宋体" w:eastAsia="宋体" w:cs="宋体"/>
          <w:b/>
          <w:bCs/>
          <w:sz w:val="18"/>
          <w:szCs w:val="18"/>
        </w:rPr>
        <w:t>（四）机构独立情况。</w:t>
      </w:r>
      <w:r>
        <w:rPr>
          <w:rFonts w:hint="eastAsia" w:ascii="宋体" w:hAnsi="宋体" w:eastAsia="宋体" w:cs="宋体"/>
          <w:sz w:val="18"/>
          <w:szCs w:val="18"/>
        </w:rPr>
        <w:t>公司建立了独立、健全的法人治理结构，股东大会、董事会、监事会以及各职能部门等均按照公司内部规定行使各自职权。公司各办公机构独立履行其职责，不受股东及其他第三方干预。</w:t>
      </w:r>
    </w:p>
    <w:p w14:paraId="2FA748FC">
      <w:pPr>
        <w:pStyle w:val="2"/>
        <w:keepNext w:val="0"/>
        <w:keepLines w:val="0"/>
        <w:widowControl/>
        <w:suppressLineNumbers w:val="0"/>
        <w:spacing w:before="0" w:beforeAutospacing="0" w:after="0" w:afterAutospacing="0"/>
        <w:ind w:left="0" w:right="0" w:firstLine="361"/>
        <w:jc w:val="both"/>
        <w:rPr>
          <w:rFonts w:hint="default" w:ascii="Calibri" w:hAnsi="Calibri" w:cs="Calibri"/>
          <w:sz w:val="21"/>
          <w:szCs w:val="21"/>
        </w:rPr>
      </w:pPr>
      <w:r>
        <w:rPr>
          <w:rStyle w:val="6"/>
          <w:rFonts w:hint="eastAsia" w:ascii="宋体" w:hAnsi="宋体" w:eastAsia="宋体" w:cs="宋体"/>
          <w:b/>
          <w:bCs/>
          <w:sz w:val="18"/>
          <w:szCs w:val="18"/>
        </w:rPr>
        <w:t>（五）业务独立情况。</w:t>
      </w:r>
      <w:r>
        <w:rPr>
          <w:rFonts w:hint="eastAsia" w:ascii="宋体" w:hAnsi="宋体" w:eastAsia="宋体" w:cs="宋体"/>
          <w:sz w:val="18"/>
          <w:szCs w:val="18"/>
        </w:rPr>
        <w:t>公司与股东及其控制的其他企业不存在同业竞争，未发生显失公平的关联交易。公司具备独立完整的业务体系及自主经营能力，不存在对股东及其他关联方的业务依赖。</w:t>
      </w:r>
    </w:p>
    <w:p w14:paraId="08D30AD5">
      <w:pPr>
        <w:keepNext/>
        <w:keepLines/>
        <w:spacing w:before="300" w:after="300" w:line="320" w:lineRule="exact"/>
        <w:jc w:val="left"/>
        <w:outlineLvl w:val="1"/>
        <w:rPr>
          <w:rFonts w:ascii="宋体" w:hAnsi="宋体" w:eastAsia="宋体" w:cs="宋体"/>
          <w:b/>
          <w:bCs/>
          <w:sz w:val="24"/>
          <w:szCs w:val="24"/>
        </w:rPr>
      </w:pPr>
      <w:bookmarkStart w:id="60" w:name="_Toc988947"/>
      <w:r>
        <w:rPr>
          <w:rFonts w:ascii="宋体" w:hAnsi="宋体" w:eastAsia="宋体" w:cs="宋体"/>
          <w:b/>
          <w:bCs/>
          <w:sz w:val="24"/>
          <w:szCs w:val="24"/>
        </w:rPr>
        <w:t>三、同业竞争情况</w:t>
      </w:r>
      <w:bookmarkEnd w:id="60"/>
    </w:p>
    <w:p w14:paraId="6D040458">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BC4ECFF">
      <w:pPr>
        <w:keepNext/>
        <w:keepLines/>
        <w:spacing w:before="300" w:after="300" w:line="320" w:lineRule="exact"/>
        <w:jc w:val="left"/>
        <w:outlineLvl w:val="1"/>
        <w:rPr>
          <w:rFonts w:ascii="宋体" w:hAnsi="宋体" w:eastAsia="宋体" w:cs="宋体"/>
          <w:b/>
          <w:bCs/>
          <w:sz w:val="24"/>
          <w:szCs w:val="24"/>
        </w:rPr>
      </w:pPr>
      <w:bookmarkStart w:id="61" w:name="_Toc988948"/>
      <w:r>
        <w:rPr>
          <w:rFonts w:ascii="宋体" w:hAnsi="宋体" w:eastAsia="宋体" w:cs="宋体"/>
          <w:b/>
          <w:bCs/>
          <w:sz w:val="24"/>
          <w:szCs w:val="24"/>
        </w:rPr>
        <w:t>四、报告期内召开的年度股东大会和临时股东大会的有关情况</w:t>
      </w:r>
      <w:bookmarkEnd w:id="61"/>
    </w:p>
    <w:p w14:paraId="2973033D">
      <w:pPr>
        <w:keepNext/>
        <w:keepLines/>
        <w:spacing w:before="300" w:after="300" w:line="280" w:lineRule="exact"/>
        <w:jc w:val="left"/>
        <w:outlineLvl w:val="2"/>
        <w:rPr>
          <w:rFonts w:ascii="宋体" w:hAnsi="宋体" w:eastAsia="宋体" w:cs="宋体"/>
          <w:b/>
          <w:bCs/>
          <w:sz w:val="21"/>
          <w:szCs w:val="21"/>
        </w:rPr>
      </w:pPr>
      <w:bookmarkStart w:id="62" w:name="_Toc988949"/>
      <w:r>
        <w:rPr>
          <w:rFonts w:ascii="宋体" w:hAnsi="宋体" w:eastAsia="宋体" w:cs="宋体"/>
          <w:b/>
          <w:bCs/>
          <w:sz w:val="21"/>
          <w:szCs w:val="21"/>
        </w:rPr>
        <w:t>1、本报告期股东大会情况</w:t>
      </w:r>
      <w:bookmarkEnd w:id="62"/>
    </w:p>
    <w:tbl>
      <w:tblPr>
        <w:tblStyle w:val="3"/>
        <w:tblW w:w="963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47"/>
        <w:gridCol w:w="1120"/>
        <w:gridCol w:w="1860"/>
        <w:gridCol w:w="1430"/>
        <w:gridCol w:w="1420"/>
        <w:gridCol w:w="2459"/>
      </w:tblGrid>
      <w:tr w14:paraId="449261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7" w:type="dxa"/>
            <w:tcBorders>
              <w:top w:val="single" w:color="auto" w:sz="2" w:space="0"/>
              <w:left w:val="single" w:color="auto" w:sz="2" w:space="0"/>
              <w:bottom w:val="single" w:color="auto" w:sz="2" w:space="0"/>
              <w:right w:val="single" w:color="auto" w:sz="2" w:space="0"/>
            </w:tcBorders>
            <w:shd w:val="clear" w:color="auto" w:fill="D3D3D3"/>
            <w:vAlign w:val="center"/>
          </w:tcPr>
          <w:p w14:paraId="1D4ADE4A">
            <w:pPr>
              <w:spacing w:before="40" w:after="40" w:line="240" w:lineRule="exact"/>
              <w:jc w:val="center"/>
              <w:rPr>
                <w:rFonts w:ascii="宋体" w:hAnsi="宋体" w:eastAsia="宋体" w:cs="宋体"/>
                <w:sz w:val="18"/>
                <w:szCs w:val="18"/>
              </w:rPr>
            </w:pPr>
            <w:r>
              <w:rPr>
                <w:rFonts w:ascii="宋体" w:hAnsi="宋体" w:eastAsia="宋体" w:cs="宋体"/>
                <w:sz w:val="18"/>
                <w:szCs w:val="18"/>
              </w:rPr>
              <w:t>会议届次</w:t>
            </w:r>
          </w:p>
        </w:tc>
        <w:tc>
          <w:tcPr>
            <w:tcW w:w="1120" w:type="dxa"/>
            <w:tcBorders>
              <w:top w:val="single" w:color="auto" w:sz="2" w:space="0"/>
              <w:left w:val="single" w:color="auto" w:sz="2" w:space="0"/>
              <w:bottom w:val="single" w:color="auto" w:sz="2" w:space="0"/>
              <w:right w:val="single" w:color="auto" w:sz="2" w:space="0"/>
            </w:tcBorders>
            <w:shd w:val="clear" w:color="auto" w:fill="D3D3D3"/>
            <w:vAlign w:val="center"/>
          </w:tcPr>
          <w:p w14:paraId="22BF4486">
            <w:pPr>
              <w:spacing w:before="40" w:after="40" w:line="240" w:lineRule="exact"/>
              <w:jc w:val="center"/>
              <w:rPr>
                <w:rFonts w:ascii="宋体" w:hAnsi="宋体" w:eastAsia="宋体" w:cs="宋体"/>
                <w:sz w:val="18"/>
                <w:szCs w:val="18"/>
              </w:rPr>
            </w:pPr>
            <w:r>
              <w:rPr>
                <w:rFonts w:ascii="宋体" w:hAnsi="宋体" w:eastAsia="宋体" w:cs="宋体"/>
                <w:sz w:val="18"/>
                <w:szCs w:val="18"/>
              </w:rPr>
              <w:t>会议类型</w:t>
            </w:r>
          </w:p>
        </w:tc>
        <w:tc>
          <w:tcPr>
            <w:tcW w:w="1860" w:type="dxa"/>
            <w:tcBorders>
              <w:top w:val="single" w:color="auto" w:sz="2" w:space="0"/>
              <w:left w:val="single" w:color="auto" w:sz="2" w:space="0"/>
              <w:bottom w:val="single" w:color="auto" w:sz="2" w:space="0"/>
              <w:right w:val="single" w:color="auto" w:sz="2" w:space="0"/>
            </w:tcBorders>
            <w:shd w:val="clear" w:color="auto" w:fill="D3D3D3"/>
            <w:vAlign w:val="center"/>
          </w:tcPr>
          <w:p w14:paraId="20B6D6B9">
            <w:pPr>
              <w:spacing w:before="40" w:after="40" w:line="240" w:lineRule="exact"/>
              <w:jc w:val="center"/>
              <w:rPr>
                <w:rFonts w:ascii="宋体" w:hAnsi="宋体" w:eastAsia="宋体" w:cs="宋体"/>
                <w:sz w:val="18"/>
                <w:szCs w:val="18"/>
              </w:rPr>
            </w:pPr>
            <w:r>
              <w:rPr>
                <w:rFonts w:ascii="宋体" w:hAnsi="宋体" w:eastAsia="宋体" w:cs="宋体"/>
                <w:sz w:val="18"/>
                <w:szCs w:val="18"/>
              </w:rPr>
              <w:t>投资者参与比例</w:t>
            </w:r>
          </w:p>
        </w:tc>
        <w:tc>
          <w:tcPr>
            <w:tcW w:w="1430" w:type="dxa"/>
            <w:tcBorders>
              <w:top w:val="single" w:color="auto" w:sz="2" w:space="0"/>
              <w:left w:val="single" w:color="auto" w:sz="2" w:space="0"/>
              <w:bottom w:val="single" w:color="auto" w:sz="2" w:space="0"/>
              <w:right w:val="single" w:color="auto" w:sz="2" w:space="0"/>
            </w:tcBorders>
            <w:shd w:val="clear" w:color="auto" w:fill="D3D3D3"/>
            <w:vAlign w:val="center"/>
          </w:tcPr>
          <w:p w14:paraId="0664DC49">
            <w:pPr>
              <w:spacing w:before="40" w:after="40" w:line="240" w:lineRule="exact"/>
              <w:jc w:val="center"/>
              <w:rPr>
                <w:rFonts w:ascii="宋体" w:hAnsi="宋体" w:eastAsia="宋体" w:cs="宋体"/>
                <w:sz w:val="18"/>
                <w:szCs w:val="18"/>
              </w:rPr>
            </w:pPr>
            <w:r>
              <w:rPr>
                <w:rFonts w:ascii="宋体" w:hAnsi="宋体" w:eastAsia="宋体" w:cs="宋体"/>
                <w:sz w:val="18"/>
                <w:szCs w:val="18"/>
              </w:rPr>
              <w:t>召开日期</w:t>
            </w:r>
          </w:p>
        </w:tc>
        <w:tc>
          <w:tcPr>
            <w:tcW w:w="1420" w:type="dxa"/>
            <w:tcBorders>
              <w:top w:val="single" w:color="auto" w:sz="2" w:space="0"/>
              <w:left w:val="single" w:color="auto" w:sz="2" w:space="0"/>
              <w:bottom w:val="single" w:color="auto" w:sz="2" w:space="0"/>
              <w:right w:val="single" w:color="auto" w:sz="2" w:space="0"/>
            </w:tcBorders>
            <w:shd w:val="clear" w:color="auto" w:fill="D3D3D3"/>
            <w:vAlign w:val="center"/>
          </w:tcPr>
          <w:p w14:paraId="34FBAEA8">
            <w:pPr>
              <w:spacing w:before="40" w:after="40" w:line="240" w:lineRule="exact"/>
              <w:jc w:val="center"/>
              <w:rPr>
                <w:rFonts w:ascii="宋体" w:hAnsi="宋体" w:eastAsia="宋体" w:cs="宋体"/>
                <w:sz w:val="18"/>
                <w:szCs w:val="18"/>
              </w:rPr>
            </w:pPr>
            <w:r>
              <w:rPr>
                <w:rFonts w:ascii="宋体" w:hAnsi="宋体" w:eastAsia="宋体" w:cs="宋体"/>
                <w:sz w:val="18"/>
                <w:szCs w:val="18"/>
              </w:rPr>
              <w:t>披露日期</w:t>
            </w:r>
          </w:p>
        </w:tc>
        <w:tc>
          <w:tcPr>
            <w:tcW w:w="2459" w:type="dxa"/>
            <w:tcBorders>
              <w:top w:val="single" w:color="auto" w:sz="2" w:space="0"/>
              <w:left w:val="single" w:color="auto" w:sz="2" w:space="0"/>
              <w:bottom w:val="single" w:color="auto" w:sz="2" w:space="0"/>
              <w:right w:val="single" w:color="auto" w:sz="2" w:space="0"/>
            </w:tcBorders>
            <w:shd w:val="clear" w:color="auto" w:fill="D3D3D3"/>
            <w:vAlign w:val="center"/>
          </w:tcPr>
          <w:p w14:paraId="24A9B4CA">
            <w:pPr>
              <w:spacing w:before="40" w:after="40" w:line="240" w:lineRule="exact"/>
              <w:jc w:val="center"/>
              <w:rPr>
                <w:rFonts w:ascii="宋体" w:hAnsi="宋体" w:eastAsia="宋体" w:cs="宋体"/>
                <w:sz w:val="18"/>
                <w:szCs w:val="18"/>
              </w:rPr>
            </w:pPr>
            <w:r>
              <w:rPr>
                <w:rFonts w:ascii="宋体" w:hAnsi="宋体" w:eastAsia="宋体" w:cs="宋体"/>
                <w:sz w:val="18"/>
                <w:szCs w:val="18"/>
              </w:rPr>
              <w:t>会议决议</w:t>
            </w:r>
          </w:p>
        </w:tc>
      </w:tr>
      <w:tr w14:paraId="31E322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7" w:type="dxa"/>
            <w:tcBorders>
              <w:top w:val="single" w:color="auto" w:sz="2" w:space="0"/>
              <w:left w:val="single" w:color="auto" w:sz="2" w:space="0"/>
              <w:bottom w:val="single" w:color="auto" w:sz="2" w:space="0"/>
              <w:right w:val="single" w:color="auto" w:sz="2" w:space="0"/>
            </w:tcBorders>
            <w:vAlign w:val="center"/>
          </w:tcPr>
          <w:p w14:paraId="488DD953">
            <w:pPr>
              <w:spacing w:before="0" w:after="0" w:line="240" w:lineRule="exact"/>
              <w:jc w:val="left"/>
              <w:rPr>
                <w:rFonts w:ascii="宋体" w:hAnsi="宋体" w:eastAsia="宋体" w:cs="宋体"/>
                <w:sz w:val="18"/>
                <w:szCs w:val="18"/>
              </w:rPr>
            </w:pPr>
            <w:r>
              <w:rPr>
                <w:rFonts w:ascii="宋体" w:hAnsi="宋体" w:eastAsia="宋体" w:cs="宋体"/>
                <w:sz w:val="18"/>
                <w:szCs w:val="18"/>
              </w:rPr>
              <w:t>2024年第一次临时股东大会</w:t>
            </w:r>
          </w:p>
        </w:tc>
        <w:tc>
          <w:tcPr>
            <w:tcW w:w="1120" w:type="dxa"/>
            <w:tcBorders>
              <w:top w:val="single" w:color="auto" w:sz="2" w:space="0"/>
              <w:left w:val="single" w:color="auto" w:sz="2" w:space="0"/>
              <w:bottom w:val="single" w:color="auto" w:sz="2" w:space="0"/>
              <w:right w:val="single" w:color="auto" w:sz="2" w:space="0"/>
            </w:tcBorders>
            <w:vAlign w:val="center"/>
          </w:tcPr>
          <w:p w14:paraId="020DC965">
            <w:pPr>
              <w:spacing w:before="0" w:after="0" w:line="240" w:lineRule="exact"/>
              <w:jc w:val="left"/>
              <w:rPr>
                <w:rFonts w:ascii="宋体" w:hAnsi="宋体" w:eastAsia="宋体" w:cs="宋体"/>
                <w:sz w:val="18"/>
                <w:szCs w:val="18"/>
              </w:rPr>
            </w:pPr>
            <w:r>
              <w:rPr>
                <w:rFonts w:ascii="宋体" w:hAnsi="宋体" w:eastAsia="宋体" w:cs="宋体"/>
                <w:sz w:val="18"/>
                <w:szCs w:val="18"/>
              </w:rPr>
              <w:t>临时股东大会</w:t>
            </w:r>
          </w:p>
        </w:tc>
        <w:tc>
          <w:tcPr>
            <w:tcW w:w="1860" w:type="dxa"/>
            <w:tcBorders>
              <w:top w:val="single" w:color="auto" w:sz="2" w:space="0"/>
              <w:left w:val="single" w:color="auto" w:sz="2" w:space="0"/>
              <w:bottom w:val="single" w:color="auto" w:sz="2" w:space="0"/>
              <w:right w:val="single" w:color="auto" w:sz="2" w:space="0"/>
            </w:tcBorders>
            <w:vAlign w:val="center"/>
          </w:tcPr>
          <w:p w14:paraId="4A6542B5">
            <w:pPr>
              <w:spacing w:before="0" w:after="0" w:line="240" w:lineRule="exact"/>
              <w:jc w:val="right"/>
              <w:rPr>
                <w:rFonts w:ascii="宋体" w:hAnsi="宋体" w:eastAsia="宋体" w:cs="宋体"/>
                <w:sz w:val="18"/>
                <w:szCs w:val="18"/>
              </w:rPr>
            </w:pPr>
            <w:r>
              <w:rPr>
                <w:rFonts w:ascii="宋体" w:hAnsi="宋体" w:eastAsia="宋体" w:cs="宋体"/>
                <w:sz w:val="18"/>
                <w:szCs w:val="18"/>
              </w:rPr>
              <w:t>43.11%</w:t>
            </w:r>
          </w:p>
        </w:tc>
        <w:tc>
          <w:tcPr>
            <w:tcW w:w="1430" w:type="dxa"/>
            <w:tcBorders>
              <w:top w:val="single" w:color="auto" w:sz="2" w:space="0"/>
              <w:left w:val="single" w:color="auto" w:sz="2" w:space="0"/>
              <w:bottom w:val="single" w:color="auto" w:sz="2" w:space="0"/>
              <w:right w:val="single" w:color="auto" w:sz="2" w:space="0"/>
            </w:tcBorders>
            <w:vAlign w:val="center"/>
          </w:tcPr>
          <w:p w14:paraId="1771A6BA">
            <w:pPr>
              <w:spacing w:before="0" w:after="0" w:line="240" w:lineRule="exact"/>
              <w:jc w:val="left"/>
              <w:rPr>
                <w:rFonts w:ascii="宋体" w:hAnsi="宋体" w:eastAsia="宋体" w:cs="宋体"/>
                <w:sz w:val="18"/>
                <w:szCs w:val="18"/>
              </w:rPr>
            </w:pPr>
            <w:r>
              <w:rPr>
                <w:rFonts w:ascii="宋体" w:hAnsi="宋体" w:eastAsia="宋体" w:cs="宋体"/>
                <w:sz w:val="18"/>
                <w:szCs w:val="18"/>
              </w:rPr>
              <w:t>2024年01月15日</w:t>
            </w:r>
          </w:p>
        </w:tc>
        <w:tc>
          <w:tcPr>
            <w:tcW w:w="1420" w:type="dxa"/>
            <w:tcBorders>
              <w:top w:val="single" w:color="auto" w:sz="2" w:space="0"/>
              <w:left w:val="single" w:color="auto" w:sz="2" w:space="0"/>
              <w:bottom w:val="single" w:color="auto" w:sz="2" w:space="0"/>
              <w:right w:val="single" w:color="auto" w:sz="2" w:space="0"/>
            </w:tcBorders>
            <w:vAlign w:val="center"/>
          </w:tcPr>
          <w:p w14:paraId="720EDF86">
            <w:pPr>
              <w:spacing w:before="0" w:after="0" w:line="240" w:lineRule="exact"/>
              <w:jc w:val="left"/>
              <w:rPr>
                <w:rFonts w:ascii="宋体" w:hAnsi="宋体" w:eastAsia="宋体" w:cs="宋体"/>
                <w:sz w:val="18"/>
                <w:szCs w:val="18"/>
              </w:rPr>
            </w:pPr>
            <w:r>
              <w:rPr>
                <w:rFonts w:ascii="宋体" w:hAnsi="宋体" w:eastAsia="宋体" w:cs="宋体"/>
                <w:sz w:val="18"/>
                <w:szCs w:val="18"/>
              </w:rPr>
              <w:t>2024年01月15日</w:t>
            </w:r>
          </w:p>
        </w:tc>
        <w:tc>
          <w:tcPr>
            <w:tcW w:w="2459" w:type="dxa"/>
            <w:tcBorders>
              <w:top w:val="single" w:color="auto" w:sz="2" w:space="0"/>
              <w:left w:val="single" w:color="auto" w:sz="2" w:space="0"/>
              <w:bottom w:val="single" w:color="auto" w:sz="2" w:space="0"/>
              <w:right w:val="single" w:color="auto" w:sz="2" w:space="0"/>
            </w:tcBorders>
            <w:vAlign w:val="center"/>
          </w:tcPr>
          <w:p w14:paraId="497CF986">
            <w:pPr>
              <w:spacing w:before="0" w:after="0" w:line="240" w:lineRule="exact"/>
              <w:jc w:val="left"/>
              <w:rPr>
                <w:rFonts w:ascii="宋体" w:hAnsi="宋体" w:eastAsia="宋体" w:cs="宋体"/>
                <w:sz w:val="18"/>
                <w:szCs w:val="18"/>
              </w:rPr>
            </w:pPr>
            <w:r>
              <w:rPr>
                <w:rFonts w:ascii="宋体" w:hAnsi="宋体" w:eastAsia="宋体" w:cs="宋体"/>
                <w:sz w:val="18"/>
                <w:szCs w:val="18"/>
              </w:rPr>
              <w:t>《关于2024年第一次临时股东大会决议的公告》（公告编号：2024006）</w:t>
            </w:r>
          </w:p>
        </w:tc>
      </w:tr>
      <w:tr w14:paraId="43F562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7" w:type="dxa"/>
            <w:tcBorders>
              <w:top w:val="single" w:color="auto" w:sz="2" w:space="0"/>
              <w:left w:val="single" w:color="auto" w:sz="2" w:space="0"/>
              <w:bottom w:val="single" w:color="auto" w:sz="2" w:space="0"/>
              <w:right w:val="single" w:color="auto" w:sz="2" w:space="0"/>
            </w:tcBorders>
            <w:vAlign w:val="center"/>
          </w:tcPr>
          <w:p w14:paraId="799823F1">
            <w:pPr>
              <w:spacing w:before="0" w:after="0" w:line="240" w:lineRule="exact"/>
              <w:jc w:val="left"/>
              <w:rPr>
                <w:rFonts w:ascii="宋体" w:hAnsi="宋体" w:eastAsia="宋体" w:cs="宋体"/>
                <w:sz w:val="18"/>
                <w:szCs w:val="18"/>
              </w:rPr>
            </w:pPr>
            <w:r>
              <w:rPr>
                <w:rFonts w:ascii="宋体" w:hAnsi="宋体" w:eastAsia="宋体" w:cs="宋体"/>
                <w:sz w:val="18"/>
                <w:szCs w:val="18"/>
              </w:rPr>
              <w:t>2023年年度股东大会</w:t>
            </w:r>
          </w:p>
        </w:tc>
        <w:tc>
          <w:tcPr>
            <w:tcW w:w="1120" w:type="dxa"/>
            <w:tcBorders>
              <w:top w:val="single" w:color="auto" w:sz="2" w:space="0"/>
              <w:left w:val="single" w:color="auto" w:sz="2" w:space="0"/>
              <w:bottom w:val="single" w:color="auto" w:sz="2" w:space="0"/>
              <w:right w:val="single" w:color="auto" w:sz="2" w:space="0"/>
            </w:tcBorders>
            <w:vAlign w:val="center"/>
          </w:tcPr>
          <w:p w14:paraId="6DE01BE2">
            <w:pPr>
              <w:spacing w:before="0" w:after="0" w:line="240" w:lineRule="exact"/>
              <w:jc w:val="left"/>
              <w:rPr>
                <w:rFonts w:ascii="宋体" w:hAnsi="宋体" w:eastAsia="宋体" w:cs="宋体"/>
                <w:sz w:val="18"/>
                <w:szCs w:val="18"/>
              </w:rPr>
            </w:pPr>
            <w:r>
              <w:rPr>
                <w:rFonts w:ascii="宋体" w:hAnsi="宋体" w:eastAsia="宋体" w:cs="宋体"/>
                <w:sz w:val="18"/>
                <w:szCs w:val="18"/>
              </w:rPr>
              <w:t>年度股东大会</w:t>
            </w:r>
          </w:p>
        </w:tc>
        <w:tc>
          <w:tcPr>
            <w:tcW w:w="1860" w:type="dxa"/>
            <w:tcBorders>
              <w:top w:val="single" w:color="auto" w:sz="2" w:space="0"/>
              <w:left w:val="single" w:color="auto" w:sz="2" w:space="0"/>
              <w:bottom w:val="single" w:color="auto" w:sz="2" w:space="0"/>
              <w:right w:val="single" w:color="auto" w:sz="2" w:space="0"/>
            </w:tcBorders>
            <w:vAlign w:val="center"/>
          </w:tcPr>
          <w:p w14:paraId="2646FBEE">
            <w:pPr>
              <w:spacing w:before="0" w:after="0" w:line="240" w:lineRule="exact"/>
              <w:jc w:val="right"/>
              <w:rPr>
                <w:rFonts w:ascii="宋体" w:hAnsi="宋体" w:eastAsia="宋体" w:cs="宋体"/>
                <w:sz w:val="18"/>
                <w:szCs w:val="18"/>
              </w:rPr>
            </w:pPr>
            <w:r>
              <w:rPr>
                <w:rFonts w:ascii="宋体" w:hAnsi="宋体" w:eastAsia="宋体" w:cs="宋体"/>
                <w:sz w:val="18"/>
                <w:szCs w:val="18"/>
              </w:rPr>
              <w:t>44.43%</w:t>
            </w:r>
          </w:p>
        </w:tc>
        <w:tc>
          <w:tcPr>
            <w:tcW w:w="1430" w:type="dxa"/>
            <w:tcBorders>
              <w:top w:val="single" w:color="auto" w:sz="2" w:space="0"/>
              <w:left w:val="single" w:color="auto" w:sz="2" w:space="0"/>
              <w:bottom w:val="single" w:color="auto" w:sz="2" w:space="0"/>
              <w:right w:val="single" w:color="auto" w:sz="2" w:space="0"/>
            </w:tcBorders>
            <w:vAlign w:val="center"/>
          </w:tcPr>
          <w:p w14:paraId="2BEEBDA4">
            <w:pPr>
              <w:spacing w:before="0" w:after="0" w:line="240" w:lineRule="exact"/>
              <w:jc w:val="left"/>
              <w:rPr>
                <w:rFonts w:ascii="宋体" w:hAnsi="宋体" w:eastAsia="宋体" w:cs="宋体"/>
                <w:sz w:val="18"/>
                <w:szCs w:val="18"/>
              </w:rPr>
            </w:pPr>
            <w:r>
              <w:rPr>
                <w:rFonts w:ascii="宋体" w:hAnsi="宋体" w:eastAsia="宋体" w:cs="宋体"/>
                <w:sz w:val="18"/>
                <w:szCs w:val="18"/>
              </w:rPr>
              <w:t>2024年05月13日</w:t>
            </w:r>
          </w:p>
        </w:tc>
        <w:tc>
          <w:tcPr>
            <w:tcW w:w="1420" w:type="dxa"/>
            <w:tcBorders>
              <w:top w:val="single" w:color="auto" w:sz="2" w:space="0"/>
              <w:left w:val="single" w:color="auto" w:sz="2" w:space="0"/>
              <w:bottom w:val="single" w:color="auto" w:sz="2" w:space="0"/>
              <w:right w:val="single" w:color="auto" w:sz="2" w:space="0"/>
            </w:tcBorders>
            <w:vAlign w:val="center"/>
          </w:tcPr>
          <w:p w14:paraId="5E00A95D">
            <w:pPr>
              <w:spacing w:before="0" w:after="0" w:line="240" w:lineRule="exact"/>
              <w:jc w:val="left"/>
              <w:rPr>
                <w:rFonts w:ascii="宋体" w:hAnsi="宋体" w:eastAsia="宋体" w:cs="宋体"/>
                <w:sz w:val="18"/>
                <w:szCs w:val="18"/>
              </w:rPr>
            </w:pPr>
            <w:r>
              <w:rPr>
                <w:rFonts w:ascii="宋体" w:hAnsi="宋体" w:eastAsia="宋体" w:cs="宋体"/>
                <w:sz w:val="18"/>
                <w:szCs w:val="18"/>
              </w:rPr>
              <w:t>2024年05月13日</w:t>
            </w:r>
          </w:p>
        </w:tc>
        <w:tc>
          <w:tcPr>
            <w:tcW w:w="2459" w:type="dxa"/>
            <w:tcBorders>
              <w:top w:val="single" w:color="auto" w:sz="2" w:space="0"/>
              <w:left w:val="single" w:color="auto" w:sz="2" w:space="0"/>
              <w:bottom w:val="single" w:color="auto" w:sz="2" w:space="0"/>
              <w:right w:val="single" w:color="auto" w:sz="2" w:space="0"/>
            </w:tcBorders>
            <w:vAlign w:val="center"/>
          </w:tcPr>
          <w:p w14:paraId="6EED12D6">
            <w:pPr>
              <w:spacing w:before="0" w:after="0" w:line="240" w:lineRule="exact"/>
              <w:jc w:val="left"/>
              <w:rPr>
                <w:rFonts w:ascii="宋体" w:hAnsi="宋体" w:eastAsia="宋体" w:cs="宋体"/>
                <w:sz w:val="18"/>
                <w:szCs w:val="18"/>
              </w:rPr>
            </w:pPr>
            <w:r>
              <w:rPr>
                <w:rFonts w:ascii="宋体" w:hAnsi="宋体" w:eastAsia="宋体" w:cs="宋体"/>
                <w:sz w:val="18"/>
                <w:szCs w:val="18"/>
              </w:rPr>
              <w:t>《关于2023年年度股东大会决议的公告》（公告编号：2024041）</w:t>
            </w:r>
          </w:p>
        </w:tc>
      </w:tr>
      <w:tr w14:paraId="61AA20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7" w:type="dxa"/>
            <w:tcBorders>
              <w:top w:val="single" w:color="auto" w:sz="2" w:space="0"/>
              <w:left w:val="single" w:color="auto" w:sz="2" w:space="0"/>
              <w:bottom w:val="single" w:color="auto" w:sz="2" w:space="0"/>
              <w:right w:val="single" w:color="auto" w:sz="2" w:space="0"/>
            </w:tcBorders>
            <w:vAlign w:val="center"/>
          </w:tcPr>
          <w:p w14:paraId="7244BA6D">
            <w:pPr>
              <w:spacing w:before="0" w:after="0" w:line="240" w:lineRule="exact"/>
              <w:jc w:val="left"/>
              <w:rPr>
                <w:rFonts w:ascii="宋体" w:hAnsi="宋体" w:eastAsia="宋体" w:cs="宋体"/>
                <w:sz w:val="18"/>
                <w:szCs w:val="18"/>
              </w:rPr>
            </w:pPr>
            <w:r>
              <w:rPr>
                <w:rFonts w:ascii="宋体" w:hAnsi="宋体" w:eastAsia="宋体" w:cs="宋体"/>
                <w:sz w:val="18"/>
                <w:szCs w:val="18"/>
              </w:rPr>
              <w:t>2024年第二次临时股东大会</w:t>
            </w:r>
          </w:p>
        </w:tc>
        <w:tc>
          <w:tcPr>
            <w:tcW w:w="1120" w:type="dxa"/>
            <w:tcBorders>
              <w:top w:val="single" w:color="auto" w:sz="2" w:space="0"/>
              <w:left w:val="single" w:color="auto" w:sz="2" w:space="0"/>
              <w:bottom w:val="single" w:color="auto" w:sz="2" w:space="0"/>
              <w:right w:val="single" w:color="auto" w:sz="2" w:space="0"/>
            </w:tcBorders>
            <w:vAlign w:val="center"/>
          </w:tcPr>
          <w:p w14:paraId="3E907B8A">
            <w:pPr>
              <w:spacing w:before="0" w:after="0" w:line="240" w:lineRule="exact"/>
              <w:jc w:val="left"/>
              <w:rPr>
                <w:rFonts w:ascii="宋体" w:hAnsi="宋体" w:eastAsia="宋体" w:cs="宋体"/>
                <w:sz w:val="18"/>
                <w:szCs w:val="18"/>
              </w:rPr>
            </w:pPr>
            <w:r>
              <w:rPr>
                <w:rFonts w:ascii="宋体" w:hAnsi="宋体" w:eastAsia="宋体" w:cs="宋体"/>
                <w:sz w:val="18"/>
                <w:szCs w:val="18"/>
              </w:rPr>
              <w:t>临时股东大会</w:t>
            </w:r>
          </w:p>
        </w:tc>
        <w:tc>
          <w:tcPr>
            <w:tcW w:w="1860" w:type="dxa"/>
            <w:tcBorders>
              <w:top w:val="single" w:color="auto" w:sz="2" w:space="0"/>
              <w:left w:val="single" w:color="auto" w:sz="2" w:space="0"/>
              <w:bottom w:val="single" w:color="auto" w:sz="2" w:space="0"/>
              <w:right w:val="single" w:color="auto" w:sz="2" w:space="0"/>
            </w:tcBorders>
            <w:vAlign w:val="center"/>
          </w:tcPr>
          <w:p w14:paraId="59EABA49">
            <w:pPr>
              <w:spacing w:before="0" w:after="0" w:line="240" w:lineRule="exact"/>
              <w:jc w:val="right"/>
              <w:rPr>
                <w:rFonts w:ascii="宋体" w:hAnsi="宋体" w:eastAsia="宋体" w:cs="宋体"/>
                <w:sz w:val="18"/>
                <w:szCs w:val="18"/>
              </w:rPr>
            </w:pPr>
            <w:r>
              <w:rPr>
                <w:rFonts w:ascii="宋体" w:hAnsi="宋体" w:eastAsia="宋体" w:cs="宋体"/>
                <w:sz w:val="18"/>
                <w:szCs w:val="18"/>
              </w:rPr>
              <w:t>43.00%</w:t>
            </w:r>
          </w:p>
        </w:tc>
        <w:tc>
          <w:tcPr>
            <w:tcW w:w="1430" w:type="dxa"/>
            <w:tcBorders>
              <w:top w:val="single" w:color="auto" w:sz="2" w:space="0"/>
              <w:left w:val="single" w:color="auto" w:sz="2" w:space="0"/>
              <w:bottom w:val="single" w:color="auto" w:sz="2" w:space="0"/>
              <w:right w:val="single" w:color="auto" w:sz="2" w:space="0"/>
            </w:tcBorders>
            <w:vAlign w:val="center"/>
          </w:tcPr>
          <w:p w14:paraId="101D7469">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1420" w:type="dxa"/>
            <w:tcBorders>
              <w:top w:val="single" w:color="auto" w:sz="2" w:space="0"/>
              <w:left w:val="single" w:color="auto" w:sz="2" w:space="0"/>
              <w:bottom w:val="single" w:color="auto" w:sz="2" w:space="0"/>
              <w:right w:val="single" w:color="auto" w:sz="2" w:space="0"/>
            </w:tcBorders>
            <w:vAlign w:val="center"/>
          </w:tcPr>
          <w:p w14:paraId="4CF7A1D6">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2459" w:type="dxa"/>
            <w:tcBorders>
              <w:top w:val="single" w:color="auto" w:sz="2" w:space="0"/>
              <w:left w:val="single" w:color="auto" w:sz="2" w:space="0"/>
              <w:bottom w:val="single" w:color="auto" w:sz="2" w:space="0"/>
              <w:right w:val="single" w:color="auto" w:sz="2" w:space="0"/>
            </w:tcBorders>
            <w:vAlign w:val="center"/>
          </w:tcPr>
          <w:p w14:paraId="1A721541">
            <w:pPr>
              <w:spacing w:before="0" w:after="0" w:line="240" w:lineRule="exact"/>
              <w:jc w:val="left"/>
              <w:rPr>
                <w:rFonts w:ascii="宋体" w:hAnsi="宋体" w:eastAsia="宋体" w:cs="宋体"/>
                <w:sz w:val="18"/>
                <w:szCs w:val="18"/>
              </w:rPr>
            </w:pPr>
            <w:r>
              <w:rPr>
                <w:rFonts w:ascii="宋体" w:hAnsi="宋体" w:eastAsia="宋体" w:cs="宋体"/>
                <w:sz w:val="18"/>
                <w:szCs w:val="18"/>
              </w:rPr>
              <w:t>《关于2024年第二次临时股东大会决议的公告》（公告编号：2024048）</w:t>
            </w:r>
          </w:p>
        </w:tc>
      </w:tr>
      <w:tr w14:paraId="262FCF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7" w:type="dxa"/>
            <w:tcBorders>
              <w:top w:val="single" w:color="auto" w:sz="2" w:space="0"/>
              <w:left w:val="single" w:color="auto" w:sz="2" w:space="0"/>
              <w:bottom w:val="single" w:color="auto" w:sz="2" w:space="0"/>
              <w:right w:val="single" w:color="auto" w:sz="2" w:space="0"/>
            </w:tcBorders>
            <w:vAlign w:val="center"/>
          </w:tcPr>
          <w:p w14:paraId="0751B3D2">
            <w:pPr>
              <w:spacing w:before="0" w:after="0" w:line="240" w:lineRule="exact"/>
              <w:jc w:val="left"/>
              <w:rPr>
                <w:rFonts w:ascii="宋体" w:hAnsi="宋体" w:eastAsia="宋体" w:cs="宋体"/>
                <w:sz w:val="18"/>
                <w:szCs w:val="18"/>
              </w:rPr>
            </w:pPr>
            <w:r>
              <w:rPr>
                <w:rFonts w:ascii="宋体" w:hAnsi="宋体" w:eastAsia="宋体" w:cs="宋体"/>
                <w:sz w:val="18"/>
                <w:szCs w:val="18"/>
              </w:rPr>
              <w:t>2024年第三次临时股东大会</w:t>
            </w:r>
          </w:p>
        </w:tc>
        <w:tc>
          <w:tcPr>
            <w:tcW w:w="1120" w:type="dxa"/>
            <w:tcBorders>
              <w:top w:val="single" w:color="auto" w:sz="2" w:space="0"/>
              <w:left w:val="single" w:color="auto" w:sz="2" w:space="0"/>
              <w:bottom w:val="single" w:color="auto" w:sz="2" w:space="0"/>
              <w:right w:val="single" w:color="auto" w:sz="2" w:space="0"/>
            </w:tcBorders>
            <w:vAlign w:val="center"/>
          </w:tcPr>
          <w:p w14:paraId="695E53CA">
            <w:pPr>
              <w:spacing w:before="0" w:after="0" w:line="240" w:lineRule="exact"/>
              <w:jc w:val="left"/>
              <w:rPr>
                <w:rFonts w:ascii="宋体" w:hAnsi="宋体" w:eastAsia="宋体" w:cs="宋体"/>
                <w:sz w:val="18"/>
                <w:szCs w:val="18"/>
              </w:rPr>
            </w:pPr>
            <w:r>
              <w:rPr>
                <w:rFonts w:ascii="宋体" w:hAnsi="宋体" w:eastAsia="宋体" w:cs="宋体"/>
                <w:sz w:val="18"/>
                <w:szCs w:val="18"/>
              </w:rPr>
              <w:t>临时股东大会</w:t>
            </w:r>
          </w:p>
        </w:tc>
        <w:tc>
          <w:tcPr>
            <w:tcW w:w="1860" w:type="dxa"/>
            <w:tcBorders>
              <w:top w:val="single" w:color="auto" w:sz="2" w:space="0"/>
              <w:left w:val="single" w:color="auto" w:sz="2" w:space="0"/>
              <w:bottom w:val="single" w:color="auto" w:sz="2" w:space="0"/>
              <w:right w:val="single" w:color="auto" w:sz="2" w:space="0"/>
            </w:tcBorders>
            <w:vAlign w:val="center"/>
          </w:tcPr>
          <w:p w14:paraId="7C2D3F82">
            <w:pPr>
              <w:spacing w:before="0" w:after="0" w:line="240" w:lineRule="exact"/>
              <w:jc w:val="right"/>
              <w:rPr>
                <w:rFonts w:ascii="宋体" w:hAnsi="宋体" w:eastAsia="宋体" w:cs="宋体"/>
                <w:sz w:val="18"/>
                <w:szCs w:val="18"/>
              </w:rPr>
            </w:pPr>
            <w:r>
              <w:rPr>
                <w:rFonts w:ascii="宋体" w:hAnsi="宋体" w:eastAsia="宋体" w:cs="宋体"/>
                <w:sz w:val="18"/>
                <w:szCs w:val="18"/>
              </w:rPr>
              <w:t>44.34%</w:t>
            </w:r>
          </w:p>
        </w:tc>
        <w:tc>
          <w:tcPr>
            <w:tcW w:w="1430" w:type="dxa"/>
            <w:tcBorders>
              <w:top w:val="single" w:color="auto" w:sz="2" w:space="0"/>
              <w:left w:val="single" w:color="auto" w:sz="2" w:space="0"/>
              <w:bottom w:val="single" w:color="auto" w:sz="2" w:space="0"/>
              <w:right w:val="single" w:color="auto" w:sz="2" w:space="0"/>
            </w:tcBorders>
            <w:vAlign w:val="center"/>
          </w:tcPr>
          <w:p w14:paraId="367C69BE">
            <w:pPr>
              <w:spacing w:before="0" w:after="0" w:line="240" w:lineRule="exact"/>
              <w:jc w:val="left"/>
              <w:rPr>
                <w:rFonts w:ascii="宋体" w:hAnsi="宋体" w:eastAsia="宋体" w:cs="宋体"/>
                <w:sz w:val="18"/>
                <w:szCs w:val="18"/>
              </w:rPr>
            </w:pPr>
            <w:r>
              <w:rPr>
                <w:rFonts w:ascii="宋体" w:hAnsi="宋体" w:eastAsia="宋体" w:cs="宋体"/>
                <w:sz w:val="18"/>
                <w:szCs w:val="18"/>
              </w:rPr>
              <w:t>2024年08月16日</w:t>
            </w:r>
          </w:p>
        </w:tc>
        <w:tc>
          <w:tcPr>
            <w:tcW w:w="1420" w:type="dxa"/>
            <w:tcBorders>
              <w:top w:val="single" w:color="auto" w:sz="2" w:space="0"/>
              <w:left w:val="single" w:color="auto" w:sz="2" w:space="0"/>
              <w:bottom w:val="single" w:color="auto" w:sz="2" w:space="0"/>
              <w:right w:val="single" w:color="auto" w:sz="2" w:space="0"/>
            </w:tcBorders>
            <w:vAlign w:val="center"/>
          </w:tcPr>
          <w:p w14:paraId="0779F7B1">
            <w:pPr>
              <w:spacing w:before="0" w:after="0" w:line="240" w:lineRule="exact"/>
              <w:jc w:val="left"/>
              <w:rPr>
                <w:rFonts w:ascii="宋体" w:hAnsi="宋体" w:eastAsia="宋体" w:cs="宋体"/>
                <w:sz w:val="18"/>
                <w:szCs w:val="18"/>
              </w:rPr>
            </w:pPr>
            <w:r>
              <w:rPr>
                <w:rFonts w:ascii="宋体" w:hAnsi="宋体" w:eastAsia="宋体" w:cs="宋体"/>
                <w:sz w:val="18"/>
                <w:szCs w:val="18"/>
              </w:rPr>
              <w:t>2024年08月16日</w:t>
            </w:r>
          </w:p>
        </w:tc>
        <w:tc>
          <w:tcPr>
            <w:tcW w:w="2459" w:type="dxa"/>
            <w:tcBorders>
              <w:top w:val="single" w:color="auto" w:sz="2" w:space="0"/>
              <w:left w:val="single" w:color="auto" w:sz="2" w:space="0"/>
              <w:bottom w:val="single" w:color="auto" w:sz="2" w:space="0"/>
              <w:right w:val="single" w:color="auto" w:sz="2" w:space="0"/>
            </w:tcBorders>
            <w:vAlign w:val="center"/>
          </w:tcPr>
          <w:p w14:paraId="2CA39C70">
            <w:pPr>
              <w:spacing w:before="0" w:after="0" w:line="240" w:lineRule="exact"/>
              <w:jc w:val="left"/>
              <w:rPr>
                <w:rFonts w:ascii="宋体" w:hAnsi="宋体" w:eastAsia="宋体" w:cs="宋体"/>
                <w:sz w:val="18"/>
                <w:szCs w:val="18"/>
              </w:rPr>
            </w:pPr>
            <w:r>
              <w:rPr>
                <w:rFonts w:ascii="宋体" w:hAnsi="宋体" w:eastAsia="宋体" w:cs="宋体"/>
                <w:sz w:val="18"/>
                <w:szCs w:val="18"/>
              </w:rPr>
              <w:t>《关于2024年第三次临时股东大会决议的公告》（公告编号：2024060）</w:t>
            </w:r>
          </w:p>
        </w:tc>
      </w:tr>
      <w:tr w14:paraId="60D7AE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7" w:type="dxa"/>
            <w:tcBorders>
              <w:top w:val="single" w:color="auto" w:sz="2" w:space="0"/>
              <w:left w:val="single" w:color="auto" w:sz="2" w:space="0"/>
              <w:bottom w:val="single" w:color="auto" w:sz="2" w:space="0"/>
              <w:right w:val="single" w:color="auto" w:sz="2" w:space="0"/>
            </w:tcBorders>
            <w:vAlign w:val="center"/>
          </w:tcPr>
          <w:p w14:paraId="64288F9D">
            <w:pPr>
              <w:spacing w:before="0" w:after="0" w:line="240" w:lineRule="exact"/>
              <w:jc w:val="left"/>
              <w:rPr>
                <w:rFonts w:ascii="宋体" w:hAnsi="宋体" w:eastAsia="宋体" w:cs="宋体"/>
                <w:sz w:val="18"/>
                <w:szCs w:val="18"/>
              </w:rPr>
            </w:pPr>
            <w:r>
              <w:rPr>
                <w:rFonts w:ascii="宋体" w:hAnsi="宋体" w:eastAsia="宋体" w:cs="宋体"/>
                <w:sz w:val="18"/>
                <w:szCs w:val="18"/>
              </w:rPr>
              <w:t>2024年第四次临时股东大会</w:t>
            </w:r>
          </w:p>
        </w:tc>
        <w:tc>
          <w:tcPr>
            <w:tcW w:w="1120" w:type="dxa"/>
            <w:tcBorders>
              <w:top w:val="single" w:color="auto" w:sz="2" w:space="0"/>
              <w:left w:val="single" w:color="auto" w:sz="2" w:space="0"/>
              <w:bottom w:val="single" w:color="auto" w:sz="2" w:space="0"/>
              <w:right w:val="single" w:color="auto" w:sz="2" w:space="0"/>
            </w:tcBorders>
            <w:vAlign w:val="center"/>
          </w:tcPr>
          <w:p w14:paraId="51B45F36">
            <w:pPr>
              <w:spacing w:before="0" w:after="0" w:line="240" w:lineRule="exact"/>
              <w:jc w:val="left"/>
              <w:rPr>
                <w:rFonts w:ascii="宋体" w:hAnsi="宋体" w:eastAsia="宋体" w:cs="宋体"/>
                <w:sz w:val="18"/>
                <w:szCs w:val="18"/>
              </w:rPr>
            </w:pPr>
            <w:r>
              <w:rPr>
                <w:rFonts w:ascii="宋体" w:hAnsi="宋体" w:eastAsia="宋体" w:cs="宋体"/>
                <w:sz w:val="18"/>
                <w:szCs w:val="18"/>
              </w:rPr>
              <w:t>临时股东大会</w:t>
            </w:r>
          </w:p>
        </w:tc>
        <w:tc>
          <w:tcPr>
            <w:tcW w:w="1860" w:type="dxa"/>
            <w:tcBorders>
              <w:top w:val="single" w:color="auto" w:sz="2" w:space="0"/>
              <w:left w:val="single" w:color="auto" w:sz="2" w:space="0"/>
              <w:bottom w:val="single" w:color="auto" w:sz="2" w:space="0"/>
              <w:right w:val="single" w:color="auto" w:sz="2" w:space="0"/>
            </w:tcBorders>
            <w:vAlign w:val="center"/>
          </w:tcPr>
          <w:p w14:paraId="2BCEB1A2">
            <w:pPr>
              <w:spacing w:before="0" w:after="0" w:line="240" w:lineRule="exact"/>
              <w:jc w:val="right"/>
              <w:rPr>
                <w:rFonts w:ascii="宋体" w:hAnsi="宋体" w:eastAsia="宋体" w:cs="宋体"/>
                <w:sz w:val="18"/>
                <w:szCs w:val="18"/>
              </w:rPr>
            </w:pPr>
            <w:r>
              <w:rPr>
                <w:rFonts w:ascii="宋体" w:hAnsi="宋体" w:eastAsia="宋体" w:cs="宋体"/>
                <w:sz w:val="18"/>
                <w:szCs w:val="18"/>
              </w:rPr>
              <w:t>43.60%</w:t>
            </w:r>
          </w:p>
        </w:tc>
        <w:tc>
          <w:tcPr>
            <w:tcW w:w="1430" w:type="dxa"/>
            <w:tcBorders>
              <w:top w:val="single" w:color="auto" w:sz="2" w:space="0"/>
              <w:left w:val="single" w:color="auto" w:sz="2" w:space="0"/>
              <w:bottom w:val="single" w:color="auto" w:sz="2" w:space="0"/>
              <w:right w:val="single" w:color="auto" w:sz="2" w:space="0"/>
            </w:tcBorders>
            <w:vAlign w:val="center"/>
          </w:tcPr>
          <w:p w14:paraId="3D633BC8">
            <w:pPr>
              <w:spacing w:before="0" w:after="0" w:line="240" w:lineRule="exact"/>
              <w:jc w:val="left"/>
              <w:rPr>
                <w:rFonts w:ascii="宋体" w:hAnsi="宋体" w:eastAsia="宋体" w:cs="宋体"/>
                <w:sz w:val="18"/>
                <w:szCs w:val="18"/>
              </w:rPr>
            </w:pPr>
            <w:r>
              <w:rPr>
                <w:rFonts w:ascii="宋体" w:hAnsi="宋体" w:eastAsia="宋体" w:cs="宋体"/>
                <w:sz w:val="18"/>
                <w:szCs w:val="18"/>
              </w:rPr>
              <w:t>2024年12月09日</w:t>
            </w:r>
          </w:p>
        </w:tc>
        <w:tc>
          <w:tcPr>
            <w:tcW w:w="1420" w:type="dxa"/>
            <w:tcBorders>
              <w:top w:val="single" w:color="auto" w:sz="2" w:space="0"/>
              <w:left w:val="single" w:color="auto" w:sz="2" w:space="0"/>
              <w:bottom w:val="single" w:color="auto" w:sz="2" w:space="0"/>
              <w:right w:val="single" w:color="auto" w:sz="2" w:space="0"/>
            </w:tcBorders>
            <w:vAlign w:val="center"/>
          </w:tcPr>
          <w:p w14:paraId="79A8ADA7">
            <w:pPr>
              <w:spacing w:before="0" w:after="0" w:line="240" w:lineRule="exact"/>
              <w:jc w:val="left"/>
              <w:rPr>
                <w:rFonts w:ascii="宋体" w:hAnsi="宋体" w:eastAsia="宋体" w:cs="宋体"/>
                <w:sz w:val="18"/>
                <w:szCs w:val="18"/>
              </w:rPr>
            </w:pPr>
            <w:r>
              <w:rPr>
                <w:rFonts w:ascii="宋体" w:hAnsi="宋体" w:eastAsia="宋体" w:cs="宋体"/>
                <w:sz w:val="18"/>
                <w:szCs w:val="18"/>
              </w:rPr>
              <w:t>2024年12月09日</w:t>
            </w:r>
          </w:p>
        </w:tc>
        <w:tc>
          <w:tcPr>
            <w:tcW w:w="2459" w:type="dxa"/>
            <w:tcBorders>
              <w:top w:val="single" w:color="auto" w:sz="2" w:space="0"/>
              <w:left w:val="single" w:color="auto" w:sz="2" w:space="0"/>
              <w:bottom w:val="single" w:color="auto" w:sz="2" w:space="0"/>
              <w:right w:val="single" w:color="auto" w:sz="2" w:space="0"/>
            </w:tcBorders>
            <w:vAlign w:val="center"/>
          </w:tcPr>
          <w:p w14:paraId="277B997D">
            <w:pPr>
              <w:spacing w:before="0" w:after="0" w:line="240" w:lineRule="exact"/>
              <w:jc w:val="left"/>
              <w:rPr>
                <w:rFonts w:ascii="宋体" w:hAnsi="宋体" w:eastAsia="宋体" w:cs="宋体"/>
                <w:sz w:val="18"/>
                <w:szCs w:val="18"/>
              </w:rPr>
            </w:pPr>
            <w:r>
              <w:rPr>
                <w:rFonts w:ascii="宋体" w:hAnsi="宋体" w:eastAsia="宋体" w:cs="宋体"/>
                <w:sz w:val="18"/>
                <w:szCs w:val="18"/>
              </w:rPr>
              <w:t>《关于2024年第四次临时股东大会决议的公告》（公告编号：2024080）</w:t>
            </w:r>
          </w:p>
        </w:tc>
      </w:tr>
    </w:tbl>
    <w:p w14:paraId="6A32FBB8">
      <w:pPr>
        <w:keepNext/>
        <w:keepLines/>
        <w:spacing w:before="300" w:after="300" w:line="280" w:lineRule="exact"/>
        <w:jc w:val="left"/>
        <w:outlineLvl w:val="2"/>
        <w:rPr>
          <w:rFonts w:ascii="宋体" w:hAnsi="宋体" w:eastAsia="宋体" w:cs="宋体"/>
          <w:b/>
          <w:bCs/>
          <w:sz w:val="21"/>
          <w:szCs w:val="21"/>
        </w:rPr>
      </w:pPr>
      <w:bookmarkStart w:id="63" w:name="_Toc988950"/>
      <w:r>
        <w:rPr>
          <w:rFonts w:ascii="宋体" w:hAnsi="宋体" w:eastAsia="宋体" w:cs="宋体"/>
          <w:b/>
          <w:bCs/>
          <w:sz w:val="21"/>
          <w:szCs w:val="21"/>
        </w:rPr>
        <w:t>2、表决权恢复的优先股股东请求召开临时股东大会</w:t>
      </w:r>
      <w:bookmarkEnd w:id="63"/>
    </w:p>
    <w:p w14:paraId="0D462439">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3881BA9">
      <w:pPr>
        <w:keepNext/>
        <w:keepLines/>
        <w:spacing w:before="300" w:after="300" w:line="320" w:lineRule="exact"/>
        <w:jc w:val="left"/>
        <w:outlineLvl w:val="1"/>
        <w:rPr>
          <w:rFonts w:ascii="宋体" w:hAnsi="宋体" w:eastAsia="宋体" w:cs="宋体"/>
          <w:b/>
          <w:bCs/>
          <w:sz w:val="24"/>
          <w:szCs w:val="24"/>
        </w:rPr>
      </w:pPr>
      <w:bookmarkStart w:id="64" w:name="_Toc988951"/>
      <w:r>
        <w:rPr>
          <w:rFonts w:ascii="宋体" w:hAnsi="宋体" w:eastAsia="宋体" w:cs="宋体"/>
          <w:b/>
          <w:bCs/>
          <w:sz w:val="24"/>
          <w:szCs w:val="24"/>
        </w:rPr>
        <w:t>五、公司具有表决权差异安排</w:t>
      </w:r>
      <w:bookmarkEnd w:id="64"/>
    </w:p>
    <w:p w14:paraId="1D00B11E">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CDE2EFB">
      <w:pPr>
        <w:keepNext/>
        <w:keepLines/>
        <w:spacing w:before="300" w:after="300" w:line="320" w:lineRule="exact"/>
        <w:jc w:val="left"/>
        <w:outlineLvl w:val="1"/>
        <w:rPr>
          <w:rFonts w:ascii="宋体" w:hAnsi="宋体" w:eastAsia="宋体" w:cs="宋体"/>
          <w:b/>
          <w:bCs/>
          <w:sz w:val="24"/>
          <w:szCs w:val="24"/>
        </w:rPr>
      </w:pPr>
      <w:bookmarkStart w:id="65" w:name="_Toc988952"/>
      <w:r>
        <w:rPr>
          <w:rFonts w:ascii="宋体" w:hAnsi="宋体" w:eastAsia="宋体" w:cs="宋体"/>
          <w:b/>
          <w:bCs/>
          <w:sz w:val="24"/>
          <w:szCs w:val="24"/>
        </w:rPr>
        <w:t>六、红筹架构公司治理情况</w:t>
      </w:r>
      <w:bookmarkEnd w:id="65"/>
    </w:p>
    <w:p w14:paraId="5ADC8BE4">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E32C9EF">
      <w:pPr>
        <w:keepNext/>
        <w:keepLines/>
        <w:spacing w:before="300" w:after="300" w:line="320" w:lineRule="exact"/>
        <w:jc w:val="left"/>
        <w:outlineLvl w:val="1"/>
        <w:rPr>
          <w:rFonts w:ascii="宋体" w:hAnsi="宋体" w:eastAsia="宋体" w:cs="宋体"/>
          <w:b/>
          <w:bCs/>
          <w:sz w:val="24"/>
          <w:szCs w:val="24"/>
        </w:rPr>
      </w:pPr>
      <w:bookmarkStart w:id="66" w:name="_Toc988953"/>
      <w:r>
        <w:rPr>
          <w:rFonts w:ascii="宋体" w:hAnsi="宋体" w:eastAsia="宋体" w:cs="宋体"/>
          <w:b/>
          <w:bCs/>
          <w:sz w:val="24"/>
          <w:szCs w:val="24"/>
        </w:rPr>
        <w:t>七、董事、监事和高级管理人员情况</w:t>
      </w:r>
      <w:bookmarkEnd w:id="66"/>
    </w:p>
    <w:p w14:paraId="38049C16">
      <w:pPr>
        <w:keepNext/>
        <w:keepLines/>
        <w:spacing w:before="300" w:after="300" w:line="280" w:lineRule="exact"/>
        <w:jc w:val="left"/>
        <w:outlineLvl w:val="2"/>
        <w:rPr>
          <w:rFonts w:ascii="宋体" w:hAnsi="宋体" w:eastAsia="宋体" w:cs="宋体"/>
          <w:b/>
          <w:bCs/>
          <w:sz w:val="21"/>
          <w:szCs w:val="21"/>
        </w:rPr>
      </w:pPr>
      <w:bookmarkStart w:id="67" w:name="_Toc988954"/>
      <w:r>
        <w:rPr>
          <w:rFonts w:ascii="宋体" w:hAnsi="宋体" w:eastAsia="宋体" w:cs="宋体"/>
          <w:b/>
          <w:bCs/>
          <w:sz w:val="21"/>
          <w:szCs w:val="21"/>
        </w:rPr>
        <w:t>1、基本情况</w:t>
      </w:r>
      <w:bookmarkEnd w:id="67"/>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41"/>
        <w:gridCol w:w="741"/>
        <w:gridCol w:w="741"/>
        <w:gridCol w:w="741"/>
        <w:gridCol w:w="741"/>
        <w:gridCol w:w="741"/>
        <w:gridCol w:w="741"/>
        <w:gridCol w:w="741"/>
        <w:gridCol w:w="741"/>
        <w:gridCol w:w="741"/>
        <w:gridCol w:w="741"/>
        <w:gridCol w:w="741"/>
        <w:gridCol w:w="741"/>
      </w:tblGrid>
      <w:tr w14:paraId="67D9898B">
        <w:tblPrEx>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F8D5AF3">
            <w:pPr>
              <w:spacing w:before="40" w:after="40" w:line="240" w:lineRule="exact"/>
              <w:jc w:val="center"/>
              <w:rPr>
                <w:rFonts w:ascii="宋体" w:hAnsi="宋体" w:eastAsia="宋体" w:cs="宋体"/>
                <w:sz w:val="18"/>
                <w:szCs w:val="18"/>
              </w:rPr>
            </w:pPr>
            <w:r>
              <w:rPr>
                <w:rFonts w:ascii="宋体" w:hAnsi="宋体" w:eastAsia="宋体" w:cs="宋体"/>
                <w:sz w:val="18"/>
                <w:szCs w:val="18"/>
              </w:rPr>
              <w:t>姓名</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A0F59CA">
            <w:pPr>
              <w:spacing w:before="40" w:after="40" w:line="240" w:lineRule="exact"/>
              <w:jc w:val="center"/>
              <w:rPr>
                <w:rFonts w:ascii="宋体" w:hAnsi="宋体" w:eastAsia="宋体" w:cs="宋体"/>
                <w:sz w:val="18"/>
                <w:szCs w:val="18"/>
              </w:rPr>
            </w:pPr>
            <w:r>
              <w:rPr>
                <w:rFonts w:ascii="宋体" w:hAnsi="宋体" w:eastAsia="宋体" w:cs="宋体"/>
                <w:sz w:val="18"/>
                <w:szCs w:val="18"/>
              </w:rPr>
              <w:t>性别</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5EC1668">
            <w:pPr>
              <w:spacing w:before="40" w:after="40" w:line="240" w:lineRule="exact"/>
              <w:jc w:val="center"/>
              <w:rPr>
                <w:rFonts w:ascii="宋体" w:hAnsi="宋体" w:eastAsia="宋体" w:cs="宋体"/>
                <w:sz w:val="18"/>
                <w:szCs w:val="18"/>
              </w:rPr>
            </w:pPr>
            <w:r>
              <w:rPr>
                <w:rFonts w:ascii="宋体" w:hAnsi="宋体" w:eastAsia="宋体" w:cs="宋体"/>
                <w:sz w:val="18"/>
                <w:szCs w:val="18"/>
              </w:rPr>
              <w:t>年龄</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46A0379">
            <w:pPr>
              <w:spacing w:before="40" w:after="40" w:line="240" w:lineRule="exact"/>
              <w:jc w:val="center"/>
              <w:rPr>
                <w:rFonts w:ascii="宋体" w:hAnsi="宋体" w:eastAsia="宋体" w:cs="宋体"/>
                <w:sz w:val="18"/>
                <w:szCs w:val="18"/>
              </w:rPr>
            </w:pPr>
            <w:r>
              <w:rPr>
                <w:rFonts w:ascii="宋体" w:hAnsi="宋体" w:eastAsia="宋体" w:cs="宋体"/>
                <w:sz w:val="18"/>
                <w:szCs w:val="18"/>
              </w:rPr>
              <w:t>职务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46B9FDC">
            <w:pPr>
              <w:spacing w:before="40" w:after="40" w:line="240" w:lineRule="exact"/>
              <w:jc w:val="center"/>
              <w:rPr>
                <w:rFonts w:ascii="宋体" w:hAnsi="宋体" w:eastAsia="宋体" w:cs="宋体"/>
                <w:sz w:val="18"/>
                <w:szCs w:val="18"/>
              </w:rPr>
            </w:pPr>
            <w:r>
              <w:rPr>
                <w:rFonts w:ascii="宋体" w:hAnsi="宋体" w:eastAsia="宋体" w:cs="宋体"/>
                <w:sz w:val="18"/>
                <w:szCs w:val="18"/>
              </w:rPr>
              <w:t>任职状态</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D92A285">
            <w:pPr>
              <w:spacing w:before="40" w:after="40" w:line="240" w:lineRule="exact"/>
              <w:jc w:val="center"/>
              <w:rPr>
                <w:rFonts w:ascii="宋体" w:hAnsi="宋体" w:eastAsia="宋体" w:cs="宋体"/>
                <w:sz w:val="18"/>
                <w:szCs w:val="18"/>
              </w:rPr>
            </w:pPr>
            <w:r>
              <w:rPr>
                <w:rFonts w:ascii="宋体" w:hAnsi="宋体" w:eastAsia="宋体" w:cs="宋体"/>
                <w:sz w:val="18"/>
                <w:szCs w:val="18"/>
              </w:rPr>
              <w:t>任期起始日期</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D995CB2">
            <w:pPr>
              <w:spacing w:before="40" w:after="40" w:line="240" w:lineRule="exact"/>
              <w:jc w:val="center"/>
              <w:rPr>
                <w:rFonts w:ascii="宋体" w:hAnsi="宋体" w:eastAsia="宋体" w:cs="宋体"/>
                <w:sz w:val="18"/>
                <w:szCs w:val="18"/>
              </w:rPr>
            </w:pPr>
            <w:r>
              <w:rPr>
                <w:rFonts w:ascii="宋体" w:hAnsi="宋体" w:eastAsia="宋体" w:cs="宋体"/>
                <w:sz w:val="18"/>
                <w:szCs w:val="18"/>
              </w:rPr>
              <w:t>任期终止日期</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5D53773">
            <w:pPr>
              <w:spacing w:before="40" w:after="40" w:line="240" w:lineRule="exact"/>
              <w:jc w:val="center"/>
              <w:rPr>
                <w:rFonts w:ascii="宋体" w:hAnsi="宋体" w:eastAsia="宋体" w:cs="宋体"/>
                <w:sz w:val="18"/>
                <w:szCs w:val="18"/>
              </w:rPr>
            </w:pPr>
            <w:r>
              <w:rPr>
                <w:rFonts w:ascii="宋体" w:hAnsi="宋体" w:eastAsia="宋体" w:cs="宋体"/>
                <w:sz w:val="18"/>
                <w:szCs w:val="18"/>
              </w:rPr>
              <w:t>期初持股数（股）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751FC59">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本期增持股份数量（股）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86890D7">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本期减持股份数量（股）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30130E9">
            <w:pPr>
              <w:spacing w:before="40" w:after="40" w:line="240" w:lineRule="exact"/>
              <w:jc w:val="center"/>
              <w:rPr>
                <w:rFonts w:ascii="宋体" w:hAnsi="宋体" w:eastAsia="宋体" w:cs="宋体"/>
                <w:sz w:val="18"/>
                <w:szCs w:val="18"/>
              </w:rPr>
            </w:pPr>
            <w:r>
              <w:rPr>
                <w:rFonts w:ascii="宋体" w:hAnsi="宋体" w:eastAsia="宋体" w:cs="宋体"/>
                <w:sz w:val="18"/>
                <w:szCs w:val="18"/>
              </w:rPr>
              <w:t>其他增减变动（股）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1A9976F">
            <w:pPr>
              <w:spacing w:before="40" w:after="40" w:line="240" w:lineRule="exact"/>
              <w:jc w:val="center"/>
              <w:rPr>
                <w:rFonts w:ascii="宋体" w:hAnsi="宋体" w:eastAsia="宋体" w:cs="宋体"/>
                <w:sz w:val="18"/>
                <w:szCs w:val="18"/>
              </w:rPr>
            </w:pPr>
            <w:r>
              <w:rPr>
                <w:rFonts w:ascii="宋体" w:hAnsi="宋体" w:eastAsia="宋体" w:cs="宋体"/>
                <w:sz w:val="18"/>
                <w:szCs w:val="18"/>
              </w:rPr>
              <w:t>期末持股数（股）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D638584">
            <w:pPr>
              <w:spacing w:before="40" w:after="40" w:line="240" w:lineRule="exact"/>
              <w:jc w:val="center"/>
              <w:rPr>
                <w:rFonts w:ascii="宋体" w:hAnsi="宋体" w:eastAsia="宋体" w:cs="宋体"/>
                <w:sz w:val="18"/>
                <w:szCs w:val="18"/>
              </w:rPr>
            </w:pPr>
            <w:r>
              <w:rPr>
                <w:rFonts w:ascii="宋体" w:hAnsi="宋体" w:eastAsia="宋体" w:cs="宋体"/>
                <w:sz w:val="18"/>
                <w:szCs w:val="18"/>
              </w:rPr>
              <w:t>股份增减变动的原因</w:t>
            </w:r>
          </w:p>
        </w:tc>
      </w:tr>
      <w:tr w14:paraId="022DF5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288BB997">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741" w:type="dxa"/>
            <w:tcBorders>
              <w:top w:val="single" w:color="auto" w:sz="2" w:space="0"/>
              <w:left w:val="single" w:color="auto" w:sz="2" w:space="0"/>
              <w:bottom w:val="single" w:color="auto" w:sz="2" w:space="0"/>
              <w:right w:val="single" w:color="auto" w:sz="2" w:space="0"/>
            </w:tcBorders>
            <w:vAlign w:val="center"/>
          </w:tcPr>
          <w:p w14:paraId="68E95CDB">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0A3F5986">
            <w:pPr>
              <w:spacing w:line="240" w:lineRule="exact"/>
              <w:jc w:val="right"/>
              <w:rPr>
                <w:rFonts w:ascii="宋体" w:hAnsi="宋体" w:eastAsia="宋体" w:cs="宋体"/>
                <w:sz w:val="18"/>
                <w:szCs w:val="18"/>
              </w:rPr>
            </w:pPr>
            <w:r>
              <w:rPr>
                <w:rFonts w:hint="eastAsia" w:ascii="宋体" w:hAnsi="宋体" w:cs="宋体"/>
                <w:sz w:val="18"/>
                <w:szCs w:val="18"/>
              </w:rPr>
              <w:t>57</w:t>
            </w:r>
          </w:p>
        </w:tc>
        <w:tc>
          <w:tcPr>
            <w:tcW w:w="741" w:type="dxa"/>
            <w:tcBorders>
              <w:top w:val="single" w:color="auto" w:sz="2" w:space="0"/>
              <w:left w:val="single" w:color="auto" w:sz="2" w:space="0"/>
              <w:bottom w:val="single" w:color="auto" w:sz="2" w:space="0"/>
              <w:right w:val="single" w:color="auto" w:sz="2" w:space="0"/>
            </w:tcBorders>
            <w:vAlign w:val="center"/>
          </w:tcPr>
          <w:p w14:paraId="49406780">
            <w:pPr>
              <w:spacing w:before="0" w:after="0" w:line="240" w:lineRule="exact"/>
              <w:jc w:val="left"/>
              <w:rPr>
                <w:rFonts w:ascii="宋体" w:hAnsi="宋体" w:eastAsia="宋体" w:cs="宋体"/>
                <w:sz w:val="18"/>
                <w:szCs w:val="18"/>
              </w:rPr>
            </w:pPr>
            <w:r>
              <w:rPr>
                <w:rFonts w:ascii="宋体" w:hAnsi="宋体" w:eastAsia="宋体" w:cs="宋体"/>
                <w:sz w:val="18"/>
                <w:szCs w:val="18"/>
              </w:rPr>
              <w:t>董事长、总经理</w:t>
            </w:r>
          </w:p>
        </w:tc>
        <w:tc>
          <w:tcPr>
            <w:tcW w:w="741" w:type="dxa"/>
            <w:tcBorders>
              <w:top w:val="single" w:color="auto" w:sz="2" w:space="0"/>
              <w:left w:val="single" w:color="auto" w:sz="2" w:space="0"/>
              <w:bottom w:val="single" w:color="auto" w:sz="2" w:space="0"/>
              <w:right w:val="single" w:color="auto" w:sz="2" w:space="0"/>
            </w:tcBorders>
            <w:vAlign w:val="center"/>
          </w:tcPr>
          <w:p w14:paraId="4BEBBFEC">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39A30C01">
            <w:pPr>
              <w:spacing w:before="0" w:after="0" w:line="240" w:lineRule="exact"/>
              <w:jc w:val="left"/>
              <w:rPr>
                <w:rFonts w:ascii="宋体" w:hAnsi="宋体" w:eastAsia="宋体" w:cs="宋体"/>
                <w:sz w:val="18"/>
                <w:szCs w:val="18"/>
              </w:rPr>
            </w:pPr>
            <w:r>
              <w:rPr>
                <w:rFonts w:ascii="宋体" w:hAnsi="宋体" w:eastAsia="宋体" w:cs="宋体"/>
                <w:sz w:val="18"/>
                <w:szCs w:val="18"/>
              </w:rPr>
              <w:t>2011年09月20日</w:t>
            </w:r>
          </w:p>
        </w:tc>
        <w:tc>
          <w:tcPr>
            <w:tcW w:w="741" w:type="dxa"/>
            <w:tcBorders>
              <w:top w:val="single" w:color="auto" w:sz="2" w:space="0"/>
              <w:left w:val="single" w:color="auto" w:sz="2" w:space="0"/>
              <w:bottom w:val="single" w:color="auto" w:sz="2" w:space="0"/>
              <w:right w:val="single" w:color="auto" w:sz="2" w:space="0"/>
            </w:tcBorders>
            <w:vAlign w:val="center"/>
          </w:tcPr>
          <w:p w14:paraId="22E03E1E">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79FE583D">
            <w:pPr>
              <w:spacing w:before="0" w:after="0" w:line="240" w:lineRule="exact"/>
              <w:jc w:val="right"/>
              <w:rPr>
                <w:rFonts w:ascii="宋体" w:hAnsi="宋体" w:eastAsia="宋体" w:cs="宋体"/>
                <w:sz w:val="18"/>
                <w:szCs w:val="18"/>
              </w:rPr>
            </w:pPr>
            <w:r>
              <w:rPr>
                <w:rFonts w:ascii="宋体" w:hAnsi="宋体" w:eastAsia="宋体" w:cs="宋体"/>
                <w:sz w:val="18"/>
                <w:szCs w:val="18"/>
              </w:rPr>
              <w:t>9,000,941</w:t>
            </w:r>
          </w:p>
        </w:tc>
        <w:tc>
          <w:tcPr>
            <w:tcW w:w="741" w:type="dxa"/>
            <w:tcBorders>
              <w:top w:val="single" w:color="auto" w:sz="2" w:space="0"/>
              <w:left w:val="single" w:color="auto" w:sz="2" w:space="0"/>
              <w:bottom w:val="single" w:color="auto" w:sz="2" w:space="0"/>
              <w:right w:val="single" w:color="auto" w:sz="2" w:space="0"/>
            </w:tcBorders>
            <w:vAlign w:val="center"/>
          </w:tcPr>
          <w:p w14:paraId="6EDAC7C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D44611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F1311C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C198FB">
            <w:pPr>
              <w:spacing w:before="0" w:after="0" w:line="240" w:lineRule="exact"/>
              <w:jc w:val="right"/>
              <w:rPr>
                <w:rFonts w:ascii="宋体" w:hAnsi="宋体" w:eastAsia="宋体" w:cs="宋体"/>
                <w:sz w:val="18"/>
                <w:szCs w:val="18"/>
              </w:rPr>
            </w:pPr>
            <w:r>
              <w:rPr>
                <w:rFonts w:ascii="宋体" w:hAnsi="宋体" w:eastAsia="宋体" w:cs="宋体"/>
                <w:sz w:val="18"/>
                <w:szCs w:val="18"/>
              </w:rPr>
              <w:t>9,000,941</w:t>
            </w:r>
          </w:p>
        </w:tc>
        <w:tc>
          <w:tcPr>
            <w:tcW w:w="741" w:type="dxa"/>
            <w:tcBorders>
              <w:top w:val="single" w:color="auto" w:sz="2" w:space="0"/>
              <w:left w:val="single" w:color="auto" w:sz="2" w:space="0"/>
              <w:bottom w:val="single" w:color="auto" w:sz="2" w:space="0"/>
              <w:right w:val="single" w:color="auto" w:sz="2" w:space="0"/>
            </w:tcBorders>
            <w:vAlign w:val="center"/>
          </w:tcPr>
          <w:p w14:paraId="360CD7F9">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568E3B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4A17A7C7">
            <w:pPr>
              <w:spacing w:before="0" w:after="0" w:line="240" w:lineRule="exact"/>
              <w:jc w:val="left"/>
              <w:rPr>
                <w:rFonts w:ascii="宋体" w:hAnsi="宋体" w:eastAsia="宋体" w:cs="宋体"/>
                <w:sz w:val="18"/>
                <w:szCs w:val="18"/>
              </w:rPr>
            </w:pPr>
            <w:r>
              <w:rPr>
                <w:rFonts w:ascii="宋体" w:hAnsi="宋体" w:eastAsia="宋体" w:cs="宋体"/>
                <w:sz w:val="18"/>
                <w:szCs w:val="18"/>
              </w:rPr>
              <w:t>叶理青</w:t>
            </w:r>
          </w:p>
        </w:tc>
        <w:tc>
          <w:tcPr>
            <w:tcW w:w="741" w:type="dxa"/>
            <w:tcBorders>
              <w:top w:val="single" w:color="auto" w:sz="2" w:space="0"/>
              <w:left w:val="single" w:color="auto" w:sz="2" w:space="0"/>
              <w:bottom w:val="single" w:color="auto" w:sz="2" w:space="0"/>
              <w:right w:val="single" w:color="auto" w:sz="2" w:space="0"/>
            </w:tcBorders>
            <w:vAlign w:val="center"/>
          </w:tcPr>
          <w:p w14:paraId="03DF3537">
            <w:pPr>
              <w:spacing w:before="0" w:after="0" w:line="240" w:lineRule="exact"/>
              <w:jc w:val="left"/>
              <w:rPr>
                <w:rFonts w:ascii="宋体" w:hAnsi="宋体" w:eastAsia="宋体" w:cs="宋体"/>
                <w:sz w:val="18"/>
                <w:szCs w:val="18"/>
              </w:rPr>
            </w:pPr>
            <w:r>
              <w:rPr>
                <w:rFonts w:ascii="宋体" w:hAnsi="宋体" w:eastAsia="宋体" w:cs="宋体"/>
                <w:sz w:val="18"/>
                <w:szCs w:val="18"/>
              </w:rPr>
              <w:t>女</w:t>
            </w:r>
          </w:p>
        </w:tc>
        <w:tc>
          <w:tcPr>
            <w:tcW w:w="741" w:type="dxa"/>
            <w:tcBorders>
              <w:top w:val="single" w:color="auto" w:sz="2" w:space="0"/>
              <w:left w:val="single" w:color="auto" w:sz="2" w:space="0"/>
              <w:bottom w:val="single" w:color="auto" w:sz="2" w:space="0"/>
              <w:right w:val="single" w:color="auto" w:sz="2" w:space="0"/>
            </w:tcBorders>
            <w:vAlign w:val="center"/>
          </w:tcPr>
          <w:p w14:paraId="3FDCA217">
            <w:pPr>
              <w:spacing w:line="240" w:lineRule="exact"/>
              <w:jc w:val="right"/>
              <w:rPr>
                <w:rFonts w:ascii="宋体" w:hAnsi="宋体" w:eastAsia="宋体" w:cs="宋体"/>
                <w:sz w:val="18"/>
                <w:szCs w:val="18"/>
              </w:rPr>
            </w:pPr>
            <w:r>
              <w:rPr>
                <w:rFonts w:hint="eastAsia" w:ascii="宋体" w:hAnsi="宋体" w:cs="宋体"/>
                <w:sz w:val="18"/>
                <w:szCs w:val="18"/>
              </w:rPr>
              <w:t>55</w:t>
            </w:r>
          </w:p>
        </w:tc>
        <w:tc>
          <w:tcPr>
            <w:tcW w:w="741" w:type="dxa"/>
            <w:tcBorders>
              <w:top w:val="single" w:color="auto" w:sz="2" w:space="0"/>
              <w:left w:val="single" w:color="auto" w:sz="2" w:space="0"/>
              <w:bottom w:val="single" w:color="auto" w:sz="2" w:space="0"/>
              <w:right w:val="single" w:color="auto" w:sz="2" w:space="0"/>
            </w:tcBorders>
            <w:vAlign w:val="center"/>
          </w:tcPr>
          <w:p w14:paraId="2193EA24">
            <w:pPr>
              <w:spacing w:before="0" w:after="0" w:line="240" w:lineRule="exact"/>
              <w:jc w:val="left"/>
              <w:rPr>
                <w:rFonts w:ascii="宋体" w:hAnsi="宋体" w:eastAsia="宋体" w:cs="宋体"/>
                <w:sz w:val="18"/>
                <w:szCs w:val="18"/>
              </w:rPr>
            </w:pPr>
            <w:r>
              <w:rPr>
                <w:rFonts w:ascii="宋体" w:hAnsi="宋体" w:eastAsia="宋体" w:cs="宋体"/>
                <w:sz w:val="18"/>
                <w:szCs w:val="18"/>
              </w:rPr>
              <w:t>董事</w:t>
            </w:r>
          </w:p>
        </w:tc>
        <w:tc>
          <w:tcPr>
            <w:tcW w:w="741" w:type="dxa"/>
            <w:tcBorders>
              <w:top w:val="single" w:color="auto" w:sz="2" w:space="0"/>
              <w:left w:val="single" w:color="auto" w:sz="2" w:space="0"/>
              <w:bottom w:val="single" w:color="auto" w:sz="2" w:space="0"/>
              <w:right w:val="single" w:color="auto" w:sz="2" w:space="0"/>
            </w:tcBorders>
            <w:vAlign w:val="center"/>
          </w:tcPr>
          <w:p w14:paraId="2007E4AD">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605B119A">
            <w:pPr>
              <w:spacing w:before="0" w:after="0" w:line="240" w:lineRule="exact"/>
              <w:jc w:val="left"/>
              <w:rPr>
                <w:rFonts w:ascii="宋体" w:hAnsi="宋体" w:eastAsia="宋体" w:cs="宋体"/>
                <w:sz w:val="18"/>
                <w:szCs w:val="18"/>
              </w:rPr>
            </w:pPr>
            <w:r>
              <w:rPr>
                <w:rFonts w:ascii="宋体" w:hAnsi="宋体" w:eastAsia="宋体" w:cs="宋体"/>
                <w:sz w:val="18"/>
                <w:szCs w:val="18"/>
              </w:rPr>
              <w:t>2011年09月20日</w:t>
            </w:r>
          </w:p>
        </w:tc>
        <w:tc>
          <w:tcPr>
            <w:tcW w:w="741" w:type="dxa"/>
            <w:tcBorders>
              <w:top w:val="single" w:color="auto" w:sz="2" w:space="0"/>
              <w:left w:val="single" w:color="auto" w:sz="2" w:space="0"/>
              <w:bottom w:val="single" w:color="auto" w:sz="2" w:space="0"/>
              <w:right w:val="single" w:color="auto" w:sz="2" w:space="0"/>
            </w:tcBorders>
            <w:vAlign w:val="center"/>
          </w:tcPr>
          <w:p w14:paraId="20124949">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288DE73D">
            <w:pPr>
              <w:spacing w:before="0" w:after="0" w:line="240" w:lineRule="exact"/>
              <w:jc w:val="right"/>
              <w:rPr>
                <w:rFonts w:ascii="宋体" w:hAnsi="宋体" w:eastAsia="宋体" w:cs="宋体"/>
                <w:sz w:val="18"/>
                <w:szCs w:val="18"/>
              </w:rPr>
            </w:pPr>
            <w:r>
              <w:rPr>
                <w:rFonts w:ascii="宋体" w:hAnsi="宋体" w:eastAsia="宋体" w:cs="宋体"/>
                <w:sz w:val="18"/>
                <w:szCs w:val="18"/>
              </w:rPr>
              <w:t>13,536,700</w:t>
            </w:r>
          </w:p>
        </w:tc>
        <w:tc>
          <w:tcPr>
            <w:tcW w:w="741" w:type="dxa"/>
            <w:tcBorders>
              <w:top w:val="single" w:color="auto" w:sz="2" w:space="0"/>
              <w:left w:val="single" w:color="auto" w:sz="2" w:space="0"/>
              <w:bottom w:val="single" w:color="auto" w:sz="2" w:space="0"/>
              <w:right w:val="single" w:color="auto" w:sz="2" w:space="0"/>
            </w:tcBorders>
            <w:vAlign w:val="center"/>
          </w:tcPr>
          <w:p w14:paraId="19BDB98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36C1C1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391518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E3D5AE1">
            <w:pPr>
              <w:spacing w:before="0" w:after="0" w:line="240" w:lineRule="exact"/>
              <w:jc w:val="right"/>
              <w:rPr>
                <w:rFonts w:ascii="宋体" w:hAnsi="宋体" w:eastAsia="宋体" w:cs="宋体"/>
                <w:sz w:val="18"/>
                <w:szCs w:val="18"/>
              </w:rPr>
            </w:pPr>
            <w:r>
              <w:rPr>
                <w:rFonts w:ascii="宋体" w:hAnsi="宋体" w:eastAsia="宋体" w:cs="宋体"/>
                <w:sz w:val="18"/>
                <w:szCs w:val="18"/>
              </w:rPr>
              <w:t>13,536,700</w:t>
            </w:r>
          </w:p>
        </w:tc>
        <w:tc>
          <w:tcPr>
            <w:tcW w:w="741" w:type="dxa"/>
            <w:tcBorders>
              <w:top w:val="single" w:color="auto" w:sz="2" w:space="0"/>
              <w:left w:val="single" w:color="auto" w:sz="2" w:space="0"/>
              <w:bottom w:val="single" w:color="auto" w:sz="2" w:space="0"/>
              <w:right w:val="single" w:color="auto" w:sz="2" w:space="0"/>
            </w:tcBorders>
            <w:vAlign w:val="center"/>
          </w:tcPr>
          <w:p w14:paraId="59F16160">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20DCB2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6ADCE8A6">
            <w:pPr>
              <w:spacing w:before="0" w:after="0" w:line="240" w:lineRule="exact"/>
              <w:jc w:val="left"/>
              <w:rPr>
                <w:rFonts w:ascii="宋体" w:hAnsi="宋体" w:eastAsia="宋体" w:cs="宋体"/>
                <w:sz w:val="18"/>
                <w:szCs w:val="18"/>
              </w:rPr>
            </w:pPr>
            <w:r>
              <w:rPr>
                <w:rFonts w:ascii="宋体" w:hAnsi="宋体" w:eastAsia="宋体" w:cs="宋体"/>
                <w:sz w:val="18"/>
                <w:szCs w:val="18"/>
              </w:rPr>
              <w:t>李国栋</w:t>
            </w:r>
          </w:p>
        </w:tc>
        <w:tc>
          <w:tcPr>
            <w:tcW w:w="741" w:type="dxa"/>
            <w:tcBorders>
              <w:top w:val="single" w:color="auto" w:sz="2" w:space="0"/>
              <w:left w:val="single" w:color="auto" w:sz="2" w:space="0"/>
              <w:bottom w:val="single" w:color="auto" w:sz="2" w:space="0"/>
              <w:right w:val="single" w:color="auto" w:sz="2" w:space="0"/>
            </w:tcBorders>
            <w:vAlign w:val="center"/>
          </w:tcPr>
          <w:p w14:paraId="023DD102">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3B6FFD84">
            <w:pPr>
              <w:spacing w:line="240" w:lineRule="exact"/>
              <w:jc w:val="right"/>
              <w:rPr>
                <w:rFonts w:ascii="宋体" w:hAnsi="宋体" w:eastAsia="宋体" w:cs="宋体"/>
                <w:sz w:val="18"/>
                <w:szCs w:val="18"/>
              </w:rPr>
            </w:pPr>
            <w:r>
              <w:rPr>
                <w:rFonts w:hint="eastAsia" w:ascii="宋体" w:hAnsi="宋体" w:cs="宋体"/>
                <w:sz w:val="18"/>
                <w:szCs w:val="18"/>
              </w:rPr>
              <w:t>54</w:t>
            </w:r>
          </w:p>
        </w:tc>
        <w:tc>
          <w:tcPr>
            <w:tcW w:w="741" w:type="dxa"/>
            <w:tcBorders>
              <w:top w:val="single" w:color="auto" w:sz="2" w:space="0"/>
              <w:left w:val="single" w:color="auto" w:sz="2" w:space="0"/>
              <w:bottom w:val="single" w:color="auto" w:sz="2" w:space="0"/>
              <w:right w:val="single" w:color="auto" w:sz="2" w:space="0"/>
            </w:tcBorders>
            <w:vAlign w:val="center"/>
          </w:tcPr>
          <w:p w14:paraId="39B94938">
            <w:pPr>
              <w:spacing w:before="0" w:after="0" w:line="240" w:lineRule="exact"/>
              <w:jc w:val="left"/>
              <w:rPr>
                <w:rFonts w:ascii="宋体" w:hAnsi="宋体" w:eastAsia="宋体" w:cs="宋体"/>
                <w:sz w:val="18"/>
                <w:szCs w:val="18"/>
              </w:rPr>
            </w:pPr>
            <w:r>
              <w:rPr>
                <w:rFonts w:ascii="宋体" w:hAnsi="宋体" w:eastAsia="宋体" w:cs="宋体"/>
                <w:sz w:val="18"/>
                <w:szCs w:val="18"/>
              </w:rPr>
              <w:t>董事</w:t>
            </w:r>
          </w:p>
        </w:tc>
        <w:tc>
          <w:tcPr>
            <w:tcW w:w="741" w:type="dxa"/>
            <w:tcBorders>
              <w:top w:val="single" w:color="auto" w:sz="2" w:space="0"/>
              <w:left w:val="single" w:color="auto" w:sz="2" w:space="0"/>
              <w:bottom w:val="single" w:color="auto" w:sz="2" w:space="0"/>
              <w:right w:val="single" w:color="auto" w:sz="2" w:space="0"/>
            </w:tcBorders>
            <w:vAlign w:val="center"/>
          </w:tcPr>
          <w:p w14:paraId="07CE7FF9">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0DC52E10">
            <w:pPr>
              <w:spacing w:before="0" w:after="0" w:line="240" w:lineRule="exact"/>
              <w:jc w:val="left"/>
              <w:rPr>
                <w:rFonts w:ascii="宋体" w:hAnsi="宋体" w:eastAsia="宋体" w:cs="宋体"/>
                <w:sz w:val="18"/>
                <w:szCs w:val="18"/>
              </w:rPr>
            </w:pPr>
            <w:r>
              <w:rPr>
                <w:rFonts w:ascii="宋体" w:hAnsi="宋体" w:eastAsia="宋体" w:cs="宋体"/>
                <w:sz w:val="18"/>
                <w:szCs w:val="18"/>
              </w:rPr>
              <w:t>2011年09月20日</w:t>
            </w:r>
          </w:p>
        </w:tc>
        <w:tc>
          <w:tcPr>
            <w:tcW w:w="741" w:type="dxa"/>
            <w:tcBorders>
              <w:top w:val="single" w:color="auto" w:sz="2" w:space="0"/>
              <w:left w:val="single" w:color="auto" w:sz="2" w:space="0"/>
              <w:bottom w:val="single" w:color="auto" w:sz="2" w:space="0"/>
              <w:right w:val="single" w:color="auto" w:sz="2" w:space="0"/>
            </w:tcBorders>
            <w:vAlign w:val="center"/>
          </w:tcPr>
          <w:p w14:paraId="60EF60D2">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0E223B96">
            <w:pPr>
              <w:spacing w:before="0" w:after="0" w:line="240" w:lineRule="exact"/>
              <w:jc w:val="right"/>
              <w:rPr>
                <w:rFonts w:ascii="宋体" w:hAnsi="宋体" w:eastAsia="宋体" w:cs="宋体"/>
                <w:sz w:val="18"/>
                <w:szCs w:val="18"/>
              </w:rPr>
            </w:pPr>
            <w:r>
              <w:rPr>
                <w:rFonts w:ascii="宋体" w:hAnsi="宋体" w:eastAsia="宋体" w:cs="宋体"/>
                <w:sz w:val="18"/>
                <w:szCs w:val="18"/>
              </w:rPr>
              <w:t>7,500,000</w:t>
            </w:r>
          </w:p>
        </w:tc>
        <w:tc>
          <w:tcPr>
            <w:tcW w:w="741" w:type="dxa"/>
            <w:tcBorders>
              <w:top w:val="single" w:color="auto" w:sz="2" w:space="0"/>
              <w:left w:val="single" w:color="auto" w:sz="2" w:space="0"/>
              <w:bottom w:val="single" w:color="auto" w:sz="2" w:space="0"/>
              <w:right w:val="single" w:color="auto" w:sz="2" w:space="0"/>
            </w:tcBorders>
            <w:vAlign w:val="center"/>
          </w:tcPr>
          <w:p w14:paraId="54CB4B6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567ABF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56CF79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4ED0803">
            <w:pPr>
              <w:spacing w:before="0" w:after="0" w:line="240" w:lineRule="exact"/>
              <w:jc w:val="right"/>
              <w:rPr>
                <w:rFonts w:ascii="宋体" w:hAnsi="宋体" w:eastAsia="宋体" w:cs="宋体"/>
                <w:sz w:val="18"/>
                <w:szCs w:val="18"/>
              </w:rPr>
            </w:pPr>
            <w:r>
              <w:rPr>
                <w:rFonts w:ascii="宋体" w:hAnsi="宋体" w:eastAsia="宋体" w:cs="宋体"/>
                <w:sz w:val="18"/>
                <w:szCs w:val="18"/>
              </w:rPr>
              <w:t>7,500,000</w:t>
            </w:r>
          </w:p>
        </w:tc>
        <w:tc>
          <w:tcPr>
            <w:tcW w:w="741" w:type="dxa"/>
            <w:tcBorders>
              <w:top w:val="single" w:color="auto" w:sz="2" w:space="0"/>
              <w:left w:val="single" w:color="auto" w:sz="2" w:space="0"/>
              <w:bottom w:val="single" w:color="auto" w:sz="2" w:space="0"/>
              <w:right w:val="single" w:color="auto" w:sz="2" w:space="0"/>
            </w:tcBorders>
            <w:vAlign w:val="center"/>
          </w:tcPr>
          <w:p w14:paraId="70E764A9">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491CD3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2B4E985C">
            <w:pPr>
              <w:spacing w:before="0" w:after="0" w:line="240" w:lineRule="exact"/>
              <w:jc w:val="left"/>
              <w:rPr>
                <w:rFonts w:ascii="宋体" w:hAnsi="宋体" w:eastAsia="宋体" w:cs="宋体"/>
                <w:sz w:val="18"/>
                <w:szCs w:val="18"/>
              </w:rPr>
            </w:pPr>
            <w:r>
              <w:rPr>
                <w:rFonts w:ascii="宋体" w:hAnsi="宋体" w:eastAsia="宋体" w:cs="宋体"/>
                <w:sz w:val="18"/>
                <w:szCs w:val="18"/>
              </w:rPr>
              <w:t>黄伏虎</w:t>
            </w:r>
          </w:p>
        </w:tc>
        <w:tc>
          <w:tcPr>
            <w:tcW w:w="741" w:type="dxa"/>
            <w:tcBorders>
              <w:top w:val="single" w:color="auto" w:sz="2" w:space="0"/>
              <w:left w:val="single" w:color="auto" w:sz="2" w:space="0"/>
              <w:bottom w:val="single" w:color="auto" w:sz="2" w:space="0"/>
              <w:right w:val="single" w:color="auto" w:sz="2" w:space="0"/>
            </w:tcBorders>
            <w:vAlign w:val="center"/>
          </w:tcPr>
          <w:p w14:paraId="54E7EAEA">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4ACCB96B">
            <w:pPr>
              <w:spacing w:line="240" w:lineRule="exact"/>
              <w:jc w:val="right"/>
              <w:rPr>
                <w:rFonts w:ascii="宋体" w:hAnsi="宋体" w:eastAsia="宋体" w:cs="宋体"/>
                <w:sz w:val="18"/>
                <w:szCs w:val="18"/>
              </w:rPr>
            </w:pPr>
            <w:r>
              <w:rPr>
                <w:rFonts w:hint="eastAsia" w:ascii="宋体" w:hAnsi="宋体" w:cs="宋体"/>
                <w:sz w:val="18"/>
                <w:szCs w:val="18"/>
              </w:rPr>
              <w:t>49</w:t>
            </w:r>
          </w:p>
        </w:tc>
        <w:tc>
          <w:tcPr>
            <w:tcW w:w="741" w:type="dxa"/>
            <w:tcBorders>
              <w:top w:val="single" w:color="auto" w:sz="2" w:space="0"/>
              <w:left w:val="single" w:color="auto" w:sz="2" w:space="0"/>
              <w:bottom w:val="single" w:color="auto" w:sz="2" w:space="0"/>
              <w:right w:val="single" w:color="auto" w:sz="2" w:space="0"/>
            </w:tcBorders>
            <w:vAlign w:val="center"/>
          </w:tcPr>
          <w:p w14:paraId="3C2E413F">
            <w:pPr>
              <w:spacing w:before="0" w:after="0" w:line="240" w:lineRule="exact"/>
              <w:jc w:val="left"/>
              <w:rPr>
                <w:rFonts w:ascii="宋体" w:hAnsi="宋体" w:eastAsia="宋体" w:cs="宋体"/>
                <w:sz w:val="18"/>
                <w:szCs w:val="18"/>
              </w:rPr>
            </w:pPr>
            <w:r>
              <w:rPr>
                <w:rFonts w:ascii="宋体" w:hAnsi="宋体" w:eastAsia="宋体" w:cs="宋体"/>
                <w:sz w:val="18"/>
                <w:szCs w:val="18"/>
              </w:rPr>
              <w:t>董事</w:t>
            </w:r>
          </w:p>
        </w:tc>
        <w:tc>
          <w:tcPr>
            <w:tcW w:w="741" w:type="dxa"/>
            <w:tcBorders>
              <w:top w:val="single" w:color="auto" w:sz="2" w:space="0"/>
              <w:left w:val="single" w:color="auto" w:sz="2" w:space="0"/>
              <w:bottom w:val="single" w:color="auto" w:sz="2" w:space="0"/>
              <w:right w:val="single" w:color="auto" w:sz="2" w:space="0"/>
            </w:tcBorders>
            <w:vAlign w:val="center"/>
          </w:tcPr>
          <w:p w14:paraId="054A324B">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5B6031E1">
            <w:pPr>
              <w:spacing w:before="0" w:after="0" w:line="240" w:lineRule="exact"/>
              <w:jc w:val="left"/>
              <w:rPr>
                <w:rFonts w:ascii="宋体" w:hAnsi="宋体" w:eastAsia="宋体" w:cs="宋体"/>
                <w:sz w:val="18"/>
                <w:szCs w:val="18"/>
              </w:rPr>
            </w:pPr>
            <w:r>
              <w:rPr>
                <w:rFonts w:ascii="宋体" w:hAnsi="宋体" w:eastAsia="宋体" w:cs="宋体"/>
                <w:sz w:val="18"/>
                <w:szCs w:val="18"/>
              </w:rPr>
              <w:t>2016年09月20日</w:t>
            </w:r>
          </w:p>
        </w:tc>
        <w:tc>
          <w:tcPr>
            <w:tcW w:w="741" w:type="dxa"/>
            <w:tcBorders>
              <w:top w:val="single" w:color="auto" w:sz="2" w:space="0"/>
              <w:left w:val="single" w:color="auto" w:sz="2" w:space="0"/>
              <w:bottom w:val="single" w:color="auto" w:sz="2" w:space="0"/>
              <w:right w:val="single" w:color="auto" w:sz="2" w:space="0"/>
            </w:tcBorders>
            <w:vAlign w:val="center"/>
          </w:tcPr>
          <w:p w14:paraId="528594E9">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28AA5BE6">
            <w:pPr>
              <w:spacing w:before="0" w:after="0" w:line="240" w:lineRule="exact"/>
              <w:jc w:val="right"/>
              <w:rPr>
                <w:rFonts w:ascii="宋体" w:hAnsi="宋体" w:eastAsia="宋体" w:cs="宋体"/>
                <w:sz w:val="18"/>
                <w:szCs w:val="18"/>
              </w:rPr>
            </w:pPr>
            <w:r>
              <w:rPr>
                <w:rFonts w:ascii="宋体" w:hAnsi="宋体" w:eastAsia="宋体" w:cs="宋体"/>
                <w:sz w:val="18"/>
                <w:szCs w:val="18"/>
              </w:rPr>
              <w:t>6,100</w:t>
            </w:r>
          </w:p>
        </w:tc>
        <w:tc>
          <w:tcPr>
            <w:tcW w:w="741" w:type="dxa"/>
            <w:tcBorders>
              <w:top w:val="single" w:color="auto" w:sz="2" w:space="0"/>
              <w:left w:val="single" w:color="auto" w:sz="2" w:space="0"/>
              <w:bottom w:val="single" w:color="auto" w:sz="2" w:space="0"/>
              <w:right w:val="single" w:color="auto" w:sz="2" w:space="0"/>
            </w:tcBorders>
            <w:vAlign w:val="center"/>
          </w:tcPr>
          <w:p w14:paraId="033A7A0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B491A5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F43D9E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F6122C6">
            <w:pPr>
              <w:spacing w:before="0" w:after="0" w:line="240" w:lineRule="exact"/>
              <w:jc w:val="right"/>
              <w:rPr>
                <w:rFonts w:ascii="宋体" w:hAnsi="宋体" w:eastAsia="宋体" w:cs="宋体"/>
                <w:sz w:val="18"/>
                <w:szCs w:val="18"/>
              </w:rPr>
            </w:pPr>
            <w:r>
              <w:rPr>
                <w:rFonts w:ascii="宋体" w:hAnsi="宋体" w:eastAsia="宋体" w:cs="宋体"/>
                <w:sz w:val="18"/>
                <w:szCs w:val="18"/>
              </w:rPr>
              <w:t>6,100</w:t>
            </w:r>
          </w:p>
        </w:tc>
        <w:tc>
          <w:tcPr>
            <w:tcW w:w="741" w:type="dxa"/>
            <w:tcBorders>
              <w:top w:val="single" w:color="auto" w:sz="2" w:space="0"/>
              <w:left w:val="single" w:color="auto" w:sz="2" w:space="0"/>
              <w:bottom w:val="single" w:color="auto" w:sz="2" w:space="0"/>
              <w:right w:val="single" w:color="auto" w:sz="2" w:space="0"/>
            </w:tcBorders>
            <w:vAlign w:val="center"/>
          </w:tcPr>
          <w:p w14:paraId="04A03646">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7A4CB2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460E11C9">
            <w:pPr>
              <w:spacing w:before="0" w:after="0" w:line="240" w:lineRule="exact"/>
              <w:jc w:val="left"/>
              <w:rPr>
                <w:rFonts w:ascii="宋体" w:hAnsi="宋体" w:eastAsia="宋体" w:cs="宋体"/>
                <w:sz w:val="18"/>
                <w:szCs w:val="18"/>
              </w:rPr>
            </w:pPr>
            <w:r>
              <w:rPr>
                <w:rFonts w:ascii="宋体" w:hAnsi="宋体" w:eastAsia="宋体" w:cs="宋体"/>
                <w:sz w:val="18"/>
                <w:szCs w:val="18"/>
              </w:rPr>
              <w:t>黄伏虎</w:t>
            </w:r>
          </w:p>
        </w:tc>
        <w:tc>
          <w:tcPr>
            <w:tcW w:w="741" w:type="dxa"/>
            <w:tcBorders>
              <w:top w:val="single" w:color="auto" w:sz="2" w:space="0"/>
              <w:left w:val="single" w:color="auto" w:sz="2" w:space="0"/>
              <w:bottom w:val="single" w:color="auto" w:sz="2" w:space="0"/>
              <w:right w:val="single" w:color="auto" w:sz="2" w:space="0"/>
            </w:tcBorders>
            <w:vAlign w:val="center"/>
          </w:tcPr>
          <w:p w14:paraId="3739FFC2">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31C30B1E">
            <w:pPr>
              <w:spacing w:line="240" w:lineRule="exact"/>
              <w:jc w:val="right"/>
              <w:rPr>
                <w:rFonts w:ascii="宋体" w:hAnsi="宋体" w:eastAsia="宋体" w:cs="宋体"/>
                <w:sz w:val="18"/>
                <w:szCs w:val="18"/>
              </w:rPr>
            </w:pPr>
            <w:r>
              <w:rPr>
                <w:rFonts w:hint="eastAsia" w:ascii="宋体" w:hAnsi="宋体" w:cs="宋体"/>
                <w:sz w:val="18"/>
                <w:szCs w:val="18"/>
              </w:rPr>
              <w:t>49</w:t>
            </w:r>
          </w:p>
        </w:tc>
        <w:tc>
          <w:tcPr>
            <w:tcW w:w="741" w:type="dxa"/>
            <w:tcBorders>
              <w:top w:val="single" w:color="auto" w:sz="2" w:space="0"/>
              <w:left w:val="single" w:color="auto" w:sz="2" w:space="0"/>
              <w:bottom w:val="single" w:color="auto" w:sz="2" w:space="0"/>
              <w:right w:val="single" w:color="auto" w:sz="2" w:space="0"/>
            </w:tcBorders>
            <w:vAlign w:val="center"/>
          </w:tcPr>
          <w:p w14:paraId="53EBE2D1">
            <w:pPr>
              <w:spacing w:before="0" w:after="0" w:line="240" w:lineRule="exact"/>
              <w:jc w:val="left"/>
              <w:rPr>
                <w:rFonts w:ascii="宋体" w:hAnsi="宋体" w:eastAsia="宋体" w:cs="宋体"/>
                <w:sz w:val="18"/>
                <w:szCs w:val="18"/>
              </w:rPr>
            </w:pPr>
            <w:r>
              <w:rPr>
                <w:rFonts w:ascii="宋体" w:hAnsi="宋体" w:eastAsia="宋体" w:cs="宋体"/>
                <w:sz w:val="18"/>
                <w:szCs w:val="18"/>
              </w:rPr>
              <w:t>首席运营官</w:t>
            </w:r>
          </w:p>
        </w:tc>
        <w:tc>
          <w:tcPr>
            <w:tcW w:w="741" w:type="dxa"/>
            <w:tcBorders>
              <w:top w:val="single" w:color="auto" w:sz="2" w:space="0"/>
              <w:left w:val="single" w:color="auto" w:sz="2" w:space="0"/>
              <w:bottom w:val="single" w:color="auto" w:sz="2" w:space="0"/>
              <w:right w:val="single" w:color="auto" w:sz="2" w:space="0"/>
            </w:tcBorders>
            <w:vAlign w:val="center"/>
          </w:tcPr>
          <w:p w14:paraId="52FDF902">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3DC1D1DE">
            <w:pPr>
              <w:spacing w:before="0" w:after="0" w:line="240" w:lineRule="exact"/>
              <w:jc w:val="left"/>
              <w:rPr>
                <w:rFonts w:ascii="宋体" w:hAnsi="宋体" w:eastAsia="宋体" w:cs="宋体"/>
                <w:sz w:val="18"/>
                <w:szCs w:val="18"/>
              </w:rPr>
            </w:pPr>
            <w:r>
              <w:rPr>
                <w:rFonts w:ascii="宋体" w:hAnsi="宋体" w:eastAsia="宋体" w:cs="宋体"/>
                <w:sz w:val="18"/>
                <w:szCs w:val="18"/>
              </w:rPr>
              <w:t>2025年01月13日</w:t>
            </w:r>
          </w:p>
        </w:tc>
        <w:tc>
          <w:tcPr>
            <w:tcW w:w="741" w:type="dxa"/>
            <w:tcBorders>
              <w:top w:val="single" w:color="auto" w:sz="2" w:space="0"/>
              <w:left w:val="single" w:color="auto" w:sz="2" w:space="0"/>
              <w:bottom w:val="single" w:color="auto" w:sz="2" w:space="0"/>
              <w:right w:val="single" w:color="auto" w:sz="2" w:space="0"/>
            </w:tcBorders>
            <w:vAlign w:val="center"/>
          </w:tcPr>
          <w:p w14:paraId="40C296B3">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70908EA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588BD7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A1DFFF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000B73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7777B2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4470915">
            <w:pPr>
              <w:spacing w:before="0" w:after="0" w:line="240" w:lineRule="exact"/>
              <w:jc w:val="left"/>
              <w:rPr>
                <w:rFonts w:ascii="宋体" w:hAnsi="宋体" w:eastAsia="宋体" w:cs="宋体"/>
                <w:sz w:val="18"/>
                <w:szCs w:val="18"/>
              </w:rPr>
            </w:pPr>
          </w:p>
        </w:tc>
      </w:tr>
      <w:tr w14:paraId="4664F0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293D1BA9">
            <w:pPr>
              <w:spacing w:before="0" w:after="0" w:line="240" w:lineRule="exact"/>
              <w:jc w:val="left"/>
              <w:rPr>
                <w:rFonts w:ascii="宋体" w:hAnsi="宋体" w:eastAsia="宋体" w:cs="宋体"/>
                <w:sz w:val="18"/>
                <w:szCs w:val="18"/>
              </w:rPr>
            </w:pPr>
            <w:r>
              <w:rPr>
                <w:rFonts w:ascii="宋体" w:hAnsi="宋体" w:eastAsia="宋体" w:cs="宋体"/>
                <w:sz w:val="18"/>
                <w:szCs w:val="18"/>
              </w:rPr>
              <w:t>庄辰明</w:t>
            </w:r>
          </w:p>
        </w:tc>
        <w:tc>
          <w:tcPr>
            <w:tcW w:w="741" w:type="dxa"/>
            <w:tcBorders>
              <w:top w:val="single" w:color="auto" w:sz="2" w:space="0"/>
              <w:left w:val="single" w:color="auto" w:sz="2" w:space="0"/>
              <w:bottom w:val="single" w:color="auto" w:sz="2" w:space="0"/>
              <w:right w:val="single" w:color="auto" w:sz="2" w:space="0"/>
            </w:tcBorders>
            <w:vAlign w:val="center"/>
          </w:tcPr>
          <w:p w14:paraId="7CAFDF0C">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370EAA1E">
            <w:pPr>
              <w:spacing w:line="240" w:lineRule="exact"/>
              <w:jc w:val="right"/>
              <w:rPr>
                <w:rFonts w:ascii="宋体" w:hAnsi="宋体" w:eastAsia="宋体" w:cs="宋体"/>
                <w:sz w:val="18"/>
                <w:szCs w:val="18"/>
              </w:rPr>
            </w:pPr>
            <w:r>
              <w:rPr>
                <w:rFonts w:ascii="宋体" w:hAnsi="宋体" w:cs="宋体"/>
                <w:sz w:val="18"/>
                <w:szCs w:val="18"/>
              </w:rPr>
              <w:t>48</w:t>
            </w:r>
          </w:p>
        </w:tc>
        <w:tc>
          <w:tcPr>
            <w:tcW w:w="741" w:type="dxa"/>
            <w:tcBorders>
              <w:top w:val="single" w:color="auto" w:sz="2" w:space="0"/>
              <w:left w:val="single" w:color="auto" w:sz="2" w:space="0"/>
              <w:bottom w:val="single" w:color="auto" w:sz="2" w:space="0"/>
              <w:right w:val="single" w:color="auto" w:sz="2" w:space="0"/>
            </w:tcBorders>
            <w:vAlign w:val="center"/>
          </w:tcPr>
          <w:p w14:paraId="4B194E83">
            <w:pPr>
              <w:spacing w:before="0" w:after="0" w:line="240" w:lineRule="exact"/>
              <w:jc w:val="left"/>
              <w:rPr>
                <w:rFonts w:ascii="宋体" w:hAnsi="宋体" w:eastAsia="宋体" w:cs="宋体"/>
                <w:sz w:val="18"/>
                <w:szCs w:val="18"/>
              </w:rPr>
            </w:pPr>
            <w:r>
              <w:rPr>
                <w:rFonts w:ascii="宋体" w:hAnsi="宋体" w:eastAsia="宋体" w:cs="宋体"/>
                <w:sz w:val="18"/>
                <w:szCs w:val="18"/>
              </w:rPr>
              <w:t>董事、副总经理</w:t>
            </w:r>
          </w:p>
        </w:tc>
        <w:tc>
          <w:tcPr>
            <w:tcW w:w="741" w:type="dxa"/>
            <w:tcBorders>
              <w:top w:val="single" w:color="auto" w:sz="2" w:space="0"/>
              <w:left w:val="single" w:color="auto" w:sz="2" w:space="0"/>
              <w:bottom w:val="single" w:color="auto" w:sz="2" w:space="0"/>
              <w:right w:val="single" w:color="auto" w:sz="2" w:space="0"/>
            </w:tcBorders>
            <w:vAlign w:val="center"/>
          </w:tcPr>
          <w:p w14:paraId="5924F8B3">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24F5A11E">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741" w:type="dxa"/>
            <w:tcBorders>
              <w:top w:val="single" w:color="auto" w:sz="2" w:space="0"/>
              <w:left w:val="single" w:color="auto" w:sz="2" w:space="0"/>
              <w:bottom w:val="single" w:color="auto" w:sz="2" w:space="0"/>
              <w:right w:val="single" w:color="auto" w:sz="2" w:space="0"/>
            </w:tcBorders>
            <w:vAlign w:val="center"/>
          </w:tcPr>
          <w:p w14:paraId="1F3C4926">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1DD7B9A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23B699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BDCE57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7D5D14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51E038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4E6D38A">
            <w:pPr>
              <w:spacing w:before="0" w:after="0" w:line="240" w:lineRule="exact"/>
              <w:jc w:val="left"/>
              <w:rPr>
                <w:rFonts w:ascii="宋体" w:hAnsi="宋体" w:eastAsia="宋体" w:cs="宋体"/>
                <w:sz w:val="18"/>
                <w:szCs w:val="18"/>
              </w:rPr>
            </w:pPr>
          </w:p>
        </w:tc>
      </w:tr>
      <w:tr w14:paraId="02FF37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083A531F">
            <w:pPr>
              <w:spacing w:before="0" w:after="0" w:line="240" w:lineRule="exact"/>
              <w:jc w:val="left"/>
              <w:rPr>
                <w:rFonts w:ascii="宋体" w:hAnsi="宋体" w:eastAsia="宋体" w:cs="宋体"/>
                <w:sz w:val="18"/>
                <w:szCs w:val="18"/>
              </w:rPr>
            </w:pPr>
            <w:r>
              <w:rPr>
                <w:rFonts w:ascii="宋体" w:hAnsi="宋体" w:eastAsia="宋体" w:cs="宋体"/>
                <w:sz w:val="18"/>
                <w:szCs w:val="18"/>
              </w:rPr>
              <w:t>吴红军</w:t>
            </w:r>
          </w:p>
        </w:tc>
        <w:tc>
          <w:tcPr>
            <w:tcW w:w="741" w:type="dxa"/>
            <w:tcBorders>
              <w:top w:val="single" w:color="auto" w:sz="2" w:space="0"/>
              <w:left w:val="single" w:color="auto" w:sz="2" w:space="0"/>
              <w:bottom w:val="single" w:color="auto" w:sz="2" w:space="0"/>
              <w:right w:val="single" w:color="auto" w:sz="2" w:space="0"/>
            </w:tcBorders>
            <w:vAlign w:val="center"/>
          </w:tcPr>
          <w:p w14:paraId="4B3A2376">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5E91F591">
            <w:pPr>
              <w:spacing w:line="240" w:lineRule="exact"/>
              <w:jc w:val="right"/>
              <w:rPr>
                <w:rFonts w:ascii="宋体" w:hAnsi="宋体" w:eastAsia="宋体" w:cs="宋体"/>
                <w:sz w:val="18"/>
                <w:szCs w:val="18"/>
              </w:rPr>
            </w:pPr>
            <w:r>
              <w:rPr>
                <w:rFonts w:ascii="宋体" w:hAnsi="宋体" w:cs="宋体"/>
                <w:sz w:val="18"/>
                <w:szCs w:val="18"/>
              </w:rPr>
              <w:t>55</w:t>
            </w:r>
          </w:p>
        </w:tc>
        <w:tc>
          <w:tcPr>
            <w:tcW w:w="741" w:type="dxa"/>
            <w:tcBorders>
              <w:top w:val="single" w:color="auto" w:sz="2" w:space="0"/>
              <w:left w:val="single" w:color="auto" w:sz="2" w:space="0"/>
              <w:bottom w:val="single" w:color="auto" w:sz="2" w:space="0"/>
              <w:right w:val="single" w:color="auto" w:sz="2" w:space="0"/>
            </w:tcBorders>
            <w:vAlign w:val="center"/>
          </w:tcPr>
          <w:p w14:paraId="64B2DB1F">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741" w:type="dxa"/>
            <w:tcBorders>
              <w:top w:val="single" w:color="auto" w:sz="2" w:space="0"/>
              <w:left w:val="single" w:color="auto" w:sz="2" w:space="0"/>
              <w:bottom w:val="single" w:color="auto" w:sz="2" w:space="0"/>
              <w:right w:val="single" w:color="auto" w:sz="2" w:space="0"/>
            </w:tcBorders>
            <w:vAlign w:val="center"/>
          </w:tcPr>
          <w:p w14:paraId="5D7944EF">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2CFCC82D">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741" w:type="dxa"/>
            <w:tcBorders>
              <w:top w:val="single" w:color="auto" w:sz="2" w:space="0"/>
              <w:left w:val="single" w:color="auto" w:sz="2" w:space="0"/>
              <w:bottom w:val="single" w:color="auto" w:sz="2" w:space="0"/>
              <w:right w:val="single" w:color="auto" w:sz="2" w:space="0"/>
            </w:tcBorders>
            <w:vAlign w:val="center"/>
          </w:tcPr>
          <w:p w14:paraId="16B0C676">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349DB02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B0ABAE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6FF050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7D6A78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745D8C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360BDC2">
            <w:pPr>
              <w:spacing w:before="0" w:after="0" w:line="240" w:lineRule="exact"/>
              <w:jc w:val="left"/>
              <w:rPr>
                <w:rFonts w:ascii="宋体" w:hAnsi="宋体" w:eastAsia="宋体" w:cs="宋体"/>
                <w:sz w:val="18"/>
                <w:szCs w:val="18"/>
              </w:rPr>
            </w:pPr>
          </w:p>
        </w:tc>
      </w:tr>
      <w:tr w14:paraId="533427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72B1CAE8">
            <w:pPr>
              <w:spacing w:before="0" w:after="0" w:line="240" w:lineRule="exact"/>
              <w:jc w:val="left"/>
              <w:rPr>
                <w:rFonts w:ascii="宋体" w:hAnsi="宋体" w:eastAsia="宋体" w:cs="宋体"/>
                <w:sz w:val="18"/>
                <w:szCs w:val="18"/>
              </w:rPr>
            </w:pPr>
            <w:r>
              <w:rPr>
                <w:rFonts w:ascii="宋体" w:hAnsi="宋体" w:eastAsia="宋体" w:cs="宋体"/>
                <w:sz w:val="18"/>
                <w:szCs w:val="18"/>
              </w:rPr>
              <w:t>鲁凤民</w:t>
            </w:r>
          </w:p>
        </w:tc>
        <w:tc>
          <w:tcPr>
            <w:tcW w:w="741" w:type="dxa"/>
            <w:tcBorders>
              <w:top w:val="single" w:color="auto" w:sz="2" w:space="0"/>
              <w:left w:val="single" w:color="auto" w:sz="2" w:space="0"/>
              <w:bottom w:val="single" w:color="auto" w:sz="2" w:space="0"/>
              <w:right w:val="single" w:color="auto" w:sz="2" w:space="0"/>
            </w:tcBorders>
            <w:vAlign w:val="center"/>
          </w:tcPr>
          <w:p w14:paraId="71D90344">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49F25325">
            <w:pPr>
              <w:spacing w:line="240" w:lineRule="exact"/>
              <w:jc w:val="right"/>
              <w:rPr>
                <w:rFonts w:ascii="宋体" w:hAnsi="宋体" w:eastAsia="宋体" w:cs="宋体"/>
                <w:sz w:val="18"/>
                <w:szCs w:val="18"/>
              </w:rPr>
            </w:pPr>
            <w:r>
              <w:rPr>
                <w:rFonts w:ascii="宋体" w:hAnsi="宋体" w:cs="宋体"/>
                <w:sz w:val="18"/>
                <w:szCs w:val="18"/>
              </w:rPr>
              <w:t>61</w:t>
            </w:r>
          </w:p>
        </w:tc>
        <w:tc>
          <w:tcPr>
            <w:tcW w:w="741" w:type="dxa"/>
            <w:tcBorders>
              <w:top w:val="single" w:color="auto" w:sz="2" w:space="0"/>
              <w:left w:val="single" w:color="auto" w:sz="2" w:space="0"/>
              <w:bottom w:val="single" w:color="auto" w:sz="2" w:space="0"/>
              <w:right w:val="single" w:color="auto" w:sz="2" w:space="0"/>
            </w:tcBorders>
            <w:vAlign w:val="center"/>
          </w:tcPr>
          <w:p w14:paraId="2015603F">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741" w:type="dxa"/>
            <w:tcBorders>
              <w:top w:val="single" w:color="auto" w:sz="2" w:space="0"/>
              <w:left w:val="single" w:color="auto" w:sz="2" w:space="0"/>
              <w:bottom w:val="single" w:color="auto" w:sz="2" w:space="0"/>
              <w:right w:val="single" w:color="auto" w:sz="2" w:space="0"/>
            </w:tcBorders>
            <w:vAlign w:val="center"/>
          </w:tcPr>
          <w:p w14:paraId="600AA5EE">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6A1F986D">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741" w:type="dxa"/>
            <w:tcBorders>
              <w:top w:val="single" w:color="auto" w:sz="2" w:space="0"/>
              <w:left w:val="single" w:color="auto" w:sz="2" w:space="0"/>
              <w:bottom w:val="single" w:color="auto" w:sz="2" w:space="0"/>
              <w:right w:val="single" w:color="auto" w:sz="2" w:space="0"/>
            </w:tcBorders>
            <w:vAlign w:val="center"/>
          </w:tcPr>
          <w:p w14:paraId="022CCC6F">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552A7F8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8FBBCC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AE5C41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9A746B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16F933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381B2C2">
            <w:pPr>
              <w:spacing w:before="0" w:after="0" w:line="240" w:lineRule="exact"/>
              <w:jc w:val="left"/>
              <w:rPr>
                <w:rFonts w:ascii="宋体" w:hAnsi="宋体" w:eastAsia="宋体" w:cs="宋体"/>
                <w:sz w:val="18"/>
                <w:szCs w:val="18"/>
              </w:rPr>
            </w:pPr>
          </w:p>
        </w:tc>
      </w:tr>
      <w:tr w14:paraId="084EA1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793C2D91">
            <w:pPr>
              <w:spacing w:before="0" w:after="0" w:line="240" w:lineRule="exact"/>
              <w:jc w:val="left"/>
              <w:rPr>
                <w:rFonts w:ascii="宋体" w:hAnsi="宋体" w:eastAsia="宋体" w:cs="宋体"/>
                <w:sz w:val="18"/>
                <w:szCs w:val="18"/>
              </w:rPr>
            </w:pPr>
            <w:r>
              <w:rPr>
                <w:rFonts w:ascii="宋体" w:hAnsi="宋体" w:eastAsia="宋体" w:cs="宋体"/>
                <w:sz w:val="18"/>
                <w:szCs w:val="18"/>
              </w:rPr>
              <w:t>吴飞美</w:t>
            </w:r>
          </w:p>
        </w:tc>
        <w:tc>
          <w:tcPr>
            <w:tcW w:w="741" w:type="dxa"/>
            <w:tcBorders>
              <w:top w:val="single" w:color="auto" w:sz="2" w:space="0"/>
              <w:left w:val="single" w:color="auto" w:sz="2" w:space="0"/>
              <w:bottom w:val="single" w:color="auto" w:sz="2" w:space="0"/>
              <w:right w:val="single" w:color="auto" w:sz="2" w:space="0"/>
            </w:tcBorders>
            <w:vAlign w:val="center"/>
          </w:tcPr>
          <w:p w14:paraId="683E8F07">
            <w:pPr>
              <w:spacing w:before="0" w:after="0" w:line="240" w:lineRule="exact"/>
              <w:jc w:val="left"/>
              <w:rPr>
                <w:rFonts w:ascii="宋体" w:hAnsi="宋体" w:eastAsia="宋体" w:cs="宋体"/>
                <w:sz w:val="18"/>
                <w:szCs w:val="18"/>
              </w:rPr>
            </w:pPr>
            <w:r>
              <w:rPr>
                <w:rFonts w:ascii="宋体" w:hAnsi="宋体" w:eastAsia="宋体" w:cs="宋体"/>
                <w:sz w:val="18"/>
                <w:szCs w:val="18"/>
              </w:rPr>
              <w:t>女</w:t>
            </w:r>
          </w:p>
        </w:tc>
        <w:tc>
          <w:tcPr>
            <w:tcW w:w="741" w:type="dxa"/>
            <w:tcBorders>
              <w:top w:val="single" w:color="auto" w:sz="2" w:space="0"/>
              <w:left w:val="single" w:color="auto" w:sz="2" w:space="0"/>
              <w:bottom w:val="single" w:color="auto" w:sz="2" w:space="0"/>
              <w:right w:val="single" w:color="auto" w:sz="2" w:space="0"/>
            </w:tcBorders>
            <w:vAlign w:val="center"/>
          </w:tcPr>
          <w:p w14:paraId="047FDA4F">
            <w:pPr>
              <w:spacing w:line="240" w:lineRule="exact"/>
              <w:jc w:val="right"/>
              <w:rPr>
                <w:rFonts w:ascii="宋体" w:hAnsi="宋体" w:eastAsia="宋体" w:cs="宋体"/>
                <w:sz w:val="18"/>
                <w:szCs w:val="18"/>
              </w:rPr>
            </w:pPr>
            <w:r>
              <w:rPr>
                <w:rFonts w:ascii="宋体" w:hAnsi="宋体" w:cs="宋体"/>
                <w:sz w:val="18"/>
                <w:szCs w:val="18"/>
              </w:rPr>
              <w:t>61</w:t>
            </w:r>
          </w:p>
        </w:tc>
        <w:tc>
          <w:tcPr>
            <w:tcW w:w="741" w:type="dxa"/>
            <w:tcBorders>
              <w:top w:val="single" w:color="auto" w:sz="2" w:space="0"/>
              <w:left w:val="single" w:color="auto" w:sz="2" w:space="0"/>
              <w:bottom w:val="single" w:color="auto" w:sz="2" w:space="0"/>
              <w:right w:val="single" w:color="auto" w:sz="2" w:space="0"/>
            </w:tcBorders>
            <w:vAlign w:val="center"/>
          </w:tcPr>
          <w:p w14:paraId="0AA3B673">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741" w:type="dxa"/>
            <w:tcBorders>
              <w:top w:val="single" w:color="auto" w:sz="2" w:space="0"/>
              <w:left w:val="single" w:color="auto" w:sz="2" w:space="0"/>
              <w:bottom w:val="single" w:color="auto" w:sz="2" w:space="0"/>
              <w:right w:val="single" w:color="auto" w:sz="2" w:space="0"/>
            </w:tcBorders>
            <w:vAlign w:val="center"/>
          </w:tcPr>
          <w:p w14:paraId="1D09992B">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3AF83261">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741" w:type="dxa"/>
            <w:tcBorders>
              <w:top w:val="single" w:color="auto" w:sz="2" w:space="0"/>
              <w:left w:val="single" w:color="auto" w:sz="2" w:space="0"/>
              <w:bottom w:val="single" w:color="auto" w:sz="2" w:space="0"/>
              <w:right w:val="single" w:color="auto" w:sz="2" w:space="0"/>
            </w:tcBorders>
            <w:vAlign w:val="center"/>
          </w:tcPr>
          <w:p w14:paraId="31B8DB38">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7D8F1A5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AF5D7F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F52F48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E456DE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ABD2B7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3575B49">
            <w:pPr>
              <w:spacing w:before="0" w:after="0" w:line="240" w:lineRule="exact"/>
              <w:jc w:val="left"/>
              <w:rPr>
                <w:rFonts w:ascii="宋体" w:hAnsi="宋体" w:eastAsia="宋体" w:cs="宋体"/>
                <w:sz w:val="18"/>
                <w:szCs w:val="18"/>
              </w:rPr>
            </w:pPr>
          </w:p>
        </w:tc>
      </w:tr>
      <w:tr w14:paraId="2185B4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030EFFBF">
            <w:pPr>
              <w:spacing w:before="0" w:after="0" w:line="240" w:lineRule="exact"/>
              <w:jc w:val="left"/>
              <w:rPr>
                <w:rFonts w:ascii="宋体" w:hAnsi="宋体" w:eastAsia="宋体" w:cs="宋体"/>
                <w:sz w:val="18"/>
                <w:szCs w:val="18"/>
              </w:rPr>
            </w:pPr>
            <w:r>
              <w:rPr>
                <w:rFonts w:ascii="宋体" w:hAnsi="宋体" w:eastAsia="宋体" w:cs="宋体"/>
                <w:sz w:val="18"/>
                <w:szCs w:val="18"/>
              </w:rPr>
              <w:t>史保明</w:t>
            </w:r>
          </w:p>
        </w:tc>
        <w:tc>
          <w:tcPr>
            <w:tcW w:w="741" w:type="dxa"/>
            <w:tcBorders>
              <w:top w:val="single" w:color="auto" w:sz="2" w:space="0"/>
              <w:left w:val="single" w:color="auto" w:sz="2" w:space="0"/>
              <w:bottom w:val="single" w:color="auto" w:sz="2" w:space="0"/>
              <w:right w:val="single" w:color="auto" w:sz="2" w:space="0"/>
            </w:tcBorders>
            <w:vAlign w:val="center"/>
          </w:tcPr>
          <w:p w14:paraId="50697D01">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454987C3">
            <w:pPr>
              <w:spacing w:line="240" w:lineRule="exact"/>
              <w:jc w:val="right"/>
              <w:rPr>
                <w:rFonts w:ascii="宋体" w:hAnsi="宋体" w:eastAsia="宋体" w:cs="宋体"/>
                <w:sz w:val="18"/>
                <w:szCs w:val="18"/>
              </w:rPr>
            </w:pPr>
            <w:r>
              <w:rPr>
                <w:rFonts w:ascii="宋体" w:hAnsi="宋体" w:cs="宋体"/>
                <w:sz w:val="18"/>
                <w:szCs w:val="18"/>
              </w:rPr>
              <w:t>56</w:t>
            </w:r>
          </w:p>
        </w:tc>
        <w:tc>
          <w:tcPr>
            <w:tcW w:w="741" w:type="dxa"/>
            <w:tcBorders>
              <w:top w:val="single" w:color="auto" w:sz="2" w:space="0"/>
              <w:left w:val="single" w:color="auto" w:sz="2" w:space="0"/>
              <w:bottom w:val="single" w:color="auto" w:sz="2" w:space="0"/>
              <w:right w:val="single" w:color="auto" w:sz="2" w:space="0"/>
            </w:tcBorders>
            <w:vAlign w:val="center"/>
          </w:tcPr>
          <w:p w14:paraId="36DEABC2">
            <w:pPr>
              <w:spacing w:before="0" w:after="0" w:line="240" w:lineRule="exact"/>
              <w:jc w:val="left"/>
              <w:rPr>
                <w:rFonts w:ascii="宋体" w:hAnsi="宋体" w:eastAsia="宋体" w:cs="宋体"/>
                <w:sz w:val="18"/>
                <w:szCs w:val="18"/>
              </w:rPr>
            </w:pPr>
            <w:r>
              <w:rPr>
                <w:rFonts w:ascii="宋体" w:hAnsi="宋体" w:eastAsia="宋体" w:cs="宋体"/>
                <w:sz w:val="18"/>
                <w:szCs w:val="18"/>
              </w:rPr>
              <w:t>监事会主席</w:t>
            </w:r>
          </w:p>
        </w:tc>
        <w:tc>
          <w:tcPr>
            <w:tcW w:w="741" w:type="dxa"/>
            <w:tcBorders>
              <w:top w:val="single" w:color="auto" w:sz="2" w:space="0"/>
              <w:left w:val="single" w:color="auto" w:sz="2" w:space="0"/>
              <w:bottom w:val="single" w:color="auto" w:sz="2" w:space="0"/>
              <w:right w:val="single" w:color="auto" w:sz="2" w:space="0"/>
            </w:tcBorders>
            <w:vAlign w:val="center"/>
          </w:tcPr>
          <w:p w14:paraId="077D999D">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68CC76E1">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741" w:type="dxa"/>
            <w:tcBorders>
              <w:top w:val="single" w:color="auto" w:sz="2" w:space="0"/>
              <w:left w:val="single" w:color="auto" w:sz="2" w:space="0"/>
              <w:bottom w:val="single" w:color="auto" w:sz="2" w:space="0"/>
              <w:right w:val="single" w:color="auto" w:sz="2" w:space="0"/>
            </w:tcBorders>
            <w:vAlign w:val="center"/>
          </w:tcPr>
          <w:p w14:paraId="58A040E6">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1638DFA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7525F8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93DEDE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28DF0C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669CC9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28DB57A">
            <w:pPr>
              <w:spacing w:before="0" w:after="0" w:line="240" w:lineRule="exact"/>
              <w:jc w:val="left"/>
              <w:rPr>
                <w:rFonts w:ascii="宋体" w:hAnsi="宋体" w:eastAsia="宋体" w:cs="宋体"/>
                <w:sz w:val="18"/>
                <w:szCs w:val="18"/>
              </w:rPr>
            </w:pPr>
          </w:p>
        </w:tc>
      </w:tr>
      <w:tr w14:paraId="79E3AA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67BD944E">
            <w:pPr>
              <w:spacing w:before="0" w:after="0" w:line="240" w:lineRule="exact"/>
              <w:jc w:val="left"/>
              <w:rPr>
                <w:rFonts w:ascii="宋体" w:hAnsi="宋体" w:eastAsia="宋体" w:cs="宋体"/>
                <w:sz w:val="18"/>
                <w:szCs w:val="18"/>
              </w:rPr>
            </w:pPr>
            <w:r>
              <w:rPr>
                <w:rFonts w:ascii="宋体" w:hAnsi="宋体" w:eastAsia="宋体" w:cs="宋体"/>
                <w:sz w:val="18"/>
                <w:szCs w:val="18"/>
              </w:rPr>
              <w:t>肖厚麟</w:t>
            </w:r>
          </w:p>
        </w:tc>
        <w:tc>
          <w:tcPr>
            <w:tcW w:w="741" w:type="dxa"/>
            <w:tcBorders>
              <w:top w:val="single" w:color="auto" w:sz="2" w:space="0"/>
              <w:left w:val="single" w:color="auto" w:sz="2" w:space="0"/>
              <w:bottom w:val="single" w:color="auto" w:sz="2" w:space="0"/>
              <w:right w:val="single" w:color="auto" w:sz="2" w:space="0"/>
            </w:tcBorders>
            <w:vAlign w:val="center"/>
          </w:tcPr>
          <w:p w14:paraId="752E7104">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5615C37D">
            <w:pPr>
              <w:spacing w:line="240" w:lineRule="exact"/>
              <w:jc w:val="right"/>
              <w:rPr>
                <w:rFonts w:ascii="宋体" w:hAnsi="宋体" w:eastAsia="宋体" w:cs="宋体"/>
                <w:sz w:val="18"/>
                <w:szCs w:val="18"/>
              </w:rPr>
            </w:pPr>
            <w:r>
              <w:rPr>
                <w:rFonts w:ascii="宋体" w:hAnsi="宋体" w:cs="宋体"/>
                <w:sz w:val="18"/>
                <w:szCs w:val="18"/>
              </w:rPr>
              <w:t>42</w:t>
            </w:r>
          </w:p>
        </w:tc>
        <w:tc>
          <w:tcPr>
            <w:tcW w:w="741" w:type="dxa"/>
            <w:tcBorders>
              <w:top w:val="single" w:color="auto" w:sz="2" w:space="0"/>
              <w:left w:val="single" w:color="auto" w:sz="2" w:space="0"/>
              <w:bottom w:val="single" w:color="auto" w:sz="2" w:space="0"/>
              <w:right w:val="single" w:color="auto" w:sz="2" w:space="0"/>
            </w:tcBorders>
            <w:vAlign w:val="center"/>
          </w:tcPr>
          <w:p w14:paraId="0CE0C2D1">
            <w:pPr>
              <w:spacing w:before="0" w:after="0" w:line="240" w:lineRule="exact"/>
              <w:jc w:val="left"/>
              <w:rPr>
                <w:rFonts w:ascii="宋体" w:hAnsi="宋体" w:eastAsia="宋体" w:cs="宋体"/>
                <w:sz w:val="18"/>
                <w:szCs w:val="18"/>
              </w:rPr>
            </w:pPr>
            <w:r>
              <w:rPr>
                <w:rFonts w:ascii="宋体" w:hAnsi="宋体" w:eastAsia="宋体" w:cs="宋体"/>
                <w:sz w:val="18"/>
                <w:szCs w:val="18"/>
              </w:rPr>
              <w:t>监事</w:t>
            </w:r>
          </w:p>
        </w:tc>
        <w:tc>
          <w:tcPr>
            <w:tcW w:w="741" w:type="dxa"/>
            <w:tcBorders>
              <w:top w:val="single" w:color="auto" w:sz="2" w:space="0"/>
              <w:left w:val="single" w:color="auto" w:sz="2" w:space="0"/>
              <w:bottom w:val="single" w:color="auto" w:sz="2" w:space="0"/>
              <w:right w:val="single" w:color="auto" w:sz="2" w:space="0"/>
            </w:tcBorders>
            <w:vAlign w:val="center"/>
          </w:tcPr>
          <w:p w14:paraId="3BB6DDC6">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5BE999CE">
            <w:pPr>
              <w:spacing w:before="0" w:after="0" w:line="240" w:lineRule="exact"/>
              <w:jc w:val="left"/>
              <w:rPr>
                <w:rFonts w:ascii="宋体" w:hAnsi="宋体" w:eastAsia="宋体" w:cs="宋体"/>
                <w:sz w:val="18"/>
                <w:szCs w:val="18"/>
              </w:rPr>
            </w:pPr>
            <w:r>
              <w:rPr>
                <w:rFonts w:ascii="宋体" w:hAnsi="宋体" w:eastAsia="宋体" w:cs="宋体"/>
                <w:sz w:val="18"/>
                <w:szCs w:val="18"/>
              </w:rPr>
              <w:t>2024年12月09日</w:t>
            </w:r>
          </w:p>
        </w:tc>
        <w:tc>
          <w:tcPr>
            <w:tcW w:w="741" w:type="dxa"/>
            <w:tcBorders>
              <w:top w:val="single" w:color="auto" w:sz="2" w:space="0"/>
              <w:left w:val="single" w:color="auto" w:sz="2" w:space="0"/>
              <w:bottom w:val="single" w:color="auto" w:sz="2" w:space="0"/>
              <w:right w:val="single" w:color="auto" w:sz="2" w:space="0"/>
            </w:tcBorders>
            <w:vAlign w:val="center"/>
          </w:tcPr>
          <w:p w14:paraId="3E33FAF0">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63C773C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5D010A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DEFCB1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531A04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6AFF58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6533D9E">
            <w:pPr>
              <w:spacing w:before="0" w:after="0" w:line="240" w:lineRule="exact"/>
              <w:jc w:val="left"/>
              <w:rPr>
                <w:rFonts w:ascii="宋体" w:hAnsi="宋体" w:eastAsia="宋体" w:cs="宋体"/>
                <w:sz w:val="18"/>
                <w:szCs w:val="18"/>
              </w:rPr>
            </w:pPr>
          </w:p>
        </w:tc>
      </w:tr>
      <w:tr w14:paraId="6B0DF4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071CA4EC">
            <w:pPr>
              <w:spacing w:before="0" w:after="0" w:line="240" w:lineRule="exact"/>
              <w:jc w:val="left"/>
              <w:rPr>
                <w:rFonts w:ascii="宋体" w:hAnsi="宋体" w:eastAsia="宋体" w:cs="宋体"/>
                <w:sz w:val="18"/>
                <w:szCs w:val="18"/>
              </w:rPr>
            </w:pPr>
            <w:r>
              <w:rPr>
                <w:rFonts w:ascii="宋体" w:hAnsi="宋体" w:eastAsia="宋体" w:cs="宋体"/>
                <w:sz w:val="18"/>
                <w:szCs w:val="18"/>
              </w:rPr>
              <w:t>林海峰</w:t>
            </w:r>
          </w:p>
        </w:tc>
        <w:tc>
          <w:tcPr>
            <w:tcW w:w="741" w:type="dxa"/>
            <w:tcBorders>
              <w:top w:val="single" w:color="auto" w:sz="2" w:space="0"/>
              <w:left w:val="single" w:color="auto" w:sz="2" w:space="0"/>
              <w:bottom w:val="single" w:color="auto" w:sz="2" w:space="0"/>
              <w:right w:val="single" w:color="auto" w:sz="2" w:space="0"/>
            </w:tcBorders>
            <w:vAlign w:val="center"/>
          </w:tcPr>
          <w:p w14:paraId="747A43FE">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6F4861CC">
            <w:pPr>
              <w:spacing w:line="240" w:lineRule="exact"/>
              <w:jc w:val="right"/>
              <w:rPr>
                <w:rFonts w:ascii="宋体" w:hAnsi="宋体" w:eastAsia="宋体" w:cs="宋体"/>
                <w:sz w:val="18"/>
                <w:szCs w:val="18"/>
              </w:rPr>
            </w:pPr>
            <w:r>
              <w:rPr>
                <w:rFonts w:hint="eastAsia" w:ascii="宋体" w:hAnsi="宋体" w:cs="宋体"/>
                <w:sz w:val="18"/>
                <w:szCs w:val="18"/>
              </w:rPr>
              <w:t>37</w:t>
            </w:r>
          </w:p>
        </w:tc>
        <w:tc>
          <w:tcPr>
            <w:tcW w:w="741" w:type="dxa"/>
            <w:tcBorders>
              <w:top w:val="single" w:color="auto" w:sz="2" w:space="0"/>
              <w:left w:val="single" w:color="auto" w:sz="2" w:space="0"/>
              <w:bottom w:val="single" w:color="auto" w:sz="2" w:space="0"/>
              <w:right w:val="single" w:color="auto" w:sz="2" w:space="0"/>
            </w:tcBorders>
            <w:vAlign w:val="center"/>
          </w:tcPr>
          <w:p w14:paraId="71D2BE72">
            <w:pPr>
              <w:spacing w:before="0" w:after="0" w:line="240" w:lineRule="exact"/>
              <w:jc w:val="left"/>
              <w:rPr>
                <w:rFonts w:ascii="宋体" w:hAnsi="宋体" w:eastAsia="宋体" w:cs="宋体"/>
                <w:sz w:val="18"/>
                <w:szCs w:val="18"/>
              </w:rPr>
            </w:pPr>
            <w:r>
              <w:rPr>
                <w:rFonts w:ascii="宋体" w:hAnsi="宋体" w:eastAsia="宋体" w:cs="宋体"/>
                <w:sz w:val="18"/>
                <w:szCs w:val="18"/>
              </w:rPr>
              <w:t>职工代表监事</w:t>
            </w:r>
          </w:p>
        </w:tc>
        <w:tc>
          <w:tcPr>
            <w:tcW w:w="741" w:type="dxa"/>
            <w:tcBorders>
              <w:top w:val="single" w:color="auto" w:sz="2" w:space="0"/>
              <w:left w:val="single" w:color="auto" w:sz="2" w:space="0"/>
              <w:bottom w:val="single" w:color="auto" w:sz="2" w:space="0"/>
              <w:right w:val="single" w:color="auto" w:sz="2" w:space="0"/>
            </w:tcBorders>
            <w:vAlign w:val="center"/>
          </w:tcPr>
          <w:p w14:paraId="642DAC3C">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3450DF49">
            <w:pPr>
              <w:spacing w:before="0" w:after="0" w:line="240" w:lineRule="exact"/>
              <w:jc w:val="left"/>
              <w:rPr>
                <w:rFonts w:ascii="宋体" w:hAnsi="宋体" w:eastAsia="宋体" w:cs="宋体"/>
                <w:sz w:val="18"/>
                <w:szCs w:val="18"/>
              </w:rPr>
            </w:pPr>
            <w:r>
              <w:rPr>
                <w:rFonts w:ascii="宋体" w:hAnsi="宋体" w:eastAsia="宋体" w:cs="宋体"/>
                <w:sz w:val="18"/>
                <w:szCs w:val="18"/>
              </w:rPr>
              <w:t>2020年07月16日</w:t>
            </w:r>
          </w:p>
        </w:tc>
        <w:tc>
          <w:tcPr>
            <w:tcW w:w="741" w:type="dxa"/>
            <w:tcBorders>
              <w:top w:val="single" w:color="auto" w:sz="2" w:space="0"/>
              <w:left w:val="single" w:color="auto" w:sz="2" w:space="0"/>
              <w:bottom w:val="single" w:color="auto" w:sz="2" w:space="0"/>
              <w:right w:val="single" w:color="auto" w:sz="2" w:space="0"/>
            </w:tcBorders>
            <w:vAlign w:val="center"/>
          </w:tcPr>
          <w:p w14:paraId="42167C1D">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11BC54A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68C853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E14DFB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F9A37E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2038B5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3A3E972">
            <w:pPr>
              <w:spacing w:before="0" w:after="0" w:line="240" w:lineRule="exact"/>
              <w:jc w:val="left"/>
              <w:rPr>
                <w:rFonts w:ascii="宋体" w:hAnsi="宋体" w:eastAsia="宋体" w:cs="宋体"/>
                <w:sz w:val="18"/>
                <w:szCs w:val="18"/>
              </w:rPr>
            </w:pPr>
          </w:p>
        </w:tc>
      </w:tr>
      <w:tr w14:paraId="116006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69FED700">
            <w:pPr>
              <w:spacing w:before="0" w:after="0" w:line="240" w:lineRule="exact"/>
              <w:jc w:val="left"/>
              <w:rPr>
                <w:rFonts w:ascii="宋体" w:hAnsi="宋体" w:eastAsia="宋体" w:cs="宋体"/>
                <w:sz w:val="18"/>
                <w:szCs w:val="18"/>
              </w:rPr>
            </w:pPr>
            <w:r>
              <w:rPr>
                <w:rFonts w:ascii="宋体" w:hAnsi="宋体" w:eastAsia="宋体" w:cs="宋体"/>
                <w:sz w:val="18"/>
                <w:szCs w:val="18"/>
              </w:rPr>
              <w:t>官建辉</w:t>
            </w:r>
          </w:p>
        </w:tc>
        <w:tc>
          <w:tcPr>
            <w:tcW w:w="741" w:type="dxa"/>
            <w:tcBorders>
              <w:top w:val="single" w:color="auto" w:sz="2" w:space="0"/>
              <w:left w:val="single" w:color="auto" w:sz="2" w:space="0"/>
              <w:bottom w:val="single" w:color="auto" w:sz="2" w:space="0"/>
              <w:right w:val="single" w:color="auto" w:sz="2" w:space="0"/>
            </w:tcBorders>
            <w:vAlign w:val="center"/>
          </w:tcPr>
          <w:p w14:paraId="3D3A0722">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0D3BFA45">
            <w:pPr>
              <w:spacing w:line="240" w:lineRule="exact"/>
              <w:jc w:val="right"/>
              <w:rPr>
                <w:rFonts w:ascii="宋体" w:hAnsi="宋体" w:eastAsia="宋体" w:cs="宋体"/>
                <w:sz w:val="18"/>
                <w:szCs w:val="18"/>
              </w:rPr>
            </w:pPr>
            <w:r>
              <w:rPr>
                <w:rFonts w:hint="eastAsia" w:ascii="宋体" w:hAnsi="宋体" w:cs="宋体"/>
                <w:sz w:val="18"/>
                <w:szCs w:val="18"/>
              </w:rPr>
              <w:t>49</w:t>
            </w:r>
          </w:p>
        </w:tc>
        <w:tc>
          <w:tcPr>
            <w:tcW w:w="741" w:type="dxa"/>
            <w:tcBorders>
              <w:top w:val="single" w:color="auto" w:sz="2" w:space="0"/>
              <w:left w:val="single" w:color="auto" w:sz="2" w:space="0"/>
              <w:bottom w:val="single" w:color="auto" w:sz="2" w:space="0"/>
              <w:right w:val="single" w:color="auto" w:sz="2" w:space="0"/>
            </w:tcBorders>
            <w:vAlign w:val="center"/>
          </w:tcPr>
          <w:p w14:paraId="678BE38D">
            <w:pPr>
              <w:spacing w:before="0" w:after="0" w:line="240" w:lineRule="exact"/>
              <w:jc w:val="left"/>
              <w:rPr>
                <w:rFonts w:ascii="宋体" w:hAnsi="宋体" w:eastAsia="宋体" w:cs="宋体"/>
                <w:sz w:val="18"/>
                <w:szCs w:val="18"/>
              </w:rPr>
            </w:pPr>
            <w:r>
              <w:rPr>
                <w:rFonts w:ascii="宋体" w:hAnsi="宋体" w:eastAsia="宋体" w:cs="宋体"/>
                <w:sz w:val="18"/>
                <w:szCs w:val="18"/>
              </w:rPr>
              <w:t>财务总监</w:t>
            </w:r>
          </w:p>
        </w:tc>
        <w:tc>
          <w:tcPr>
            <w:tcW w:w="741" w:type="dxa"/>
            <w:tcBorders>
              <w:top w:val="single" w:color="auto" w:sz="2" w:space="0"/>
              <w:left w:val="single" w:color="auto" w:sz="2" w:space="0"/>
              <w:bottom w:val="single" w:color="auto" w:sz="2" w:space="0"/>
              <w:right w:val="single" w:color="auto" w:sz="2" w:space="0"/>
            </w:tcBorders>
            <w:vAlign w:val="center"/>
          </w:tcPr>
          <w:p w14:paraId="437EC033">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60097398">
            <w:pPr>
              <w:spacing w:before="0" w:after="0" w:line="240" w:lineRule="exact"/>
              <w:jc w:val="left"/>
              <w:rPr>
                <w:rFonts w:ascii="宋体" w:hAnsi="宋体" w:eastAsia="宋体" w:cs="宋体"/>
                <w:sz w:val="18"/>
                <w:szCs w:val="18"/>
              </w:rPr>
            </w:pPr>
            <w:r>
              <w:rPr>
                <w:rFonts w:ascii="宋体" w:hAnsi="宋体" w:eastAsia="宋体" w:cs="宋体"/>
                <w:sz w:val="18"/>
                <w:szCs w:val="18"/>
              </w:rPr>
              <w:t>2017年07月25日</w:t>
            </w:r>
          </w:p>
        </w:tc>
        <w:tc>
          <w:tcPr>
            <w:tcW w:w="741" w:type="dxa"/>
            <w:tcBorders>
              <w:top w:val="single" w:color="auto" w:sz="2" w:space="0"/>
              <w:left w:val="single" w:color="auto" w:sz="2" w:space="0"/>
              <w:bottom w:val="single" w:color="auto" w:sz="2" w:space="0"/>
              <w:right w:val="single" w:color="auto" w:sz="2" w:space="0"/>
            </w:tcBorders>
            <w:vAlign w:val="center"/>
          </w:tcPr>
          <w:p w14:paraId="0087A49A">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2FB6A5DF">
            <w:pPr>
              <w:spacing w:before="0" w:after="0" w:line="240" w:lineRule="exact"/>
              <w:jc w:val="right"/>
              <w:rPr>
                <w:rFonts w:ascii="宋体" w:hAnsi="宋体" w:eastAsia="宋体" w:cs="宋体"/>
                <w:sz w:val="18"/>
                <w:szCs w:val="18"/>
              </w:rPr>
            </w:pPr>
            <w:r>
              <w:rPr>
                <w:rFonts w:ascii="宋体" w:hAnsi="宋体" w:eastAsia="宋体" w:cs="宋体"/>
                <w:sz w:val="18"/>
                <w:szCs w:val="18"/>
              </w:rPr>
              <w:t>7,700</w:t>
            </w:r>
          </w:p>
        </w:tc>
        <w:tc>
          <w:tcPr>
            <w:tcW w:w="741" w:type="dxa"/>
            <w:tcBorders>
              <w:top w:val="single" w:color="auto" w:sz="2" w:space="0"/>
              <w:left w:val="single" w:color="auto" w:sz="2" w:space="0"/>
              <w:bottom w:val="single" w:color="auto" w:sz="2" w:space="0"/>
              <w:right w:val="single" w:color="auto" w:sz="2" w:space="0"/>
            </w:tcBorders>
            <w:vAlign w:val="center"/>
          </w:tcPr>
          <w:p w14:paraId="19ED42C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672070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FCE724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E652D8C">
            <w:pPr>
              <w:spacing w:before="0" w:after="0" w:line="240" w:lineRule="exact"/>
              <w:jc w:val="right"/>
              <w:rPr>
                <w:rFonts w:ascii="宋体" w:hAnsi="宋体" w:eastAsia="宋体" w:cs="宋体"/>
                <w:sz w:val="18"/>
                <w:szCs w:val="18"/>
              </w:rPr>
            </w:pPr>
            <w:r>
              <w:rPr>
                <w:rFonts w:ascii="宋体" w:hAnsi="宋体" w:eastAsia="宋体" w:cs="宋体"/>
                <w:sz w:val="18"/>
                <w:szCs w:val="18"/>
              </w:rPr>
              <w:t>7,700</w:t>
            </w:r>
          </w:p>
        </w:tc>
        <w:tc>
          <w:tcPr>
            <w:tcW w:w="741" w:type="dxa"/>
            <w:tcBorders>
              <w:top w:val="single" w:color="auto" w:sz="2" w:space="0"/>
              <w:left w:val="single" w:color="auto" w:sz="2" w:space="0"/>
              <w:bottom w:val="single" w:color="auto" w:sz="2" w:space="0"/>
              <w:right w:val="single" w:color="auto" w:sz="2" w:space="0"/>
            </w:tcBorders>
            <w:vAlign w:val="center"/>
          </w:tcPr>
          <w:p w14:paraId="261064DA">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2B141D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3C722C7A">
            <w:pPr>
              <w:spacing w:before="0" w:after="0" w:line="240" w:lineRule="exact"/>
              <w:jc w:val="left"/>
              <w:rPr>
                <w:rFonts w:ascii="宋体" w:hAnsi="宋体" w:eastAsia="宋体" w:cs="宋体"/>
                <w:sz w:val="18"/>
                <w:szCs w:val="18"/>
              </w:rPr>
            </w:pPr>
            <w:r>
              <w:rPr>
                <w:rFonts w:ascii="宋体" w:hAnsi="宋体" w:eastAsia="宋体" w:cs="宋体"/>
                <w:sz w:val="18"/>
                <w:szCs w:val="18"/>
              </w:rPr>
              <w:t>曾炳祥</w:t>
            </w:r>
          </w:p>
        </w:tc>
        <w:tc>
          <w:tcPr>
            <w:tcW w:w="741" w:type="dxa"/>
            <w:tcBorders>
              <w:top w:val="single" w:color="auto" w:sz="2" w:space="0"/>
              <w:left w:val="single" w:color="auto" w:sz="2" w:space="0"/>
              <w:bottom w:val="single" w:color="auto" w:sz="2" w:space="0"/>
              <w:right w:val="single" w:color="auto" w:sz="2" w:space="0"/>
            </w:tcBorders>
            <w:vAlign w:val="center"/>
          </w:tcPr>
          <w:p w14:paraId="24365F6A">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6A11391A">
            <w:pPr>
              <w:spacing w:line="240" w:lineRule="exact"/>
              <w:jc w:val="right"/>
              <w:rPr>
                <w:rFonts w:ascii="宋体" w:hAnsi="宋体" w:eastAsia="宋体" w:cs="宋体"/>
                <w:sz w:val="18"/>
                <w:szCs w:val="18"/>
              </w:rPr>
            </w:pPr>
            <w:r>
              <w:rPr>
                <w:rFonts w:hint="eastAsia" w:ascii="宋体" w:hAnsi="宋体" w:cs="宋体"/>
                <w:sz w:val="18"/>
                <w:szCs w:val="18"/>
              </w:rPr>
              <w:t>62</w:t>
            </w:r>
          </w:p>
        </w:tc>
        <w:tc>
          <w:tcPr>
            <w:tcW w:w="741" w:type="dxa"/>
            <w:tcBorders>
              <w:top w:val="single" w:color="auto" w:sz="2" w:space="0"/>
              <w:left w:val="single" w:color="auto" w:sz="2" w:space="0"/>
              <w:bottom w:val="single" w:color="auto" w:sz="2" w:space="0"/>
              <w:right w:val="single" w:color="auto" w:sz="2" w:space="0"/>
            </w:tcBorders>
            <w:vAlign w:val="center"/>
          </w:tcPr>
          <w:p w14:paraId="745DD8F1">
            <w:pPr>
              <w:spacing w:before="0" w:after="0" w:line="240" w:lineRule="exact"/>
              <w:jc w:val="left"/>
              <w:rPr>
                <w:rFonts w:ascii="宋体" w:hAnsi="宋体" w:eastAsia="宋体" w:cs="宋体"/>
                <w:sz w:val="18"/>
                <w:szCs w:val="18"/>
              </w:rPr>
            </w:pPr>
            <w:r>
              <w:rPr>
                <w:rFonts w:ascii="宋体" w:hAnsi="宋体" w:eastAsia="宋体" w:cs="宋体"/>
                <w:sz w:val="18"/>
                <w:szCs w:val="18"/>
              </w:rPr>
              <w:t>副总经理</w:t>
            </w:r>
          </w:p>
        </w:tc>
        <w:tc>
          <w:tcPr>
            <w:tcW w:w="741" w:type="dxa"/>
            <w:tcBorders>
              <w:top w:val="single" w:color="auto" w:sz="2" w:space="0"/>
              <w:left w:val="single" w:color="auto" w:sz="2" w:space="0"/>
              <w:bottom w:val="single" w:color="auto" w:sz="2" w:space="0"/>
              <w:right w:val="single" w:color="auto" w:sz="2" w:space="0"/>
            </w:tcBorders>
            <w:vAlign w:val="center"/>
          </w:tcPr>
          <w:p w14:paraId="51BAFF8E">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1AF9FECF">
            <w:pPr>
              <w:spacing w:before="0" w:after="0" w:line="240" w:lineRule="exact"/>
              <w:jc w:val="left"/>
              <w:rPr>
                <w:rFonts w:ascii="宋体" w:hAnsi="宋体" w:eastAsia="宋体" w:cs="宋体"/>
                <w:sz w:val="18"/>
                <w:szCs w:val="18"/>
              </w:rPr>
            </w:pPr>
            <w:r>
              <w:rPr>
                <w:rFonts w:ascii="宋体" w:hAnsi="宋体" w:eastAsia="宋体" w:cs="宋体"/>
                <w:sz w:val="18"/>
                <w:szCs w:val="18"/>
              </w:rPr>
              <w:t>2011年09月20日</w:t>
            </w:r>
          </w:p>
        </w:tc>
        <w:tc>
          <w:tcPr>
            <w:tcW w:w="741" w:type="dxa"/>
            <w:tcBorders>
              <w:top w:val="single" w:color="auto" w:sz="2" w:space="0"/>
              <w:left w:val="single" w:color="auto" w:sz="2" w:space="0"/>
              <w:bottom w:val="single" w:color="auto" w:sz="2" w:space="0"/>
              <w:right w:val="single" w:color="auto" w:sz="2" w:space="0"/>
            </w:tcBorders>
            <w:vAlign w:val="center"/>
          </w:tcPr>
          <w:p w14:paraId="3256712F">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7CA683E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B92430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584A4E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3FBBED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6F965D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C9E5E13">
            <w:pPr>
              <w:spacing w:before="0" w:after="0" w:line="240" w:lineRule="exact"/>
              <w:jc w:val="left"/>
              <w:rPr>
                <w:rFonts w:ascii="宋体" w:hAnsi="宋体" w:eastAsia="宋体" w:cs="宋体"/>
                <w:sz w:val="18"/>
                <w:szCs w:val="18"/>
              </w:rPr>
            </w:pPr>
          </w:p>
        </w:tc>
      </w:tr>
      <w:tr w14:paraId="2F28BC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6F77AF6F">
            <w:pPr>
              <w:spacing w:before="0" w:after="0" w:line="240" w:lineRule="exact"/>
              <w:jc w:val="left"/>
              <w:rPr>
                <w:rFonts w:ascii="宋体" w:hAnsi="宋体" w:eastAsia="宋体" w:cs="宋体"/>
                <w:sz w:val="18"/>
                <w:szCs w:val="18"/>
              </w:rPr>
            </w:pPr>
            <w:r>
              <w:rPr>
                <w:rFonts w:ascii="宋体" w:hAnsi="宋体" w:eastAsia="宋体" w:cs="宋体"/>
                <w:sz w:val="18"/>
                <w:szCs w:val="18"/>
              </w:rPr>
              <w:t>KE HU（胡柯）</w:t>
            </w:r>
          </w:p>
        </w:tc>
        <w:tc>
          <w:tcPr>
            <w:tcW w:w="741" w:type="dxa"/>
            <w:tcBorders>
              <w:top w:val="single" w:color="auto" w:sz="2" w:space="0"/>
              <w:left w:val="single" w:color="auto" w:sz="2" w:space="0"/>
              <w:bottom w:val="single" w:color="auto" w:sz="2" w:space="0"/>
              <w:right w:val="single" w:color="auto" w:sz="2" w:space="0"/>
            </w:tcBorders>
            <w:vAlign w:val="center"/>
          </w:tcPr>
          <w:p w14:paraId="1AF5118D">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4CF4C32F">
            <w:pPr>
              <w:spacing w:line="240" w:lineRule="exact"/>
              <w:jc w:val="right"/>
              <w:rPr>
                <w:rFonts w:ascii="宋体" w:hAnsi="宋体" w:eastAsia="宋体" w:cs="宋体"/>
                <w:sz w:val="18"/>
                <w:szCs w:val="18"/>
              </w:rPr>
            </w:pPr>
            <w:r>
              <w:rPr>
                <w:rFonts w:ascii="宋体" w:hAnsi="宋体" w:cs="宋体"/>
                <w:sz w:val="18"/>
                <w:szCs w:val="18"/>
              </w:rPr>
              <w:t>55</w:t>
            </w:r>
          </w:p>
        </w:tc>
        <w:tc>
          <w:tcPr>
            <w:tcW w:w="741" w:type="dxa"/>
            <w:tcBorders>
              <w:top w:val="single" w:color="auto" w:sz="2" w:space="0"/>
              <w:left w:val="single" w:color="auto" w:sz="2" w:space="0"/>
              <w:bottom w:val="single" w:color="auto" w:sz="2" w:space="0"/>
              <w:right w:val="single" w:color="auto" w:sz="2" w:space="0"/>
            </w:tcBorders>
            <w:vAlign w:val="center"/>
          </w:tcPr>
          <w:p w14:paraId="0E30C8F5">
            <w:pPr>
              <w:spacing w:before="0" w:after="0" w:line="240" w:lineRule="exact"/>
              <w:jc w:val="left"/>
              <w:rPr>
                <w:rFonts w:ascii="宋体" w:hAnsi="宋体" w:eastAsia="宋体" w:cs="宋体"/>
                <w:sz w:val="18"/>
                <w:szCs w:val="18"/>
              </w:rPr>
            </w:pPr>
            <w:r>
              <w:rPr>
                <w:rFonts w:ascii="宋体" w:hAnsi="宋体" w:eastAsia="宋体" w:cs="宋体"/>
                <w:sz w:val="18"/>
                <w:szCs w:val="18"/>
              </w:rPr>
              <w:t>首席科学家</w:t>
            </w:r>
          </w:p>
        </w:tc>
        <w:tc>
          <w:tcPr>
            <w:tcW w:w="741" w:type="dxa"/>
            <w:tcBorders>
              <w:top w:val="single" w:color="auto" w:sz="2" w:space="0"/>
              <w:left w:val="single" w:color="auto" w:sz="2" w:space="0"/>
              <w:bottom w:val="single" w:color="auto" w:sz="2" w:space="0"/>
              <w:right w:val="single" w:color="auto" w:sz="2" w:space="0"/>
            </w:tcBorders>
            <w:vAlign w:val="center"/>
          </w:tcPr>
          <w:p w14:paraId="6A99EDB0">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3ADA2C28">
            <w:pPr>
              <w:spacing w:before="0" w:after="0" w:line="240" w:lineRule="exact"/>
              <w:jc w:val="left"/>
              <w:rPr>
                <w:rFonts w:ascii="宋体" w:hAnsi="宋体" w:eastAsia="宋体" w:cs="宋体"/>
                <w:sz w:val="18"/>
                <w:szCs w:val="18"/>
              </w:rPr>
            </w:pPr>
            <w:r>
              <w:rPr>
                <w:rFonts w:ascii="宋体" w:hAnsi="宋体" w:eastAsia="宋体" w:cs="宋体"/>
                <w:sz w:val="18"/>
                <w:szCs w:val="18"/>
              </w:rPr>
              <w:t>2025年01月13日</w:t>
            </w:r>
          </w:p>
        </w:tc>
        <w:tc>
          <w:tcPr>
            <w:tcW w:w="741" w:type="dxa"/>
            <w:tcBorders>
              <w:top w:val="single" w:color="auto" w:sz="2" w:space="0"/>
              <w:left w:val="single" w:color="auto" w:sz="2" w:space="0"/>
              <w:bottom w:val="single" w:color="auto" w:sz="2" w:space="0"/>
              <w:right w:val="single" w:color="auto" w:sz="2" w:space="0"/>
            </w:tcBorders>
            <w:vAlign w:val="center"/>
          </w:tcPr>
          <w:p w14:paraId="7703BBEE">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6EAF705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B03A2B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EA02C4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1369A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634799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106ADE4">
            <w:pPr>
              <w:spacing w:before="0" w:after="0" w:line="240" w:lineRule="exact"/>
              <w:jc w:val="left"/>
              <w:rPr>
                <w:rFonts w:ascii="宋体" w:hAnsi="宋体" w:eastAsia="宋体" w:cs="宋体"/>
                <w:sz w:val="18"/>
                <w:szCs w:val="18"/>
              </w:rPr>
            </w:pPr>
          </w:p>
        </w:tc>
      </w:tr>
      <w:tr w14:paraId="6DE328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29D2972E">
            <w:pPr>
              <w:spacing w:before="0" w:after="0" w:line="240" w:lineRule="exact"/>
              <w:jc w:val="left"/>
              <w:rPr>
                <w:rFonts w:ascii="宋体" w:hAnsi="宋体" w:eastAsia="宋体" w:cs="宋体"/>
                <w:sz w:val="18"/>
                <w:szCs w:val="18"/>
              </w:rPr>
            </w:pPr>
            <w:r>
              <w:rPr>
                <w:rFonts w:ascii="宋体" w:hAnsi="宋体" w:eastAsia="宋体" w:cs="宋体"/>
                <w:sz w:val="18"/>
                <w:szCs w:val="18"/>
              </w:rPr>
              <w:t>胡彦儒</w:t>
            </w:r>
          </w:p>
        </w:tc>
        <w:tc>
          <w:tcPr>
            <w:tcW w:w="741" w:type="dxa"/>
            <w:tcBorders>
              <w:top w:val="single" w:color="auto" w:sz="2" w:space="0"/>
              <w:left w:val="single" w:color="auto" w:sz="2" w:space="0"/>
              <w:bottom w:val="single" w:color="auto" w:sz="2" w:space="0"/>
              <w:right w:val="single" w:color="auto" w:sz="2" w:space="0"/>
            </w:tcBorders>
            <w:vAlign w:val="center"/>
          </w:tcPr>
          <w:p w14:paraId="310EE430">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34A499B3">
            <w:pPr>
              <w:spacing w:line="240" w:lineRule="exact"/>
              <w:jc w:val="right"/>
              <w:rPr>
                <w:rFonts w:ascii="宋体" w:hAnsi="宋体" w:eastAsia="宋体" w:cs="宋体"/>
                <w:sz w:val="18"/>
                <w:szCs w:val="18"/>
              </w:rPr>
            </w:pPr>
            <w:r>
              <w:rPr>
                <w:rFonts w:ascii="宋体" w:hAnsi="宋体" w:cs="宋体"/>
                <w:sz w:val="18"/>
                <w:szCs w:val="18"/>
              </w:rPr>
              <w:t>40</w:t>
            </w:r>
          </w:p>
        </w:tc>
        <w:tc>
          <w:tcPr>
            <w:tcW w:w="741" w:type="dxa"/>
            <w:tcBorders>
              <w:top w:val="single" w:color="auto" w:sz="2" w:space="0"/>
              <w:left w:val="single" w:color="auto" w:sz="2" w:space="0"/>
              <w:bottom w:val="single" w:color="auto" w:sz="2" w:space="0"/>
              <w:right w:val="single" w:color="auto" w:sz="2" w:space="0"/>
            </w:tcBorders>
            <w:vAlign w:val="center"/>
          </w:tcPr>
          <w:p w14:paraId="099014E9">
            <w:pPr>
              <w:spacing w:before="0" w:after="0" w:line="240" w:lineRule="exact"/>
              <w:jc w:val="left"/>
              <w:rPr>
                <w:rFonts w:ascii="宋体" w:hAnsi="宋体" w:eastAsia="宋体" w:cs="宋体"/>
                <w:sz w:val="18"/>
                <w:szCs w:val="18"/>
              </w:rPr>
            </w:pPr>
            <w:r>
              <w:rPr>
                <w:rFonts w:ascii="宋体" w:hAnsi="宋体" w:eastAsia="宋体" w:cs="宋体"/>
                <w:sz w:val="18"/>
                <w:szCs w:val="18"/>
              </w:rPr>
              <w:t>副总经理</w:t>
            </w:r>
          </w:p>
        </w:tc>
        <w:tc>
          <w:tcPr>
            <w:tcW w:w="741" w:type="dxa"/>
            <w:tcBorders>
              <w:top w:val="single" w:color="auto" w:sz="2" w:space="0"/>
              <w:left w:val="single" w:color="auto" w:sz="2" w:space="0"/>
              <w:bottom w:val="single" w:color="auto" w:sz="2" w:space="0"/>
              <w:right w:val="single" w:color="auto" w:sz="2" w:space="0"/>
            </w:tcBorders>
            <w:vAlign w:val="center"/>
          </w:tcPr>
          <w:p w14:paraId="09369CF9">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6047D1A9">
            <w:pPr>
              <w:spacing w:before="0" w:after="0" w:line="240" w:lineRule="exact"/>
              <w:jc w:val="left"/>
              <w:rPr>
                <w:rFonts w:ascii="宋体" w:hAnsi="宋体" w:eastAsia="宋体" w:cs="宋体"/>
                <w:sz w:val="18"/>
                <w:szCs w:val="18"/>
              </w:rPr>
            </w:pPr>
            <w:r>
              <w:rPr>
                <w:rFonts w:ascii="宋体" w:hAnsi="宋体" w:eastAsia="宋体" w:cs="宋体"/>
                <w:sz w:val="18"/>
                <w:szCs w:val="18"/>
              </w:rPr>
              <w:t>2025年01月13日</w:t>
            </w:r>
          </w:p>
        </w:tc>
        <w:tc>
          <w:tcPr>
            <w:tcW w:w="741" w:type="dxa"/>
            <w:tcBorders>
              <w:top w:val="single" w:color="auto" w:sz="2" w:space="0"/>
              <w:left w:val="single" w:color="auto" w:sz="2" w:space="0"/>
              <w:bottom w:val="single" w:color="auto" w:sz="2" w:space="0"/>
              <w:right w:val="single" w:color="auto" w:sz="2" w:space="0"/>
            </w:tcBorders>
            <w:vAlign w:val="center"/>
          </w:tcPr>
          <w:p w14:paraId="12E0A2F6">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25F8B59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230DC9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D6F601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9D0A7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83B3A8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451231B">
            <w:pPr>
              <w:spacing w:before="0" w:after="0" w:line="240" w:lineRule="exact"/>
              <w:jc w:val="left"/>
              <w:rPr>
                <w:rFonts w:ascii="宋体" w:hAnsi="宋体" w:eastAsia="宋体" w:cs="宋体"/>
                <w:sz w:val="18"/>
                <w:szCs w:val="18"/>
              </w:rPr>
            </w:pPr>
          </w:p>
        </w:tc>
      </w:tr>
      <w:tr w14:paraId="77CA37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58DF0C44">
            <w:pPr>
              <w:spacing w:before="0" w:after="0" w:line="240" w:lineRule="exact"/>
              <w:jc w:val="left"/>
              <w:rPr>
                <w:rFonts w:ascii="宋体" w:hAnsi="宋体" w:eastAsia="宋体" w:cs="宋体"/>
                <w:sz w:val="18"/>
                <w:szCs w:val="18"/>
              </w:rPr>
            </w:pPr>
            <w:r>
              <w:rPr>
                <w:rFonts w:ascii="宋体" w:hAnsi="宋体" w:eastAsia="宋体" w:cs="宋体"/>
                <w:sz w:val="18"/>
                <w:szCs w:val="18"/>
              </w:rPr>
              <w:t>张清河</w:t>
            </w:r>
          </w:p>
        </w:tc>
        <w:tc>
          <w:tcPr>
            <w:tcW w:w="741" w:type="dxa"/>
            <w:tcBorders>
              <w:top w:val="single" w:color="auto" w:sz="2" w:space="0"/>
              <w:left w:val="single" w:color="auto" w:sz="2" w:space="0"/>
              <w:bottom w:val="single" w:color="auto" w:sz="2" w:space="0"/>
              <w:right w:val="single" w:color="auto" w:sz="2" w:space="0"/>
            </w:tcBorders>
            <w:vAlign w:val="center"/>
          </w:tcPr>
          <w:p w14:paraId="5EF52718">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0BEF575D">
            <w:pPr>
              <w:spacing w:line="240" w:lineRule="exact"/>
              <w:jc w:val="right"/>
              <w:rPr>
                <w:rFonts w:ascii="宋体" w:hAnsi="宋体" w:eastAsia="宋体" w:cs="宋体"/>
                <w:sz w:val="18"/>
                <w:szCs w:val="18"/>
              </w:rPr>
            </w:pPr>
            <w:r>
              <w:rPr>
                <w:rFonts w:ascii="宋体" w:hAnsi="宋体" w:cs="宋体"/>
                <w:sz w:val="18"/>
                <w:szCs w:val="18"/>
              </w:rPr>
              <w:t>38</w:t>
            </w:r>
          </w:p>
        </w:tc>
        <w:tc>
          <w:tcPr>
            <w:tcW w:w="741" w:type="dxa"/>
            <w:tcBorders>
              <w:top w:val="single" w:color="auto" w:sz="2" w:space="0"/>
              <w:left w:val="single" w:color="auto" w:sz="2" w:space="0"/>
              <w:bottom w:val="single" w:color="auto" w:sz="2" w:space="0"/>
              <w:right w:val="single" w:color="auto" w:sz="2" w:space="0"/>
            </w:tcBorders>
            <w:vAlign w:val="center"/>
          </w:tcPr>
          <w:p w14:paraId="162ACAF0">
            <w:pPr>
              <w:spacing w:before="0" w:after="0" w:line="240" w:lineRule="exact"/>
              <w:jc w:val="left"/>
              <w:rPr>
                <w:rFonts w:ascii="宋体" w:hAnsi="宋体" w:eastAsia="宋体" w:cs="宋体"/>
                <w:sz w:val="18"/>
                <w:szCs w:val="18"/>
              </w:rPr>
            </w:pPr>
            <w:r>
              <w:rPr>
                <w:rFonts w:ascii="宋体" w:hAnsi="宋体" w:eastAsia="宋体" w:cs="宋体"/>
                <w:sz w:val="18"/>
                <w:szCs w:val="18"/>
              </w:rPr>
              <w:t>副总经理、董事会秘书</w:t>
            </w:r>
          </w:p>
        </w:tc>
        <w:tc>
          <w:tcPr>
            <w:tcW w:w="741" w:type="dxa"/>
            <w:tcBorders>
              <w:top w:val="single" w:color="auto" w:sz="2" w:space="0"/>
              <w:left w:val="single" w:color="auto" w:sz="2" w:space="0"/>
              <w:bottom w:val="single" w:color="auto" w:sz="2" w:space="0"/>
              <w:right w:val="single" w:color="auto" w:sz="2" w:space="0"/>
            </w:tcBorders>
            <w:vAlign w:val="center"/>
          </w:tcPr>
          <w:p w14:paraId="14F23A8F">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741" w:type="dxa"/>
            <w:tcBorders>
              <w:top w:val="single" w:color="auto" w:sz="2" w:space="0"/>
              <w:left w:val="single" w:color="auto" w:sz="2" w:space="0"/>
              <w:bottom w:val="single" w:color="auto" w:sz="2" w:space="0"/>
              <w:right w:val="single" w:color="auto" w:sz="2" w:space="0"/>
            </w:tcBorders>
            <w:vAlign w:val="center"/>
          </w:tcPr>
          <w:p w14:paraId="500F160D">
            <w:pPr>
              <w:spacing w:before="0" w:after="0" w:line="240" w:lineRule="exact"/>
              <w:jc w:val="left"/>
              <w:rPr>
                <w:rFonts w:ascii="宋体" w:hAnsi="宋体" w:eastAsia="宋体" w:cs="宋体"/>
                <w:sz w:val="18"/>
                <w:szCs w:val="18"/>
              </w:rPr>
            </w:pPr>
            <w:r>
              <w:rPr>
                <w:rFonts w:ascii="宋体" w:hAnsi="宋体" w:eastAsia="宋体" w:cs="宋体"/>
                <w:sz w:val="18"/>
                <w:szCs w:val="18"/>
              </w:rPr>
              <w:t>2023年05月04日</w:t>
            </w:r>
          </w:p>
        </w:tc>
        <w:tc>
          <w:tcPr>
            <w:tcW w:w="741" w:type="dxa"/>
            <w:tcBorders>
              <w:top w:val="single" w:color="auto" w:sz="2" w:space="0"/>
              <w:left w:val="single" w:color="auto" w:sz="2" w:space="0"/>
              <w:bottom w:val="single" w:color="auto" w:sz="2" w:space="0"/>
              <w:right w:val="single" w:color="auto" w:sz="2" w:space="0"/>
            </w:tcBorders>
            <w:vAlign w:val="center"/>
          </w:tcPr>
          <w:p w14:paraId="39EA83E7">
            <w:pPr>
              <w:spacing w:before="0" w:after="0" w:line="240" w:lineRule="exact"/>
              <w:jc w:val="left"/>
              <w:rPr>
                <w:rFonts w:ascii="宋体" w:hAnsi="宋体" w:eastAsia="宋体" w:cs="宋体"/>
                <w:sz w:val="18"/>
                <w:szCs w:val="18"/>
              </w:rPr>
            </w:pPr>
            <w:r>
              <w:rPr>
                <w:rFonts w:ascii="宋体" w:hAnsi="宋体" w:eastAsia="宋体" w:cs="宋体"/>
                <w:sz w:val="18"/>
                <w:szCs w:val="18"/>
              </w:rPr>
              <w:t>2027年06月23日</w:t>
            </w:r>
          </w:p>
        </w:tc>
        <w:tc>
          <w:tcPr>
            <w:tcW w:w="741" w:type="dxa"/>
            <w:tcBorders>
              <w:top w:val="single" w:color="auto" w:sz="2" w:space="0"/>
              <w:left w:val="single" w:color="auto" w:sz="2" w:space="0"/>
              <w:bottom w:val="single" w:color="auto" w:sz="2" w:space="0"/>
              <w:right w:val="single" w:color="auto" w:sz="2" w:space="0"/>
            </w:tcBorders>
            <w:vAlign w:val="center"/>
          </w:tcPr>
          <w:p w14:paraId="42A65DF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197BDA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AF13B2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E8E395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0D3DCB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856E482">
            <w:pPr>
              <w:spacing w:before="0" w:after="0" w:line="240" w:lineRule="exact"/>
              <w:jc w:val="left"/>
              <w:rPr>
                <w:rFonts w:ascii="宋体" w:hAnsi="宋体" w:eastAsia="宋体" w:cs="宋体"/>
                <w:sz w:val="18"/>
                <w:szCs w:val="18"/>
              </w:rPr>
            </w:pPr>
          </w:p>
        </w:tc>
      </w:tr>
      <w:tr w14:paraId="31E8E8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4C48A9AE">
            <w:pPr>
              <w:spacing w:before="0" w:after="0" w:line="240" w:lineRule="exact"/>
              <w:jc w:val="left"/>
              <w:rPr>
                <w:rFonts w:ascii="宋体" w:hAnsi="宋体" w:eastAsia="宋体" w:cs="宋体"/>
                <w:sz w:val="18"/>
                <w:szCs w:val="18"/>
              </w:rPr>
            </w:pPr>
            <w:r>
              <w:rPr>
                <w:rFonts w:ascii="宋体" w:hAnsi="宋体" w:eastAsia="宋体" w:cs="宋体"/>
                <w:sz w:val="18"/>
                <w:szCs w:val="18"/>
              </w:rPr>
              <w:t>黄伏虎</w:t>
            </w:r>
          </w:p>
        </w:tc>
        <w:tc>
          <w:tcPr>
            <w:tcW w:w="741" w:type="dxa"/>
            <w:tcBorders>
              <w:top w:val="single" w:color="auto" w:sz="2" w:space="0"/>
              <w:left w:val="single" w:color="auto" w:sz="2" w:space="0"/>
              <w:bottom w:val="single" w:color="auto" w:sz="2" w:space="0"/>
              <w:right w:val="single" w:color="auto" w:sz="2" w:space="0"/>
            </w:tcBorders>
            <w:vAlign w:val="center"/>
          </w:tcPr>
          <w:p w14:paraId="2207B7A6">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6D9B41BD">
            <w:pPr>
              <w:spacing w:line="240" w:lineRule="exact"/>
              <w:jc w:val="right"/>
              <w:rPr>
                <w:rFonts w:ascii="宋体" w:hAnsi="宋体" w:eastAsia="宋体" w:cs="宋体"/>
                <w:sz w:val="18"/>
                <w:szCs w:val="18"/>
              </w:rPr>
            </w:pPr>
            <w:r>
              <w:rPr>
                <w:rFonts w:ascii="宋体" w:hAnsi="宋体" w:cs="宋体"/>
                <w:sz w:val="18"/>
                <w:szCs w:val="18"/>
              </w:rPr>
              <w:t>4</w:t>
            </w:r>
            <w:r>
              <w:rPr>
                <w:rFonts w:hint="eastAsia" w:ascii="宋体" w:hAnsi="宋体" w:cs="宋体"/>
                <w:sz w:val="18"/>
                <w:szCs w:val="18"/>
              </w:rPr>
              <w:t>9</w:t>
            </w:r>
          </w:p>
        </w:tc>
        <w:tc>
          <w:tcPr>
            <w:tcW w:w="741" w:type="dxa"/>
            <w:tcBorders>
              <w:top w:val="single" w:color="auto" w:sz="2" w:space="0"/>
              <w:left w:val="single" w:color="auto" w:sz="2" w:space="0"/>
              <w:bottom w:val="single" w:color="auto" w:sz="2" w:space="0"/>
              <w:right w:val="single" w:color="auto" w:sz="2" w:space="0"/>
            </w:tcBorders>
            <w:vAlign w:val="center"/>
          </w:tcPr>
          <w:p w14:paraId="30C8C8E1">
            <w:pPr>
              <w:spacing w:before="0" w:after="0" w:line="240" w:lineRule="exact"/>
              <w:jc w:val="left"/>
              <w:rPr>
                <w:rFonts w:ascii="宋体" w:hAnsi="宋体" w:eastAsia="宋体" w:cs="宋体"/>
                <w:sz w:val="18"/>
                <w:szCs w:val="18"/>
              </w:rPr>
            </w:pPr>
            <w:r>
              <w:rPr>
                <w:rFonts w:ascii="宋体" w:hAnsi="宋体" w:eastAsia="宋体" w:cs="宋体"/>
                <w:sz w:val="18"/>
                <w:szCs w:val="18"/>
              </w:rPr>
              <w:t>原副总经理</w:t>
            </w:r>
          </w:p>
        </w:tc>
        <w:tc>
          <w:tcPr>
            <w:tcW w:w="741" w:type="dxa"/>
            <w:tcBorders>
              <w:top w:val="single" w:color="auto" w:sz="2" w:space="0"/>
              <w:left w:val="single" w:color="auto" w:sz="2" w:space="0"/>
              <w:bottom w:val="single" w:color="auto" w:sz="2" w:space="0"/>
              <w:right w:val="single" w:color="auto" w:sz="2" w:space="0"/>
            </w:tcBorders>
            <w:vAlign w:val="center"/>
          </w:tcPr>
          <w:p w14:paraId="572FAD9B">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741" w:type="dxa"/>
            <w:tcBorders>
              <w:top w:val="single" w:color="auto" w:sz="2" w:space="0"/>
              <w:left w:val="single" w:color="auto" w:sz="2" w:space="0"/>
              <w:bottom w:val="single" w:color="auto" w:sz="2" w:space="0"/>
              <w:right w:val="single" w:color="auto" w:sz="2" w:space="0"/>
            </w:tcBorders>
            <w:vAlign w:val="center"/>
          </w:tcPr>
          <w:p w14:paraId="27CB94E6">
            <w:pPr>
              <w:spacing w:before="0" w:after="0" w:line="240" w:lineRule="exact"/>
              <w:jc w:val="left"/>
              <w:rPr>
                <w:rFonts w:ascii="宋体" w:hAnsi="宋体" w:eastAsia="宋体" w:cs="宋体"/>
                <w:sz w:val="18"/>
                <w:szCs w:val="18"/>
              </w:rPr>
            </w:pPr>
            <w:r>
              <w:rPr>
                <w:rFonts w:ascii="宋体" w:hAnsi="宋体" w:eastAsia="宋体" w:cs="宋体"/>
                <w:sz w:val="18"/>
                <w:szCs w:val="18"/>
              </w:rPr>
              <w:t>2020年03月25日</w:t>
            </w:r>
          </w:p>
        </w:tc>
        <w:tc>
          <w:tcPr>
            <w:tcW w:w="741" w:type="dxa"/>
            <w:tcBorders>
              <w:top w:val="single" w:color="auto" w:sz="2" w:space="0"/>
              <w:left w:val="single" w:color="auto" w:sz="2" w:space="0"/>
              <w:bottom w:val="single" w:color="auto" w:sz="2" w:space="0"/>
              <w:right w:val="single" w:color="auto" w:sz="2" w:space="0"/>
            </w:tcBorders>
            <w:vAlign w:val="center"/>
          </w:tcPr>
          <w:p w14:paraId="49291D39">
            <w:pPr>
              <w:spacing w:before="0" w:after="0" w:line="240" w:lineRule="exact"/>
              <w:jc w:val="left"/>
              <w:rPr>
                <w:rFonts w:ascii="宋体" w:hAnsi="宋体" w:eastAsia="宋体" w:cs="宋体"/>
                <w:sz w:val="18"/>
                <w:szCs w:val="18"/>
              </w:rPr>
            </w:pPr>
            <w:r>
              <w:rPr>
                <w:rFonts w:ascii="宋体" w:hAnsi="宋体" w:eastAsia="宋体" w:cs="宋体"/>
                <w:sz w:val="18"/>
                <w:szCs w:val="18"/>
              </w:rPr>
              <w:t>2025年01月13日</w:t>
            </w:r>
          </w:p>
        </w:tc>
        <w:tc>
          <w:tcPr>
            <w:tcW w:w="741" w:type="dxa"/>
            <w:tcBorders>
              <w:top w:val="single" w:color="auto" w:sz="2" w:space="0"/>
              <w:left w:val="single" w:color="auto" w:sz="2" w:space="0"/>
              <w:bottom w:val="single" w:color="auto" w:sz="2" w:space="0"/>
              <w:right w:val="single" w:color="auto" w:sz="2" w:space="0"/>
            </w:tcBorders>
            <w:vAlign w:val="center"/>
          </w:tcPr>
          <w:p w14:paraId="3432CFE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45F9C5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2AC187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895932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AA860D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878E16B">
            <w:pPr>
              <w:spacing w:before="0" w:after="0" w:line="240" w:lineRule="exact"/>
              <w:jc w:val="left"/>
              <w:rPr>
                <w:rFonts w:ascii="宋体" w:hAnsi="宋体" w:eastAsia="宋体" w:cs="宋体"/>
                <w:sz w:val="18"/>
                <w:szCs w:val="18"/>
              </w:rPr>
            </w:pPr>
          </w:p>
        </w:tc>
      </w:tr>
      <w:tr w14:paraId="33C480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2ADAC211">
            <w:pPr>
              <w:spacing w:before="0" w:after="0" w:line="240" w:lineRule="exact"/>
              <w:jc w:val="left"/>
              <w:rPr>
                <w:rFonts w:ascii="宋体" w:hAnsi="宋体" w:eastAsia="宋体" w:cs="宋体"/>
                <w:sz w:val="18"/>
                <w:szCs w:val="18"/>
              </w:rPr>
            </w:pPr>
            <w:r>
              <w:rPr>
                <w:rFonts w:ascii="宋体" w:hAnsi="宋体" w:eastAsia="宋体" w:cs="宋体"/>
                <w:sz w:val="18"/>
                <w:szCs w:val="18"/>
              </w:rPr>
              <w:t>李洪明</w:t>
            </w:r>
          </w:p>
        </w:tc>
        <w:tc>
          <w:tcPr>
            <w:tcW w:w="741" w:type="dxa"/>
            <w:tcBorders>
              <w:top w:val="single" w:color="auto" w:sz="2" w:space="0"/>
              <w:left w:val="single" w:color="auto" w:sz="2" w:space="0"/>
              <w:bottom w:val="single" w:color="auto" w:sz="2" w:space="0"/>
              <w:right w:val="single" w:color="auto" w:sz="2" w:space="0"/>
            </w:tcBorders>
            <w:vAlign w:val="center"/>
          </w:tcPr>
          <w:p w14:paraId="5E8DCA1D">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083C975E">
            <w:pPr>
              <w:spacing w:line="240" w:lineRule="exact"/>
              <w:jc w:val="right"/>
              <w:rPr>
                <w:rFonts w:ascii="宋体" w:hAnsi="宋体" w:eastAsia="宋体" w:cs="宋体"/>
                <w:sz w:val="18"/>
                <w:szCs w:val="18"/>
              </w:rPr>
            </w:pPr>
            <w:r>
              <w:rPr>
                <w:rFonts w:ascii="宋体" w:hAnsi="宋体" w:cs="宋体"/>
                <w:sz w:val="18"/>
                <w:szCs w:val="18"/>
              </w:rPr>
              <w:t>56</w:t>
            </w:r>
          </w:p>
        </w:tc>
        <w:tc>
          <w:tcPr>
            <w:tcW w:w="741" w:type="dxa"/>
            <w:tcBorders>
              <w:top w:val="single" w:color="auto" w:sz="2" w:space="0"/>
              <w:left w:val="single" w:color="auto" w:sz="2" w:space="0"/>
              <w:bottom w:val="single" w:color="auto" w:sz="2" w:space="0"/>
              <w:right w:val="single" w:color="auto" w:sz="2" w:space="0"/>
            </w:tcBorders>
            <w:vAlign w:val="center"/>
          </w:tcPr>
          <w:p w14:paraId="0092B21A">
            <w:pPr>
              <w:spacing w:before="0" w:after="0" w:line="240" w:lineRule="exact"/>
              <w:jc w:val="left"/>
              <w:rPr>
                <w:rFonts w:ascii="宋体" w:hAnsi="宋体" w:eastAsia="宋体" w:cs="宋体"/>
                <w:sz w:val="18"/>
                <w:szCs w:val="18"/>
              </w:rPr>
            </w:pPr>
            <w:r>
              <w:rPr>
                <w:rFonts w:ascii="宋体" w:hAnsi="宋体" w:eastAsia="宋体" w:cs="宋体"/>
                <w:sz w:val="18"/>
                <w:szCs w:val="18"/>
              </w:rPr>
              <w:t>原董事、首席运营官</w:t>
            </w:r>
          </w:p>
        </w:tc>
        <w:tc>
          <w:tcPr>
            <w:tcW w:w="741" w:type="dxa"/>
            <w:tcBorders>
              <w:top w:val="single" w:color="auto" w:sz="2" w:space="0"/>
              <w:left w:val="single" w:color="auto" w:sz="2" w:space="0"/>
              <w:bottom w:val="single" w:color="auto" w:sz="2" w:space="0"/>
              <w:right w:val="single" w:color="auto" w:sz="2" w:space="0"/>
            </w:tcBorders>
            <w:vAlign w:val="center"/>
          </w:tcPr>
          <w:p w14:paraId="01A5C730">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741" w:type="dxa"/>
            <w:tcBorders>
              <w:top w:val="single" w:color="auto" w:sz="2" w:space="0"/>
              <w:left w:val="single" w:color="auto" w:sz="2" w:space="0"/>
              <w:bottom w:val="single" w:color="auto" w:sz="2" w:space="0"/>
              <w:right w:val="single" w:color="auto" w:sz="2" w:space="0"/>
            </w:tcBorders>
            <w:vAlign w:val="center"/>
          </w:tcPr>
          <w:p w14:paraId="2F452E5F">
            <w:pPr>
              <w:spacing w:before="0" w:after="0" w:line="240" w:lineRule="exact"/>
              <w:jc w:val="left"/>
              <w:rPr>
                <w:rFonts w:ascii="宋体" w:hAnsi="宋体" w:eastAsia="宋体" w:cs="宋体"/>
                <w:sz w:val="18"/>
                <w:szCs w:val="18"/>
              </w:rPr>
            </w:pPr>
            <w:r>
              <w:rPr>
                <w:rFonts w:ascii="宋体" w:hAnsi="宋体" w:eastAsia="宋体" w:cs="宋体"/>
                <w:sz w:val="18"/>
                <w:szCs w:val="18"/>
              </w:rPr>
              <w:t>2011年09月20日</w:t>
            </w:r>
          </w:p>
        </w:tc>
        <w:tc>
          <w:tcPr>
            <w:tcW w:w="741" w:type="dxa"/>
            <w:tcBorders>
              <w:top w:val="single" w:color="auto" w:sz="2" w:space="0"/>
              <w:left w:val="single" w:color="auto" w:sz="2" w:space="0"/>
              <w:bottom w:val="single" w:color="auto" w:sz="2" w:space="0"/>
              <w:right w:val="single" w:color="auto" w:sz="2" w:space="0"/>
            </w:tcBorders>
            <w:vAlign w:val="center"/>
          </w:tcPr>
          <w:p w14:paraId="0A72E60B">
            <w:pPr>
              <w:spacing w:before="0" w:after="0" w:line="240" w:lineRule="exact"/>
              <w:jc w:val="left"/>
              <w:rPr>
                <w:rFonts w:ascii="宋体" w:hAnsi="宋体" w:eastAsia="宋体" w:cs="宋体"/>
                <w:sz w:val="18"/>
                <w:szCs w:val="18"/>
              </w:rPr>
            </w:pPr>
            <w:r>
              <w:rPr>
                <w:rFonts w:ascii="宋体" w:hAnsi="宋体" w:eastAsia="宋体" w:cs="宋体"/>
                <w:sz w:val="18"/>
                <w:szCs w:val="18"/>
              </w:rPr>
              <w:t>2025年01月13日</w:t>
            </w:r>
          </w:p>
        </w:tc>
        <w:tc>
          <w:tcPr>
            <w:tcW w:w="741" w:type="dxa"/>
            <w:tcBorders>
              <w:top w:val="single" w:color="auto" w:sz="2" w:space="0"/>
              <w:left w:val="single" w:color="auto" w:sz="2" w:space="0"/>
              <w:bottom w:val="single" w:color="auto" w:sz="2" w:space="0"/>
              <w:right w:val="single" w:color="auto" w:sz="2" w:space="0"/>
            </w:tcBorders>
            <w:vAlign w:val="center"/>
          </w:tcPr>
          <w:p w14:paraId="141FEBA4">
            <w:pPr>
              <w:spacing w:before="0" w:after="0" w:line="240" w:lineRule="exact"/>
              <w:jc w:val="right"/>
              <w:rPr>
                <w:rFonts w:ascii="宋体" w:hAnsi="宋体" w:eastAsia="宋体" w:cs="宋体"/>
                <w:sz w:val="18"/>
                <w:szCs w:val="18"/>
              </w:rPr>
            </w:pPr>
            <w:r>
              <w:rPr>
                <w:rFonts w:ascii="宋体" w:hAnsi="宋体" w:eastAsia="宋体" w:cs="宋体"/>
                <w:sz w:val="18"/>
                <w:szCs w:val="18"/>
              </w:rPr>
              <w:t>8,600</w:t>
            </w:r>
          </w:p>
        </w:tc>
        <w:tc>
          <w:tcPr>
            <w:tcW w:w="741" w:type="dxa"/>
            <w:tcBorders>
              <w:top w:val="single" w:color="auto" w:sz="2" w:space="0"/>
              <w:left w:val="single" w:color="auto" w:sz="2" w:space="0"/>
              <w:bottom w:val="single" w:color="auto" w:sz="2" w:space="0"/>
              <w:right w:val="single" w:color="auto" w:sz="2" w:space="0"/>
            </w:tcBorders>
            <w:vAlign w:val="center"/>
          </w:tcPr>
          <w:p w14:paraId="0B9C912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EF0CD5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82CFB0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43A58D3">
            <w:pPr>
              <w:spacing w:before="0" w:after="0" w:line="240" w:lineRule="exact"/>
              <w:jc w:val="right"/>
              <w:rPr>
                <w:rFonts w:ascii="宋体" w:hAnsi="宋体" w:eastAsia="宋体" w:cs="宋体"/>
                <w:sz w:val="18"/>
                <w:szCs w:val="18"/>
              </w:rPr>
            </w:pPr>
            <w:r>
              <w:rPr>
                <w:rFonts w:ascii="宋体" w:hAnsi="宋体" w:eastAsia="宋体" w:cs="宋体"/>
                <w:sz w:val="18"/>
                <w:szCs w:val="18"/>
              </w:rPr>
              <w:t>8,600</w:t>
            </w:r>
          </w:p>
        </w:tc>
        <w:tc>
          <w:tcPr>
            <w:tcW w:w="741" w:type="dxa"/>
            <w:tcBorders>
              <w:top w:val="single" w:color="auto" w:sz="2" w:space="0"/>
              <w:left w:val="single" w:color="auto" w:sz="2" w:space="0"/>
              <w:bottom w:val="single" w:color="auto" w:sz="2" w:space="0"/>
              <w:right w:val="single" w:color="auto" w:sz="2" w:space="0"/>
            </w:tcBorders>
            <w:vAlign w:val="center"/>
          </w:tcPr>
          <w:p w14:paraId="7F20105F">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33D19E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1FC1C0CA">
            <w:pPr>
              <w:spacing w:before="0" w:after="0" w:line="240" w:lineRule="exact"/>
              <w:jc w:val="left"/>
              <w:rPr>
                <w:rFonts w:ascii="宋体" w:hAnsi="宋体" w:eastAsia="宋体" w:cs="宋体"/>
                <w:sz w:val="18"/>
                <w:szCs w:val="18"/>
              </w:rPr>
            </w:pPr>
            <w:r>
              <w:rPr>
                <w:rFonts w:ascii="宋体" w:hAnsi="宋体" w:eastAsia="宋体" w:cs="宋体"/>
                <w:sz w:val="18"/>
                <w:szCs w:val="18"/>
              </w:rPr>
              <w:t>任红</w:t>
            </w:r>
          </w:p>
        </w:tc>
        <w:tc>
          <w:tcPr>
            <w:tcW w:w="741" w:type="dxa"/>
            <w:tcBorders>
              <w:top w:val="single" w:color="auto" w:sz="2" w:space="0"/>
              <w:left w:val="single" w:color="auto" w:sz="2" w:space="0"/>
              <w:bottom w:val="single" w:color="auto" w:sz="2" w:space="0"/>
              <w:right w:val="single" w:color="auto" w:sz="2" w:space="0"/>
            </w:tcBorders>
            <w:vAlign w:val="center"/>
          </w:tcPr>
          <w:p w14:paraId="6DE71BF7">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65F1E116">
            <w:pPr>
              <w:spacing w:line="240" w:lineRule="exact"/>
              <w:jc w:val="right"/>
              <w:rPr>
                <w:rFonts w:ascii="宋体" w:hAnsi="宋体" w:eastAsia="宋体" w:cs="宋体"/>
                <w:sz w:val="18"/>
                <w:szCs w:val="18"/>
              </w:rPr>
            </w:pPr>
            <w:r>
              <w:rPr>
                <w:rFonts w:ascii="宋体" w:hAnsi="宋体" w:cs="宋体"/>
                <w:sz w:val="18"/>
                <w:szCs w:val="18"/>
              </w:rPr>
              <w:t>65</w:t>
            </w:r>
          </w:p>
        </w:tc>
        <w:tc>
          <w:tcPr>
            <w:tcW w:w="741" w:type="dxa"/>
            <w:tcBorders>
              <w:top w:val="single" w:color="auto" w:sz="2" w:space="0"/>
              <w:left w:val="single" w:color="auto" w:sz="2" w:space="0"/>
              <w:bottom w:val="single" w:color="auto" w:sz="2" w:space="0"/>
              <w:right w:val="single" w:color="auto" w:sz="2" w:space="0"/>
            </w:tcBorders>
            <w:vAlign w:val="center"/>
          </w:tcPr>
          <w:p w14:paraId="4F0FFBA2">
            <w:pPr>
              <w:spacing w:before="0" w:after="0" w:line="240" w:lineRule="exact"/>
              <w:jc w:val="left"/>
              <w:rPr>
                <w:rFonts w:ascii="宋体" w:hAnsi="宋体" w:eastAsia="宋体" w:cs="宋体"/>
                <w:sz w:val="18"/>
                <w:szCs w:val="18"/>
              </w:rPr>
            </w:pPr>
            <w:r>
              <w:rPr>
                <w:rFonts w:ascii="宋体" w:hAnsi="宋体" w:eastAsia="宋体" w:cs="宋体"/>
                <w:sz w:val="18"/>
                <w:szCs w:val="18"/>
              </w:rPr>
              <w:t>原独立董事</w:t>
            </w:r>
          </w:p>
        </w:tc>
        <w:tc>
          <w:tcPr>
            <w:tcW w:w="741" w:type="dxa"/>
            <w:tcBorders>
              <w:top w:val="single" w:color="auto" w:sz="2" w:space="0"/>
              <w:left w:val="single" w:color="auto" w:sz="2" w:space="0"/>
              <w:bottom w:val="single" w:color="auto" w:sz="2" w:space="0"/>
              <w:right w:val="single" w:color="auto" w:sz="2" w:space="0"/>
            </w:tcBorders>
            <w:vAlign w:val="center"/>
          </w:tcPr>
          <w:p w14:paraId="664F3F34">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741" w:type="dxa"/>
            <w:tcBorders>
              <w:top w:val="single" w:color="auto" w:sz="2" w:space="0"/>
              <w:left w:val="single" w:color="auto" w:sz="2" w:space="0"/>
              <w:bottom w:val="single" w:color="auto" w:sz="2" w:space="0"/>
              <w:right w:val="single" w:color="auto" w:sz="2" w:space="0"/>
            </w:tcBorders>
            <w:vAlign w:val="center"/>
          </w:tcPr>
          <w:p w14:paraId="4487E208">
            <w:pPr>
              <w:spacing w:before="0" w:after="0" w:line="240" w:lineRule="exact"/>
              <w:jc w:val="left"/>
              <w:rPr>
                <w:rFonts w:ascii="宋体" w:hAnsi="宋体" w:eastAsia="宋体" w:cs="宋体"/>
                <w:sz w:val="18"/>
                <w:szCs w:val="18"/>
              </w:rPr>
            </w:pPr>
            <w:r>
              <w:rPr>
                <w:rFonts w:ascii="宋体" w:hAnsi="宋体" w:eastAsia="宋体" w:cs="宋体"/>
                <w:sz w:val="18"/>
                <w:szCs w:val="18"/>
              </w:rPr>
              <w:t>2021年01月06日</w:t>
            </w:r>
          </w:p>
        </w:tc>
        <w:tc>
          <w:tcPr>
            <w:tcW w:w="741" w:type="dxa"/>
            <w:tcBorders>
              <w:top w:val="single" w:color="auto" w:sz="2" w:space="0"/>
              <w:left w:val="single" w:color="auto" w:sz="2" w:space="0"/>
              <w:bottom w:val="single" w:color="auto" w:sz="2" w:space="0"/>
              <w:right w:val="single" w:color="auto" w:sz="2" w:space="0"/>
            </w:tcBorders>
            <w:vAlign w:val="center"/>
          </w:tcPr>
          <w:p w14:paraId="5F88C914">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w:t>
            </w:r>
            <w:r>
              <w:rPr>
                <w:rFonts w:hint="eastAsia" w:ascii="宋体" w:hAnsi="宋体" w:cs="宋体"/>
                <w:sz w:val="18"/>
                <w:szCs w:val="18"/>
                <w:lang w:val="en-US" w:eastAsia="zh-CN"/>
              </w:rPr>
              <w:t>4</w:t>
            </w:r>
            <w:r>
              <w:rPr>
                <w:rFonts w:ascii="宋体" w:hAnsi="宋体" w:eastAsia="宋体" w:cs="宋体"/>
                <w:sz w:val="18"/>
                <w:szCs w:val="18"/>
              </w:rPr>
              <w:t>日</w:t>
            </w:r>
          </w:p>
        </w:tc>
        <w:tc>
          <w:tcPr>
            <w:tcW w:w="741" w:type="dxa"/>
            <w:tcBorders>
              <w:top w:val="single" w:color="auto" w:sz="2" w:space="0"/>
              <w:left w:val="single" w:color="auto" w:sz="2" w:space="0"/>
              <w:bottom w:val="single" w:color="auto" w:sz="2" w:space="0"/>
              <w:right w:val="single" w:color="auto" w:sz="2" w:space="0"/>
            </w:tcBorders>
            <w:vAlign w:val="center"/>
          </w:tcPr>
          <w:p w14:paraId="0AFAB71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5020A5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8DE287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C1B232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8C00D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43F7FA0">
            <w:pPr>
              <w:spacing w:before="0" w:after="0" w:line="240" w:lineRule="exact"/>
              <w:jc w:val="left"/>
              <w:rPr>
                <w:rFonts w:ascii="宋体" w:hAnsi="宋体" w:eastAsia="宋体" w:cs="宋体"/>
                <w:sz w:val="18"/>
                <w:szCs w:val="18"/>
              </w:rPr>
            </w:pPr>
          </w:p>
        </w:tc>
      </w:tr>
      <w:tr w14:paraId="6580E1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20A64A47">
            <w:pPr>
              <w:spacing w:before="0" w:after="0" w:line="240" w:lineRule="exact"/>
              <w:jc w:val="left"/>
              <w:rPr>
                <w:rFonts w:ascii="宋体" w:hAnsi="宋体" w:eastAsia="宋体" w:cs="宋体"/>
                <w:sz w:val="18"/>
                <w:szCs w:val="18"/>
              </w:rPr>
            </w:pPr>
            <w:r>
              <w:rPr>
                <w:rFonts w:ascii="宋体" w:hAnsi="宋体" w:eastAsia="宋体" w:cs="宋体"/>
                <w:sz w:val="18"/>
                <w:szCs w:val="18"/>
              </w:rPr>
              <w:t>陈明宇</w:t>
            </w:r>
          </w:p>
        </w:tc>
        <w:tc>
          <w:tcPr>
            <w:tcW w:w="741" w:type="dxa"/>
            <w:tcBorders>
              <w:top w:val="single" w:color="auto" w:sz="2" w:space="0"/>
              <w:left w:val="single" w:color="auto" w:sz="2" w:space="0"/>
              <w:bottom w:val="single" w:color="auto" w:sz="2" w:space="0"/>
              <w:right w:val="single" w:color="auto" w:sz="2" w:space="0"/>
            </w:tcBorders>
            <w:vAlign w:val="center"/>
          </w:tcPr>
          <w:p w14:paraId="5C9E2A24">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1917B871">
            <w:pPr>
              <w:spacing w:line="240" w:lineRule="exact"/>
              <w:jc w:val="right"/>
              <w:rPr>
                <w:rFonts w:ascii="宋体" w:hAnsi="宋体" w:eastAsia="宋体" w:cs="宋体"/>
                <w:sz w:val="18"/>
                <w:szCs w:val="18"/>
              </w:rPr>
            </w:pPr>
            <w:r>
              <w:rPr>
                <w:rFonts w:ascii="宋体" w:hAnsi="宋体" w:cs="宋体"/>
                <w:sz w:val="18"/>
                <w:szCs w:val="18"/>
              </w:rPr>
              <w:t>62</w:t>
            </w:r>
          </w:p>
        </w:tc>
        <w:tc>
          <w:tcPr>
            <w:tcW w:w="741" w:type="dxa"/>
            <w:tcBorders>
              <w:top w:val="single" w:color="auto" w:sz="2" w:space="0"/>
              <w:left w:val="single" w:color="auto" w:sz="2" w:space="0"/>
              <w:bottom w:val="single" w:color="auto" w:sz="2" w:space="0"/>
              <w:right w:val="single" w:color="auto" w:sz="2" w:space="0"/>
            </w:tcBorders>
            <w:vAlign w:val="center"/>
          </w:tcPr>
          <w:p w14:paraId="01B9854E">
            <w:pPr>
              <w:spacing w:before="0" w:after="0" w:line="240" w:lineRule="exact"/>
              <w:jc w:val="left"/>
              <w:rPr>
                <w:rFonts w:ascii="宋体" w:hAnsi="宋体" w:eastAsia="宋体" w:cs="宋体"/>
                <w:sz w:val="18"/>
                <w:szCs w:val="18"/>
              </w:rPr>
            </w:pPr>
            <w:r>
              <w:rPr>
                <w:rFonts w:ascii="宋体" w:hAnsi="宋体" w:eastAsia="宋体" w:cs="宋体"/>
                <w:sz w:val="18"/>
                <w:szCs w:val="18"/>
              </w:rPr>
              <w:t>原独立董事</w:t>
            </w:r>
          </w:p>
        </w:tc>
        <w:tc>
          <w:tcPr>
            <w:tcW w:w="741" w:type="dxa"/>
            <w:tcBorders>
              <w:top w:val="single" w:color="auto" w:sz="2" w:space="0"/>
              <w:left w:val="single" w:color="auto" w:sz="2" w:space="0"/>
              <w:bottom w:val="single" w:color="auto" w:sz="2" w:space="0"/>
              <w:right w:val="single" w:color="auto" w:sz="2" w:space="0"/>
            </w:tcBorders>
            <w:vAlign w:val="center"/>
          </w:tcPr>
          <w:p w14:paraId="7D681C1F">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741" w:type="dxa"/>
            <w:tcBorders>
              <w:top w:val="single" w:color="auto" w:sz="2" w:space="0"/>
              <w:left w:val="single" w:color="auto" w:sz="2" w:space="0"/>
              <w:bottom w:val="single" w:color="auto" w:sz="2" w:space="0"/>
              <w:right w:val="single" w:color="auto" w:sz="2" w:space="0"/>
            </w:tcBorders>
            <w:vAlign w:val="center"/>
          </w:tcPr>
          <w:p w14:paraId="036A2B7C">
            <w:pPr>
              <w:spacing w:before="0" w:after="0" w:line="240" w:lineRule="exact"/>
              <w:jc w:val="left"/>
              <w:rPr>
                <w:rFonts w:ascii="宋体" w:hAnsi="宋体" w:eastAsia="宋体" w:cs="宋体"/>
                <w:sz w:val="18"/>
                <w:szCs w:val="18"/>
              </w:rPr>
            </w:pPr>
            <w:r>
              <w:rPr>
                <w:rFonts w:ascii="宋体" w:hAnsi="宋体" w:eastAsia="宋体" w:cs="宋体"/>
                <w:sz w:val="18"/>
                <w:szCs w:val="18"/>
              </w:rPr>
              <w:t>2021年01月06日</w:t>
            </w:r>
          </w:p>
        </w:tc>
        <w:tc>
          <w:tcPr>
            <w:tcW w:w="741" w:type="dxa"/>
            <w:tcBorders>
              <w:top w:val="single" w:color="auto" w:sz="2" w:space="0"/>
              <w:left w:val="single" w:color="auto" w:sz="2" w:space="0"/>
              <w:bottom w:val="single" w:color="auto" w:sz="2" w:space="0"/>
              <w:right w:val="single" w:color="auto" w:sz="2" w:space="0"/>
            </w:tcBorders>
            <w:vAlign w:val="center"/>
          </w:tcPr>
          <w:p w14:paraId="335F4D10">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w:t>
            </w:r>
            <w:r>
              <w:rPr>
                <w:rFonts w:hint="eastAsia" w:ascii="宋体" w:hAnsi="宋体" w:cs="宋体"/>
                <w:sz w:val="18"/>
                <w:szCs w:val="18"/>
                <w:lang w:val="en-US" w:eastAsia="zh-CN"/>
              </w:rPr>
              <w:t>4</w:t>
            </w:r>
            <w:r>
              <w:rPr>
                <w:rFonts w:ascii="宋体" w:hAnsi="宋体" w:eastAsia="宋体" w:cs="宋体"/>
                <w:sz w:val="18"/>
                <w:szCs w:val="18"/>
              </w:rPr>
              <w:t>日</w:t>
            </w:r>
          </w:p>
        </w:tc>
        <w:tc>
          <w:tcPr>
            <w:tcW w:w="741" w:type="dxa"/>
            <w:tcBorders>
              <w:top w:val="single" w:color="auto" w:sz="2" w:space="0"/>
              <w:left w:val="single" w:color="auto" w:sz="2" w:space="0"/>
              <w:bottom w:val="single" w:color="auto" w:sz="2" w:space="0"/>
              <w:right w:val="single" w:color="auto" w:sz="2" w:space="0"/>
            </w:tcBorders>
            <w:vAlign w:val="center"/>
          </w:tcPr>
          <w:p w14:paraId="4482F39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E34417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C4B468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D836E3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6C0FC0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40B819">
            <w:pPr>
              <w:spacing w:before="0" w:after="0" w:line="240" w:lineRule="exact"/>
              <w:jc w:val="left"/>
              <w:rPr>
                <w:rFonts w:ascii="宋体" w:hAnsi="宋体" w:eastAsia="宋体" w:cs="宋体"/>
                <w:sz w:val="18"/>
                <w:szCs w:val="18"/>
              </w:rPr>
            </w:pPr>
          </w:p>
        </w:tc>
      </w:tr>
      <w:tr w14:paraId="41446D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297FC333">
            <w:pPr>
              <w:spacing w:before="0" w:after="0" w:line="240" w:lineRule="exact"/>
              <w:jc w:val="left"/>
              <w:rPr>
                <w:rFonts w:ascii="宋体" w:hAnsi="宋体" w:eastAsia="宋体" w:cs="宋体"/>
                <w:sz w:val="18"/>
                <w:szCs w:val="18"/>
              </w:rPr>
            </w:pPr>
            <w:r>
              <w:rPr>
                <w:rFonts w:ascii="宋体" w:hAnsi="宋体" w:eastAsia="宋体" w:cs="宋体"/>
                <w:sz w:val="18"/>
                <w:szCs w:val="18"/>
              </w:rPr>
              <w:t>强欣荣</w:t>
            </w:r>
          </w:p>
        </w:tc>
        <w:tc>
          <w:tcPr>
            <w:tcW w:w="741" w:type="dxa"/>
            <w:tcBorders>
              <w:top w:val="single" w:color="auto" w:sz="2" w:space="0"/>
              <w:left w:val="single" w:color="auto" w:sz="2" w:space="0"/>
              <w:bottom w:val="single" w:color="auto" w:sz="2" w:space="0"/>
              <w:right w:val="single" w:color="auto" w:sz="2" w:space="0"/>
            </w:tcBorders>
            <w:vAlign w:val="center"/>
          </w:tcPr>
          <w:p w14:paraId="5CCC5B63">
            <w:pPr>
              <w:spacing w:before="0" w:after="0" w:line="240" w:lineRule="exact"/>
              <w:jc w:val="left"/>
              <w:rPr>
                <w:rFonts w:ascii="宋体" w:hAnsi="宋体" w:eastAsia="宋体" w:cs="宋体"/>
                <w:sz w:val="18"/>
                <w:szCs w:val="18"/>
              </w:rPr>
            </w:pPr>
            <w:r>
              <w:rPr>
                <w:rFonts w:ascii="宋体" w:hAnsi="宋体" w:eastAsia="宋体" w:cs="宋体"/>
                <w:sz w:val="18"/>
                <w:szCs w:val="18"/>
              </w:rPr>
              <w:t>女</w:t>
            </w:r>
          </w:p>
        </w:tc>
        <w:tc>
          <w:tcPr>
            <w:tcW w:w="741" w:type="dxa"/>
            <w:tcBorders>
              <w:top w:val="single" w:color="auto" w:sz="2" w:space="0"/>
              <w:left w:val="single" w:color="auto" w:sz="2" w:space="0"/>
              <w:bottom w:val="single" w:color="auto" w:sz="2" w:space="0"/>
              <w:right w:val="single" w:color="auto" w:sz="2" w:space="0"/>
            </w:tcBorders>
            <w:vAlign w:val="center"/>
          </w:tcPr>
          <w:p w14:paraId="4E79D658">
            <w:pPr>
              <w:spacing w:line="240" w:lineRule="exact"/>
              <w:jc w:val="right"/>
              <w:rPr>
                <w:rFonts w:ascii="宋体" w:hAnsi="宋体" w:eastAsia="宋体" w:cs="宋体"/>
                <w:sz w:val="18"/>
                <w:szCs w:val="18"/>
              </w:rPr>
            </w:pPr>
            <w:r>
              <w:rPr>
                <w:rFonts w:ascii="宋体" w:hAnsi="宋体" w:cs="宋体"/>
                <w:sz w:val="18"/>
                <w:szCs w:val="18"/>
              </w:rPr>
              <w:t>53</w:t>
            </w:r>
          </w:p>
        </w:tc>
        <w:tc>
          <w:tcPr>
            <w:tcW w:w="741" w:type="dxa"/>
            <w:tcBorders>
              <w:top w:val="single" w:color="auto" w:sz="2" w:space="0"/>
              <w:left w:val="single" w:color="auto" w:sz="2" w:space="0"/>
              <w:bottom w:val="single" w:color="auto" w:sz="2" w:space="0"/>
              <w:right w:val="single" w:color="auto" w:sz="2" w:space="0"/>
            </w:tcBorders>
            <w:vAlign w:val="center"/>
          </w:tcPr>
          <w:p w14:paraId="3F2D25FF">
            <w:pPr>
              <w:spacing w:before="0" w:after="0" w:line="240" w:lineRule="exact"/>
              <w:jc w:val="left"/>
              <w:rPr>
                <w:rFonts w:ascii="宋体" w:hAnsi="宋体" w:eastAsia="宋体" w:cs="宋体"/>
                <w:sz w:val="18"/>
                <w:szCs w:val="18"/>
              </w:rPr>
            </w:pPr>
            <w:r>
              <w:rPr>
                <w:rFonts w:ascii="宋体" w:hAnsi="宋体" w:eastAsia="宋体" w:cs="宋体"/>
                <w:sz w:val="18"/>
                <w:szCs w:val="18"/>
              </w:rPr>
              <w:t>原独立董事</w:t>
            </w:r>
          </w:p>
        </w:tc>
        <w:tc>
          <w:tcPr>
            <w:tcW w:w="741" w:type="dxa"/>
            <w:tcBorders>
              <w:top w:val="single" w:color="auto" w:sz="2" w:space="0"/>
              <w:left w:val="single" w:color="auto" w:sz="2" w:space="0"/>
              <w:bottom w:val="single" w:color="auto" w:sz="2" w:space="0"/>
              <w:right w:val="single" w:color="auto" w:sz="2" w:space="0"/>
            </w:tcBorders>
            <w:vAlign w:val="center"/>
          </w:tcPr>
          <w:p w14:paraId="6A86525C">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741" w:type="dxa"/>
            <w:tcBorders>
              <w:top w:val="single" w:color="auto" w:sz="2" w:space="0"/>
              <w:left w:val="single" w:color="auto" w:sz="2" w:space="0"/>
              <w:bottom w:val="single" w:color="auto" w:sz="2" w:space="0"/>
              <w:right w:val="single" w:color="auto" w:sz="2" w:space="0"/>
            </w:tcBorders>
            <w:vAlign w:val="center"/>
          </w:tcPr>
          <w:p w14:paraId="446A5E12">
            <w:pPr>
              <w:spacing w:before="0" w:after="0" w:line="240" w:lineRule="exact"/>
              <w:jc w:val="left"/>
              <w:rPr>
                <w:rFonts w:ascii="宋体" w:hAnsi="宋体" w:eastAsia="宋体" w:cs="宋体"/>
                <w:sz w:val="18"/>
                <w:szCs w:val="18"/>
              </w:rPr>
            </w:pPr>
            <w:r>
              <w:rPr>
                <w:rFonts w:ascii="宋体" w:hAnsi="宋体" w:eastAsia="宋体" w:cs="宋体"/>
                <w:sz w:val="18"/>
                <w:szCs w:val="18"/>
              </w:rPr>
              <w:t>2021年01月06日</w:t>
            </w:r>
          </w:p>
        </w:tc>
        <w:tc>
          <w:tcPr>
            <w:tcW w:w="741" w:type="dxa"/>
            <w:tcBorders>
              <w:top w:val="single" w:color="auto" w:sz="2" w:space="0"/>
              <w:left w:val="single" w:color="auto" w:sz="2" w:space="0"/>
              <w:bottom w:val="single" w:color="auto" w:sz="2" w:space="0"/>
              <w:right w:val="single" w:color="auto" w:sz="2" w:space="0"/>
            </w:tcBorders>
            <w:vAlign w:val="center"/>
          </w:tcPr>
          <w:p w14:paraId="534AD9C3">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w:t>
            </w:r>
            <w:r>
              <w:rPr>
                <w:rFonts w:hint="eastAsia" w:ascii="宋体" w:hAnsi="宋体" w:cs="宋体"/>
                <w:sz w:val="18"/>
                <w:szCs w:val="18"/>
                <w:lang w:val="en-US" w:eastAsia="zh-CN"/>
              </w:rPr>
              <w:t>4</w:t>
            </w:r>
            <w:r>
              <w:rPr>
                <w:rFonts w:ascii="宋体" w:hAnsi="宋体" w:eastAsia="宋体" w:cs="宋体"/>
                <w:sz w:val="18"/>
                <w:szCs w:val="18"/>
              </w:rPr>
              <w:t>日</w:t>
            </w:r>
          </w:p>
        </w:tc>
        <w:tc>
          <w:tcPr>
            <w:tcW w:w="741" w:type="dxa"/>
            <w:tcBorders>
              <w:top w:val="single" w:color="auto" w:sz="2" w:space="0"/>
              <w:left w:val="single" w:color="auto" w:sz="2" w:space="0"/>
              <w:bottom w:val="single" w:color="auto" w:sz="2" w:space="0"/>
              <w:right w:val="single" w:color="auto" w:sz="2" w:space="0"/>
            </w:tcBorders>
            <w:vAlign w:val="center"/>
          </w:tcPr>
          <w:p w14:paraId="3B877F4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52E80E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2E7F37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8B4B0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2ABC16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B4FB761">
            <w:pPr>
              <w:spacing w:before="0" w:after="0" w:line="240" w:lineRule="exact"/>
              <w:jc w:val="left"/>
              <w:rPr>
                <w:rFonts w:ascii="宋体" w:hAnsi="宋体" w:eastAsia="宋体" w:cs="宋体"/>
                <w:sz w:val="18"/>
                <w:szCs w:val="18"/>
              </w:rPr>
            </w:pPr>
          </w:p>
        </w:tc>
      </w:tr>
      <w:tr w14:paraId="6FFDE9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2675A7FF">
            <w:pPr>
              <w:spacing w:before="0" w:after="0" w:line="240" w:lineRule="exact"/>
              <w:jc w:val="left"/>
              <w:rPr>
                <w:rFonts w:ascii="宋体" w:hAnsi="宋体" w:eastAsia="宋体" w:cs="宋体"/>
                <w:sz w:val="18"/>
                <w:szCs w:val="18"/>
              </w:rPr>
            </w:pPr>
            <w:r>
              <w:rPr>
                <w:rFonts w:ascii="宋体" w:hAnsi="宋体" w:eastAsia="宋体" w:cs="宋体"/>
                <w:sz w:val="18"/>
                <w:szCs w:val="18"/>
              </w:rPr>
              <w:t>李援黎</w:t>
            </w:r>
          </w:p>
        </w:tc>
        <w:tc>
          <w:tcPr>
            <w:tcW w:w="741" w:type="dxa"/>
            <w:tcBorders>
              <w:top w:val="single" w:color="auto" w:sz="2" w:space="0"/>
              <w:left w:val="single" w:color="auto" w:sz="2" w:space="0"/>
              <w:bottom w:val="single" w:color="auto" w:sz="2" w:space="0"/>
              <w:right w:val="single" w:color="auto" w:sz="2" w:space="0"/>
            </w:tcBorders>
            <w:vAlign w:val="center"/>
          </w:tcPr>
          <w:p w14:paraId="092DB411">
            <w:pPr>
              <w:spacing w:before="0" w:after="0" w:line="240" w:lineRule="exact"/>
              <w:jc w:val="left"/>
              <w:rPr>
                <w:rFonts w:ascii="宋体" w:hAnsi="宋体" w:eastAsia="宋体" w:cs="宋体"/>
                <w:sz w:val="18"/>
                <w:szCs w:val="18"/>
              </w:rPr>
            </w:pPr>
            <w:r>
              <w:rPr>
                <w:rFonts w:ascii="宋体" w:hAnsi="宋体" w:eastAsia="宋体" w:cs="宋体"/>
                <w:sz w:val="18"/>
                <w:szCs w:val="18"/>
              </w:rPr>
              <w:t>女</w:t>
            </w:r>
          </w:p>
        </w:tc>
        <w:tc>
          <w:tcPr>
            <w:tcW w:w="741" w:type="dxa"/>
            <w:tcBorders>
              <w:top w:val="single" w:color="auto" w:sz="2" w:space="0"/>
              <w:left w:val="single" w:color="auto" w:sz="2" w:space="0"/>
              <w:bottom w:val="single" w:color="auto" w:sz="2" w:space="0"/>
              <w:right w:val="single" w:color="auto" w:sz="2" w:space="0"/>
            </w:tcBorders>
            <w:vAlign w:val="center"/>
          </w:tcPr>
          <w:p w14:paraId="098E5DBC">
            <w:pPr>
              <w:spacing w:line="240" w:lineRule="exact"/>
              <w:jc w:val="right"/>
              <w:rPr>
                <w:rFonts w:ascii="宋体" w:hAnsi="宋体" w:eastAsia="宋体" w:cs="宋体"/>
                <w:sz w:val="18"/>
                <w:szCs w:val="18"/>
              </w:rPr>
            </w:pPr>
            <w:r>
              <w:rPr>
                <w:rFonts w:ascii="宋体" w:hAnsi="宋体" w:cs="宋体"/>
                <w:sz w:val="18"/>
                <w:szCs w:val="18"/>
              </w:rPr>
              <w:t>67</w:t>
            </w:r>
          </w:p>
        </w:tc>
        <w:tc>
          <w:tcPr>
            <w:tcW w:w="741" w:type="dxa"/>
            <w:tcBorders>
              <w:top w:val="single" w:color="auto" w:sz="2" w:space="0"/>
              <w:left w:val="single" w:color="auto" w:sz="2" w:space="0"/>
              <w:bottom w:val="single" w:color="auto" w:sz="2" w:space="0"/>
              <w:right w:val="single" w:color="auto" w:sz="2" w:space="0"/>
            </w:tcBorders>
            <w:vAlign w:val="center"/>
          </w:tcPr>
          <w:p w14:paraId="6BCDD887">
            <w:pPr>
              <w:spacing w:before="0" w:after="0" w:line="240" w:lineRule="exact"/>
              <w:jc w:val="left"/>
              <w:rPr>
                <w:rFonts w:ascii="宋体" w:hAnsi="宋体" w:eastAsia="宋体" w:cs="宋体"/>
                <w:sz w:val="18"/>
                <w:szCs w:val="18"/>
              </w:rPr>
            </w:pPr>
            <w:r>
              <w:rPr>
                <w:rFonts w:ascii="宋体" w:hAnsi="宋体" w:eastAsia="宋体" w:cs="宋体"/>
                <w:sz w:val="18"/>
                <w:szCs w:val="18"/>
              </w:rPr>
              <w:t>原监事会主席</w:t>
            </w:r>
          </w:p>
        </w:tc>
        <w:tc>
          <w:tcPr>
            <w:tcW w:w="741" w:type="dxa"/>
            <w:tcBorders>
              <w:top w:val="single" w:color="auto" w:sz="2" w:space="0"/>
              <w:left w:val="single" w:color="auto" w:sz="2" w:space="0"/>
              <w:bottom w:val="single" w:color="auto" w:sz="2" w:space="0"/>
              <w:right w:val="single" w:color="auto" w:sz="2" w:space="0"/>
            </w:tcBorders>
            <w:vAlign w:val="center"/>
          </w:tcPr>
          <w:p w14:paraId="346874BE">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741" w:type="dxa"/>
            <w:tcBorders>
              <w:top w:val="single" w:color="auto" w:sz="2" w:space="0"/>
              <w:left w:val="single" w:color="auto" w:sz="2" w:space="0"/>
              <w:bottom w:val="single" w:color="auto" w:sz="2" w:space="0"/>
              <w:right w:val="single" w:color="auto" w:sz="2" w:space="0"/>
            </w:tcBorders>
            <w:vAlign w:val="center"/>
          </w:tcPr>
          <w:p w14:paraId="488822A5">
            <w:pPr>
              <w:spacing w:before="0" w:after="0" w:line="240" w:lineRule="exact"/>
              <w:jc w:val="left"/>
              <w:rPr>
                <w:rFonts w:ascii="宋体" w:hAnsi="宋体" w:eastAsia="宋体" w:cs="宋体"/>
                <w:sz w:val="18"/>
                <w:szCs w:val="18"/>
              </w:rPr>
            </w:pPr>
            <w:r>
              <w:rPr>
                <w:rFonts w:ascii="宋体" w:hAnsi="宋体" w:eastAsia="宋体" w:cs="宋体"/>
                <w:sz w:val="18"/>
                <w:szCs w:val="18"/>
              </w:rPr>
              <w:t>2017年12月20日</w:t>
            </w:r>
          </w:p>
        </w:tc>
        <w:tc>
          <w:tcPr>
            <w:tcW w:w="741" w:type="dxa"/>
            <w:tcBorders>
              <w:top w:val="single" w:color="auto" w:sz="2" w:space="0"/>
              <w:left w:val="single" w:color="auto" w:sz="2" w:space="0"/>
              <w:bottom w:val="single" w:color="auto" w:sz="2" w:space="0"/>
              <w:right w:val="single" w:color="auto" w:sz="2" w:space="0"/>
            </w:tcBorders>
            <w:vAlign w:val="center"/>
          </w:tcPr>
          <w:p w14:paraId="36939AC6">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w:t>
            </w:r>
            <w:r>
              <w:rPr>
                <w:rFonts w:hint="eastAsia" w:ascii="宋体" w:hAnsi="宋体" w:cs="宋体"/>
                <w:sz w:val="18"/>
                <w:szCs w:val="18"/>
                <w:lang w:val="en-US" w:eastAsia="zh-CN"/>
              </w:rPr>
              <w:t>4</w:t>
            </w:r>
            <w:r>
              <w:rPr>
                <w:rFonts w:ascii="宋体" w:hAnsi="宋体" w:eastAsia="宋体" w:cs="宋体"/>
                <w:sz w:val="18"/>
                <w:szCs w:val="18"/>
              </w:rPr>
              <w:t>日</w:t>
            </w:r>
          </w:p>
        </w:tc>
        <w:tc>
          <w:tcPr>
            <w:tcW w:w="741" w:type="dxa"/>
            <w:tcBorders>
              <w:top w:val="single" w:color="auto" w:sz="2" w:space="0"/>
              <w:left w:val="single" w:color="auto" w:sz="2" w:space="0"/>
              <w:bottom w:val="single" w:color="auto" w:sz="2" w:space="0"/>
              <w:right w:val="single" w:color="auto" w:sz="2" w:space="0"/>
            </w:tcBorders>
            <w:vAlign w:val="center"/>
          </w:tcPr>
          <w:p w14:paraId="6CD9F32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E6C8A3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BB83E5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6ED79F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20099D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7C3CD1D">
            <w:pPr>
              <w:spacing w:before="0" w:after="0" w:line="240" w:lineRule="exact"/>
              <w:jc w:val="left"/>
              <w:rPr>
                <w:rFonts w:ascii="宋体" w:hAnsi="宋体" w:eastAsia="宋体" w:cs="宋体"/>
                <w:sz w:val="18"/>
                <w:szCs w:val="18"/>
              </w:rPr>
            </w:pPr>
          </w:p>
        </w:tc>
      </w:tr>
      <w:tr w14:paraId="450DE7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22645810">
            <w:pPr>
              <w:spacing w:before="0" w:after="0" w:line="240" w:lineRule="exact"/>
              <w:jc w:val="left"/>
              <w:rPr>
                <w:rFonts w:ascii="宋体" w:hAnsi="宋体" w:eastAsia="宋体" w:cs="宋体"/>
                <w:sz w:val="18"/>
                <w:szCs w:val="18"/>
              </w:rPr>
            </w:pPr>
            <w:r>
              <w:rPr>
                <w:rFonts w:ascii="宋体" w:hAnsi="宋体" w:eastAsia="宋体" w:cs="宋体"/>
                <w:sz w:val="18"/>
                <w:szCs w:val="18"/>
              </w:rPr>
              <w:t>郭晓阳</w:t>
            </w:r>
          </w:p>
        </w:tc>
        <w:tc>
          <w:tcPr>
            <w:tcW w:w="741" w:type="dxa"/>
            <w:tcBorders>
              <w:top w:val="single" w:color="auto" w:sz="2" w:space="0"/>
              <w:left w:val="single" w:color="auto" w:sz="2" w:space="0"/>
              <w:bottom w:val="single" w:color="auto" w:sz="2" w:space="0"/>
              <w:right w:val="single" w:color="auto" w:sz="2" w:space="0"/>
            </w:tcBorders>
            <w:vAlign w:val="center"/>
          </w:tcPr>
          <w:p w14:paraId="2826C8F7">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26EE788C">
            <w:pPr>
              <w:spacing w:line="240" w:lineRule="exact"/>
              <w:jc w:val="right"/>
              <w:rPr>
                <w:rFonts w:ascii="宋体" w:hAnsi="宋体" w:eastAsia="宋体" w:cs="宋体"/>
                <w:sz w:val="18"/>
                <w:szCs w:val="18"/>
              </w:rPr>
            </w:pPr>
            <w:r>
              <w:rPr>
                <w:rFonts w:ascii="宋体" w:hAnsi="宋体" w:cs="宋体"/>
                <w:sz w:val="18"/>
                <w:szCs w:val="18"/>
              </w:rPr>
              <w:t>56</w:t>
            </w:r>
          </w:p>
        </w:tc>
        <w:tc>
          <w:tcPr>
            <w:tcW w:w="741" w:type="dxa"/>
            <w:tcBorders>
              <w:top w:val="single" w:color="auto" w:sz="2" w:space="0"/>
              <w:left w:val="single" w:color="auto" w:sz="2" w:space="0"/>
              <w:bottom w:val="single" w:color="auto" w:sz="2" w:space="0"/>
              <w:right w:val="single" w:color="auto" w:sz="2" w:space="0"/>
            </w:tcBorders>
            <w:vAlign w:val="center"/>
          </w:tcPr>
          <w:p w14:paraId="64E110CE">
            <w:pPr>
              <w:spacing w:before="0" w:after="0" w:line="240" w:lineRule="exact"/>
              <w:jc w:val="left"/>
              <w:rPr>
                <w:rFonts w:ascii="宋体" w:hAnsi="宋体" w:eastAsia="宋体" w:cs="宋体"/>
                <w:sz w:val="18"/>
                <w:szCs w:val="18"/>
              </w:rPr>
            </w:pPr>
            <w:r>
              <w:rPr>
                <w:rFonts w:ascii="宋体" w:hAnsi="宋体" w:eastAsia="宋体" w:cs="宋体"/>
                <w:sz w:val="18"/>
                <w:szCs w:val="18"/>
              </w:rPr>
              <w:t>原监事</w:t>
            </w:r>
          </w:p>
        </w:tc>
        <w:tc>
          <w:tcPr>
            <w:tcW w:w="741" w:type="dxa"/>
            <w:tcBorders>
              <w:top w:val="single" w:color="auto" w:sz="2" w:space="0"/>
              <w:left w:val="single" w:color="auto" w:sz="2" w:space="0"/>
              <w:bottom w:val="single" w:color="auto" w:sz="2" w:space="0"/>
              <w:right w:val="single" w:color="auto" w:sz="2" w:space="0"/>
            </w:tcBorders>
            <w:vAlign w:val="center"/>
          </w:tcPr>
          <w:p w14:paraId="6CCB2E86">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741" w:type="dxa"/>
            <w:tcBorders>
              <w:top w:val="single" w:color="auto" w:sz="2" w:space="0"/>
              <w:left w:val="single" w:color="auto" w:sz="2" w:space="0"/>
              <w:bottom w:val="single" w:color="auto" w:sz="2" w:space="0"/>
              <w:right w:val="single" w:color="auto" w:sz="2" w:space="0"/>
            </w:tcBorders>
            <w:vAlign w:val="center"/>
          </w:tcPr>
          <w:p w14:paraId="7D98AB06">
            <w:pPr>
              <w:spacing w:before="0" w:after="0" w:line="240" w:lineRule="exact"/>
              <w:jc w:val="left"/>
              <w:rPr>
                <w:rFonts w:ascii="宋体" w:hAnsi="宋体" w:eastAsia="宋体" w:cs="宋体"/>
                <w:sz w:val="18"/>
                <w:szCs w:val="18"/>
              </w:rPr>
            </w:pPr>
            <w:r>
              <w:rPr>
                <w:rFonts w:ascii="宋体" w:hAnsi="宋体" w:eastAsia="宋体" w:cs="宋体"/>
                <w:sz w:val="18"/>
                <w:szCs w:val="18"/>
              </w:rPr>
              <w:t>2021年08月23日</w:t>
            </w:r>
          </w:p>
        </w:tc>
        <w:tc>
          <w:tcPr>
            <w:tcW w:w="741" w:type="dxa"/>
            <w:tcBorders>
              <w:top w:val="single" w:color="auto" w:sz="2" w:space="0"/>
              <w:left w:val="single" w:color="auto" w:sz="2" w:space="0"/>
              <w:bottom w:val="single" w:color="auto" w:sz="2" w:space="0"/>
              <w:right w:val="single" w:color="auto" w:sz="2" w:space="0"/>
            </w:tcBorders>
            <w:vAlign w:val="center"/>
          </w:tcPr>
          <w:p w14:paraId="60DA3A2F">
            <w:pPr>
              <w:spacing w:before="0" w:after="0" w:line="240" w:lineRule="exact"/>
              <w:jc w:val="left"/>
              <w:rPr>
                <w:rFonts w:ascii="宋体" w:hAnsi="宋体" w:eastAsia="宋体" w:cs="宋体"/>
                <w:sz w:val="18"/>
                <w:szCs w:val="18"/>
              </w:rPr>
            </w:pPr>
            <w:r>
              <w:rPr>
                <w:rFonts w:ascii="宋体" w:hAnsi="宋体" w:eastAsia="宋体" w:cs="宋体"/>
                <w:sz w:val="18"/>
                <w:szCs w:val="18"/>
              </w:rPr>
              <w:t>2024年12月09日</w:t>
            </w:r>
          </w:p>
        </w:tc>
        <w:tc>
          <w:tcPr>
            <w:tcW w:w="741" w:type="dxa"/>
            <w:tcBorders>
              <w:top w:val="single" w:color="auto" w:sz="2" w:space="0"/>
              <w:left w:val="single" w:color="auto" w:sz="2" w:space="0"/>
              <w:bottom w:val="single" w:color="auto" w:sz="2" w:space="0"/>
              <w:right w:val="single" w:color="auto" w:sz="2" w:space="0"/>
            </w:tcBorders>
            <w:vAlign w:val="center"/>
          </w:tcPr>
          <w:p w14:paraId="14F7B8F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C970C8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4969CD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F25709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EF4048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FE7CD09">
            <w:pPr>
              <w:spacing w:before="0" w:after="0" w:line="240" w:lineRule="exact"/>
              <w:jc w:val="left"/>
              <w:rPr>
                <w:rFonts w:ascii="宋体" w:hAnsi="宋体" w:eastAsia="宋体" w:cs="宋体"/>
                <w:sz w:val="18"/>
                <w:szCs w:val="18"/>
              </w:rPr>
            </w:pPr>
          </w:p>
        </w:tc>
      </w:tr>
      <w:tr w14:paraId="74BE82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5C932298">
            <w:pPr>
              <w:spacing w:before="0" w:after="0" w:line="240" w:lineRule="exact"/>
              <w:jc w:val="left"/>
              <w:rPr>
                <w:rFonts w:ascii="宋体" w:hAnsi="宋体" w:eastAsia="宋体" w:cs="宋体"/>
                <w:sz w:val="18"/>
                <w:szCs w:val="18"/>
              </w:rPr>
            </w:pPr>
            <w:r>
              <w:rPr>
                <w:rFonts w:ascii="宋体" w:hAnsi="宋体" w:eastAsia="宋体" w:cs="宋体"/>
                <w:sz w:val="18"/>
                <w:szCs w:val="18"/>
              </w:rPr>
              <w:t>John Wei-Zhong Mao（毛伟忠）</w:t>
            </w:r>
          </w:p>
        </w:tc>
        <w:tc>
          <w:tcPr>
            <w:tcW w:w="741" w:type="dxa"/>
            <w:tcBorders>
              <w:top w:val="single" w:color="auto" w:sz="2" w:space="0"/>
              <w:left w:val="single" w:color="auto" w:sz="2" w:space="0"/>
              <w:bottom w:val="single" w:color="auto" w:sz="2" w:space="0"/>
              <w:right w:val="single" w:color="auto" w:sz="2" w:space="0"/>
            </w:tcBorders>
            <w:vAlign w:val="center"/>
          </w:tcPr>
          <w:p w14:paraId="05A78B25">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741" w:type="dxa"/>
            <w:tcBorders>
              <w:top w:val="single" w:color="auto" w:sz="2" w:space="0"/>
              <w:left w:val="single" w:color="auto" w:sz="2" w:space="0"/>
              <w:bottom w:val="single" w:color="auto" w:sz="2" w:space="0"/>
              <w:right w:val="single" w:color="auto" w:sz="2" w:space="0"/>
            </w:tcBorders>
            <w:vAlign w:val="center"/>
          </w:tcPr>
          <w:p w14:paraId="69804B7A">
            <w:pPr>
              <w:spacing w:line="240" w:lineRule="exact"/>
              <w:jc w:val="right"/>
              <w:rPr>
                <w:rFonts w:ascii="宋体" w:hAnsi="宋体" w:eastAsia="宋体" w:cs="宋体"/>
                <w:sz w:val="18"/>
                <w:szCs w:val="18"/>
              </w:rPr>
            </w:pPr>
            <w:r>
              <w:rPr>
                <w:rFonts w:ascii="宋体" w:hAnsi="宋体" w:cs="宋体"/>
                <w:sz w:val="18"/>
                <w:szCs w:val="18"/>
              </w:rPr>
              <w:t>62</w:t>
            </w:r>
          </w:p>
        </w:tc>
        <w:tc>
          <w:tcPr>
            <w:tcW w:w="741" w:type="dxa"/>
            <w:tcBorders>
              <w:top w:val="single" w:color="auto" w:sz="2" w:space="0"/>
              <w:left w:val="single" w:color="auto" w:sz="2" w:space="0"/>
              <w:bottom w:val="single" w:color="auto" w:sz="2" w:space="0"/>
              <w:right w:val="single" w:color="auto" w:sz="2" w:space="0"/>
            </w:tcBorders>
            <w:vAlign w:val="center"/>
          </w:tcPr>
          <w:p w14:paraId="26BB2C62">
            <w:pPr>
              <w:spacing w:before="0" w:after="0" w:line="240" w:lineRule="exact"/>
              <w:jc w:val="left"/>
              <w:rPr>
                <w:rFonts w:ascii="宋体" w:hAnsi="宋体" w:eastAsia="宋体" w:cs="宋体"/>
                <w:sz w:val="18"/>
                <w:szCs w:val="18"/>
              </w:rPr>
            </w:pPr>
            <w:r>
              <w:rPr>
                <w:rFonts w:ascii="宋体" w:hAnsi="宋体" w:eastAsia="宋体" w:cs="宋体"/>
                <w:sz w:val="18"/>
                <w:szCs w:val="18"/>
              </w:rPr>
              <w:t>原首席科学家</w:t>
            </w:r>
          </w:p>
        </w:tc>
        <w:tc>
          <w:tcPr>
            <w:tcW w:w="741" w:type="dxa"/>
            <w:tcBorders>
              <w:top w:val="single" w:color="auto" w:sz="2" w:space="0"/>
              <w:left w:val="single" w:color="auto" w:sz="2" w:space="0"/>
              <w:bottom w:val="single" w:color="auto" w:sz="2" w:space="0"/>
              <w:right w:val="single" w:color="auto" w:sz="2" w:space="0"/>
            </w:tcBorders>
            <w:vAlign w:val="center"/>
          </w:tcPr>
          <w:p w14:paraId="051397C9">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741" w:type="dxa"/>
            <w:tcBorders>
              <w:top w:val="single" w:color="auto" w:sz="2" w:space="0"/>
              <w:left w:val="single" w:color="auto" w:sz="2" w:space="0"/>
              <w:bottom w:val="single" w:color="auto" w:sz="2" w:space="0"/>
              <w:right w:val="single" w:color="auto" w:sz="2" w:space="0"/>
            </w:tcBorders>
            <w:vAlign w:val="center"/>
          </w:tcPr>
          <w:p w14:paraId="1768843F">
            <w:pPr>
              <w:spacing w:before="0" w:after="0" w:line="240" w:lineRule="exact"/>
              <w:jc w:val="left"/>
              <w:rPr>
                <w:rFonts w:ascii="宋体" w:hAnsi="宋体" w:eastAsia="宋体" w:cs="宋体"/>
                <w:sz w:val="18"/>
                <w:szCs w:val="18"/>
              </w:rPr>
            </w:pPr>
            <w:r>
              <w:rPr>
                <w:rFonts w:ascii="宋体" w:hAnsi="宋体" w:eastAsia="宋体" w:cs="宋体"/>
                <w:sz w:val="18"/>
                <w:szCs w:val="18"/>
              </w:rPr>
              <w:t>2020年03月25日</w:t>
            </w:r>
          </w:p>
        </w:tc>
        <w:tc>
          <w:tcPr>
            <w:tcW w:w="741" w:type="dxa"/>
            <w:tcBorders>
              <w:top w:val="single" w:color="auto" w:sz="2" w:space="0"/>
              <w:left w:val="single" w:color="auto" w:sz="2" w:space="0"/>
              <w:bottom w:val="single" w:color="auto" w:sz="2" w:space="0"/>
              <w:right w:val="single" w:color="auto" w:sz="2" w:space="0"/>
            </w:tcBorders>
            <w:vAlign w:val="center"/>
          </w:tcPr>
          <w:p w14:paraId="02E0E3EA">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w:t>
            </w:r>
            <w:r>
              <w:rPr>
                <w:rFonts w:hint="eastAsia" w:ascii="宋体" w:hAnsi="宋体" w:cs="宋体"/>
                <w:sz w:val="18"/>
                <w:szCs w:val="18"/>
                <w:lang w:val="en-US" w:eastAsia="zh-CN"/>
              </w:rPr>
              <w:t>4</w:t>
            </w:r>
            <w:r>
              <w:rPr>
                <w:rFonts w:ascii="宋体" w:hAnsi="宋体" w:eastAsia="宋体" w:cs="宋体"/>
                <w:sz w:val="18"/>
                <w:szCs w:val="18"/>
              </w:rPr>
              <w:t>日</w:t>
            </w:r>
          </w:p>
        </w:tc>
        <w:tc>
          <w:tcPr>
            <w:tcW w:w="741" w:type="dxa"/>
            <w:tcBorders>
              <w:top w:val="single" w:color="auto" w:sz="2" w:space="0"/>
              <w:left w:val="single" w:color="auto" w:sz="2" w:space="0"/>
              <w:bottom w:val="single" w:color="auto" w:sz="2" w:space="0"/>
              <w:right w:val="single" w:color="auto" w:sz="2" w:space="0"/>
            </w:tcBorders>
            <w:vAlign w:val="center"/>
          </w:tcPr>
          <w:p w14:paraId="5A49E63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C9FC73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662019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E6E6FE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FE41BF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A33D8FF">
            <w:pPr>
              <w:spacing w:before="0" w:after="0" w:line="240" w:lineRule="exact"/>
              <w:jc w:val="left"/>
              <w:rPr>
                <w:rFonts w:ascii="宋体" w:hAnsi="宋体" w:eastAsia="宋体" w:cs="宋体"/>
                <w:sz w:val="18"/>
                <w:szCs w:val="18"/>
              </w:rPr>
            </w:pPr>
          </w:p>
        </w:tc>
      </w:tr>
      <w:tr w14:paraId="592205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D1B9D62">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2D02F64">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0BCF7F8">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FD3417A">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CCB9862">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426377F">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6A0DAB5">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vAlign w:val="center"/>
          </w:tcPr>
          <w:p w14:paraId="123B1478">
            <w:pPr>
              <w:spacing w:before="0" w:after="0" w:line="240" w:lineRule="exact"/>
              <w:jc w:val="right"/>
              <w:rPr>
                <w:rFonts w:ascii="宋体" w:hAnsi="宋体" w:eastAsia="宋体" w:cs="宋体"/>
                <w:sz w:val="18"/>
                <w:szCs w:val="18"/>
              </w:rPr>
            </w:pPr>
            <w:r>
              <w:rPr>
                <w:rFonts w:ascii="宋体" w:hAnsi="宋体" w:eastAsia="宋体" w:cs="宋体"/>
                <w:sz w:val="18"/>
                <w:szCs w:val="18"/>
              </w:rPr>
              <w:t>30,060,041</w:t>
            </w:r>
          </w:p>
        </w:tc>
        <w:tc>
          <w:tcPr>
            <w:tcW w:w="741" w:type="dxa"/>
            <w:tcBorders>
              <w:top w:val="single" w:color="auto" w:sz="2" w:space="0"/>
              <w:left w:val="single" w:color="auto" w:sz="2" w:space="0"/>
              <w:bottom w:val="single" w:color="auto" w:sz="2" w:space="0"/>
              <w:right w:val="single" w:color="auto" w:sz="2" w:space="0"/>
            </w:tcBorders>
            <w:vAlign w:val="center"/>
          </w:tcPr>
          <w:p w14:paraId="4E816FB1">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741" w:type="dxa"/>
            <w:tcBorders>
              <w:top w:val="single" w:color="auto" w:sz="2" w:space="0"/>
              <w:left w:val="single" w:color="auto" w:sz="2" w:space="0"/>
              <w:bottom w:val="single" w:color="auto" w:sz="2" w:space="0"/>
              <w:right w:val="single" w:color="auto" w:sz="2" w:space="0"/>
            </w:tcBorders>
            <w:vAlign w:val="center"/>
          </w:tcPr>
          <w:p w14:paraId="325D4577">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741" w:type="dxa"/>
            <w:tcBorders>
              <w:top w:val="single" w:color="auto" w:sz="2" w:space="0"/>
              <w:left w:val="single" w:color="auto" w:sz="2" w:space="0"/>
              <w:bottom w:val="single" w:color="auto" w:sz="2" w:space="0"/>
              <w:right w:val="single" w:color="auto" w:sz="2" w:space="0"/>
            </w:tcBorders>
            <w:vAlign w:val="center"/>
          </w:tcPr>
          <w:p w14:paraId="11662DE3">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741" w:type="dxa"/>
            <w:tcBorders>
              <w:top w:val="single" w:color="auto" w:sz="2" w:space="0"/>
              <w:left w:val="single" w:color="auto" w:sz="2" w:space="0"/>
              <w:bottom w:val="single" w:color="auto" w:sz="2" w:space="0"/>
              <w:right w:val="single" w:color="auto" w:sz="2" w:space="0"/>
            </w:tcBorders>
            <w:vAlign w:val="center"/>
          </w:tcPr>
          <w:p w14:paraId="45F669AA">
            <w:pPr>
              <w:spacing w:before="0" w:after="0" w:line="240" w:lineRule="exact"/>
              <w:jc w:val="right"/>
              <w:rPr>
                <w:rFonts w:ascii="宋体" w:hAnsi="宋体" w:eastAsia="宋体" w:cs="宋体"/>
                <w:sz w:val="18"/>
                <w:szCs w:val="18"/>
              </w:rPr>
            </w:pPr>
            <w:r>
              <w:rPr>
                <w:rFonts w:ascii="宋体" w:hAnsi="宋体" w:eastAsia="宋体" w:cs="宋体"/>
                <w:sz w:val="18"/>
                <w:szCs w:val="18"/>
              </w:rPr>
              <w:t>30,060,041</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89AF162">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14:paraId="753388F8">
      <w:pPr>
        <w:spacing w:before="100" w:after="100" w:line="240" w:lineRule="exact"/>
        <w:jc w:val="left"/>
        <w:rPr>
          <w:rFonts w:ascii="宋体" w:hAnsi="宋体" w:eastAsia="宋体" w:cs="宋体"/>
          <w:sz w:val="18"/>
          <w:szCs w:val="18"/>
        </w:rPr>
      </w:pPr>
      <w:r>
        <w:rPr>
          <w:rFonts w:ascii="宋体" w:hAnsi="宋体" w:eastAsia="宋体" w:cs="宋体"/>
          <w:sz w:val="18"/>
          <w:szCs w:val="18"/>
        </w:rPr>
        <w:t>报告期是否存在任期内董事、监事离任和高级管理人员解聘的情况</w:t>
      </w:r>
    </w:p>
    <w:p w14:paraId="4CE841AD">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w:t>
      </w:r>
    </w:p>
    <w:p w14:paraId="5551EB40">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1、2024年6月，公司第四届董事会、监事会届满，公司独立董事任红、陈明宇、强欣荣，监事李援黎，高级管理人员John Wei-Zhong Mao（毛伟忠）任期届满离任。</w:t>
      </w:r>
    </w:p>
    <w:p w14:paraId="37018463">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2、2024年12月，公司收到非职工代表监事郭晓阳先生提交的书面辞职报告。郭晓阳先生因个人原因，申请辞去第五届监事会非职工代表监事职务，辞任后仍在公司担任其他职务。详见《关于补选第五届监事会非职工代表监事的公告》（公告编号：202407）。</w:t>
      </w:r>
    </w:p>
    <w:p w14:paraId="58BB6646">
      <w:pPr>
        <w:spacing w:before="100" w:after="100" w:line="240" w:lineRule="exact"/>
        <w:jc w:val="left"/>
        <w:rPr>
          <w:rFonts w:ascii="宋体" w:hAnsi="宋体" w:eastAsia="宋体" w:cs="宋体"/>
          <w:sz w:val="18"/>
          <w:szCs w:val="18"/>
        </w:rPr>
      </w:pPr>
      <w:r>
        <w:rPr>
          <w:rFonts w:ascii="宋体" w:hAnsi="宋体" w:eastAsia="宋体" w:cs="宋体"/>
          <w:sz w:val="18"/>
          <w:szCs w:val="18"/>
        </w:rPr>
        <w:t>公司董事、监事、高级管理人员变动情况</w:t>
      </w:r>
    </w:p>
    <w:p w14:paraId="0952E7B3">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749"/>
        <w:gridCol w:w="1440"/>
        <w:gridCol w:w="1800"/>
        <w:gridCol w:w="2723"/>
      </w:tblGrid>
      <w:tr w14:paraId="48D100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F13D61C">
            <w:pPr>
              <w:spacing w:before="40" w:after="40" w:line="240" w:lineRule="exact"/>
              <w:jc w:val="center"/>
              <w:rPr>
                <w:rFonts w:ascii="宋体" w:hAnsi="宋体" w:eastAsia="宋体" w:cs="宋体"/>
                <w:sz w:val="18"/>
                <w:szCs w:val="18"/>
              </w:rPr>
            </w:pPr>
            <w:r>
              <w:rPr>
                <w:rFonts w:ascii="宋体" w:hAnsi="宋体" w:eastAsia="宋体" w:cs="宋体"/>
                <w:sz w:val="18"/>
                <w:szCs w:val="18"/>
              </w:rPr>
              <w:t>姓名</w:t>
            </w:r>
          </w:p>
        </w:tc>
        <w:tc>
          <w:tcPr>
            <w:tcW w:w="1749" w:type="dxa"/>
            <w:tcBorders>
              <w:top w:val="single" w:color="auto" w:sz="2" w:space="0"/>
              <w:left w:val="single" w:color="auto" w:sz="2" w:space="0"/>
              <w:bottom w:val="single" w:color="auto" w:sz="2" w:space="0"/>
              <w:right w:val="single" w:color="auto" w:sz="2" w:space="0"/>
            </w:tcBorders>
            <w:shd w:val="clear" w:color="auto" w:fill="D3D3D3"/>
            <w:vAlign w:val="center"/>
          </w:tcPr>
          <w:p w14:paraId="51B86B1F">
            <w:pPr>
              <w:spacing w:before="40" w:after="40" w:line="240" w:lineRule="exact"/>
              <w:jc w:val="center"/>
              <w:rPr>
                <w:rFonts w:ascii="宋体" w:hAnsi="宋体" w:eastAsia="宋体" w:cs="宋体"/>
                <w:sz w:val="18"/>
                <w:szCs w:val="18"/>
              </w:rPr>
            </w:pPr>
            <w:r>
              <w:rPr>
                <w:rFonts w:ascii="宋体" w:hAnsi="宋体" w:eastAsia="宋体" w:cs="宋体"/>
                <w:sz w:val="18"/>
                <w:szCs w:val="18"/>
              </w:rPr>
              <w:t>担任的职务</w:t>
            </w:r>
          </w:p>
        </w:tc>
        <w:tc>
          <w:tcPr>
            <w:tcW w:w="1440" w:type="dxa"/>
            <w:tcBorders>
              <w:top w:val="single" w:color="auto" w:sz="2" w:space="0"/>
              <w:left w:val="single" w:color="auto" w:sz="2" w:space="0"/>
              <w:bottom w:val="single" w:color="auto" w:sz="2" w:space="0"/>
              <w:right w:val="single" w:color="auto" w:sz="2" w:space="0"/>
            </w:tcBorders>
            <w:shd w:val="clear" w:color="auto" w:fill="D3D3D3"/>
            <w:vAlign w:val="center"/>
          </w:tcPr>
          <w:p w14:paraId="4FD8E4FF">
            <w:pPr>
              <w:spacing w:before="40" w:after="40" w:line="240" w:lineRule="exact"/>
              <w:jc w:val="center"/>
              <w:rPr>
                <w:rFonts w:ascii="宋体" w:hAnsi="宋体" w:eastAsia="宋体" w:cs="宋体"/>
                <w:sz w:val="18"/>
                <w:szCs w:val="18"/>
              </w:rPr>
            </w:pPr>
            <w:r>
              <w:rPr>
                <w:rFonts w:ascii="宋体" w:hAnsi="宋体" w:eastAsia="宋体" w:cs="宋体"/>
                <w:sz w:val="18"/>
                <w:szCs w:val="18"/>
              </w:rPr>
              <w:t>类型</w:t>
            </w:r>
          </w:p>
        </w:tc>
        <w:tc>
          <w:tcPr>
            <w:tcW w:w="1800" w:type="dxa"/>
            <w:tcBorders>
              <w:top w:val="single" w:color="auto" w:sz="2" w:space="0"/>
              <w:left w:val="single" w:color="auto" w:sz="2" w:space="0"/>
              <w:bottom w:val="single" w:color="auto" w:sz="2" w:space="0"/>
              <w:right w:val="single" w:color="auto" w:sz="2" w:space="0"/>
            </w:tcBorders>
            <w:shd w:val="clear" w:color="auto" w:fill="D3D3D3"/>
            <w:vAlign w:val="center"/>
          </w:tcPr>
          <w:p w14:paraId="5D061B05">
            <w:pPr>
              <w:spacing w:before="40" w:after="40" w:line="240" w:lineRule="exact"/>
              <w:jc w:val="center"/>
              <w:rPr>
                <w:rFonts w:ascii="宋体" w:hAnsi="宋体" w:eastAsia="宋体" w:cs="宋体"/>
                <w:sz w:val="18"/>
                <w:szCs w:val="18"/>
              </w:rPr>
            </w:pPr>
            <w:r>
              <w:rPr>
                <w:rFonts w:ascii="宋体" w:hAnsi="宋体" w:eastAsia="宋体" w:cs="宋体"/>
                <w:sz w:val="18"/>
                <w:szCs w:val="18"/>
              </w:rPr>
              <w:t>日期</w:t>
            </w:r>
          </w:p>
        </w:tc>
        <w:tc>
          <w:tcPr>
            <w:tcW w:w="2723" w:type="dxa"/>
            <w:tcBorders>
              <w:top w:val="single" w:color="auto" w:sz="2" w:space="0"/>
              <w:left w:val="single" w:color="auto" w:sz="2" w:space="0"/>
              <w:bottom w:val="single" w:color="auto" w:sz="2" w:space="0"/>
              <w:right w:val="single" w:color="auto" w:sz="2" w:space="0"/>
            </w:tcBorders>
            <w:shd w:val="clear" w:color="auto" w:fill="D3D3D3"/>
            <w:vAlign w:val="center"/>
          </w:tcPr>
          <w:p w14:paraId="651481B6">
            <w:pPr>
              <w:spacing w:before="40" w:after="40" w:line="240" w:lineRule="exact"/>
              <w:jc w:val="center"/>
              <w:rPr>
                <w:rFonts w:ascii="宋体" w:hAnsi="宋体" w:eastAsia="宋体" w:cs="宋体"/>
                <w:sz w:val="18"/>
                <w:szCs w:val="18"/>
              </w:rPr>
            </w:pPr>
            <w:r>
              <w:rPr>
                <w:rFonts w:ascii="宋体" w:hAnsi="宋体" w:eastAsia="宋体" w:cs="宋体"/>
                <w:sz w:val="18"/>
                <w:szCs w:val="18"/>
              </w:rPr>
              <w:t>原因</w:t>
            </w:r>
          </w:p>
        </w:tc>
      </w:tr>
      <w:tr w14:paraId="1F9185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66E6911D">
            <w:pPr>
              <w:spacing w:before="0" w:after="0" w:line="240" w:lineRule="exact"/>
              <w:jc w:val="left"/>
              <w:rPr>
                <w:rFonts w:ascii="宋体" w:hAnsi="宋体" w:eastAsia="宋体" w:cs="宋体"/>
                <w:sz w:val="18"/>
                <w:szCs w:val="18"/>
              </w:rPr>
            </w:pPr>
            <w:r>
              <w:rPr>
                <w:rFonts w:ascii="宋体" w:hAnsi="宋体" w:eastAsia="宋体" w:cs="宋体"/>
                <w:sz w:val="18"/>
                <w:szCs w:val="18"/>
              </w:rPr>
              <w:t>黄伏虎</w:t>
            </w:r>
          </w:p>
        </w:tc>
        <w:tc>
          <w:tcPr>
            <w:tcW w:w="1749" w:type="dxa"/>
            <w:tcBorders>
              <w:top w:val="single" w:color="auto" w:sz="2" w:space="0"/>
              <w:left w:val="single" w:color="auto" w:sz="2" w:space="0"/>
              <w:bottom w:val="single" w:color="auto" w:sz="2" w:space="0"/>
              <w:right w:val="single" w:color="auto" w:sz="2" w:space="0"/>
            </w:tcBorders>
            <w:vAlign w:val="center"/>
          </w:tcPr>
          <w:p w14:paraId="03FC3AEE">
            <w:pPr>
              <w:spacing w:before="0" w:after="0" w:line="240" w:lineRule="exact"/>
              <w:jc w:val="left"/>
              <w:rPr>
                <w:rFonts w:ascii="宋体" w:hAnsi="宋体" w:eastAsia="宋体" w:cs="宋体"/>
                <w:sz w:val="18"/>
                <w:szCs w:val="18"/>
              </w:rPr>
            </w:pPr>
            <w:r>
              <w:rPr>
                <w:rFonts w:ascii="宋体" w:hAnsi="宋体" w:eastAsia="宋体" w:cs="宋体"/>
                <w:sz w:val="18"/>
                <w:szCs w:val="18"/>
              </w:rPr>
              <w:t>首席运营官</w:t>
            </w:r>
          </w:p>
        </w:tc>
        <w:tc>
          <w:tcPr>
            <w:tcW w:w="1440" w:type="dxa"/>
            <w:tcBorders>
              <w:top w:val="single" w:color="auto" w:sz="2" w:space="0"/>
              <w:left w:val="single" w:color="auto" w:sz="2" w:space="0"/>
              <w:bottom w:val="single" w:color="auto" w:sz="2" w:space="0"/>
              <w:right w:val="single" w:color="auto" w:sz="2" w:space="0"/>
            </w:tcBorders>
            <w:vAlign w:val="center"/>
          </w:tcPr>
          <w:p w14:paraId="514E3BD2">
            <w:pPr>
              <w:spacing w:before="0" w:after="0" w:line="240" w:lineRule="exact"/>
              <w:jc w:val="left"/>
              <w:rPr>
                <w:rFonts w:ascii="宋体" w:hAnsi="宋体" w:eastAsia="宋体" w:cs="宋体"/>
                <w:sz w:val="18"/>
                <w:szCs w:val="18"/>
              </w:rPr>
            </w:pPr>
            <w:r>
              <w:rPr>
                <w:rFonts w:ascii="宋体" w:hAnsi="宋体" w:eastAsia="宋体" w:cs="宋体"/>
                <w:sz w:val="18"/>
                <w:szCs w:val="18"/>
              </w:rPr>
              <w:t>聘任</w:t>
            </w:r>
          </w:p>
        </w:tc>
        <w:tc>
          <w:tcPr>
            <w:tcW w:w="1800" w:type="dxa"/>
            <w:tcBorders>
              <w:top w:val="single" w:color="auto" w:sz="2" w:space="0"/>
              <w:left w:val="single" w:color="auto" w:sz="2" w:space="0"/>
              <w:bottom w:val="single" w:color="auto" w:sz="2" w:space="0"/>
              <w:right w:val="single" w:color="auto" w:sz="2" w:space="0"/>
            </w:tcBorders>
            <w:vAlign w:val="center"/>
          </w:tcPr>
          <w:p w14:paraId="37DCF12C">
            <w:pPr>
              <w:spacing w:before="0" w:after="0" w:line="240" w:lineRule="exact"/>
              <w:jc w:val="left"/>
              <w:rPr>
                <w:rFonts w:ascii="宋体" w:hAnsi="宋体" w:eastAsia="宋体" w:cs="宋体"/>
                <w:sz w:val="18"/>
                <w:szCs w:val="18"/>
              </w:rPr>
            </w:pPr>
            <w:r>
              <w:rPr>
                <w:rFonts w:ascii="宋体" w:hAnsi="宋体" w:eastAsia="宋体" w:cs="宋体"/>
                <w:sz w:val="18"/>
                <w:szCs w:val="18"/>
              </w:rPr>
              <w:t>2025年01月13日</w:t>
            </w:r>
          </w:p>
        </w:tc>
        <w:tc>
          <w:tcPr>
            <w:tcW w:w="2723" w:type="dxa"/>
            <w:tcBorders>
              <w:top w:val="single" w:color="auto" w:sz="2" w:space="0"/>
              <w:left w:val="single" w:color="auto" w:sz="2" w:space="0"/>
              <w:bottom w:val="single" w:color="auto" w:sz="2" w:space="0"/>
              <w:right w:val="single" w:color="auto" w:sz="2" w:space="0"/>
            </w:tcBorders>
            <w:vAlign w:val="center"/>
          </w:tcPr>
          <w:p w14:paraId="7B2A5F27">
            <w:pPr>
              <w:spacing w:before="0" w:after="0" w:line="240" w:lineRule="exact"/>
              <w:jc w:val="left"/>
              <w:rPr>
                <w:rFonts w:ascii="宋体" w:hAnsi="宋体" w:eastAsia="宋体" w:cs="宋体"/>
                <w:sz w:val="18"/>
                <w:szCs w:val="18"/>
              </w:rPr>
            </w:pPr>
            <w:r>
              <w:rPr>
                <w:rFonts w:ascii="宋体" w:hAnsi="宋体" w:eastAsia="宋体" w:cs="宋体"/>
                <w:sz w:val="18"/>
                <w:szCs w:val="18"/>
              </w:rPr>
              <w:t>副总经理改聘为首席运营官</w:t>
            </w:r>
          </w:p>
        </w:tc>
      </w:tr>
      <w:tr w14:paraId="045D61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437EE513">
            <w:pPr>
              <w:spacing w:before="0" w:after="0" w:line="240" w:lineRule="exact"/>
              <w:jc w:val="left"/>
              <w:rPr>
                <w:rFonts w:ascii="宋体" w:hAnsi="宋体" w:eastAsia="宋体" w:cs="宋体"/>
                <w:sz w:val="18"/>
                <w:szCs w:val="18"/>
              </w:rPr>
            </w:pPr>
            <w:r>
              <w:rPr>
                <w:rFonts w:ascii="宋体" w:hAnsi="宋体" w:eastAsia="宋体" w:cs="宋体"/>
                <w:sz w:val="18"/>
                <w:szCs w:val="18"/>
              </w:rPr>
              <w:t>庄辰明</w:t>
            </w:r>
          </w:p>
        </w:tc>
        <w:tc>
          <w:tcPr>
            <w:tcW w:w="1749" w:type="dxa"/>
            <w:tcBorders>
              <w:top w:val="single" w:color="auto" w:sz="2" w:space="0"/>
              <w:left w:val="single" w:color="auto" w:sz="2" w:space="0"/>
              <w:bottom w:val="single" w:color="auto" w:sz="2" w:space="0"/>
              <w:right w:val="single" w:color="auto" w:sz="2" w:space="0"/>
            </w:tcBorders>
            <w:vAlign w:val="center"/>
          </w:tcPr>
          <w:p w14:paraId="4C26A093">
            <w:pPr>
              <w:spacing w:before="0" w:after="0" w:line="240" w:lineRule="exact"/>
              <w:jc w:val="left"/>
              <w:rPr>
                <w:rFonts w:ascii="宋体" w:hAnsi="宋体" w:eastAsia="宋体" w:cs="宋体"/>
                <w:sz w:val="18"/>
                <w:szCs w:val="18"/>
              </w:rPr>
            </w:pPr>
            <w:r>
              <w:rPr>
                <w:rFonts w:ascii="宋体" w:hAnsi="宋体" w:eastAsia="宋体" w:cs="宋体"/>
                <w:sz w:val="18"/>
                <w:szCs w:val="18"/>
              </w:rPr>
              <w:t>董事、副总经理</w:t>
            </w:r>
          </w:p>
        </w:tc>
        <w:tc>
          <w:tcPr>
            <w:tcW w:w="1440" w:type="dxa"/>
            <w:tcBorders>
              <w:top w:val="single" w:color="auto" w:sz="2" w:space="0"/>
              <w:left w:val="single" w:color="auto" w:sz="2" w:space="0"/>
              <w:bottom w:val="single" w:color="auto" w:sz="2" w:space="0"/>
              <w:right w:val="single" w:color="auto" w:sz="2" w:space="0"/>
            </w:tcBorders>
            <w:vAlign w:val="center"/>
          </w:tcPr>
          <w:p w14:paraId="032213D5">
            <w:pPr>
              <w:spacing w:before="0" w:after="0" w:line="240" w:lineRule="exact"/>
              <w:jc w:val="left"/>
              <w:rPr>
                <w:rFonts w:ascii="宋体" w:hAnsi="宋体" w:eastAsia="宋体" w:cs="宋体"/>
                <w:sz w:val="18"/>
                <w:szCs w:val="18"/>
              </w:rPr>
            </w:pPr>
            <w:r>
              <w:rPr>
                <w:rFonts w:ascii="宋体" w:hAnsi="宋体" w:eastAsia="宋体" w:cs="宋体"/>
                <w:sz w:val="18"/>
                <w:szCs w:val="18"/>
              </w:rPr>
              <w:t>被选举</w:t>
            </w:r>
          </w:p>
        </w:tc>
        <w:tc>
          <w:tcPr>
            <w:tcW w:w="1800" w:type="dxa"/>
            <w:tcBorders>
              <w:top w:val="single" w:color="auto" w:sz="2" w:space="0"/>
              <w:left w:val="single" w:color="auto" w:sz="2" w:space="0"/>
              <w:bottom w:val="single" w:color="auto" w:sz="2" w:space="0"/>
              <w:right w:val="single" w:color="auto" w:sz="2" w:space="0"/>
            </w:tcBorders>
            <w:vAlign w:val="center"/>
          </w:tcPr>
          <w:p w14:paraId="51F66AB2">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2723" w:type="dxa"/>
            <w:tcBorders>
              <w:top w:val="single" w:color="auto" w:sz="2" w:space="0"/>
              <w:left w:val="single" w:color="auto" w:sz="2" w:space="0"/>
              <w:bottom w:val="single" w:color="auto" w:sz="2" w:space="0"/>
              <w:right w:val="single" w:color="auto" w:sz="2" w:space="0"/>
            </w:tcBorders>
            <w:vAlign w:val="center"/>
          </w:tcPr>
          <w:p w14:paraId="38866ECF">
            <w:pPr>
              <w:spacing w:before="0" w:after="0" w:line="240" w:lineRule="exact"/>
              <w:jc w:val="left"/>
              <w:rPr>
                <w:rFonts w:ascii="宋体" w:hAnsi="宋体" w:eastAsia="宋体" w:cs="宋体"/>
                <w:sz w:val="18"/>
                <w:szCs w:val="18"/>
              </w:rPr>
            </w:pPr>
            <w:r>
              <w:rPr>
                <w:rFonts w:ascii="宋体" w:hAnsi="宋体" w:eastAsia="宋体" w:cs="宋体"/>
                <w:sz w:val="18"/>
                <w:szCs w:val="18"/>
              </w:rPr>
              <w:t>换届选举</w:t>
            </w:r>
          </w:p>
        </w:tc>
      </w:tr>
      <w:tr w14:paraId="7CF22E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77AB9ACA">
            <w:pPr>
              <w:spacing w:before="0" w:after="0" w:line="240" w:lineRule="exact"/>
              <w:jc w:val="left"/>
              <w:rPr>
                <w:rFonts w:ascii="宋体" w:hAnsi="宋体" w:eastAsia="宋体" w:cs="宋体"/>
                <w:sz w:val="18"/>
                <w:szCs w:val="18"/>
              </w:rPr>
            </w:pPr>
            <w:r>
              <w:rPr>
                <w:rFonts w:ascii="宋体" w:hAnsi="宋体" w:eastAsia="宋体" w:cs="宋体"/>
                <w:sz w:val="18"/>
                <w:szCs w:val="18"/>
              </w:rPr>
              <w:t>吴红军</w:t>
            </w:r>
          </w:p>
        </w:tc>
        <w:tc>
          <w:tcPr>
            <w:tcW w:w="1749" w:type="dxa"/>
            <w:tcBorders>
              <w:top w:val="single" w:color="auto" w:sz="2" w:space="0"/>
              <w:left w:val="single" w:color="auto" w:sz="2" w:space="0"/>
              <w:bottom w:val="single" w:color="auto" w:sz="2" w:space="0"/>
              <w:right w:val="single" w:color="auto" w:sz="2" w:space="0"/>
            </w:tcBorders>
            <w:vAlign w:val="center"/>
          </w:tcPr>
          <w:p w14:paraId="3CA4995C">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1440" w:type="dxa"/>
            <w:tcBorders>
              <w:top w:val="single" w:color="auto" w:sz="2" w:space="0"/>
              <w:left w:val="single" w:color="auto" w:sz="2" w:space="0"/>
              <w:bottom w:val="single" w:color="auto" w:sz="2" w:space="0"/>
              <w:right w:val="single" w:color="auto" w:sz="2" w:space="0"/>
            </w:tcBorders>
            <w:vAlign w:val="center"/>
          </w:tcPr>
          <w:p w14:paraId="21CC8C52">
            <w:pPr>
              <w:spacing w:before="0" w:after="0" w:line="240" w:lineRule="exact"/>
              <w:jc w:val="left"/>
              <w:rPr>
                <w:rFonts w:ascii="宋体" w:hAnsi="宋体" w:eastAsia="宋体" w:cs="宋体"/>
                <w:sz w:val="18"/>
                <w:szCs w:val="18"/>
              </w:rPr>
            </w:pPr>
            <w:r>
              <w:rPr>
                <w:rFonts w:ascii="宋体" w:hAnsi="宋体" w:eastAsia="宋体" w:cs="宋体"/>
                <w:sz w:val="18"/>
                <w:szCs w:val="18"/>
              </w:rPr>
              <w:t>被选举</w:t>
            </w:r>
          </w:p>
        </w:tc>
        <w:tc>
          <w:tcPr>
            <w:tcW w:w="1800" w:type="dxa"/>
            <w:tcBorders>
              <w:top w:val="single" w:color="auto" w:sz="2" w:space="0"/>
              <w:left w:val="single" w:color="auto" w:sz="2" w:space="0"/>
              <w:bottom w:val="single" w:color="auto" w:sz="2" w:space="0"/>
              <w:right w:val="single" w:color="auto" w:sz="2" w:space="0"/>
            </w:tcBorders>
            <w:vAlign w:val="center"/>
          </w:tcPr>
          <w:p w14:paraId="3608015F">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2723" w:type="dxa"/>
            <w:tcBorders>
              <w:top w:val="single" w:color="auto" w:sz="2" w:space="0"/>
              <w:left w:val="single" w:color="auto" w:sz="2" w:space="0"/>
              <w:bottom w:val="single" w:color="auto" w:sz="2" w:space="0"/>
              <w:right w:val="single" w:color="auto" w:sz="2" w:space="0"/>
            </w:tcBorders>
            <w:vAlign w:val="center"/>
          </w:tcPr>
          <w:p w14:paraId="7FB99937">
            <w:pPr>
              <w:spacing w:before="0" w:after="0" w:line="240" w:lineRule="exact"/>
              <w:jc w:val="left"/>
              <w:rPr>
                <w:rFonts w:ascii="宋体" w:hAnsi="宋体" w:eastAsia="宋体" w:cs="宋体"/>
                <w:sz w:val="18"/>
                <w:szCs w:val="18"/>
              </w:rPr>
            </w:pPr>
            <w:r>
              <w:rPr>
                <w:rFonts w:ascii="宋体" w:hAnsi="宋体" w:eastAsia="宋体" w:cs="宋体"/>
                <w:sz w:val="18"/>
                <w:szCs w:val="18"/>
              </w:rPr>
              <w:t>换届选举</w:t>
            </w:r>
          </w:p>
        </w:tc>
      </w:tr>
      <w:tr w14:paraId="101E8F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3C9FEB95">
            <w:pPr>
              <w:spacing w:before="0" w:after="0" w:line="240" w:lineRule="exact"/>
              <w:jc w:val="left"/>
              <w:rPr>
                <w:rFonts w:ascii="宋体" w:hAnsi="宋体" w:eastAsia="宋体" w:cs="宋体"/>
                <w:sz w:val="18"/>
                <w:szCs w:val="18"/>
              </w:rPr>
            </w:pPr>
            <w:r>
              <w:rPr>
                <w:rFonts w:ascii="宋体" w:hAnsi="宋体" w:eastAsia="宋体" w:cs="宋体"/>
                <w:sz w:val="18"/>
                <w:szCs w:val="18"/>
              </w:rPr>
              <w:t>鲁凤民</w:t>
            </w:r>
          </w:p>
        </w:tc>
        <w:tc>
          <w:tcPr>
            <w:tcW w:w="1749" w:type="dxa"/>
            <w:tcBorders>
              <w:top w:val="single" w:color="auto" w:sz="2" w:space="0"/>
              <w:left w:val="single" w:color="auto" w:sz="2" w:space="0"/>
              <w:bottom w:val="single" w:color="auto" w:sz="2" w:space="0"/>
              <w:right w:val="single" w:color="auto" w:sz="2" w:space="0"/>
            </w:tcBorders>
            <w:vAlign w:val="center"/>
          </w:tcPr>
          <w:p w14:paraId="744B82B9">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1440" w:type="dxa"/>
            <w:tcBorders>
              <w:top w:val="single" w:color="auto" w:sz="2" w:space="0"/>
              <w:left w:val="single" w:color="auto" w:sz="2" w:space="0"/>
              <w:bottom w:val="single" w:color="auto" w:sz="2" w:space="0"/>
              <w:right w:val="single" w:color="auto" w:sz="2" w:space="0"/>
            </w:tcBorders>
            <w:vAlign w:val="center"/>
          </w:tcPr>
          <w:p w14:paraId="7FC739C0">
            <w:pPr>
              <w:spacing w:before="0" w:after="0" w:line="240" w:lineRule="exact"/>
              <w:jc w:val="left"/>
              <w:rPr>
                <w:rFonts w:ascii="宋体" w:hAnsi="宋体" w:eastAsia="宋体" w:cs="宋体"/>
                <w:sz w:val="18"/>
                <w:szCs w:val="18"/>
              </w:rPr>
            </w:pPr>
            <w:r>
              <w:rPr>
                <w:rFonts w:ascii="宋体" w:hAnsi="宋体" w:eastAsia="宋体" w:cs="宋体"/>
                <w:sz w:val="18"/>
                <w:szCs w:val="18"/>
              </w:rPr>
              <w:t>被选举</w:t>
            </w:r>
          </w:p>
        </w:tc>
        <w:tc>
          <w:tcPr>
            <w:tcW w:w="1800" w:type="dxa"/>
            <w:tcBorders>
              <w:top w:val="single" w:color="auto" w:sz="2" w:space="0"/>
              <w:left w:val="single" w:color="auto" w:sz="2" w:space="0"/>
              <w:bottom w:val="single" w:color="auto" w:sz="2" w:space="0"/>
              <w:right w:val="single" w:color="auto" w:sz="2" w:space="0"/>
            </w:tcBorders>
            <w:vAlign w:val="center"/>
          </w:tcPr>
          <w:p w14:paraId="769782D3">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2723" w:type="dxa"/>
            <w:tcBorders>
              <w:top w:val="single" w:color="auto" w:sz="2" w:space="0"/>
              <w:left w:val="single" w:color="auto" w:sz="2" w:space="0"/>
              <w:bottom w:val="single" w:color="auto" w:sz="2" w:space="0"/>
              <w:right w:val="single" w:color="auto" w:sz="2" w:space="0"/>
            </w:tcBorders>
            <w:vAlign w:val="center"/>
          </w:tcPr>
          <w:p w14:paraId="06525766">
            <w:pPr>
              <w:spacing w:before="0" w:after="0" w:line="240" w:lineRule="exact"/>
              <w:jc w:val="left"/>
              <w:rPr>
                <w:rFonts w:ascii="宋体" w:hAnsi="宋体" w:eastAsia="宋体" w:cs="宋体"/>
                <w:sz w:val="18"/>
                <w:szCs w:val="18"/>
              </w:rPr>
            </w:pPr>
            <w:r>
              <w:rPr>
                <w:rFonts w:ascii="宋体" w:hAnsi="宋体" w:eastAsia="宋体" w:cs="宋体"/>
                <w:sz w:val="18"/>
                <w:szCs w:val="18"/>
              </w:rPr>
              <w:t>换届选举</w:t>
            </w:r>
          </w:p>
        </w:tc>
      </w:tr>
      <w:tr w14:paraId="55D522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756D361D">
            <w:pPr>
              <w:spacing w:before="0" w:after="0" w:line="240" w:lineRule="exact"/>
              <w:jc w:val="left"/>
              <w:rPr>
                <w:rFonts w:ascii="宋体" w:hAnsi="宋体" w:eastAsia="宋体" w:cs="宋体"/>
                <w:sz w:val="18"/>
                <w:szCs w:val="18"/>
              </w:rPr>
            </w:pPr>
            <w:r>
              <w:rPr>
                <w:rFonts w:ascii="宋体" w:hAnsi="宋体" w:eastAsia="宋体" w:cs="宋体"/>
                <w:sz w:val="18"/>
                <w:szCs w:val="18"/>
              </w:rPr>
              <w:t>吴飞美</w:t>
            </w:r>
          </w:p>
        </w:tc>
        <w:tc>
          <w:tcPr>
            <w:tcW w:w="1749" w:type="dxa"/>
            <w:tcBorders>
              <w:top w:val="single" w:color="auto" w:sz="2" w:space="0"/>
              <w:left w:val="single" w:color="auto" w:sz="2" w:space="0"/>
              <w:bottom w:val="single" w:color="auto" w:sz="2" w:space="0"/>
              <w:right w:val="single" w:color="auto" w:sz="2" w:space="0"/>
            </w:tcBorders>
            <w:vAlign w:val="center"/>
          </w:tcPr>
          <w:p w14:paraId="41B55AAD">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1440" w:type="dxa"/>
            <w:tcBorders>
              <w:top w:val="single" w:color="auto" w:sz="2" w:space="0"/>
              <w:left w:val="single" w:color="auto" w:sz="2" w:space="0"/>
              <w:bottom w:val="single" w:color="auto" w:sz="2" w:space="0"/>
              <w:right w:val="single" w:color="auto" w:sz="2" w:space="0"/>
            </w:tcBorders>
            <w:vAlign w:val="center"/>
          </w:tcPr>
          <w:p w14:paraId="4D1452D4">
            <w:pPr>
              <w:spacing w:before="0" w:after="0" w:line="240" w:lineRule="exact"/>
              <w:jc w:val="left"/>
              <w:rPr>
                <w:rFonts w:ascii="宋体" w:hAnsi="宋体" w:eastAsia="宋体" w:cs="宋体"/>
                <w:sz w:val="18"/>
                <w:szCs w:val="18"/>
              </w:rPr>
            </w:pPr>
            <w:r>
              <w:rPr>
                <w:rFonts w:ascii="宋体" w:hAnsi="宋体" w:eastAsia="宋体" w:cs="宋体"/>
                <w:sz w:val="18"/>
                <w:szCs w:val="18"/>
              </w:rPr>
              <w:t>被选举</w:t>
            </w:r>
          </w:p>
        </w:tc>
        <w:tc>
          <w:tcPr>
            <w:tcW w:w="1800" w:type="dxa"/>
            <w:tcBorders>
              <w:top w:val="single" w:color="auto" w:sz="2" w:space="0"/>
              <w:left w:val="single" w:color="auto" w:sz="2" w:space="0"/>
              <w:bottom w:val="single" w:color="auto" w:sz="2" w:space="0"/>
              <w:right w:val="single" w:color="auto" w:sz="2" w:space="0"/>
            </w:tcBorders>
            <w:vAlign w:val="center"/>
          </w:tcPr>
          <w:p w14:paraId="00AC60F8">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2723" w:type="dxa"/>
            <w:tcBorders>
              <w:top w:val="single" w:color="auto" w:sz="2" w:space="0"/>
              <w:left w:val="single" w:color="auto" w:sz="2" w:space="0"/>
              <w:bottom w:val="single" w:color="auto" w:sz="2" w:space="0"/>
              <w:right w:val="single" w:color="auto" w:sz="2" w:space="0"/>
            </w:tcBorders>
            <w:vAlign w:val="center"/>
          </w:tcPr>
          <w:p w14:paraId="5007A3D3">
            <w:pPr>
              <w:spacing w:before="0" w:after="0" w:line="240" w:lineRule="exact"/>
              <w:jc w:val="left"/>
              <w:rPr>
                <w:rFonts w:ascii="宋体" w:hAnsi="宋体" w:eastAsia="宋体" w:cs="宋体"/>
                <w:sz w:val="18"/>
                <w:szCs w:val="18"/>
              </w:rPr>
            </w:pPr>
            <w:r>
              <w:rPr>
                <w:rFonts w:ascii="宋体" w:hAnsi="宋体" w:eastAsia="宋体" w:cs="宋体"/>
                <w:sz w:val="18"/>
                <w:szCs w:val="18"/>
              </w:rPr>
              <w:t>换届选举</w:t>
            </w:r>
          </w:p>
        </w:tc>
      </w:tr>
      <w:tr w14:paraId="45B870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4444B018">
            <w:pPr>
              <w:spacing w:before="0" w:after="0" w:line="240" w:lineRule="exact"/>
              <w:jc w:val="left"/>
              <w:rPr>
                <w:rFonts w:ascii="宋体" w:hAnsi="宋体" w:eastAsia="宋体" w:cs="宋体"/>
                <w:sz w:val="18"/>
                <w:szCs w:val="18"/>
              </w:rPr>
            </w:pPr>
            <w:r>
              <w:rPr>
                <w:rFonts w:ascii="宋体" w:hAnsi="宋体" w:eastAsia="宋体" w:cs="宋体"/>
                <w:sz w:val="18"/>
                <w:szCs w:val="18"/>
              </w:rPr>
              <w:t>史保明</w:t>
            </w:r>
          </w:p>
        </w:tc>
        <w:tc>
          <w:tcPr>
            <w:tcW w:w="1749" w:type="dxa"/>
            <w:tcBorders>
              <w:top w:val="single" w:color="auto" w:sz="2" w:space="0"/>
              <w:left w:val="single" w:color="auto" w:sz="2" w:space="0"/>
              <w:bottom w:val="single" w:color="auto" w:sz="2" w:space="0"/>
              <w:right w:val="single" w:color="auto" w:sz="2" w:space="0"/>
            </w:tcBorders>
            <w:vAlign w:val="center"/>
          </w:tcPr>
          <w:p w14:paraId="0E31B93B">
            <w:pPr>
              <w:spacing w:before="0" w:after="0" w:line="240" w:lineRule="exact"/>
              <w:jc w:val="left"/>
              <w:rPr>
                <w:rFonts w:ascii="宋体" w:hAnsi="宋体" w:eastAsia="宋体" w:cs="宋体"/>
                <w:sz w:val="18"/>
                <w:szCs w:val="18"/>
              </w:rPr>
            </w:pPr>
            <w:r>
              <w:rPr>
                <w:rFonts w:ascii="宋体" w:hAnsi="宋体" w:eastAsia="宋体" w:cs="宋体"/>
                <w:sz w:val="18"/>
                <w:szCs w:val="18"/>
              </w:rPr>
              <w:t>监事会主席</w:t>
            </w:r>
          </w:p>
        </w:tc>
        <w:tc>
          <w:tcPr>
            <w:tcW w:w="1440" w:type="dxa"/>
            <w:tcBorders>
              <w:top w:val="single" w:color="auto" w:sz="2" w:space="0"/>
              <w:left w:val="single" w:color="auto" w:sz="2" w:space="0"/>
              <w:bottom w:val="single" w:color="auto" w:sz="2" w:space="0"/>
              <w:right w:val="single" w:color="auto" w:sz="2" w:space="0"/>
            </w:tcBorders>
            <w:vAlign w:val="center"/>
          </w:tcPr>
          <w:p w14:paraId="7F3854A9">
            <w:pPr>
              <w:spacing w:before="0" w:after="0" w:line="240" w:lineRule="exact"/>
              <w:jc w:val="left"/>
              <w:rPr>
                <w:rFonts w:ascii="宋体" w:hAnsi="宋体" w:eastAsia="宋体" w:cs="宋体"/>
                <w:sz w:val="18"/>
                <w:szCs w:val="18"/>
              </w:rPr>
            </w:pPr>
            <w:r>
              <w:rPr>
                <w:rFonts w:ascii="宋体" w:hAnsi="宋体" w:eastAsia="宋体" w:cs="宋体"/>
                <w:sz w:val="18"/>
                <w:szCs w:val="18"/>
              </w:rPr>
              <w:t>被选举</w:t>
            </w:r>
          </w:p>
        </w:tc>
        <w:tc>
          <w:tcPr>
            <w:tcW w:w="1800" w:type="dxa"/>
            <w:tcBorders>
              <w:top w:val="single" w:color="auto" w:sz="2" w:space="0"/>
              <w:left w:val="single" w:color="auto" w:sz="2" w:space="0"/>
              <w:bottom w:val="single" w:color="auto" w:sz="2" w:space="0"/>
              <w:right w:val="single" w:color="auto" w:sz="2" w:space="0"/>
            </w:tcBorders>
            <w:vAlign w:val="center"/>
          </w:tcPr>
          <w:p w14:paraId="373E9C96">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2723" w:type="dxa"/>
            <w:tcBorders>
              <w:top w:val="single" w:color="auto" w:sz="2" w:space="0"/>
              <w:left w:val="single" w:color="auto" w:sz="2" w:space="0"/>
              <w:bottom w:val="single" w:color="auto" w:sz="2" w:space="0"/>
              <w:right w:val="single" w:color="auto" w:sz="2" w:space="0"/>
            </w:tcBorders>
            <w:vAlign w:val="center"/>
          </w:tcPr>
          <w:p w14:paraId="0A38E789">
            <w:pPr>
              <w:spacing w:before="0" w:after="0" w:line="240" w:lineRule="exact"/>
              <w:jc w:val="left"/>
              <w:rPr>
                <w:rFonts w:ascii="宋体" w:hAnsi="宋体" w:eastAsia="宋体" w:cs="宋体"/>
                <w:sz w:val="18"/>
                <w:szCs w:val="18"/>
              </w:rPr>
            </w:pPr>
            <w:r>
              <w:rPr>
                <w:rFonts w:ascii="宋体" w:hAnsi="宋体" w:eastAsia="宋体" w:cs="宋体"/>
                <w:sz w:val="18"/>
                <w:szCs w:val="18"/>
              </w:rPr>
              <w:t>换届选举</w:t>
            </w:r>
          </w:p>
        </w:tc>
      </w:tr>
      <w:tr w14:paraId="489A22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1970CC38">
            <w:pPr>
              <w:spacing w:before="0" w:after="0" w:line="240" w:lineRule="exact"/>
              <w:jc w:val="left"/>
              <w:rPr>
                <w:rFonts w:ascii="宋体" w:hAnsi="宋体" w:eastAsia="宋体" w:cs="宋体"/>
                <w:sz w:val="18"/>
                <w:szCs w:val="18"/>
              </w:rPr>
            </w:pPr>
            <w:r>
              <w:rPr>
                <w:rFonts w:ascii="宋体" w:hAnsi="宋体" w:eastAsia="宋体" w:cs="宋体"/>
                <w:sz w:val="18"/>
                <w:szCs w:val="18"/>
              </w:rPr>
              <w:t>肖厚麟</w:t>
            </w:r>
          </w:p>
        </w:tc>
        <w:tc>
          <w:tcPr>
            <w:tcW w:w="1749" w:type="dxa"/>
            <w:tcBorders>
              <w:top w:val="single" w:color="auto" w:sz="2" w:space="0"/>
              <w:left w:val="single" w:color="auto" w:sz="2" w:space="0"/>
              <w:bottom w:val="single" w:color="auto" w:sz="2" w:space="0"/>
              <w:right w:val="single" w:color="auto" w:sz="2" w:space="0"/>
            </w:tcBorders>
            <w:vAlign w:val="center"/>
          </w:tcPr>
          <w:p w14:paraId="38400022">
            <w:pPr>
              <w:spacing w:before="0" w:after="0" w:line="240" w:lineRule="exact"/>
              <w:jc w:val="left"/>
              <w:rPr>
                <w:rFonts w:ascii="宋体" w:hAnsi="宋体" w:eastAsia="宋体" w:cs="宋体"/>
                <w:sz w:val="18"/>
                <w:szCs w:val="18"/>
              </w:rPr>
            </w:pPr>
            <w:r>
              <w:rPr>
                <w:rFonts w:ascii="宋体" w:hAnsi="宋体" w:eastAsia="宋体" w:cs="宋体"/>
                <w:sz w:val="18"/>
                <w:szCs w:val="18"/>
              </w:rPr>
              <w:t>监事</w:t>
            </w:r>
          </w:p>
        </w:tc>
        <w:tc>
          <w:tcPr>
            <w:tcW w:w="1440" w:type="dxa"/>
            <w:tcBorders>
              <w:top w:val="single" w:color="auto" w:sz="2" w:space="0"/>
              <w:left w:val="single" w:color="auto" w:sz="2" w:space="0"/>
              <w:bottom w:val="single" w:color="auto" w:sz="2" w:space="0"/>
              <w:right w:val="single" w:color="auto" w:sz="2" w:space="0"/>
            </w:tcBorders>
            <w:vAlign w:val="center"/>
          </w:tcPr>
          <w:p w14:paraId="1CAB6DEA">
            <w:pPr>
              <w:spacing w:before="0" w:after="0" w:line="240" w:lineRule="exact"/>
              <w:jc w:val="left"/>
              <w:rPr>
                <w:rFonts w:ascii="宋体" w:hAnsi="宋体" w:eastAsia="宋体" w:cs="宋体"/>
                <w:sz w:val="18"/>
                <w:szCs w:val="18"/>
              </w:rPr>
            </w:pPr>
            <w:r>
              <w:rPr>
                <w:rFonts w:ascii="宋体" w:hAnsi="宋体" w:eastAsia="宋体" w:cs="宋体"/>
                <w:sz w:val="18"/>
                <w:szCs w:val="18"/>
              </w:rPr>
              <w:t>被选举</w:t>
            </w:r>
          </w:p>
        </w:tc>
        <w:tc>
          <w:tcPr>
            <w:tcW w:w="1800" w:type="dxa"/>
            <w:tcBorders>
              <w:top w:val="single" w:color="auto" w:sz="2" w:space="0"/>
              <w:left w:val="single" w:color="auto" w:sz="2" w:space="0"/>
              <w:bottom w:val="single" w:color="auto" w:sz="2" w:space="0"/>
              <w:right w:val="single" w:color="auto" w:sz="2" w:space="0"/>
            </w:tcBorders>
            <w:vAlign w:val="center"/>
          </w:tcPr>
          <w:p w14:paraId="7465CD8B">
            <w:pPr>
              <w:spacing w:before="0" w:after="0" w:line="240" w:lineRule="exact"/>
              <w:jc w:val="left"/>
              <w:rPr>
                <w:rFonts w:ascii="宋体" w:hAnsi="宋体" w:eastAsia="宋体" w:cs="宋体"/>
                <w:sz w:val="18"/>
                <w:szCs w:val="18"/>
              </w:rPr>
            </w:pPr>
            <w:r>
              <w:rPr>
                <w:rFonts w:ascii="宋体" w:hAnsi="宋体" w:eastAsia="宋体" w:cs="宋体"/>
                <w:sz w:val="18"/>
                <w:szCs w:val="18"/>
              </w:rPr>
              <w:t>2024年12月09日</w:t>
            </w:r>
          </w:p>
        </w:tc>
        <w:tc>
          <w:tcPr>
            <w:tcW w:w="2723" w:type="dxa"/>
            <w:tcBorders>
              <w:top w:val="single" w:color="auto" w:sz="2" w:space="0"/>
              <w:left w:val="single" w:color="auto" w:sz="2" w:space="0"/>
              <w:bottom w:val="single" w:color="auto" w:sz="2" w:space="0"/>
              <w:right w:val="single" w:color="auto" w:sz="2" w:space="0"/>
            </w:tcBorders>
            <w:vAlign w:val="center"/>
          </w:tcPr>
          <w:p w14:paraId="1FB5EC40">
            <w:pPr>
              <w:spacing w:before="0" w:after="0" w:line="240" w:lineRule="exact"/>
              <w:jc w:val="left"/>
              <w:rPr>
                <w:rFonts w:ascii="宋体" w:hAnsi="宋体" w:eastAsia="宋体" w:cs="宋体"/>
                <w:sz w:val="18"/>
                <w:szCs w:val="18"/>
              </w:rPr>
            </w:pPr>
            <w:r>
              <w:rPr>
                <w:rFonts w:ascii="宋体" w:hAnsi="宋体" w:eastAsia="宋体" w:cs="宋体"/>
                <w:sz w:val="18"/>
                <w:szCs w:val="18"/>
              </w:rPr>
              <w:t>被选举</w:t>
            </w:r>
          </w:p>
        </w:tc>
      </w:tr>
      <w:tr w14:paraId="071318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77059CEB">
            <w:pPr>
              <w:spacing w:before="0" w:after="0" w:line="240" w:lineRule="exact"/>
              <w:jc w:val="left"/>
              <w:rPr>
                <w:rFonts w:ascii="宋体" w:hAnsi="宋体" w:eastAsia="宋体" w:cs="宋体"/>
                <w:sz w:val="18"/>
                <w:szCs w:val="18"/>
              </w:rPr>
            </w:pPr>
            <w:r>
              <w:rPr>
                <w:rFonts w:ascii="宋体" w:hAnsi="宋体" w:eastAsia="宋体" w:cs="宋体"/>
                <w:sz w:val="18"/>
                <w:szCs w:val="18"/>
              </w:rPr>
              <w:t>KE HU（胡柯）</w:t>
            </w:r>
          </w:p>
        </w:tc>
        <w:tc>
          <w:tcPr>
            <w:tcW w:w="1749" w:type="dxa"/>
            <w:tcBorders>
              <w:top w:val="single" w:color="auto" w:sz="2" w:space="0"/>
              <w:left w:val="single" w:color="auto" w:sz="2" w:space="0"/>
              <w:bottom w:val="single" w:color="auto" w:sz="2" w:space="0"/>
              <w:right w:val="single" w:color="auto" w:sz="2" w:space="0"/>
            </w:tcBorders>
            <w:vAlign w:val="center"/>
          </w:tcPr>
          <w:p w14:paraId="5CC02BD0">
            <w:pPr>
              <w:spacing w:before="0" w:after="0" w:line="240" w:lineRule="exact"/>
              <w:jc w:val="left"/>
              <w:rPr>
                <w:rFonts w:ascii="宋体" w:hAnsi="宋体" w:eastAsia="宋体" w:cs="宋体"/>
                <w:sz w:val="18"/>
                <w:szCs w:val="18"/>
              </w:rPr>
            </w:pPr>
            <w:r>
              <w:rPr>
                <w:rFonts w:ascii="宋体" w:hAnsi="宋体" w:eastAsia="宋体" w:cs="宋体"/>
                <w:sz w:val="18"/>
                <w:szCs w:val="18"/>
              </w:rPr>
              <w:t>首席科学家</w:t>
            </w:r>
          </w:p>
        </w:tc>
        <w:tc>
          <w:tcPr>
            <w:tcW w:w="1440" w:type="dxa"/>
            <w:tcBorders>
              <w:top w:val="single" w:color="auto" w:sz="2" w:space="0"/>
              <w:left w:val="single" w:color="auto" w:sz="2" w:space="0"/>
              <w:bottom w:val="single" w:color="auto" w:sz="2" w:space="0"/>
              <w:right w:val="single" w:color="auto" w:sz="2" w:space="0"/>
            </w:tcBorders>
            <w:vAlign w:val="center"/>
          </w:tcPr>
          <w:p w14:paraId="179ED2AF">
            <w:pPr>
              <w:spacing w:before="0" w:after="0" w:line="240" w:lineRule="exact"/>
              <w:jc w:val="left"/>
              <w:rPr>
                <w:rFonts w:ascii="宋体" w:hAnsi="宋体" w:eastAsia="宋体" w:cs="宋体"/>
                <w:sz w:val="18"/>
                <w:szCs w:val="18"/>
              </w:rPr>
            </w:pPr>
            <w:r>
              <w:rPr>
                <w:rFonts w:ascii="宋体" w:hAnsi="宋体" w:eastAsia="宋体" w:cs="宋体"/>
                <w:sz w:val="18"/>
                <w:szCs w:val="18"/>
              </w:rPr>
              <w:t>聘任</w:t>
            </w:r>
          </w:p>
        </w:tc>
        <w:tc>
          <w:tcPr>
            <w:tcW w:w="1800" w:type="dxa"/>
            <w:tcBorders>
              <w:top w:val="single" w:color="auto" w:sz="2" w:space="0"/>
              <w:left w:val="single" w:color="auto" w:sz="2" w:space="0"/>
              <w:bottom w:val="single" w:color="auto" w:sz="2" w:space="0"/>
              <w:right w:val="single" w:color="auto" w:sz="2" w:space="0"/>
            </w:tcBorders>
            <w:vAlign w:val="center"/>
          </w:tcPr>
          <w:p w14:paraId="3B05ED48">
            <w:pPr>
              <w:spacing w:before="0" w:after="0" w:line="240" w:lineRule="exact"/>
              <w:jc w:val="left"/>
              <w:rPr>
                <w:rFonts w:ascii="宋体" w:hAnsi="宋体" w:eastAsia="宋体" w:cs="宋体"/>
                <w:sz w:val="18"/>
                <w:szCs w:val="18"/>
              </w:rPr>
            </w:pPr>
            <w:r>
              <w:rPr>
                <w:rFonts w:ascii="宋体" w:hAnsi="宋体" w:eastAsia="宋体" w:cs="宋体"/>
                <w:sz w:val="18"/>
                <w:szCs w:val="18"/>
              </w:rPr>
              <w:t>2025年01月13日</w:t>
            </w:r>
          </w:p>
        </w:tc>
        <w:tc>
          <w:tcPr>
            <w:tcW w:w="2723" w:type="dxa"/>
            <w:tcBorders>
              <w:top w:val="single" w:color="auto" w:sz="2" w:space="0"/>
              <w:left w:val="single" w:color="auto" w:sz="2" w:space="0"/>
              <w:bottom w:val="single" w:color="auto" w:sz="2" w:space="0"/>
              <w:right w:val="single" w:color="auto" w:sz="2" w:space="0"/>
            </w:tcBorders>
            <w:vAlign w:val="center"/>
          </w:tcPr>
          <w:p w14:paraId="5BC8DEB5">
            <w:pPr>
              <w:spacing w:before="0" w:after="0" w:line="240" w:lineRule="exact"/>
              <w:jc w:val="left"/>
              <w:rPr>
                <w:rFonts w:ascii="宋体" w:hAnsi="宋体" w:eastAsia="宋体" w:cs="宋体"/>
                <w:sz w:val="18"/>
                <w:szCs w:val="18"/>
              </w:rPr>
            </w:pPr>
            <w:r>
              <w:rPr>
                <w:rFonts w:ascii="宋体" w:hAnsi="宋体" w:eastAsia="宋体" w:cs="宋体"/>
                <w:sz w:val="18"/>
                <w:szCs w:val="18"/>
              </w:rPr>
              <w:t>聘任</w:t>
            </w:r>
          </w:p>
        </w:tc>
      </w:tr>
      <w:tr w14:paraId="2455A4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1F0D9F06">
            <w:pPr>
              <w:spacing w:before="0" w:after="0" w:line="240" w:lineRule="exact"/>
              <w:jc w:val="left"/>
              <w:rPr>
                <w:rFonts w:ascii="宋体" w:hAnsi="宋体" w:eastAsia="宋体" w:cs="宋体"/>
                <w:sz w:val="18"/>
                <w:szCs w:val="18"/>
              </w:rPr>
            </w:pPr>
            <w:r>
              <w:rPr>
                <w:rFonts w:ascii="宋体" w:hAnsi="宋体" w:eastAsia="宋体" w:cs="宋体"/>
                <w:sz w:val="18"/>
                <w:szCs w:val="18"/>
              </w:rPr>
              <w:t>胡彦儒</w:t>
            </w:r>
          </w:p>
        </w:tc>
        <w:tc>
          <w:tcPr>
            <w:tcW w:w="1749" w:type="dxa"/>
            <w:tcBorders>
              <w:top w:val="single" w:color="auto" w:sz="2" w:space="0"/>
              <w:left w:val="single" w:color="auto" w:sz="2" w:space="0"/>
              <w:bottom w:val="single" w:color="auto" w:sz="2" w:space="0"/>
              <w:right w:val="single" w:color="auto" w:sz="2" w:space="0"/>
            </w:tcBorders>
            <w:vAlign w:val="center"/>
          </w:tcPr>
          <w:p w14:paraId="1C0678EA">
            <w:pPr>
              <w:spacing w:before="0" w:after="0" w:line="240" w:lineRule="exact"/>
              <w:jc w:val="left"/>
              <w:rPr>
                <w:rFonts w:ascii="宋体" w:hAnsi="宋体" w:eastAsia="宋体" w:cs="宋体"/>
                <w:sz w:val="18"/>
                <w:szCs w:val="18"/>
              </w:rPr>
            </w:pPr>
            <w:r>
              <w:rPr>
                <w:rFonts w:ascii="宋体" w:hAnsi="宋体" w:eastAsia="宋体" w:cs="宋体"/>
                <w:sz w:val="18"/>
                <w:szCs w:val="18"/>
              </w:rPr>
              <w:t>副总经理</w:t>
            </w:r>
          </w:p>
        </w:tc>
        <w:tc>
          <w:tcPr>
            <w:tcW w:w="1440" w:type="dxa"/>
            <w:tcBorders>
              <w:top w:val="single" w:color="auto" w:sz="2" w:space="0"/>
              <w:left w:val="single" w:color="auto" w:sz="2" w:space="0"/>
              <w:bottom w:val="single" w:color="auto" w:sz="2" w:space="0"/>
              <w:right w:val="single" w:color="auto" w:sz="2" w:space="0"/>
            </w:tcBorders>
            <w:vAlign w:val="center"/>
          </w:tcPr>
          <w:p w14:paraId="2DF57803">
            <w:pPr>
              <w:spacing w:before="0" w:after="0" w:line="240" w:lineRule="exact"/>
              <w:jc w:val="left"/>
              <w:rPr>
                <w:rFonts w:ascii="宋体" w:hAnsi="宋体" w:eastAsia="宋体" w:cs="宋体"/>
                <w:sz w:val="18"/>
                <w:szCs w:val="18"/>
              </w:rPr>
            </w:pPr>
            <w:r>
              <w:rPr>
                <w:rFonts w:ascii="宋体" w:hAnsi="宋体" w:eastAsia="宋体" w:cs="宋体"/>
                <w:sz w:val="18"/>
                <w:szCs w:val="18"/>
              </w:rPr>
              <w:t>聘任</w:t>
            </w:r>
          </w:p>
        </w:tc>
        <w:tc>
          <w:tcPr>
            <w:tcW w:w="1800" w:type="dxa"/>
            <w:tcBorders>
              <w:top w:val="single" w:color="auto" w:sz="2" w:space="0"/>
              <w:left w:val="single" w:color="auto" w:sz="2" w:space="0"/>
              <w:bottom w:val="single" w:color="auto" w:sz="2" w:space="0"/>
              <w:right w:val="single" w:color="auto" w:sz="2" w:space="0"/>
            </w:tcBorders>
            <w:vAlign w:val="center"/>
          </w:tcPr>
          <w:p w14:paraId="4C9E5DC0">
            <w:pPr>
              <w:spacing w:before="0" w:after="0" w:line="240" w:lineRule="exact"/>
              <w:jc w:val="left"/>
              <w:rPr>
                <w:rFonts w:ascii="宋体" w:hAnsi="宋体" w:eastAsia="宋体" w:cs="宋体"/>
                <w:sz w:val="18"/>
                <w:szCs w:val="18"/>
              </w:rPr>
            </w:pPr>
            <w:r>
              <w:rPr>
                <w:rFonts w:ascii="宋体" w:hAnsi="宋体" w:eastAsia="宋体" w:cs="宋体"/>
                <w:sz w:val="18"/>
                <w:szCs w:val="18"/>
              </w:rPr>
              <w:t>2025年01月13日</w:t>
            </w:r>
          </w:p>
        </w:tc>
        <w:tc>
          <w:tcPr>
            <w:tcW w:w="2723" w:type="dxa"/>
            <w:tcBorders>
              <w:top w:val="single" w:color="auto" w:sz="2" w:space="0"/>
              <w:left w:val="single" w:color="auto" w:sz="2" w:space="0"/>
              <w:bottom w:val="single" w:color="auto" w:sz="2" w:space="0"/>
              <w:right w:val="single" w:color="auto" w:sz="2" w:space="0"/>
            </w:tcBorders>
            <w:vAlign w:val="center"/>
          </w:tcPr>
          <w:p w14:paraId="08B19493">
            <w:pPr>
              <w:spacing w:before="0" w:after="0" w:line="240" w:lineRule="exact"/>
              <w:jc w:val="left"/>
              <w:rPr>
                <w:rFonts w:ascii="宋体" w:hAnsi="宋体" w:eastAsia="宋体" w:cs="宋体"/>
                <w:sz w:val="18"/>
                <w:szCs w:val="18"/>
              </w:rPr>
            </w:pPr>
            <w:r>
              <w:rPr>
                <w:rFonts w:ascii="宋体" w:hAnsi="宋体" w:eastAsia="宋体" w:cs="宋体"/>
                <w:sz w:val="18"/>
                <w:szCs w:val="18"/>
              </w:rPr>
              <w:t>聘任</w:t>
            </w:r>
          </w:p>
        </w:tc>
      </w:tr>
      <w:tr w14:paraId="3630C2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129C594F">
            <w:pPr>
              <w:spacing w:before="0" w:after="0" w:line="240" w:lineRule="exact"/>
              <w:jc w:val="left"/>
              <w:rPr>
                <w:rFonts w:ascii="宋体" w:hAnsi="宋体" w:eastAsia="宋体" w:cs="宋体"/>
                <w:sz w:val="18"/>
                <w:szCs w:val="18"/>
              </w:rPr>
            </w:pPr>
            <w:r>
              <w:rPr>
                <w:rFonts w:ascii="宋体" w:hAnsi="宋体" w:eastAsia="宋体" w:cs="宋体"/>
                <w:sz w:val="18"/>
                <w:szCs w:val="18"/>
              </w:rPr>
              <w:t>黄伏虎</w:t>
            </w:r>
          </w:p>
        </w:tc>
        <w:tc>
          <w:tcPr>
            <w:tcW w:w="1749" w:type="dxa"/>
            <w:tcBorders>
              <w:top w:val="single" w:color="auto" w:sz="2" w:space="0"/>
              <w:left w:val="single" w:color="auto" w:sz="2" w:space="0"/>
              <w:bottom w:val="single" w:color="auto" w:sz="2" w:space="0"/>
              <w:right w:val="single" w:color="auto" w:sz="2" w:space="0"/>
            </w:tcBorders>
            <w:vAlign w:val="center"/>
          </w:tcPr>
          <w:p w14:paraId="14DC5CAD">
            <w:pPr>
              <w:spacing w:before="0" w:after="0" w:line="240" w:lineRule="exact"/>
              <w:jc w:val="left"/>
              <w:rPr>
                <w:rFonts w:ascii="宋体" w:hAnsi="宋体" w:eastAsia="宋体" w:cs="宋体"/>
                <w:sz w:val="18"/>
                <w:szCs w:val="18"/>
              </w:rPr>
            </w:pPr>
            <w:r>
              <w:rPr>
                <w:rFonts w:ascii="宋体" w:hAnsi="宋体" w:eastAsia="宋体" w:cs="宋体"/>
                <w:sz w:val="18"/>
                <w:szCs w:val="18"/>
              </w:rPr>
              <w:t>副总经理</w:t>
            </w:r>
          </w:p>
        </w:tc>
        <w:tc>
          <w:tcPr>
            <w:tcW w:w="1440" w:type="dxa"/>
            <w:tcBorders>
              <w:top w:val="single" w:color="auto" w:sz="2" w:space="0"/>
              <w:left w:val="single" w:color="auto" w:sz="2" w:space="0"/>
              <w:bottom w:val="single" w:color="auto" w:sz="2" w:space="0"/>
              <w:right w:val="single" w:color="auto" w:sz="2" w:space="0"/>
            </w:tcBorders>
            <w:vAlign w:val="center"/>
          </w:tcPr>
          <w:p w14:paraId="210472B2">
            <w:pPr>
              <w:spacing w:before="0" w:after="0" w:line="240" w:lineRule="exact"/>
              <w:jc w:val="left"/>
              <w:rPr>
                <w:rFonts w:ascii="宋体" w:hAnsi="宋体" w:eastAsia="宋体" w:cs="宋体"/>
                <w:sz w:val="18"/>
                <w:szCs w:val="18"/>
              </w:rPr>
            </w:pPr>
            <w:r>
              <w:rPr>
                <w:rFonts w:ascii="宋体" w:hAnsi="宋体" w:eastAsia="宋体" w:cs="宋体"/>
                <w:sz w:val="18"/>
                <w:szCs w:val="18"/>
              </w:rPr>
              <w:t>任免</w:t>
            </w:r>
          </w:p>
        </w:tc>
        <w:tc>
          <w:tcPr>
            <w:tcW w:w="1800" w:type="dxa"/>
            <w:tcBorders>
              <w:top w:val="single" w:color="auto" w:sz="2" w:space="0"/>
              <w:left w:val="single" w:color="auto" w:sz="2" w:space="0"/>
              <w:bottom w:val="single" w:color="auto" w:sz="2" w:space="0"/>
              <w:right w:val="single" w:color="auto" w:sz="2" w:space="0"/>
            </w:tcBorders>
            <w:vAlign w:val="center"/>
          </w:tcPr>
          <w:p w14:paraId="637C01F5">
            <w:pPr>
              <w:spacing w:before="0" w:after="0" w:line="240" w:lineRule="exact"/>
              <w:jc w:val="left"/>
              <w:rPr>
                <w:rFonts w:ascii="宋体" w:hAnsi="宋体" w:eastAsia="宋体" w:cs="宋体"/>
                <w:sz w:val="18"/>
                <w:szCs w:val="18"/>
              </w:rPr>
            </w:pPr>
            <w:r>
              <w:rPr>
                <w:rFonts w:ascii="宋体" w:hAnsi="宋体" w:eastAsia="宋体" w:cs="宋体"/>
                <w:sz w:val="18"/>
                <w:szCs w:val="18"/>
              </w:rPr>
              <w:t>2025年01月13日</w:t>
            </w:r>
          </w:p>
        </w:tc>
        <w:tc>
          <w:tcPr>
            <w:tcW w:w="2723" w:type="dxa"/>
            <w:tcBorders>
              <w:top w:val="single" w:color="auto" w:sz="2" w:space="0"/>
              <w:left w:val="single" w:color="auto" w:sz="2" w:space="0"/>
              <w:bottom w:val="single" w:color="auto" w:sz="2" w:space="0"/>
              <w:right w:val="single" w:color="auto" w:sz="2" w:space="0"/>
            </w:tcBorders>
            <w:vAlign w:val="center"/>
          </w:tcPr>
          <w:p w14:paraId="61B6C946">
            <w:pPr>
              <w:spacing w:before="0" w:after="0" w:line="240" w:lineRule="exact"/>
              <w:jc w:val="left"/>
              <w:rPr>
                <w:rFonts w:ascii="宋体" w:hAnsi="宋体" w:eastAsia="宋体" w:cs="宋体"/>
                <w:sz w:val="18"/>
                <w:szCs w:val="18"/>
              </w:rPr>
            </w:pPr>
            <w:r>
              <w:rPr>
                <w:rFonts w:ascii="宋体" w:hAnsi="宋体" w:eastAsia="宋体" w:cs="宋体"/>
                <w:sz w:val="18"/>
                <w:szCs w:val="18"/>
              </w:rPr>
              <w:t>副总经理改聘为首席运营官</w:t>
            </w:r>
          </w:p>
        </w:tc>
      </w:tr>
      <w:tr w14:paraId="118A67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3E829F20">
            <w:pPr>
              <w:spacing w:before="0" w:after="0" w:line="240" w:lineRule="exact"/>
              <w:jc w:val="left"/>
              <w:rPr>
                <w:rFonts w:ascii="宋体" w:hAnsi="宋体" w:eastAsia="宋体" w:cs="宋体"/>
                <w:sz w:val="18"/>
                <w:szCs w:val="18"/>
              </w:rPr>
            </w:pPr>
            <w:r>
              <w:rPr>
                <w:rFonts w:ascii="宋体" w:hAnsi="宋体" w:eastAsia="宋体" w:cs="宋体"/>
                <w:sz w:val="18"/>
                <w:szCs w:val="18"/>
              </w:rPr>
              <w:t>李洪明</w:t>
            </w:r>
          </w:p>
        </w:tc>
        <w:tc>
          <w:tcPr>
            <w:tcW w:w="1749" w:type="dxa"/>
            <w:tcBorders>
              <w:top w:val="single" w:color="auto" w:sz="2" w:space="0"/>
              <w:left w:val="single" w:color="auto" w:sz="2" w:space="0"/>
              <w:bottom w:val="single" w:color="auto" w:sz="2" w:space="0"/>
              <w:right w:val="single" w:color="auto" w:sz="2" w:space="0"/>
            </w:tcBorders>
            <w:vAlign w:val="center"/>
          </w:tcPr>
          <w:p w14:paraId="23A68F3F">
            <w:pPr>
              <w:spacing w:before="0" w:after="0" w:line="240" w:lineRule="exact"/>
              <w:jc w:val="left"/>
              <w:rPr>
                <w:rFonts w:ascii="宋体" w:hAnsi="宋体" w:eastAsia="宋体" w:cs="宋体"/>
                <w:sz w:val="18"/>
                <w:szCs w:val="18"/>
              </w:rPr>
            </w:pPr>
            <w:r>
              <w:rPr>
                <w:rFonts w:ascii="宋体" w:hAnsi="宋体" w:eastAsia="宋体" w:cs="宋体"/>
                <w:sz w:val="18"/>
                <w:szCs w:val="18"/>
              </w:rPr>
              <w:t>董事、首席运营官</w:t>
            </w:r>
          </w:p>
        </w:tc>
        <w:tc>
          <w:tcPr>
            <w:tcW w:w="1440" w:type="dxa"/>
            <w:tcBorders>
              <w:top w:val="single" w:color="auto" w:sz="2" w:space="0"/>
              <w:left w:val="single" w:color="auto" w:sz="2" w:space="0"/>
              <w:bottom w:val="single" w:color="auto" w:sz="2" w:space="0"/>
              <w:right w:val="single" w:color="auto" w:sz="2" w:space="0"/>
            </w:tcBorders>
            <w:vAlign w:val="center"/>
          </w:tcPr>
          <w:p w14:paraId="715038AE">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1800" w:type="dxa"/>
            <w:tcBorders>
              <w:top w:val="single" w:color="auto" w:sz="2" w:space="0"/>
              <w:left w:val="single" w:color="auto" w:sz="2" w:space="0"/>
              <w:bottom w:val="single" w:color="auto" w:sz="2" w:space="0"/>
              <w:right w:val="single" w:color="auto" w:sz="2" w:space="0"/>
            </w:tcBorders>
            <w:vAlign w:val="center"/>
          </w:tcPr>
          <w:p w14:paraId="3816CBF5">
            <w:pPr>
              <w:spacing w:before="0" w:after="0" w:line="240" w:lineRule="exact"/>
              <w:jc w:val="left"/>
              <w:rPr>
                <w:rFonts w:ascii="宋体" w:hAnsi="宋体" w:eastAsia="宋体" w:cs="宋体"/>
                <w:sz w:val="18"/>
                <w:szCs w:val="18"/>
              </w:rPr>
            </w:pPr>
            <w:r>
              <w:rPr>
                <w:rFonts w:ascii="宋体" w:hAnsi="宋体" w:eastAsia="宋体" w:cs="宋体"/>
                <w:sz w:val="18"/>
                <w:szCs w:val="18"/>
              </w:rPr>
              <w:t>2025年01月13日</w:t>
            </w:r>
          </w:p>
        </w:tc>
        <w:tc>
          <w:tcPr>
            <w:tcW w:w="2723" w:type="dxa"/>
            <w:tcBorders>
              <w:top w:val="single" w:color="auto" w:sz="2" w:space="0"/>
              <w:left w:val="single" w:color="auto" w:sz="2" w:space="0"/>
              <w:bottom w:val="single" w:color="auto" w:sz="2" w:space="0"/>
              <w:right w:val="single" w:color="auto" w:sz="2" w:space="0"/>
            </w:tcBorders>
            <w:vAlign w:val="center"/>
          </w:tcPr>
          <w:p w14:paraId="25297F00">
            <w:pPr>
              <w:spacing w:before="0" w:after="0" w:line="240" w:lineRule="exact"/>
              <w:jc w:val="left"/>
              <w:rPr>
                <w:rFonts w:ascii="宋体" w:hAnsi="宋体" w:eastAsia="宋体" w:cs="宋体"/>
                <w:sz w:val="18"/>
                <w:szCs w:val="18"/>
              </w:rPr>
            </w:pPr>
            <w:r>
              <w:rPr>
                <w:rFonts w:ascii="宋体" w:hAnsi="宋体" w:eastAsia="宋体" w:cs="宋体"/>
                <w:sz w:val="18"/>
                <w:szCs w:val="18"/>
              </w:rPr>
              <w:t>因个人原因主动辞职</w:t>
            </w:r>
          </w:p>
        </w:tc>
      </w:tr>
      <w:tr w14:paraId="3A2449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65300228">
            <w:pPr>
              <w:spacing w:before="0" w:after="0" w:line="240" w:lineRule="exact"/>
              <w:jc w:val="left"/>
              <w:rPr>
                <w:rFonts w:ascii="宋体" w:hAnsi="宋体" w:eastAsia="宋体" w:cs="宋体"/>
                <w:sz w:val="18"/>
                <w:szCs w:val="18"/>
              </w:rPr>
            </w:pPr>
            <w:r>
              <w:rPr>
                <w:rFonts w:ascii="宋体" w:hAnsi="宋体" w:eastAsia="宋体" w:cs="宋体"/>
                <w:sz w:val="18"/>
                <w:szCs w:val="18"/>
              </w:rPr>
              <w:t>任红</w:t>
            </w:r>
          </w:p>
        </w:tc>
        <w:tc>
          <w:tcPr>
            <w:tcW w:w="1749" w:type="dxa"/>
            <w:tcBorders>
              <w:top w:val="single" w:color="auto" w:sz="2" w:space="0"/>
              <w:left w:val="single" w:color="auto" w:sz="2" w:space="0"/>
              <w:bottom w:val="single" w:color="auto" w:sz="2" w:space="0"/>
              <w:right w:val="single" w:color="auto" w:sz="2" w:space="0"/>
            </w:tcBorders>
            <w:vAlign w:val="center"/>
          </w:tcPr>
          <w:p w14:paraId="1D2789A4">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1440" w:type="dxa"/>
            <w:tcBorders>
              <w:top w:val="single" w:color="auto" w:sz="2" w:space="0"/>
              <w:left w:val="single" w:color="auto" w:sz="2" w:space="0"/>
              <w:bottom w:val="single" w:color="auto" w:sz="2" w:space="0"/>
              <w:right w:val="single" w:color="auto" w:sz="2" w:space="0"/>
            </w:tcBorders>
            <w:vAlign w:val="center"/>
          </w:tcPr>
          <w:p w14:paraId="7484852F">
            <w:pPr>
              <w:spacing w:before="0" w:after="0" w:line="240" w:lineRule="exact"/>
              <w:jc w:val="left"/>
              <w:rPr>
                <w:rFonts w:ascii="宋体" w:hAnsi="宋体" w:eastAsia="宋体" w:cs="宋体"/>
                <w:sz w:val="18"/>
                <w:szCs w:val="18"/>
              </w:rPr>
            </w:pPr>
            <w:r>
              <w:rPr>
                <w:rFonts w:ascii="宋体" w:hAnsi="宋体" w:eastAsia="宋体" w:cs="宋体"/>
                <w:sz w:val="18"/>
                <w:szCs w:val="18"/>
              </w:rPr>
              <w:t>任期满离任</w:t>
            </w:r>
          </w:p>
        </w:tc>
        <w:tc>
          <w:tcPr>
            <w:tcW w:w="1800" w:type="dxa"/>
            <w:tcBorders>
              <w:top w:val="single" w:color="auto" w:sz="2" w:space="0"/>
              <w:left w:val="single" w:color="auto" w:sz="2" w:space="0"/>
              <w:bottom w:val="single" w:color="auto" w:sz="2" w:space="0"/>
              <w:right w:val="single" w:color="auto" w:sz="2" w:space="0"/>
            </w:tcBorders>
            <w:vAlign w:val="center"/>
          </w:tcPr>
          <w:p w14:paraId="6DB3E437">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w:t>
            </w:r>
            <w:r>
              <w:rPr>
                <w:rFonts w:hint="eastAsia" w:ascii="宋体" w:hAnsi="宋体" w:cs="宋体"/>
                <w:sz w:val="18"/>
                <w:szCs w:val="18"/>
                <w:lang w:val="en-US" w:eastAsia="zh-CN"/>
              </w:rPr>
              <w:t>4</w:t>
            </w:r>
            <w:r>
              <w:rPr>
                <w:rFonts w:ascii="宋体" w:hAnsi="宋体" w:eastAsia="宋体" w:cs="宋体"/>
                <w:sz w:val="18"/>
                <w:szCs w:val="18"/>
              </w:rPr>
              <w:t>日</w:t>
            </w:r>
          </w:p>
        </w:tc>
        <w:tc>
          <w:tcPr>
            <w:tcW w:w="2723" w:type="dxa"/>
            <w:tcBorders>
              <w:top w:val="single" w:color="auto" w:sz="2" w:space="0"/>
              <w:left w:val="single" w:color="auto" w:sz="2" w:space="0"/>
              <w:bottom w:val="single" w:color="auto" w:sz="2" w:space="0"/>
              <w:right w:val="single" w:color="auto" w:sz="2" w:space="0"/>
            </w:tcBorders>
            <w:vAlign w:val="center"/>
          </w:tcPr>
          <w:p w14:paraId="109F9A5E">
            <w:pPr>
              <w:spacing w:before="0" w:after="0" w:line="240" w:lineRule="exact"/>
              <w:jc w:val="left"/>
              <w:rPr>
                <w:rFonts w:ascii="宋体" w:hAnsi="宋体" w:eastAsia="宋体" w:cs="宋体"/>
                <w:sz w:val="18"/>
                <w:szCs w:val="18"/>
              </w:rPr>
            </w:pPr>
            <w:r>
              <w:rPr>
                <w:rFonts w:ascii="宋体" w:hAnsi="宋体" w:eastAsia="宋体" w:cs="宋体"/>
                <w:sz w:val="18"/>
                <w:szCs w:val="18"/>
              </w:rPr>
              <w:t>换届选举</w:t>
            </w:r>
          </w:p>
        </w:tc>
      </w:tr>
      <w:tr w14:paraId="3F308B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1A859055">
            <w:pPr>
              <w:spacing w:before="0" w:after="0" w:line="240" w:lineRule="exact"/>
              <w:jc w:val="left"/>
              <w:rPr>
                <w:rFonts w:ascii="宋体" w:hAnsi="宋体" w:eastAsia="宋体" w:cs="宋体"/>
                <w:sz w:val="18"/>
                <w:szCs w:val="18"/>
              </w:rPr>
            </w:pPr>
            <w:r>
              <w:rPr>
                <w:rFonts w:ascii="宋体" w:hAnsi="宋体" w:eastAsia="宋体" w:cs="宋体"/>
                <w:sz w:val="18"/>
                <w:szCs w:val="18"/>
              </w:rPr>
              <w:t>陈明宇</w:t>
            </w:r>
          </w:p>
        </w:tc>
        <w:tc>
          <w:tcPr>
            <w:tcW w:w="1749" w:type="dxa"/>
            <w:tcBorders>
              <w:top w:val="single" w:color="auto" w:sz="2" w:space="0"/>
              <w:left w:val="single" w:color="auto" w:sz="2" w:space="0"/>
              <w:bottom w:val="single" w:color="auto" w:sz="2" w:space="0"/>
              <w:right w:val="single" w:color="auto" w:sz="2" w:space="0"/>
            </w:tcBorders>
            <w:vAlign w:val="center"/>
          </w:tcPr>
          <w:p w14:paraId="2FFA14A3">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1440" w:type="dxa"/>
            <w:tcBorders>
              <w:top w:val="single" w:color="auto" w:sz="2" w:space="0"/>
              <w:left w:val="single" w:color="auto" w:sz="2" w:space="0"/>
              <w:bottom w:val="single" w:color="auto" w:sz="2" w:space="0"/>
              <w:right w:val="single" w:color="auto" w:sz="2" w:space="0"/>
            </w:tcBorders>
            <w:vAlign w:val="center"/>
          </w:tcPr>
          <w:p w14:paraId="4B6724C6">
            <w:pPr>
              <w:spacing w:before="0" w:after="0" w:line="240" w:lineRule="exact"/>
              <w:jc w:val="left"/>
              <w:rPr>
                <w:rFonts w:ascii="宋体" w:hAnsi="宋体" w:eastAsia="宋体" w:cs="宋体"/>
                <w:sz w:val="18"/>
                <w:szCs w:val="18"/>
              </w:rPr>
            </w:pPr>
            <w:r>
              <w:rPr>
                <w:rFonts w:ascii="宋体" w:hAnsi="宋体" w:eastAsia="宋体" w:cs="宋体"/>
                <w:sz w:val="18"/>
                <w:szCs w:val="18"/>
              </w:rPr>
              <w:t>任期满离任</w:t>
            </w:r>
          </w:p>
        </w:tc>
        <w:tc>
          <w:tcPr>
            <w:tcW w:w="1800" w:type="dxa"/>
            <w:tcBorders>
              <w:top w:val="single" w:color="auto" w:sz="2" w:space="0"/>
              <w:left w:val="single" w:color="auto" w:sz="2" w:space="0"/>
              <w:bottom w:val="single" w:color="auto" w:sz="2" w:space="0"/>
              <w:right w:val="single" w:color="auto" w:sz="2" w:space="0"/>
            </w:tcBorders>
            <w:vAlign w:val="center"/>
          </w:tcPr>
          <w:p w14:paraId="334B0E2A">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w:t>
            </w:r>
            <w:r>
              <w:rPr>
                <w:rFonts w:hint="eastAsia" w:ascii="宋体" w:hAnsi="宋体" w:cs="宋体"/>
                <w:sz w:val="18"/>
                <w:szCs w:val="18"/>
                <w:lang w:val="en-US" w:eastAsia="zh-CN"/>
              </w:rPr>
              <w:t>4</w:t>
            </w:r>
            <w:r>
              <w:rPr>
                <w:rFonts w:ascii="宋体" w:hAnsi="宋体" w:eastAsia="宋体" w:cs="宋体"/>
                <w:sz w:val="18"/>
                <w:szCs w:val="18"/>
              </w:rPr>
              <w:t>日</w:t>
            </w:r>
          </w:p>
        </w:tc>
        <w:tc>
          <w:tcPr>
            <w:tcW w:w="2723" w:type="dxa"/>
            <w:tcBorders>
              <w:top w:val="single" w:color="auto" w:sz="2" w:space="0"/>
              <w:left w:val="single" w:color="auto" w:sz="2" w:space="0"/>
              <w:bottom w:val="single" w:color="auto" w:sz="2" w:space="0"/>
              <w:right w:val="single" w:color="auto" w:sz="2" w:space="0"/>
            </w:tcBorders>
            <w:vAlign w:val="center"/>
          </w:tcPr>
          <w:p w14:paraId="1D61A16A">
            <w:pPr>
              <w:spacing w:before="0" w:after="0" w:line="240" w:lineRule="exact"/>
              <w:jc w:val="left"/>
              <w:rPr>
                <w:rFonts w:ascii="宋体" w:hAnsi="宋体" w:eastAsia="宋体" w:cs="宋体"/>
                <w:sz w:val="18"/>
                <w:szCs w:val="18"/>
              </w:rPr>
            </w:pPr>
            <w:r>
              <w:rPr>
                <w:rFonts w:ascii="宋体" w:hAnsi="宋体" w:eastAsia="宋体" w:cs="宋体"/>
                <w:sz w:val="18"/>
                <w:szCs w:val="18"/>
              </w:rPr>
              <w:t>换届选举</w:t>
            </w:r>
          </w:p>
        </w:tc>
      </w:tr>
      <w:tr w14:paraId="58C3CF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23DAF9C3">
            <w:pPr>
              <w:spacing w:before="0" w:after="0" w:line="240" w:lineRule="exact"/>
              <w:jc w:val="left"/>
              <w:rPr>
                <w:rFonts w:ascii="宋体" w:hAnsi="宋体" w:eastAsia="宋体" w:cs="宋体"/>
                <w:sz w:val="18"/>
                <w:szCs w:val="18"/>
              </w:rPr>
            </w:pPr>
            <w:r>
              <w:rPr>
                <w:rFonts w:ascii="宋体" w:hAnsi="宋体" w:eastAsia="宋体" w:cs="宋体"/>
                <w:sz w:val="18"/>
                <w:szCs w:val="18"/>
              </w:rPr>
              <w:t>强欣荣</w:t>
            </w:r>
          </w:p>
        </w:tc>
        <w:tc>
          <w:tcPr>
            <w:tcW w:w="1749" w:type="dxa"/>
            <w:tcBorders>
              <w:top w:val="single" w:color="auto" w:sz="2" w:space="0"/>
              <w:left w:val="single" w:color="auto" w:sz="2" w:space="0"/>
              <w:bottom w:val="single" w:color="auto" w:sz="2" w:space="0"/>
              <w:right w:val="single" w:color="auto" w:sz="2" w:space="0"/>
            </w:tcBorders>
            <w:vAlign w:val="center"/>
          </w:tcPr>
          <w:p w14:paraId="111E510F">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1440" w:type="dxa"/>
            <w:tcBorders>
              <w:top w:val="single" w:color="auto" w:sz="2" w:space="0"/>
              <w:left w:val="single" w:color="auto" w:sz="2" w:space="0"/>
              <w:bottom w:val="single" w:color="auto" w:sz="2" w:space="0"/>
              <w:right w:val="single" w:color="auto" w:sz="2" w:space="0"/>
            </w:tcBorders>
            <w:vAlign w:val="center"/>
          </w:tcPr>
          <w:p w14:paraId="6B3FED6E">
            <w:pPr>
              <w:spacing w:before="0" w:after="0" w:line="240" w:lineRule="exact"/>
              <w:jc w:val="left"/>
              <w:rPr>
                <w:rFonts w:ascii="宋体" w:hAnsi="宋体" w:eastAsia="宋体" w:cs="宋体"/>
                <w:sz w:val="18"/>
                <w:szCs w:val="18"/>
              </w:rPr>
            </w:pPr>
            <w:r>
              <w:rPr>
                <w:rFonts w:ascii="宋体" w:hAnsi="宋体" w:eastAsia="宋体" w:cs="宋体"/>
                <w:sz w:val="18"/>
                <w:szCs w:val="18"/>
              </w:rPr>
              <w:t>任期满离任</w:t>
            </w:r>
          </w:p>
        </w:tc>
        <w:tc>
          <w:tcPr>
            <w:tcW w:w="1800" w:type="dxa"/>
            <w:tcBorders>
              <w:top w:val="single" w:color="auto" w:sz="2" w:space="0"/>
              <w:left w:val="single" w:color="auto" w:sz="2" w:space="0"/>
              <w:bottom w:val="single" w:color="auto" w:sz="2" w:space="0"/>
              <w:right w:val="single" w:color="auto" w:sz="2" w:space="0"/>
            </w:tcBorders>
            <w:vAlign w:val="center"/>
          </w:tcPr>
          <w:p w14:paraId="6C8DD232">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w:t>
            </w:r>
            <w:r>
              <w:rPr>
                <w:rFonts w:hint="eastAsia" w:ascii="宋体" w:hAnsi="宋体" w:cs="宋体"/>
                <w:sz w:val="18"/>
                <w:szCs w:val="18"/>
                <w:lang w:val="en-US" w:eastAsia="zh-CN"/>
              </w:rPr>
              <w:t>4</w:t>
            </w:r>
            <w:r>
              <w:rPr>
                <w:rFonts w:ascii="宋体" w:hAnsi="宋体" w:eastAsia="宋体" w:cs="宋体"/>
                <w:sz w:val="18"/>
                <w:szCs w:val="18"/>
              </w:rPr>
              <w:t>日</w:t>
            </w:r>
          </w:p>
        </w:tc>
        <w:tc>
          <w:tcPr>
            <w:tcW w:w="2723" w:type="dxa"/>
            <w:tcBorders>
              <w:top w:val="single" w:color="auto" w:sz="2" w:space="0"/>
              <w:left w:val="single" w:color="auto" w:sz="2" w:space="0"/>
              <w:bottom w:val="single" w:color="auto" w:sz="2" w:space="0"/>
              <w:right w:val="single" w:color="auto" w:sz="2" w:space="0"/>
            </w:tcBorders>
            <w:vAlign w:val="center"/>
          </w:tcPr>
          <w:p w14:paraId="072D0025">
            <w:pPr>
              <w:spacing w:before="0" w:after="0" w:line="240" w:lineRule="exact"/>
              <w:jc w:val="left"/>
              <w:rPr>
                <w:rFonts w:ascii="宋体" w:hAnsi="宋体" w:eastAsia="宋体" w:cs="宋体"/>
                <w:sz w:val="18"/>
                <w:szCs w:val="18"/>
              </w:rPr>
            </w:pPr>
            <w:r>
              <w:rPr>
                <w:rFonts w:ascii="宋体" w:hAnsi="宋体" w:eastAsia="宋体" w:cs="宋体"/>
                <w:sz w:val="18"/>
                <w:szCs w:val="18"/>
              </w:rPr>
              <w:t>换届选举</w:t>
            </w:r>
          </w:p>
        </w:tc>
      </w:tr>
      <w:tr w14:paraId="6DB5FF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6B2BB494">
            <w:pPr>
              <w:spacing w:before="0" w:after="0" w:line="240" w:lineRule="exact"/>
              <w:jc w:val="left"/>
              <w:rPr>
                <w:rFonts w:ascii="宋体" w:hAnsi="宋体" w:eastAsia="宋体" w:cs="宋体"/>
                <w:sz w:val="18"/>
                <w:szCs w:val="18"/>
              </w:rPr>
            </w:pPr>
            <w:r>
              <w:rPr>
                <w:rFonts w:ascii="宋体" w:hAnsi="宋体" w:eastAsia="宋体" w:cs="宋体"/>
                <w:sz w:val="18"/>
                <w:szCs w:val="18"/>
              </w:rPr>
              <w:t>李援黎</w:t>
            </w:r>
          </w:p>
        </w:tc>
        <w:tc>
          <w:tcPr>
            <w:tcW w:w="1749" w:type="dxa"/>
            <w:tcBorders>
              <w:top w:val="single" w:color="auto" w:sz="2" w:space="0"/>
              <w:left w:val="single" w:color="auto" w:sz="2" w:space="0"/>
              <w:bottom w:val="single" w:color="auto" w:sz="2" w:space="0"/>
              <w:right w:val="single" w:color="auto" w:sz="2" w:space="0"/>
            </w:tcBorders>
            <w:vAlign w:val="center"/>
          </w:tcPr>
          <w:p w14:paraId="238B0744">
            <w:pPr>
              <w:spacing w:before="0" w:after="0" w:line="240" w:lineRule="exact"/>
              <w:jc w:val="left"/>
              <w:rPr>
                <w:rFonts w:ascii="宋体" w:hAnsi="宋体" w:eastAsia="宋体" w:cs="宋体"/>
                <w:sz w:val="18"/>
                <w:szCs w:val="18"/>
              </w:rPr>
            </w:pPr>
            <w:r>
              <w:rPr>
                <w:rFonts w:ascii="宋体" w:hAnsi="宋体" w:eastAsia="宋体" w:cs="宋体"/>
                <w:sz w:val="18"/>
                <w:szCs w:val="18"/>
              </w:rPr>
              <w:t>监事会主席</w:t>
            </w:r>
          </w:p>
        </w:tc>
        <w:tc>
          <w:tcPr>
            <w:tcW w:w="1440" w:type="dxa"/>
            <w:tcBorders>
              <w:top w:val="single" w:color="auto" w:sz="2" w:space="0"/>
              <w:left w:val="single" w:color="auto" w:sz="2" w:space="0"/>
              <w:bottom w:val="single" w:color="auto" w:sz="2" w:space="0"/>
              <w:right w:val="single" w:color="auto" w:sz="2" w:space="0"/>
            </w:tcBorders>
            <w:vAlign w:val="center"/>
          </w:tcPr>
          <w:p w14:paraId="7CBA7C1B">
            <w:pPr>
              <w:spacing w:before="0" w:after="0" w:line="240" w:lineRule="exact"/>
              <w:jc w:val="left"/>
              <w:rPr>
                <w:rFonts w:ascii="宋体" w:hAnsi="宋体" w:eastAsia="宋体" w:cs="宋体"/>
                <w:sz w:val="18"/>
                <w:szCs w:val="18"/>
              </w:rPr>
            </w:pPr>
            <w:r>
              <w:rPr>
                <w:rFonts w:ascii="宋体" w:hAnsi="宋体" w:eastAsia="宋体" w:cs="宋体"/>
                <w:sz w:val="18"/>
                <w:szCs w:val="18"/>
              </w:rPr>
              <w:t>任期满离任</w:t>
            </w:r>
          </w:p>
        </w:tc>
        <w:tc>
          <w:tcPr>
            <w:tcW w:w="1800" w:type="dxa"/>
            <w:tcBorders>
              <w:top w:val="single" w:color="auto" w:sz="2" w:space="0"/>
              <w:left w:val="single" w:color="auto" w:sz="2" w:space="0"/>
              <w:bottom w:val="single" w:color="auto" w:sz="2" w:space="0"/>
              <w:right w:val="single" w:color="auto" w:sz="2" w:space="0"/>
            </w:tcBorders>
            <w:vAlign w:val="center"/>
          </w:tcPr>
          <w:p w14:paraId="436B562F">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w:t>
            </w:r>
            <w:r>
              <w:rPr>
                <w:rFonts w:hint="eastAsia" w:ascii="宋体" w:hAnsi="宋体" w:cs="宋体"/>
                <w:sz w:val="18"/>
                <w:szCs w:val="18"/>
                <w:lang w:val="en-US" w:eastAsia="zh-CN"/>
              </w:rPr>
              <w:t>4</w:t>
            </w:r>
            <w:r>
              <w:rPr>
                <w:rFonts w:ascii="宋体" w:hAnsi="宋体" w:eastAsia="宋体" w:cs="宋体"/>
                <w:sz w:val="18"/>
                <w:szCs w:val="18"/>
              </w:rPr>
              <w:t>日</w:t>
            </w:r>
          </w:p>
        </w:tc>
        <w:tc>
          <w:tcPr>
            <w:tcW w:w="2723" w:type="dxa"/>
            <w:tcBorders>
              <w:top w:val="single" w:color="auto" w:sz="2" w:space="0"/>
              <w:left w:val="single" w:color="auto" w:sz="2" w:space="0"/>
              <w:bottom w:val="single" w:color="auto" w:sz="2" w:space="0"/>
              <w:right w:val="single" w:color="auto" w:sz="2" w:space="0"/>
            </w:tcBorders>
            <w:vAlign w:val="center"/>
          </w:tcPr>
          <w:p w14:paraId="319676AD">
            <w:pPr>
              <w:spacing w:before="0" w:after="0" w:line="240" w:lineRule="exact"/>
              <w:jc w:val="left"/>
              <w:rPr>
                <w:rFonts w:ascii="宋体" w:hAnsi="宋体" w:eastAsia="宋体" w:cs="宋体"/>
                <w:sz w:val="18"/>
                <w:szCs w:val="18"/>
              </w:rPr>
            </w:pPr>
            <w:r>
              <w:rPr>
                <w:rFonts w:ascii="宋体" w:hAnsi="宋体" w:eastAsia="宋体" w:cs="宋体"/>
                <w:sz w:val="18"/>
                <w:szCs w:val="18"/>
              </w:rPr>
              <w:t>换届选举</w:t>
            </w:r>
          </w:p>
        </w:tc>
      </w:tr>
      <w:tr w14:paraId="53FA61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6127C2B9">
            <w:pPr>
              <w:spacing w:before="0" w:after="0" w:line="240" w:lineRule="exact"/>
              <w:jc w:val="left"/>
              <w:rPr>
                <w:rFonts w:ascii="宋体" w:hAnsi="宋体" w:eastAsia="宋体" w:cs="宋体"/>
                <w:sz w:val="18"/>
                <w:szCs w:val="18"/>
              </w:rPr>
            </w:pPr>
            <w:r>
              <w:rPr>
                <w:rFonts w:ascii="宋体" w:hAnsi="宋体" w:eastAsia="宋体" w:cs="宋体"/>
                <w:sz w:val="18"/>
                <w:szCs w:val="18"/>
              </w:rPr>
              <w:t>郭晓阳</w:t>
            </w:r>
          </w:p>
        </w:tc>
        <w:tc>
          <w:tcPr>
            <w:tcW w:w="1749" w:type="dxa"/>
            <w:tcBorders>
              <w:top w:val="single" w:color="auto" w:sz="2" w:space="0"/>
              <w:left w:val="single" w:color="auto" w:sz="2" w:space="0"/>
              <w:bottom w:val="single" w:color="auto" w:sz="2" w:space="0"/>
              <w:right w:val="single" w:color="auto" w:sz="2" w:space="0"/>
            </w:tcBorders>
            <w:vAlign w:val="center"/>
          </w:tcPr>
          <w:p w14:paraId="59C96527">
            <w:pPr>
              <w:spacing w:before="0" w:after="0" w:line="240" w:lineRule="exact"/>
              <w:jc w:val="left"/>
              <w:rPr>
                <w:rFonts w:ascii="宋体" w:hAnsi="宋体" w:eastAsia="宋体" w:cs="宋体"/>
                <w:sz w:val="18"/>
                <w:szCs w:val="18"/>
              </w:rPr>
            </w:pPr>
            <w:r>
              <w:rPr>
                <w:rFonts w:ascii="宋体" w:hAnsi="宋体" w:eastAsia="宋体" w:cs="宋体"/>
                <w:sz w:val="18"/>
                <w:szCs w:val="18"/>
              </w:rPr>
              <w:t>监事</w:t>
            </w:r>
          </w:p>
        </w:tc>
        <w:tc>
          <w:tcPr>
            <w:tcW w:w="1440" w:type="dxa"/>
            <w:tcBorders>
              <w:top w:val="single" w:color="auto" w:sz="2" w:space="0"/>
              <w:left w:val="single" w:color="auto" w:sz="2" w:space="0"/>
              <w:bottom w:val="single" w:color="auto" w:sz="2" w:space="0"/>
              <w:right w:val="single" w:color="auto" w:sz="2" w:space="0"/>
            </w:tcBorders>
            <w:vAlign w:val="center"/>
          </w:tcPr>
          <w:p w14:paraId="2B7E0819">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1800" w:type="dxa"/>
            <w:tcBorders>
              <w:top w:val="single" w:color="auto" w:sz="2" w:space="0"/>
              <w:left w:val="single" w:color="auto" w:sz="2" w:space="0"/>
              <w:bottom w:val="single" w:color="auto" w:sz="2" w:space="0"/>
              <w:right w:val="single" w:color="auto" w:sz="2" w:space="0"/>
            </w:tcBorders>
            <w:vAlign w:val="center"/>
          </w:tcPr>
          <w:p w14:paraId="0669A8F1">
            <w:pPr>
              <w:spacing w:before="0" w:after="0" w:line="240" w:lineRule="exact"/>
              <w:jc w:val="left"/>
              <w:rPr>
                <w:rFonts w:ascii="宋体" w:hAnsi="宋体" w:eastAsia="宋体" w:cs="宋体"/>
                <w:sz w:val="18"/>
                <w:szCs w:val="18"/>
              </w:rPr>
            </w:pPr>
            <w:r>
              <w:rPr>
                <w:rFonts w:ascii="宋体" w:hAnsi="宋体" w:eastAsia="宋体" w:cs="宋体"/>
                <w:sz w:val="18"/>
                <w:szCs w:val="18"/>
              </w:rPr>
              <w:t>2024年12月09日</w:t>
            </w:r>
          </w:p>
        </w:tc>
        <w:tc>
          <w:tcPr>
            <w:tcW w:w="2723" w:type="dxa"/>
            <w:tcBorders>
              <w:top w:val="single" w:color="auto" w:sz="2" w:space="0"/>
              <w:left w:val="single" w:color="auto" w:sz="2" w:space="0"/>
              <w:bottom w:val="single" w:color="auto" w:sz="2" w:space="0"/>
              <w:right w:val="single" w:color="auto" w:sz="2" w:space="0"/>
            </w:tcBorders>
            <w:vAlign w:val="center"/>
          </w:tcPr>
          <w:p w14:paraId="53C32625">
            <w:pPr>
              <w:spacing w:before="0" w:after="0" w:line="240" w:lineRule="exact"/>
              <w:jc w:val="left"/>
              <w:rPr>
                <w:rFonts w:ascii="宋体" w:hAnsi="宋体" w:eastAsia="宋体" w:cs="宋体"/>
                <w:sz w:val="18"/>
                <w:szCs w:val="18"/>
              </w:rPr>
            </w:pPr>
            <w:r>
              <w:rPr>
                <w:rFonts w:ascii="宋体" w:hAnsi="宋体" w:eastAsia="宋体" w:cs="宋体"/>
                <w:sz w:val="18"/>
                <w:szCs w:val="18"/>
              </w:rPr>
              <w:t>因个人原因主动辞职</w:t>
            </w:r>
          </w:p>
        </w:tc>
      </w:tr>
      <w:tr w14:paraId="20D2E2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5926C2EE">
            <w:pPr>
              <w:spacing w:before="0" w:after="0" w:line="240" w:lineRule="exact"/>
              <w:jc w:val="left"/>
              <w:rPr>
                <w:rFonts w:ascii="宋体" w:hAnsi="宋体" w:eastAsia="宋体" w:cs="宋体"/>
                <w:sz w:val="18"/>
                <w:szCs w:val="18"/>
              </w:rPr>
            </w:pPr>
            <w:r>
              <w:rPr>
                <w:rFonts w:ascii="宋体" w:hAnsi="宋体" w:eastAsia="宋体" w:cs="宋体"/>
                <w:sz w:val="18"/>
                <w:szCs w:val="18"/>
              </w:rPr>
              <w:t>John Wei-Zhong Mao（毛伟忠）</w:t>
            </w:r>
          </w:p>
        </w:tc>
        <w:tc>
          <w:tcPr>
            <w:tcW w:w="1749" w:type="dxa"/>
            <w:tcBorders>
              <w:top w:val="single" w:color="auto" w:sz="2" w:space="0"/>
              <w:left w:val="single" w:color="auto" w:sz="2" w:space="0"/>
              <w:bottom w:val="single" w:color="auto" w:sz="2" w:space="0"/>
              <w:right w:val="single" w:color="auto" w:sz="2" w:space="0"/>
            </w:tcBorders>
            <w:vAlign w:val="center"/>
          </w:tcPr>
          <w:p w14:paraId="09A70A09">
            <w:pPr>
              <w:spacing w:before="0" w:after="0" w:line="240" w:lineRule="exact"/>
              <w:jc w:val="left"/>
              <w:rPr>
                <w:rFonts w:ascii="宋体" w:hAnsi="宋体" w:eastAsia="宋体" w:cs="宋体"/>
                <w:sz w:val="18"/>
                <w:szCs w:val="18"/>
              </w:rPr>
            </w:pPr>
            <w:r>
              <w:rPr>
                <w:rFonts w:ascii="宋体" w:hAnsi="宋体" w:eastAsia="宋体" w:cs="宋体"/>
                <w:sz w:val="18"/>
                <w:szCs w:val="18"/>
              </w:rPr>
              <w:t>首席科学家</w:t>
            </w:r>
          </w:p>
        </w:tc>
        <w:tc>
          <w:tcPr>
            <w:tcW w:w="1440" w:type="dxa"/>
            <w:tcBorders>
              <w:top w:val="single" w:color="auto" w:sz="2" w:space="0"/>
              <w:left w:val="single" w:color="auto" w:sz="2" w:space="0"/>
              <w:bottom w:val="single" w:color="auto" w:sz="2" w:space="0"/>
              <w:right w:val="single" w:color="auto" w:sz="2" w:space="0"/>
            </w:tcBorders>
            <w:vAlign w:val="center"/>
          </w:tcPr>
          <w:p w14:paraId="228A8990">
            <w:pPr>
              <w:spacing w:before="0" w:after="0" w:line="240" w:lineRule="exact"/>
              <w:jc w:val="left"/>
              <w:rPr>
                <w:rFonts w:ascii="宋体" w:hAnsi="宋体" w:eastAsia="宋体" w:cs="宋体"/>
                <w:sz w:val="18"/>
                <w:szCs w:val="18"/>
              </w:rPr>
            </w:pPr>
            <w:r>
              <w:rPr>
                <w:rFonts w:ascii="宋体" w:hAnsi="宋体" w:eastAsia="宋体" w:cs="宋体"/>
                <w:sz w:val="18"/>
                <w:szCs w:val="18"/>
              </w:rPr>
              <w:t>任期满离任</w:t>
            </w:r>
          </w:p>
        </w:tc>
        <w:tc>
          <w:tcPr>
            <w:tcW w:w="1800" w:type="dxa"/>
            <w:tcBorders>
              <w:top w:val="single" w:color="auto" w:sz="2" w:space="0"/>
              <w:left w:val="single" w:color="auto" w:sz="2" w:space="0"/>
              <w:bottom w:val="single" w:color="auto" w:sz="2" w:space="0"/>
              <w:right w:val="single" w:color="auto" w:sz="2" w:space="0"/>
            </w:tcBorders>
            <w:vAlign w:val="center"/>
          </w:tcPr>
          <w:p w14:paraId="31D784F7">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w:t>
            </w:r>
            <w:r>
              <w:rPr>
                <w:rFonts w:hint="eastAsia" w:ascii="宋体" w:hAnsi="宋体" w:cs="宋体"/>
                <w:sz w:val="18"/>
                <w:szCs w:val="18"/>
                <w:lang w:val="en-US" w:eastAsia="zh-CN"/>
              </w:rPr>
              <w:t>4</w:t>
            </w:r>
            <w:r>
              <w:rPr>
                <w:rFonts w:ascii="宋体" w:hAnsi="宋体" w:eastAsia="宋体" w:cs="宋体"/>
                <w:sz w:val="18"/>
                <w:szCs w:val="18"/>
              </w:rPr>
              <w:t>日</w:t>
            </w:r>
          </w:p>
        </w:tc>
        <w:tc>
          <w:tcPr>
            <w:tcW w:w="2723" w:type="dxa"/>
            <w:tcBorders>
              <w:top w:val="single" w:color="auto" w:sz="2" w:space="0"/>
              <w:left w:val="single" w:color="auto" w:sz="2" w:space="0"/>
              <w:bottom w:val="single" w:color="auto" w:sz="2" w:space="0"/>
              <w:right w:val="single" w:color="auto" w:sz="2" w:space="0"/>
            </w:tcBorders>
            <w:vAlign w:val="center"/>
          </w:tcPr>
          <w:p w14:paraId="46FF21DF">
            <w:pPr>
              <w:spacing w:before="0" w:after="0" w:line="240" w:lineRule="exact"/>
              <w:jc w:val="left"/>
              <w:rPr>
                <w:rFonts w:ascii="宋体" w:hAnsi="宋体" w:eastAsia="宋体" w:cs="宋体"/>
                <w:sz w:val="18"/>
                <w:szCs w:val="18"/>
              </w:rPr>
            </w:pPr>
            <w:r>
              <w:rPr>
                <w:rFonts w:ascii="宋体" w:hAnsi="宋体" w:eastAsia="宋体" w:cs="宋体"/>
                <w:sz w:val="18"/>
                <w:szCs w:val="18"/>
              </w:rPr>
              <w:t>换届选举</w:t>
            </w:r>
          </w:p>
        </w:tc>
      </w:tr>
    </w:tbl>
    <w:p w14:paraId="1C45D400">
      <w:pPr>
        <w:keepNext/>
        <w:keepLines/>
        <w:spacing w:before="300" w:after="300" w:line="280" w:lineRule="exact"/>
        <w:jc w:val="left"/>
        <w:outlineLvl w:val="2"/>
        <w:rPr>
          <w:rFonts w:ascii="宋体" w:hAnsi="宋体" w:eastAsia="宋体" w:cs="宋体"/>
          <w:b/>
          <w:bCs/>
          <w:sz w:val="21"/>
          <w:szCs w:val="21"/>
        </w:rPr>
      </w:pPr>
      <w:bookmarkStart w:id="68" w:name="_Toc988955"/>
      <w:r>
        <w:rPr>
          <w:rFonts w:ascii="宋体" w:hAnsi="宋体" w:eastAsia="宋体" w:cs="宋体"/>
          <w:b/>
          <w:bCs/>
          <w:sz w:val="21"/>
          <w:szCs w:val="21"/>
        </w:rPr>
        <w:t>2、任职情况</w:t>
      </w:r>
      <w:bookmarkEnd w:id="68"/>
    </w:p>
    <w:p w14:paraId="069480B1">
      <w:pPr>
        <w:spacing w:before="100" w:after="100" w:line="240" w:lineRule="exact"/>
        <w:jc w:val="left"/>
        <w:rPr>
          <w:rFonts w:ascii="宋体" w:hAnsi="宋体" w:eastAsia="宋体" w:cs="宋体"/>
          <w:sz w:val="18"/>
          <w:szCs w:val="18"/>
        </w:rPr>
      </w:pPr>
      <w:r>
        <w:rPr>
          <w:rFonts w:ascii="宋体" w:hAnsi="宋体" w:eastAsia="宋体" w:cs="宋体"/>
          <w:sz w:val="18"/>
          <w:szCs w:val="18"/>
        </w:rPr>
        <w:t>公司现任董事、监事、高级管理人员专业背景、主要工作经历以及目前在公司的主要职责</w:t>
      </w:r>
    </w:p>
    <w:p w14:paraId="37557B06">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一、董事</w:t>
      </w:r>
    </w:p>
    <w:p w14:paraId="0D61D07E">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1、李国平先生：</w:t>
      </w:r>
      <w:r>
        <w:rPr>
          <w:rFonts w:hint="eastAsia" w:ascii="宋体" w:hAnsi="宋体" w:eastAsia="宋体" w:cs="宋体"/>
          <w:sz w:val="18"/>
          <w:szCs w:val="18"/>
        </w:rPr>
        <w:t>1968年出生，中国国籍，无境外永久居留权，硕士研究生学历，福建省第十二届、十三届、十四届人大代表。1990年7月毕业于福州大学轻工系食品工程专业，获学士学位；2006年7月毕业于中欧国际工商学院，获工商管理硕士（EMBA）学位。2019年12月，毕业于清华大学五道口金融学院，获工商管理硕士（EMBA）学位，高级经济师。曾就职于福建省食品工业公司，1995年至今先后创办了福建奥华集团有限公司、福建广生堂药业股份有限公司等多家公司。曾被评为全国优秀企业家，入选国家科技部创新创业人才计划及第三批国家“万人计划”领军人才、中共福建省委、省政府授予首届福建省优秀民营企业家称号。李国平先生现任本公司法定代表人、董事长、总经理。</w:t>
      </w:r>
    </w:p>
    <w:p w14:paraId="7B9863CB">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2、叶理青女士：</w:t>
      </w:r>
      <w:r>
        <w:rPr>
          <w:rFonts w:hint="eastAsia" w:ascii="宋体" w:hAnsi="宋体" w:eastAsia="宋体" w:cs="宋体"/>
          <w:sz w:val="18"/>
          <w:szCs w:val="18"/>
        </w:rPr>
        <w:t>1970年出生，中国国籍，无境外永久居留权，1988年7月毕业于福建银行学校，曾就职于中国银行福建省分行。叶理青女士现任公司董事。</w:t>
      </w:r>
    </w:p>
    <w:p w14:paraId="380A56C5">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3、李国栋先生：</w:t>
      </w:r>
      <w:r>
        <w:rPr>
          <w:rFonts w:hint="eastAsia" w:ascii="宋体" w:hAnsi="宋体" w:eastAsia="宋体" w:cs="宋体"/>
          <w:sz w:val="18"/>
          <w:szCs w:val="18"/>
        </w:rPr>
        <w:t>1971年出生，中国国籍，无境外永久居留权，福建省宁德市第三届人大代表。1993年6月毕业于福建建筑工程专科学校工业与民用建筑专业；厦门大学高级经理工商管理硕士（EMBA），研究生学历。曾就职于福建省武夷工程建设有限责任公司；自2002年起历任福建广生堂药业股份有限公司副总经理、总经理、董事长。李国栋先生现任公司董事。</w:t>
      </w:r>
    </w:p>
    <w:p w14:paraId="645574FB">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4、黄伏虎先生：</w:t>
      </w:r>
      <w:r>
        <w:rPr>
          <w:rFonts w:hint="eastAsia" w:ascii="宋体" w:hAnsi="宋体" w:eastAsia="宋体" w:cs="宋体"/>
          <w:sz w:val="18"/>
          <w:szCs w:val="18"/>
        </w:rPr>
        <w:t>1976年出生，中国国籍，无境外永久居留权。厦门大学工商管理硕士，研究生学历。曾任福建省天行健医药有限公司总经理、福建广生堂药业股份有限公司终端事业部总经理、大客户部总经理、营销中心总经理。黄伏虎先生现任公司董事、首席运营官。</w:t>
      </w:r>
    </w:p>
    <w:p w14:paraId="34DF7F8F">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5、庄辰明先生：</w:t>
      </w:r>
      <w:r>
        <w:rPr>
          <w:rFonts w:hint="eastAsia" w:ascii="宋体" w:hAnsi="宋体" w:eastAsia="宋体" w:cs="宋体"/>
          <w:b w:val="0"/>
          <w:bCs w:val="0"/>
          <w:sz w:val="18"/>
          <w:szCs w:val="18"/>
        </w:rPr>
        <w:t>1976年出生，中国国籍，无境外永久居留权，博士研究生学历。曾任职于深圳前海金融资产交易所有限公司担任金融事业部总经理、远洋红星地产集团担任副总裁、泰禾集团股份有限公司担任副总裁。庄辰明先生现任公司董事、副总经理。</w:t>
      </w:r>
    </w:p>
    <w:p w14:paraId="0BDAE330">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6、吴红军先生：</w:t>
      </w:r>
      <w:r>
        <w:rPr>
          <w:rFonts w:hint="eastAsia" w:ascii="宋体" w:hAnsi="宋体" w:eastAsia="宋体" w:cs="宋体"/>
          <w:b w:val="0"/>
          <w:bCs w:val="0"/>
          <w:sz w:val="18"/>
          <w:szCs w:val="18"/>
        </w:rPr>
        <w:t>1970年出生，中国国籍，中共党员，无境外永久居留权。厦门大学财务学博士，博士研究生学历，副教授。曾任职于厦门大学经济学院，现任职厦门大学管理学院财务学系副教授。吴红军先生已取得《上市公司独立董事资格证书》，现任公司独立董事。</w:t>
      </w:r>
    </w:p>
    <w:p w14:paraId="4A90032A">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7、鲁凤民先生：</w:t>
      </w:r>
      <w:r>
        <w:rPr>
          <w:rFonts w:hint="eastAsia" w:ascii="宋体" w:hAnsi="宋体" w:eastAsia="宋体" w:cs="宋体"/>
          <w:sz w:val="18"/>
          <w:szCs w:val="18"/>
        </w:rPr>
        <w:t>1963年出生，中国国籍，中共党员。哈尔滨医科大学医学遗传学博士，博士研究生学历。曾任职于北京医科大学第三医院副研究员，美国费城儿童医院研究助理，美国宾夕法尼亚大学研究助理，北京大学人民医院肝病研究所教授（基础临床双聘），现任职于北京大学基础医学院病原生物学系教授、学系主任，北京大学感染病中心主任。鲁凤民先生已取得《上市公司独立董事资格证书》</w:t>
      </w:r>
      <w:r>
        <w:rPr>
          <w:rFonts w:hint="eastAsia" w:ascii="宋体" w:hAnsi="宋体" w:eastAsia="宋体" w:cs="宋体"/>
          <w:b w:val="0"/>
          <w:bCs w:val="0"/>
          <w:sz w:val="18"/>
          <w:szCs w:val="18"/>
        </w:rPr>
        <w:t>，现任公司独立董事</w:t>
      </w:r>
      <w:r>
        <w:rPr>
          <w:rFonts w:hint="eastAsia" w:ascii="宋体" w:hAnsi="宋体" w:eastAsia="宋体" w:cs="宋体"/>
          <w:sz w:val="18"/>
          <w:szCs w:val="18"/>
        </w:rPr>
        <w:t>。</w:t>
      </w:r>
    </w:p>
    <w:p w14:paraId="694DA6F7">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Style w:val="6"/>
          <w:rFonts w:hint="eastAsia" w:ascii="宋体" w:hAnsi="宋体" w:eastAsia="宋体" w:cs="宋体"/>
          <w:b/>
          <w:bCs/>
          <w:sz w:val="18"/>
          <w:szCs w:val="18"/>
        </w:rPr>
        <w:t>8、吴飞美女士：</w:t>
      </w:r>
      <w:r>
        <w:rPr>
          <w:rFonts w:hint="eastAsia" w:ascii="宋体" w:hAnsi="宋体" w:eastAsia="宋体" w:cs="宋体"/>
          <w:sz w:val="18"/>
          <w:szCs w:val="18"/>
        </w:rPr>
        <w:t>1963年出生，中国国籍，中共党员，无境外永久居留权。香港公开大学工商管理硕士，研究生学历，教授。曾任职于福建商学院副教授、闽江学院教授。吴飞美女士已取得《上市公司独立董事资格证书》，</w:t>
      </w:r>
      <w:r>
        <w:rPr>
          <w:rFonts w:hint="eastAsia" w:ascii="宋体" w:hAnsi="宋体" w:eastAsia="宋体" w:cs="宋体"/>
          <w:b w:val="0"/>
          <w:bCs w:val="0"/>
          <w:sz w:val="18"/>
          <w:szCs w:val="18"/>
        </w:rPr>
        <w:t>现任</w:t>
      </w:r>
      <w:r>
        <w:rPr>
          <w:rFonts w:hint="eastAsia" w:ascii="宋体" w:hAnsi="宋体" w:eastAsia="宋体" w:cs="宋体"/>
          <w:sz w:val="18"/>
          <w:szCs w:val="18"/>
        </w:rPr>
        <w:t>福建福光股份有限公司独立董事、公司独立董事。</w:t>
      </w:r>
    </w:p>
    <w:p w14:paraId="05890ED3">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sz w:val="18"/>
          <w:szCs w:val="18"/>
        </w:rPr>
        <w:t>注：2025年1月，公司收到董事、首席运营官李洪明先生递交的辞职报告，李洪明先生因个人原因申请辞去公司现任职务，辞职后将不再担任公司及子公司任何职务。详见《关于公司董事辞职及高级管理人员变更的公告》（公告编号：2025002）。</w:t>
      </w:r>
    </w:p>
    <w:p w14:paraId="6ED4C179">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二、监事</w:t>
      </w:r>
    </w:p>
    <w:p w14:paraId="5762F798">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1、史保明先生：</w:t>
      </w:r>
      <w:r>
        <w:rPr>
          <w:rFonts w:hint="eastAsia" w:ascii="宋体" w:hAnsi="宋体" w:eastAsia="宋体" w:cs="宋体"/>
          <w:sz w:val="18"/>
          <w:szCs w:val="18"/>
        </w:rPr>
        <w:t>1969年出生，中国国籍，无境外永久居留权，硕士研究生学历，2001年8月毕业于荷兰鹿特丹大学医学信息专业。曾任职于北京博奥医学检验所有限公司董事长等职务。现任职于福建阿吉安生物科技有限公司法定代表人、董事长、经理职务。史保明先生现任公司监事会主席。</w:t>
      </w:r>
    </w:p>
    <w:p w14:paraId="3EC91C64">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2、肖厚麟先生：</w:t>
      </w:r>
      <w:r>
        <w:rPr>
          <w:rFonts w:hint="eastAsia" w:ascii="宋体" w:hAnsi="宋体" w:eastAsia="宋体" w:cs="宋体"/>
          <w:sz w:val="18"/>
          <w:szCs w:val="18"/>
        </w:rPr>
        <w:t>1983年出生，中国国籍，无境外永久居留权，本科学历，2005年7月毕业于北京理工大学，注册会计师、注册税务师。曾任职华映光电股份有限公司工程师、副理，瑞华会计师事务所（特殊普通合伙）厦门分所助理项目经理，海南希源生态农业股份有限公司财务总监、董事、董事会秘书，深圳市宝能投资集团有限公司计划财务中心运营管理部门副总监等职务。现任职公司财务总监助理职务</w:t>
      </w:r>
      <w:r>
        <w:rPr>
          <w:rFonts w:hint="eastAsia" w:ascii="宋体" w:hAnsi="宋体" w:cs="宋体"/>
          <w:sz w:val="18"/>
          <w:szCs w:val="18"/>
          <w:lang w:eastAsia="zh-CN"/>
        </w:rPr>
        <w:t>、</w:t>
      </w:r>
      <w:r>
        <w:rPr>
          <w:rFonts w:hint="eastAsia" w:ascii="宋体" w:hAnsi="宋体" w:eastAsia="宋体" w:cs="宋体"/>
          <w:sz w:val="18"/>
          <w:szCs w:val="18"/>
        </w:rPr>
        <w:t>公司监事。</w:t>
      </w:r>
    </w:p>
    <w:p w14:paraId="2B7A5B7E">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3、林海峰先生：</w:t>
      </w:r>
      <w:r>
        <w:rPr>
          <w:rFonts w:hint="eastAsia" w:ascii="宋体" w:hAnsi="宋体" w:eastAsia="宋体" w:cs="宋体"/>
          <w:sz w:val="18"/>
          <w:szCs w:val="18"/>
        </w:rPr>
        <w:t>1988年出生，中国国籍，无境外永久居留权，硕士研究生学历，2018年毕业于清华大学法学院，获法律硕士学位。2016年获得法律职业资格，并拥有证券和基金从业资格。现任公司运营管理部副总监、职工代表监事。</w:t>
      </w:r>
    </w:p>
    <w:p w14:paraId="2128B064">
      <w:pPr>
        <w:pStyle w:val="2"/>
        <w:keepNext w:val="0"/>
        <w:keepLines w:val="0"/>
        <w:widowControl/>
        <w:suppressLineNumbers w:val="0"/>
        <w:spacing w:before="40" w:beforeAutospacing="0" w:after="40" w:afterAutospacing="0"/>
        <w:ind w:left="0" w:firstLine="361"/>
        <w:jc w:val="both"/>
        <w:rPr>
          <w:rFonts w:hint="eastAsia" w:ascii="宋体" w:hAnsi="宋体" w:eastAsia="宋体" w:cs="宋体"/>
          <w:sz w:val="24"/>
          <w:szCs w:val="24"/>
        </w:rPr>
      </w:pPr>
      <w:r>
        <w:rPr>
          <w:rFonts w:hint="eastAsia" w:ascii="宋体" w:hAnsi="宋体" w:eastAsia="宋体" w:cs="宋体"/>
          <w:b/>
          <w:bCs/>
          <w:sz w:val="18"/>
          <w:szCs w:val="18"/>
        </w:rPr>
        <w:t>三、高级管理人员</w:t>
      </w:r>
    </w:p>
    <w:p w14:paraId="06B7EA0E">
      <w:pPr>
        <w:pStyle w:val="2"/>
        <w:keepNext w:val="0"/>
        <w:keepLines w:val="0"/>
        <w:widowControl/>
        <w:suppressLineNumbers w:val="0"/>
        <w:spacing w:before="40" w:beforeAutospacing="0" w:after="40" w:afterAutospacing="0"/>
        <w:ind w:left="0" w:firstLine="360"/>
        <w:jc w:val="both"/>
        <w:rPr>
          <w:rFonts w:hint="eastAsia" w:ascii="宋体" w:hAnsi="宋体" w:eastAsia="宋体" w:cs="宋体"/>
          <w:sz w:val="24"/>
          <w:szCs w:val="24"/>
        </w:rPr>
      </w:pPr>
      <w:r>
        <w:rPr>
          <w:rFonts w:hint="eastAsia" w:ascii="宋体" w:hAnsi="宋体" w:eastAsia="宋体" w:cs="宋体"/>
          <w:b/>
          <w:bCs/>
          <w:sz w:val="18"/>
          <w:szCs w:val="18"/>
        </w:rPr>
        <w:t>1、李国平先生：</w:t>
      </w:r>
      <w:r>
        <w:rPr>
          <w:rFonts w:hint="eastAsia" w:ascii="宋体" w:hAnsi="宋体" w:eastAsia="宋体" w:cs="宋体"/>
          <w:sz w:val="18"/>
          <w:szCs w:val="18"/>
        </w:rPr>
        <w:t>详见董事李国平先生简介。</w:t>
      </w:r>
    </w:p>
    <w:p w14:paraId="1CE7B432">
      <w:pPr>
        <w:pStyle w:val="2"/>
        <w:keepNext w:val="0"/>
        <w:keepLines w:val="0"/>
        <w:widowControl/>
        <w:suppressLineNumbers w:val="0"/>
        <w:spacing w:before="40" w:beforeAutospacing="0" w:after="40" w:afterAutospacing="0"/>
        <w:ind w:left="0" w:firstLine="360"/>
        <w:jc w:val="both"/>
        <w:rPr>
          <w:rFonts w:hint="eastAsia" w:ascii="宋体" w:hAnsi="宋体" w:eastAsia="宋体" w:cs="宋体"/>
          <w:sz w:val="24"/>
          <w:szCs w:val="24"/>
        </w:rPr>
      </w:pPr>
      <w:r>
        <w:rPr>
          <w:rFonts w:hint="eastAsia" w:ascii="宋体" w:hAnsi="宋体" w:eastAsia="宋体" w:cs="宋体"/>
          <w:b/>
          <w:bCs/>
          <w:sz w:val="18"/>
          <w:szCs w:val="18"/>
        </w:rPr>
        <w:t>2、黄伏虎先生：</w:t>
      </w:r>
      <w:r>
        <w:rPr>
          <w:rFonts w:hint="eastAsia" w:ascii="宋体" w:hAnsi="宋体" w:eastAsia="宋体" w:cs="宋体"/>
          <w:sz w:val="18"/>
          <w:szCs w:val="18"/>
        </w:rPr>
        <w:t>详见董事黄伏虎先生简介。</w:t>
      </w:r>
    </w:p>
    <w:p w14:paraId="799939A0">
      <w:pPr>
        <w:pStyle w:val="2"/>
        <w:keepNext w:val="0"/>
        <w:keepLines w:val="0"/>
        <w:widowControl/>
        <w:suppressLineNumbers w:val="0"/>
        <w:spacing w:before="40" w:beforeAutospacing="0" w:after="40" w:afterAutospacing="0"/>
        <w:ind w:left="0" w:firstLine="360"/>
        <w:jc w:val="both"/>
        <w:rPr>
          <w:rFonts w:hint="eastAsia" w:ascii="宋体" w:hAnsi="宋体" w:eastAsia="宋体" w:cs="宋体"/>
          <w:sz w:val="24"/>
          <w:szCs w:val="24"/>
        </w:rPr>
      </w:pPr>
      <w:r>
        <w:rPr>
          <w:rStyle w:val="6"/>
          <w:rFonts w:hint="eastAsia" w:ascii="宋体" w:hAnsi="宋体" w:eastAsia="宋体" w:cs="宋体"/>
          <w:b/>
          <w:bCs/>
          <w:sz w:val="18"/>
          <w:szCs w:val="18"/>
        </w:rPr>
        <w:t>3、庄辰明先生：</w:t>
      </w:r>
      <w:r>
        <w:rPr>
          <w:rFonts w:hint="eastAsia" w:ascii="宋体" w:hAnsi="宋体" w:eastAsia="宋体" w:cs="宋体"/>
          <w:sz w:val="18"/>
          <w:szCs w:val="18"/>
        </w:rPr>
        <w:t>详见董事</w:t>
      </w:r>
      <w:r>
        <w:rPr>
          <w:rFonts w:hint="eastAsia" w:ascii="宋体" w:hAnsi="宋体" w:eastAsia="宋体" w:cs="宋体"/>
          <w:sz w:val="18"/>
          <w:szCs w:val="18"/>
          <w:lang w:val="en-US" w:eastAsia="zh-CN"/>
        </w:rPr>
        <w:t>庄辰明</w:t>
      </w:r>
      <w:r>
        <w:rPr>
          <w:rFonts w:hint="eastAsia" w:ascii="宋体" w:hAnsi="宋体" w:eastAsia="宋体" w:cs="宋体"/>
          <w:sz w:val="18"/>
          <w:szCs w:val="18"/>
        </w:rPr>
        <w:t>先生简介。</w:t>
      </w:r>
    </w:p>
    <w:p w14:paraId="451DB9F4">
      <w:pPr>
        <w:pStyle w:val="2"/>
        <w:keepNext w:val="0"/>
        <w:keepLines w:val="0"/>
        <w:widowControl/>
        <w:suppressLineNumbers w:val="0"/>
        <w:spacing w:before="40" w:beforeAutospacing="0" w:after="40" w:afterAutospacing="0"/>
        <w:ind w:left="0" w:firstLine="360"/>
        <w:jc w:val="both"/>
        <w:rPr>
          <w:rFonts w:hint="eastAsia" w:ascii="宋体" w:hAnsi="宋体" w:eastAsia="宋体" w:cs="宋体"/>
          <w:sz w:val="24"/>
          <w:szCs w:val="24"/>
        </w:rPr>
      </w:pPr>
      <w:r>
        <w:rPr>
          <w:rStyle w:val="6"/>
          <w:rFonts w:hint="eastAsia" w:ascii="宋体" w:hAnsi="宋体" w:eastAsia="宋体" w:cs="宋体"/>
          <w:b/>
          <w:bCs/>
          <w:sz w:val="18"/>
          <w:szCs w:val="18"/>
        </w:rPr>
        <w:t>4、官建辉先生：</w:t>
      </w:r>
      <w:r>
        <w:rPr>
          <w:rFonts w:hint="eastAsia" w:ascii="宋体" w:hAnsi="宋体" w:eastAsia="宋体" w:cs="宋体"/>
          <w:sz w:val="18"/>
          <w:szCs w:val="18"/>
        </w:rPr>
        <w:t>1976年出生，中国国籍，无境外永久居留权，本科学历。1999年毕业于福建农林大学，获经济学学士学位。曾就职于福建台亚汽车工业有限公司、福建缔邦集团有限公司、福建嘉达纺织股份有限公司，2011年起供职于福建广生堂药业股份有限公司，历任财务主管、财务经理、财务总监。官建辉先生现任公司财务总监。</w:t>
      </w:r>
    </w:p>
    <w:p w14:paraId="35583086">
      <w:pPr>
        <w:pStyle w:val="2"/>
        <w:keepNext w:val="0"/>
        <w:keepLines w:val="0"/>
        <w:widowControl/>
        <w:suppressLineNumbers w:val="0"/>
        <w:spacing w:before="40" w:beforeAutospacing="0" w:after="40" w:afterAutospacing="0"/>
        <w:ind w:left="0" w:firstLine="360"/>
        <w:jc w:val="both"/>
        <w:rPr>
          <w:rFonts w:hint="eastAsia" w:ascii="宋体" w:hAnsi="宋体" w:eastAsia="宋体" w:cs="宋体"/>
          <w:sz w:val="24"/>
          <w:szCs w:val="24"/>
        </w:rPr>
      </w:pPr>
      <w:r>
        <w:rPr>
          <w:rFonts w:hint="eastAsia" w:ascii="宋体" w:hAnsi="宋体" w:eastAsia="宋体" w:cs="宋体"/>
          <w:b/>
          <w:bCs/>
          <w:sz w:val="18"/>
          <w:szCs w:val="18"/>
        </w:rPr>
        <w:t>5、曾炳祥先生：</w:t>
      </w:r>
      <w:r>
        <w:rPr>
          <w:rFonts w:hint="eastAsia" w:ascii="宋体" w:hAnsi="宋体" w:eastAsia="宋体" w:cs="宋体"/>
          <w:sz w:val="18"/>
          <w:szCs w:val="18"/>
        </w:rPr>
        <w:t>1963年出生，中国国籍，无境外永久居留权，本科学历，主管药师职称。1985年7月毕业于中国人民解放军第四军医大学药理学专业。曾任福建省惠安县制药厂副厂长；2001年6月起供职于福建广生堂药业股份有限公司，历任生产负责人、总经理助理等职。曾炳祥先生现任公司副总经理。</w:t>
      </w:r>
    </w:p>
    <w:p w14:paraId="272D986D">
      <w:pPr>
        <w:pStyle w:val="2"/>
        <w:keepNext w:val="0"/>
        <w:keepLines w:val="0"/>
        <w:widowControl/>
        <w:suppressLineNumbers w:val="0"/>
        <w:spacing w:before="40" w:beforeAutospacing="0" w:after="40" w:afterAutospacing="0"/>
        <w:ind w:left="0" w:firstLine="360"/>
        <w:jc w:val="both"/>
        <w:rPr>
          <w:rFonts w:hint="eastAsia" w:ascii="宋体" w:hAnsi="宋体" w:eastAsia="宋体" w:cs="宋体"/>
          <w:sz w:val="24"/>
          <w:szCs w:val="24"/>
        </w:rPr>
      </w:pPr>
      <w:r>
        <w:rPr>
          <w:rStyle w:val="6"/>
          <w:rFonts w:hint="eastAsia" w:ascii="宋体" w:hAnsi="宋体" w:eastAsia="宋体" w:cs="宋体"/>
          <w:b/>
          <w:bCs/>
          <w:sz w:val="18"/>
          <w:szCs w:val="18"/>
        </w:rPr>
        <w:t>6、KE HU（胡柯）博士：</w:t>
      </w:r>
      <w:r>
        <w:rPr>
          <w:rFonts w:hint="eastAsia" w:ascii="宋体" w:hAnsi="宋体" w:eastAsia="宋体" w:cs="宋体"/>
          <w:sz w:val="18"/>
          <w:szCs w:val="18"/>
        </w:rPr>
        <w:t>1970年出生，美籍华人，美国耶鲁大学医学院博士后，日本东京大学和中国沈阳药科大学联合培养药学博士。胡柯博士有20多年工业界经验，历经全球大、中、小、初创制药公司，历练小分子、大分子、多肽、小核酸，至今参与19款药物 (包括6款重磅药) 的全球临床开发、注册报批、成功上市，横跨多个疾病治疗领域、适应症，涵盖肿瘤、血液病、内分泌、心血管、代谢、肝病、病毒。胡柯博士在领导管理、运营执行、战略布局、管线研发、创业融资、商务开发有全方位的实战经验。曾任默化生物 (BaseCure Therapeutics) 首席执行官、总裁 (President)、联合创始人 (Co-Founder)、董事；甘李药业美国公司 (Gan ＆ Lee Pharmaceuticals USA) 首席执行官、总裁、董事；拉菲尔制药 (Rafael Pharmaceuticals) 首席开发官 (CDO)；爵士制药 (Jazz Pharmaceuticals) 临床开发高级总监；诺华制药 (Novartis Pharmaceuticals) 临床药理总监；葛兰素史克制药 (GlaxoSmithKline) 临床前研发部门首席科学家。迄今在国际上发表47篇期刊论文、50篇大会报告或壁报、5项专利、2部论文集、1部书籍，曾担任30多家期刊的编委和同行评审。现任公司首席科学家、子公司福建广生中霖生物科技有限公司执行董事、总经理。胡柯博士现任公司首席科学家。</w:t>
      </w:r>
    </w:p>
    <w:p w14:paraId="2887C5C0">
      <w:pPr>
        <w:pStyle w:val="2"/>
        <w:keepNext w:val="0"/>
        <w:keepLines w:val="0"/>
        <w:widowControl/>
        <w:suppressLineNumbers w:val="0"/>
        <w:spacing w:before="40" w:beforeAutospacing="0" w:after="40" w:afterAutospacing="0"/>
        <w:ind w:left="0" w:firstLine="360"/>
        <w:jc w:val="both"/>
        <w:rPr>
          <w:rFonts w:hint="eastAsia" w:ascii="宋体" w:hAnsi="宋体" w:eastAsia="宋体" w:cs="宋体"/>
          <w:sz w:val="24"/>
          <w:szCs w:val="24"/>
        </w:rPr>
      </w:pPr>
      <w:r>
        <w:rPr>
          <w:rStyle w:val="6"/>
          <w:rFonts w:hint="eastAsia" w:ascii="宋体" w:hAnsi="宋体" w:eastAsia="宋体" w:cs="宋体"/>
          <w:b/>
          <w:bCs/>
          <w:sz w:val="18"/>
          <w:szCs w:val="18"/>
        </w:rPr>
        <w:t>7、胡彦儒先生：</w:t>
      </w:r>
      <w:r>
        <w:rPr>
          <w:rFonts w:hint="eastAsia" w:ascii="宋体" w:hAnsi="宋体" w:eastAsia="宋体" w:cs="宋体"/>
          <w:sz w:val="18"/>
          <w:szCs w:val="18"/>
        </w:rPr>
        <w:t>1984年出生，中国国籍，无境外永久居留权。2008年山西中医药大学中西医结合临床专业毕业，获学士学位。曾先后任职于西安杨森、舒泰神、礼来苏州制药、海思科等多家中外医药企业，2018以来历任科兴生物制药股份有限公司营销总监、国内营销事业部总经理职位。2024年8月入职广生堂，现任公司副总经理、子公司广喆来药业(福建)有限公司总裁。胡彦儒先生现任公司副总经理。</w:t>
      </w:r>
    </w:p>
    <w:p w14:paraId="5C00769F">
      <w:pPr>
        <w:pStyle w:val="2"/>
        <w:keepNext w:val="0"/>
        <w:keepLines w:val="0"/>
        <w:widowControl/>
        <w:suppressLineNumbers w:val="0"/>
        <w:spacing w:before="0" w:beforeAutospacing="0" w:after="0" w:afterAutospacing="0"/>
        <w:ind w:left="0" w:right="0" w:firstLine="361"/>
        <w:jc w:val="both"/>
        <w:rPr>
          <w:rFonts w:ascii="Calibri" w:hAnsi="Calibri" w:cs="Calibri"/>
          <w:sz w:val="21"/>
          <w:szCs w:val="21"/>
        </w:rPr>
      </w:pPr>
      <w:r>
        <w:rPr>
          <w:rFonts w:hint="eastAsia" w:ascii="宋体" w:hAnsi="宋体" w:eastAsia="宋体" w:cs="宋体"/>
          <w:b/>
          <w:bCs/>
          <w:sz w:val="18"/>
          <w:szCs w:val="18"/>
        </w:rPr>
        <w:t>8、张清河先生：</w:t>
      </w:r>
      <w:r>
        <w:rPr>
          <w:rFonts w:hint="eastAsia" w:ascii="宋体" w:hAnsi="宋体" w:eastAsia="宋体" w:cs="宋体"/>
          <w:sz w:val="18"/>
          <w:szCs w:val="18"/>
        </w:rPr>
        <w:t>1987 年出生，中国国籍，无境外永久居留权，研究生学历，于2012年7月30日取得董事会秘书资格证。曾历任湖南红太阳电源新材料股份有限公司证券事务代表、董事会秘书，福建凤竹纺织科技股份有限公司（600493）证券事务代表。2017年9月加入本公司，历任证券事务代表、证券投资部总监。张清河先生现任公司副总经理兼董事会秘书。</w:t>
      </w:r>
    </w:p>
    <w:p w14:paraId="5A7964BD">
      <w:pPr>
        <w:pStyle w:val="2"/>
        <w:keepNext w:val="0"/>
        <w:keepLines w:val="0"/>
        <w:widowControl/>
        <w:suppressLineNumbers w:val="0"/>
        <w:spacing w:before="0" w:beforeAutospacing="0" w:after="0" w:afterAutospacing="0"/>
        <w:ind w:left="0" w:right="0" w:firstLine="361"/>
        <w:jc w:val="both"/>
        <w:rPr>
          <w:rFonts w:hint="default" w:ascii="Calibri" w:hAnsi="Calibri" w:cs="Calibri"/>
          <w:sz w:val="21"/>
          <w:szCs w:val="21"/>
        </w:rPr>
      </w:pPr>
      <w:r>
        <w:rPr>
          <w:rFonts w:hint="eastAsia" w:ascii="宋体" w:hAnsi="宋体" w:eastAsia="宋体" w:cs="宋体"/>
          <w:sz w:val="18"/>
          <w:szCs w:val="18"/>
        </w:rPr>
        <w:t>注：2025年1月，经董事会审议通过，改聘公司董事、副总经理黄伏虎先生为公司董事、首席运营官；聘任美籍华人KE HU（胡柯）博士担任公司首席科学家；聘任胡彦儒先生担任公司副总经理。详见《关于公司董事辞职及高级管理人员变更的公告》（公告编号：2025002）。</w:t>
      </w:r>
    </w:p>
    <w:p w14:paraId="1A29BAFC">
      <w:pPr>
        <w:spacing w:before="100" w:after="100" w:line="240" w:lineRule="exact"/>
        <w:jc w:val="left"/>
        <w:rPr>
          <w:rFonts w:ascii="宋体" w:hAnsi="宋体" w:eastAsia="宋体" w:cs="宋体"/>
          <w:sz w:val="18"/>
          <w:szCs w:val="18"/>
        </w:rPr>
      </w:pPr>
      <w:r>
        <w:rPr>
          <w:rFonts w:ascii="宋体" w:hAnsi="宋体" w:eastAsia="宋体" w:cs="宋体"/>
          <w:sz w:val="18"/>
          <w:szCs w:val="18"/>
        </w:rPr>
        <w:t>在股东单位任职情况</w:t>
      </w:r>
    </w:p>
    <w:p w14:paraId="03464983">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52CC53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2BEFCE3">
            <w:pPr>
              <w:spacing w:before="40" w:after="40" w:line="240" w:lineRule="exact"/>
              <w:jc w:val="center"/>
              <w:rPr>
                <w:rFonts w:ascii="宋体" w:hAnsi="宋体" w:eastAsia="宋体" w:cs="宋体"/>
                <w:sz w:val="18"/>
                <w:szCs w:val="18"/>
              </w:rPr>
            </w:pPr>
            <w:r>
              <w:rPr>
                <w:rFonts w:ascii="宋体" w:hAnsi="宋体" w:eastAsia="宋体" w:cs="宋体"/>
                <w:sz w:val="18"/>
                <w:szCs w:val="18"/>
              </w:rPr>
              <w:t>任职人员姓名</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F25FE2F">
            <w:pPr>
              <w:spacing w:before="40" w:after="40" w:line="240" w:lineRule="exact"/>
              <w:jc w:val="center"/>
              <w:rPr>
                <w:rFonts w:ascii="宋体" w:hAnsi="宋体" w:eastAsia="宋体" w:cs="宋体"/>
                <w:sz w:val="18"/>
                <w:szCs w:val="18"/>
              </w:rPr>
            </w:pPr>
            <w:r>
              <w:rPr>
                <w:rFonts w:ascii="宋体" w:hAnsi="宋体" w:eastAsia="宋体" w:cs="宋体"/>
                <w:sz w:val="18"/>
                <w:szCs w:val="18"/>
              </w:rPr>
              <w:t>股东单位名称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3E2A1BD">
            <w:pPr>
              <w:spacing w:before="40" w:after="40" w:line="240" w:lineRule="exact"/>
              <w:jc w:val="center"/>
              <w:rPr>
                <w:rFonts w:ascii="宋体" w:hAnsi="宋体" w:eastAsia="宋体" w:cs="宋体"/>
                <w:sz w:val="18"/>
                <w:szCs w:val="18"/>
              </w:rPr>
            </w:pPr>
            <w:r>
              <w:rPr>
                <w:rFonts w:ascii="宋体" w:hAnsi="宋体" w:eastAsia="宋体" w:cs="宋体"/>
                <w:sz w:val="18"/>
                <w:szCs w:val="18"/>
              </w:rPr>
              <w:t>在股东单位担任的职务</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9134415">
            <w:pPr>
              <w:spacing w:before="40" w:after="40" w:line="240" w:lineRule="exact"/>
              <w:jc w:val="center"/>
              <w:rPr>
                <w:rFonts w:ascii="宋体" w:hAnsi="宋体" w:eastAsia="宋体" w:cs="宋体"/>
                <w:sz w:val="18"/>
                <w:szCs w:val="18"/>
              </w:rPr>
            </w:pPr>
            <w:r>
              <w:rPr>
                <w:rFonts w:ascii="宋体" w:hAnsi="宋体" w:eastAsia="宋体" w:cs="宋体"/>
                <w:sz w:val="18"/>
                <w:szCs w:val="18"/>
              </w:rPr>
              <w:t>任期起始日期</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3238277">
            <w:pPr>
              <w:spacing w:before="40" w:after="40" w:line="240" w:lineRule="exact"/>
              <w:jc w:val="center"/>
              <w:rPr>
                <w:rFonts w:ascii="宋体" w:hAnsi="宋体" w:eastAsia="宋体" w:cs="宋体"/>
                <w:sz w:val="18"/>
                <w:szCs w:val="18"/>
              </w:rPr>
            </w:pPr>
            <w:r>
              <w:rPr>
                <w:rFonts w:ascii="宋体" w:hAnsi="宋体" w:eastAsia="宋体" w:cs="宋体"/>
                <w:sz w:val="18"/>
                <w:szCs w:val="18"/>
              </w:rPr>
              <w:t>任期终止日期</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ACFF82B">
            <w:pPr>
              <w:spacing w:before="40" w:after="40" w:line="240" w:lineRule="exact"/>
              <w:jc w:val="center"/>
              <w:rPr>
                <w:rFonts w:ascii="宋体" w:hAnsi="宋体" w:eastAsia="宋体" w:cs="宋体"/>
                <w:sz w:val="18"/>
                <w:szCs w:val="18"/>
              </w:rPr>
            </w:pPr>
            <w:r>
              <w:rPr>
                <w:rFonts w:ascii="宋体" w:hAnsi="宋体" w:eastAsia="宋体" w:cs="宋体"/>
                <w:sz w:val="18"/>
                <w:szCs w:val="18"/>
              </w:rPr>
              <w:t>在股东单位是否领取报酬津贴</w:t>
            </w:r>
          </w:p>
        </w:tc>
      </w:tr>
      <w:tr w14:paraId="1D2510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A8169B3">
            <w:pPr>
              <w:spacing w:before="0" w:after="0" w:line="240" w:lineRule="exact"/>
              <w:jc w:val="left"/>
              <w:rPr>
                <w:rFonts w:ascii="宋体" w:hAnsi="宋体" w:eastAsia="宋体" w:cs="宋体"/>
                <w:sz w:val="18"/>
                <w:szCs w:val="18"/>
              </w:rPr>
            </w:pPr>
            <w:r>
              <w:rPr>
                <w:rFonts w:ascii="宋体" w:hAnsi="宋体" w:eastAsia="宋体" w:cs="宋体"/>
                <w:sz w:val="18"/>
                <w:szCs w:val="18"/>
              </w:rPr>
              <w:t>叶理青</w:t>
            </w:r>
          </w:p>
        </w:tc>
        <w:tc>
          <w:tcPr>
            <w:tcW w:w="1606" w:type="dxa"/>
            <w:tcBorders>
              <w:top w:val="single" w:color="auto" w:sz="2" w:space="0"/>
              <w:left w:val="single" w:color="auto" w:sz="2" w:space="0"/>
              <w:bottom w:val="single" w:color="auto" w:sz="2" w:space="0"/>
              <w:right w:val="single" w:color="auto" w:sz="2" w:space="0"/>
            </w:tcBorders>
            <w:vAlign w:val="center"/>
          </w:tcPr>
          <w:p w14:paraId="5E922D47">
            <w:pPr>
              <w:spacing w:before="0" w:after="0" w:line="240" w:lineRule="exact"/>
              <w:jc w:val="left"/>
              <w:rPr>
                <w:rFonts w:ascii="宋体" w:hAnsi="宋体" w:eastAsia="宋体" w:cs="宋体"/>
                <w:sz w:val="18"/>
                <w:szCs w:val="18"/>
              </w:rPr>
            </w:pPr>
            <w:r>
              <w:rPr>
                <w:rFonts w:ascii="宋体" w:hAnsi="宋体" w:eastAsia="宋体" w:cs="宋体"/>
                <w:sz w:val="18"/>
                <w:szCs w:val="18"/>
              </w:rPr>
              <w:t>福建奥华集团有限公司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1E9C4369">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399CBEB">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7D598E9">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C99CBC6">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350B11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47A0973">
            <w:pPr>
              <w:spacing w:before="40" w:after="40" w:line="240" w:lineRule="exact"/>
              <w:jc w:val="left"/>
              <w:rPr>
                <w:rFonts w:ascii="宋体" w:hAnsi="宋体" w:eastAsia="宋体" w:cs="宋体"/>
                <w:sz w:val="18"/>
                <w:szCs w:val="18"/>
              </w:rPr>
            </w:pPr>
            <w:r>
              <w:rPr>
                <w:rFonts w:ascii="宋体" w:hAnsi="宋体" w:eastAsia="宋体" w:cs="宋体"/>
                <w:sz w:val="18"/>
                <w:szCs w:val="18"/>
              </w:rPr>
              <w:t>在股东单位任职情况的说明</w:t>
            </w:r>
          </w:p>
        </w:tc>
        <w:tc>
          <w:tcPr>
            <w:tcW w:w="8032" w:type="dxa"/>
            <w:gridSpan w:val="5"/>
            <w:tcBorders>
              <w:top w:val="single" w:color="auto" w:sz="2" w:space="0"/>
              <w:left w:val="single" w:color="auto" w:sz="2" w:space="0"/>
              <w:bottom w:val="single" w:color="auto" w:sz="2" w:space="0"/>
              <w:right w:val="single" w:color="auto" w:sz="2" w:space="0"/>
            </w:tcBorders>
            <w:vAlign w:val="center"/>
          </w:tcPr>
          <w:p w14:paraId="058D61F1">
            <w:pPr>
              <w:spacing w:before="0" w:after="0" w:line="240" w:lineRule="exact"/>
              <w:jc w:val="left"/>
              <w:rPr>
                <w:rFonts w:ascii="宋体" w:hAnsi="宋体" w:eastAsia="宋体" w:cs="宋体"/>
                <w:sz w:val="18"/>
                <w:szCs w:val="18"/>
              </w:rPr>
            </w:pPr>
            <w:r>
              <w:rPr>
                <w:rFonts w:ascii="宋体" w:hAnsi="宋体" w:eastAsia="宋体" w:cs="宋体"/>
                <w:sz w:val="18"/>
                <w:szCs w:val="18"/>
              </w:rPr>
              <w:t>见上表。</w:t>
            </w:r>
          </w:p>
        </w:tc>
      </w:tr>
    </w:tbl>
    <w:p w14:paraId="051A88B1">
      <w:pPr>
        <w:spacing w:before="100" w:after="100" w:line="240" w:lineRule="exact"/>
        <w:jc w:val="left"/>
        <w:rPr>
          <w:rFonts w:ascii="宋体" w:hAnsi="宋体" w:eastAsia="宋体" w:cs="宋体"/>
          <w:sz w:val="18"/>
          <w:szCs w:val="18"/>
        </w:rPr>
      </w:pPr>
      <w:r>
        <w:rPr>
          <w:rFonts w:ascii="宋体" w:hAnsi="宋体" w:eastAsia="宋体" w:cs="宋体"/>
          <w:sz w:val="18"/>
          <w:szCs w:val="18"/>
        </w:rPr>
        <w:t>在其他单位任职情况</w:t>
      </w:r>
    </w:p>
    <w:p w14:paraId="3616881F">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963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97"/>
        <w:gridCol w:w="3550"/>
        <w:gridCol w:w="1550"/>
        <w:gridCol w:w="880"/>
        <w:gridCol w:w="860"/>
        <w:gridCol w:w="1499"/>
      </w:tblGrid>
      <w:tr w14:paraId="3B2DE2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shd w:val="clear" w:color="auto" w:fill="D3D3D3"/>
            <w:vAlign w:val="center"/>
          </w:tcPr>
          <w:p w14:paraId="548F86DF">
            <w:pPr>
              <w:spacing w:before="40" w:after="40" w:line="240" w:lineRule="exact"/>
              <w:jc w:val="center"/>
              <w:rPr>
                <w:rFonts w:ascii="宋体" w:hAnsi="宋体" w:eastAsia="宋体" w:cs="宋体"/>
                <w:sz w:val="18"/>
                <w:szCs w:val="18"/>
              </w:rPr>
            </w:pPr>
            <w:r>
              <w:rPr>
                <w:rFonts w:ascii="宋体" w:hAnsi="宋体" w:eastAsia="宋体" w:cs="宋体"/>
                <w:sz w:val="18"/>
                <w:szCs w:val="18"/>
              </w:rPr>
              <w:t>任职人员姓名</w:t>
            </w:r>
          </w:p>
        </w:tc>
        <w:tc>
          <w:tcPr>
            <w:tcW w:w="3550" w:type="dxa"/>
            <w:tcBorders>
              <w:top w:val="single" w:color="auto" w:sz="2" w:space="0"/>
              <w:left w:val="single" w:color="auto" w:sz="2" w:space="0"/>
              <w:bottom w:val="single" w:color="auto" w:sz="2" w:space="0"/>
              <w:right w:val="single" w:color="auto" w:sz="2" w:space="0"/>
            </w:tcBorders>
            <w:shd w:val="clear" w:color="auto" w:fill="D3D3D3"/>
            <w:vAlign w:val="center"/>
          </w:tcPr>
          <w:p w14:paraId="58CABE0E">
            <w:pPr>
              <w:spacing w:before="40" w:after="40" w:line="240" w:lineRule="exact"/>
              <w:jc w:val="center"/>
              <w:rPr>
                <w:rFonts w:ascii="宋体" w:hAnsi="宋体" w:eastAsia="宋体" w:cs="宋体"/>
                <w:sz w:val="18"/>
                <w:szCs w:val="18"/>
              </w:rPr>
            </w:pPr>
            <w:r>
              <w:rPr>
                <w:rFonts w:ascii="宋体" w:hAnsi="宋体" w:eastAsia="宋体" w:cs="宋体"/>
                <w:sz w:val="18"/>
                <w:szCs w:val="18"/>
              </w:rPr>
              <w:t>其他单位名称</w:t>
            </w:r>
          </w:p>
        </w:tc>
        <w:tc>
          <w:tcPr>
            <w:tcW w:w="1550" w:type="dxa"/>
            <w:tcBorders>
              <w:top w:val="single" w:color="auto" w:sz="2" w:space="0"/>
              <w:left w:val="single" w:color="auto" w:sz="2" w:space="0"/>
              <w:bottom w:val="single" w:color="auto" w:sz="2" w:space="0"/>
              <w:right w:val="single" w:color="auto" w:sz="2" w:space="0"/>
            </w:tcBorders>
            <w:shd w:val="clear" w:color="auto" w:fill="D3D3D3"/>
            <w:vAlign w:val="center"/>
          </w:tcPr>
          <w:p w14:paraId="5799DFCD">
            <w:pPr>
              <w:spacing w:before="40" w:after="40" w:line="240" w:lineRule="exact"/>
              <w:jc w:val="center"/>
              <w:rPr>
                <w:rFonts w:ascii="宋体" w:hAnsi="宋体" w:eastAsia="宋体" w:cs="宋体"/>
                <w:sz w:val="18"/>
                <w:szCs w:val="18"/>
              </w:rPr>
            </w:pPr>
            <w:r>
              <w:rPr>
                <w:rFonts w:ascii="宋体" w:hAnsi="宋体" w:eastAsia="宋体" w:cs="宋体"/>
                <w:sz w:val="18"/>
                <w:szCs w:val="18"/>
              </w:rPr>
              <w:t>在其他单位担任的职务</w:t>
            </w:r>
          </w:p>
        </w:tc>
        <w:tc>
          <w:tcPr>
            <w:tcW w:w="880" w:type="dxa"/>
            <w:tcBorders>
              <w:top w:val="single" w:color="auto" w:sz="2" w:space="0"/>
              <w:left w:val="single" w:color="auto" w:sz="2" w:space="0"/>
              <w:bottom w:val="single" w:color="auto" w:sz="2" w:space="0"/>
              <w:right w:val="single" w:color="auto" w:sz="2" w:space="0"/>
            </w:tcBorders>
            <w:shd w:val="clear" w:color="auto" w:fill="D3D3D3"/>
            <w:vAlign w:val="center"/>
          </w:tcPr>
          <w:p w14:paraId="0E9D24EA">
            <w:pPr>
              <w:spacing w:before="40" w:after="40" w:line="240" w:lineRule="exact"/>
              <w:jc w:val="center"/>
              <w:rPr>
                <w:rFonts w:ascii="宋体" w:hAnsi="宋体" w:eastAsia="宋体" w:cs="宋体"/>
                <w:sz w:val="18"/>
                <w:szCs w:val="18"/>
              </w:rPr>
            </w:pPr>
            <w:r>
              <w:rPr>
                <w:rFonts w:ascii="宋体" w:hAnsi="宋体" w:eastAsia="宋体" w:cs="宋体"/>
                <w:sz w:val="18"/>
                <w:szCs w:val="18"/>
              </w:rPr>
              <w:t>任期起始日期</w:t>
            </w:r>
          </w:p>
        </w:tc>
        <w:tc>
          <w:tcPr>
            <w:tcW w:w="860" w:type="dxa"/>
            <w:tcBorders>
              <w:top w:val="single" w:color="auto" w:sz="2" w:space="0"/>
              <w:left w:val="single" w:color="auto" w:sz="2" w:space="0"/>
              <w:bottom w:val="single" w:color="auto" w:sz="2" w:space="0"/>
              <w:right w:val="single" w:color="auto" w:sz="2" w:space="0"/>
            </w:tcBorders>
            <w:shd w:val="clear" w:color="auto" w:fill="D3D3D3"/>
            <w:vAlign w:val="center"/>
          </w:tcPr>
          <w:p w14:paraId="27FC1E21">
            <w:pPr>
              <w:spacing w:before="40" w:after="40" w:line="240" w:lineRule="exact"/>
              <w:jc w:val="center"/>
              <w:rPr>
                <w:rFonts w:ascii="宋体" w:hAnsi="宋体" w:eastAsia="宋体" w:cs="宋体"/>
                <w:sz w:val="18"/>
                <w:szCs w:val="18"/>
              </w:rPr>
            </w:pPr>
            <w:r>
              <w:rPr>
                <w:rFonts w:ascii="宋体" w:hAnsi="宋体" w:eastAsia="宋体" w:cs="宋体"/>
                <w:sz w:val="18"/>
                <w:szCs w:val="18"/>
              </w:rPr>
              <w:t>任期终止日期</w:t>
            </w:r>
          </w:p>
        </w:tc>
        <w:tc>
          <w:tcPr>
            <w:tcW w:w="1499" w:type="dxa"/>
            <w:tcBorders>
              <w:top w:val="single" w:color="auto" w:sz="2" w:space="0"/>
              <w:left w:val="single" w:color="auto" w:sz="2" w:space="0"/>
              <w:bottom w:val="single" w:color="auto" w:sz="2" w:space="0"/>
              <w:right w:val="single" w:color="auto" w:sz="2" w:space="0"/>
            </w:tcBorders>
            <w:shd w:val="clear" w:color="auto" w:fill="D3D3D3"/>
            <w:vAlign w:val="center"/>
          </w:tcPr>
          <w:p w14:paraId="26D24AB3">
            <w:pPr>
              <w:spacing w:before="40" w:after="40" w:line="240" w:lineRule="exact"/>
              <w:jc w:val="center"/>
              <w:rPr>
                <w:rFonts w:ascii="宋体" w:hAnsi="宋体" w:eastAsia="宋体" w:cs="宋体"/>
                <w:sz w:val="18"/>
                <w:szCs w:val="18"/>
              </w:rPr>
            </w:pPr>
            <w:r>
              <w:rPr>
                <w:rFonts w:ascii="宋体" w:hAnsi="宋体" w:eastAsia="宋体" w:cs="宋体"/>
                <w:sz w:val="18"/>
                <w:szCs w:val="18"/>
              </w:rPr>
              <w:t>在其他单位是否领取报酬津贴</w:t>
            </w:r>
          </w:p>
        </w:tc>
      </w:tr>
      <w:tr w14:paraId="2F8FB2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66BDB404">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3550" w:type="dxa"/>
            <w:tcBorders>
              <w:top w:val="single" w:color="auto" w:sz="2" w:space="0"/>
              <w:left w:val="single" w:color="auto" w:sz="2" w:space="0"/>
              <w:bottom w:val="single" w:color="auto" w:sz="2" w:space="0"/>
              <w:right w:val="single" w:color="auto" w:sz="2" w:space="0"/>
            </w:tcBorders>
            <w:vAlign w:val="center"/>
          </w:tcPr>
          <w:p w14:paraId="54C4432B">
            <w:pPr>
              <w:spacing w:before="0" w:after="0" w:line="240" w:lineRule="exact"/>
              <w:jc w:val="left"/>
              <w:rPr>
                <w:rFonts w:ascii="宋体" w:hAnsi="宋体" w:eastAsia="宋体" w:cs="宋体"/>
                <w:sz w:val="18"/>
                <w:szCs w:val="18"/>
              </w:rPr>
            </w:pPr>
            <w:r>
              <w:rPr>
                <w:rFonts w:ascii="宋体" w:hAnsi="宋体" w:eastAsia="宋体" w:cs="宋体"/>
                <w:sz w:val="18"/>
                <w:szCs w:val="18"/>
              </w:rPr>
              <w:t>北京奥华新传广告有限公司</w:t>
            </w:r>
          </w:p>
        </w:tc>
        <w:tc>
          <w:tcPr>
            <w:tcW w:w="1550" w:type="dxa"/>
            <w:tcBorders>
              <w:top w:val="single" w:color="auto" w:sz="2" w:space="0"/>
              <w:left w:val="single" w:color="auto" w:sz="2" w:space="0"/>
              <w:bottom w:val="single" w:color="auto" w:sz="2" w:space="0"/>
              <w:right w:val="single" w:color="auto" w:sz="2" w:space="0"/>
            </w:tcBorders>
            <w:vAlign w:val="center"/>
          </w:tcPr>
          <w:p w14:paraId="2B0EE69A">
            <w:pPr>
              <w:spacing w:before="0" w:after="0" w:line="240" w:lineRule="exact"/>
              <w:jc w:val="left"/>
              <w:rPr>
                <w:rFonts w:ascii="宋体" w:hAnsi="宋体" w:eastAsia="宋体" w:cs="宋体"/>
                <w:sz w:val="18"/>
                <w:szCs w:val="18"/>
              </w:rPr>
            </w:pPr>
            <w:r>
              <w:rPr>
                <w:rFonts w:ascii="宋体" w:hAnsi="宋体" w:eastAsia="宋体" w:cs="宋体"/>
                <w:sz w:val="18"/>
                <w:szCs w:val="18"/>
              </w:rPr>
              <w:t>监事</w:t>
            </w:r>
          </w:p>
        </w:tc>
        <w:tc>
          <w:tcPr>
            <w:tcW w:w="880" w:type="dxa"/>
            <w:tcBorders>
              <w:top w:val="single" w:color="auto" w:sz="2" w:space="0"/>
              <w:left w:val="single" w:color="auto" w:sz="2" w:space="0"/>
              <w:bottom w:val="single" w:color="auto" w:sz="2" w:space="0"/>
              <w:right w:val="single" w:color="auto" w:sz="2" w:space="0"/>
            </w:tcBorders>
            <w:vAlign w:val="center"/>
          </w:tcPr>
          <w:p w14:paraId="6A9669E1">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4151FFC0">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04F17B74">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23F504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632151CE">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3550" w:type="dxa"/>
            <w:tcBorders>
              <w:top w:val="single" w:color="auto" w:sz="2" w:space="0"/>
              <w:left w:val="single" w:color="auto" w:sz="2" w:space="0"/>
              <w:bottom w:val="single" w:color="auto" w:sz="2" w:space="0"/>
              <w:right w:val="single" w:color="auto" w:sz="2" w:space="0"/>
            </w:tcBorders>
            <w:vAlign w:val="center"/>
          </w:tcPr>
          <w:p w14:paraId="66FEBC87">
            <w:pPr>
              <w:spacing w:before="0" w:after="0" w:line="240" w:lineRule="exact"/>
              <w:jc w:val="left"/>
              <w:rPr>
                <w:rFonts w:ascii="宋体" w:hAnsi="宋体" w:eastAsia="宋体" w:cs="宋体"/>
                <w:sz w:val="18"/>
                <w:szCs w:val="18"/>
              </w:rPr>
            </w:pPr>
            <w:r>
              <w:rPr>
                <w:rFonts w:ascii="宋体" w:hAnsi="宋体" w:eastAsia="宋体" w:cs="宋体"/>
                <w:sz w:val="18"/>
                <w:szCs w:val="18"/>
              </w:rPr>
              <w:t>奥美（福建）广告有限公司</w:t>
            </w:r>
          </w:p>
        </w:tc>
        <w:tc>
          <w:tcPr>
            <w:tcW w:w="1550" w:type="dxa"/>
            <w:tcBorders>
              <w:top w:val="single" w:color="auto" w:sz="2" w:space="0"/>
              <w:left w:val="single" w:color="auto" w:sz="2" w:space="0"/>
              <w:bottom w:val="single" w:color="auto" w:sz="2" w:space="0"/>
              <w:right w:val="single" w:color="auto" w:sz="2" w:space="0"/>
            </w:tcBorders>
            <w:vAlign w:val="center"/>
          </w:tcPr>
          <w:p w14:paraId="1A0E9AE7">
            <w:pPr>
              <w:spacing w:before="0" w:after="0" w:line="240" w:lineRule="exact"/>
              <w:jc w:val="left"/>
              <w:rPr>
                <w:rFonts w:ascii="宋体" w:hAnsi="宋体" w:eastAsia="宋体" w:cs="宋体"/>
                <w:sz w:val="18"/>
                <w:szCs w:val="18"/>
              </w:rPr>
            </w:pPr>
            <w:r>
              <w:rPr>
                <w:rFonts w:ascii="宋体" w:hAnsi="宋体" w:eastAsia="宋体" w:cs="宋体"/>
                <w:sz w:val="18"/>
                <w:szCs w:val="18"/>
              </w:rPr>
              <w:t>董事长</w:t>
            </w:r>
          </w:p>
        </w:tc>
        <w:tc>
          <w:tcPr>
            <w:tcW w:w="880" w:type="dxa"/>
            <w:tcBorders>
              <w:top w:val="single" w:color="auto" w:sz="2" w:space="0"/>
              <w:left w:val="single" w:color="auto" w:sz="2" w:space="0"/>
              <w:bottom w:val="single" w:color="auto" w:sz="2" w:space="0"/>
              <w:right w:val="single" w:color="auto" w:sz="2" w:space="0"/>
            </w:tcBorders>
            <w:vAlign w:val="center"/>
          </w:tcPr>
          <w:p w14:paraId="75C9AD0B">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7E9CD406">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27029BBD">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4F0BCF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585D15B5">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3550" w:type="dxa"/>
            <w:tcBorders>
              <w:top w:val="single" w:color="auto" w:sz="2" w:space="0"/>
              <w:left w:val="single" w:color="auto" w:sz="2" w:space="0"/>
              <w:bottom w:val="single" w:color="auto" w:sz="2" w:space="0"/>
              <w:right w:val="single" w:color="auto" w:sz="2" w:space="0"/>
            </w:tcBorders>
            <w:vAlign w:val="center"/>
          </w:tcPr>
          <w:p w14:paraId="6483A5F2">
            <w:pPr>
              <w:spacing w:before="0" w:after="0" w:line="240" w:lineRule="exact"/>
              <w:jc w:val="left"/>
              <w:rPr>
                <w:rFonts w:ascii="宋体" w:hAnsi="宋体" w:eastAsia="宋体" w:cs="宋体"/>
                <w:sz w:val="18"/>
                <w:szCs w:val="18"/>
              </w:rPr>
            </w:pPr>
            <w:r>
              <w:rPr>
                <w:rFonts w:ascii="宋体" w:hAnsi="宋体" w:eastAsia="宋体" w:cs="宋体"/>
                <w:sz w:val="18"/>
                <w:szCs w:val="18"/>
              </w:rPr>
              <w:t>福州奥泰三期投资合伙企业（有限合伙）</w:t>
            </w:r>
          </w:p>
        </w:tc>
        <w:tc>
          <w:tcPr>
            <w:tcW w:w="1550" w:type="dxa"/>
            <w:tcBorders>
              <w:top w:val="single" w:color="auto" w:sz="2" w:space="0"/>
              <w:left w:val="single" w:color="auto" w:sz="2" w:space="0"/>
              <w:bottom w:val="single" w:color="auto" w:sz="2" w:space="0"/>
              <w:right w:val="single" w:color="auto" w:sz="2" w:space="0"/>
            </w:tcBorders>
            <w:vAlign w:val="center"/>
          </w:tcPr>
          <w:p w14:paraId="38554DE1">
            <w:pPr>
              <w:spacing w:before="0" w:after="0" w:line="240" w:lineRule="exact"/>
              <w:jc w:val="left"/>
              <w:rPr>
                <w:rFonts w:ascii="宋体" w:hAnsi="宋体" w:eastAsia="宋体" w:cs="宋体"/>
                <w:sz w:val="18"/>
                <w:szCs w:val="18"/>
              </w:rPr>
            </w:pPr>
            <w:r>
              <w:rPr>
                <w:rFonts w:ascii="宋体" w:hAnsi="宋体" w:eastAsia="宋体" w:cs="宋体"/>
                <w:sz w:val="18"/>
                <w:szCs w:val="18"/>
              </w:rPr>
              <w:t>执行事务合伙人</w:t>
            </w:r>
          </w:p>
        </w:tc>
        <w:tc>
          <w:tcPr>
            <w:tcW w:w="880" w:type="dxa"/>
            <w:tcBorders>
              <w:top w:val="single" w:color="auto" w:sz="2" w:space="0"/>
              <w:left w:val="single" w:color="auto" w:sz="2" w:space="0"/>
              <w:bottom w:val="single" w:color="auto" w:sz="2" w:space="0"/>
              <w:right w:val="single" w:color="auto" w:sz="2" w:space="0"/>
            </w:tcBorders>
            <w:vAlign w:val="center"/>
          </w:tcPr>
          <w:p w14:paraId="6D8518EC">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259CC4C6">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3F5DE07E">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3BD81F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49323FCF">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3550" w:type="dxa"/>
            <w:tcBorders>
              <w:top w:val="single" w:color="auto" w:sz="2" w:space="0"/>
              <w:left w:val="single" w:color="auto" w:sz="2" w:space="0"/>
              <w:bottom w:val="single" w:color="auto" w:sz="2" w:space="0"/>
              <w:right w:val="single" w:color="auto" w:sz="2" w:space="0"/>
            </w:tcBorders>
            <w:vAlign w:val="center"/>
          </w:tcPr>
          <w:p w14:paraId="67D99AE1">
            <w:pPr>
              <w:spacing w:before="0" w:after="0" w:line="240" w:lineRule="exact"/>
              <w:jc w:val="left"/>
              <w:rPr>
                <w:rFonts w:ascii="宋体" w:hAnsi="宋体" w:eastAsia="宋体" w:cs="宋体"/>
                <w:sz w:val="18"/>
                <w:szCs w:val="18"/>
              </w:rPr>
            </w:pPr>
            <w:r>
              <w:rPr>
                <w:rFonts w:ascii="宋体" w:hAnsi="宋体" w:eastAsia="宋体" w:cs="宋体"/>
                <w:sz w:val="18"/>
                <w:szCs w:val="18"/>
              </w:rPr>
              <w:t>福建平潭奥泰科技投资中心（有限合伙）</w:t>
            </w:r>
          </w:p>
        </w:tc>
        <w:tc>
          <w:tcPr>
            <w:tcW w:w="1550" w:type="dxa"/>
            <w:tcBorders>
              <w:top w:val="single" w:color="auto" w:sz="2" w:space="0"/>
              <w:left w:val="single" w:color="auto" w:sz="2" w:space="0"/>
              <w:bottom w:val="single" w:color="auto" w:sz="2" w:space="0"/>
              <w:right w:val="single" w:color="auto" w:sz="2" w:space="0"/>
            </w:tcBorders>
            <w:vAlign w:val="center"/>
          </w:tcPr>
          <w:p w14:paraId="22D68083">
            <w:pPr>
              <w:spacing w:before="0" w:after="0" w:line="240" w:lineRule="exact"/>
              <w:jc w:val="left"/>
              <w:rPr>
                <w:rFonts w:ascii="宋体" w:hAnsi="宋体" w:eastAsia="宋体" w:cs="宋体"/>
                <w:sz w:val="18"/>
                <w:szCs w:val="18"/>
              </w:rPr>
            </w:pPr>
            <w:r>
              <w:rPr>
                <w:rFonts w:ascii="宋体" w:hAnsi="宋体" w:eastAsia="宋体" w:cs="宋体"/>
                <w:sz w:val="18"/>
                <w:szCs w:val="18"/>
              </w:rPr>
              <w:t>执行事务合伙人</w:t>
            </w:r>
          </w:p>
        </w:tc>
        <w:tc>
          <w:tcPr>
            <w:tcW w:w="880" w:type="dxa"/>
            <w:tcBorders>
              <w:top w:val="single" w:color="auto" w:sz="2" w:space="0"/>
              <w:left w:val="single" w:color="auto" w:sz="2" w:space="0"/>
              <w:bottom w:val="single" w:color="auto" w:sz="2" w:space="0"/>
              <w:right w:val="single" w:color="auto" w:sz="2" w:space="0"/>
            </w:tcBorders>
            <w:vAlign w:val="center"/>
          </w:tcPr>
          <w:p w14:paraId="6EF55673">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6C84D7DF">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04C1E4A0">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6028B0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563B6E2A">
            <w:pPr>
              <w:spacing w:before="0" w:after="0" w:line="240" w:lineRule="exact"/>
              <w:jc w:val="left"/>
              <w:rPr>
                <w:rFonts w:ascii="宋体" w:hAnsi="宋体" w:eastAsia="宋体" w:cs="宋体"/>
                <w:sz w:val="18"/>
                <w:szCs w:val="18"/>
              </w:rPr>
            </w:pPr>
            <w:r>
              <w:rPr>
                <w:rFonts w:ascii="宋体" w:hAnsi="宋体" w:eastAsia="宋体" w:cs="宋体"/>
                <w:sz w:val="18"/>
                <w:szCs w:val="18"/>
              </w:rPr>
              <w:t>黄伏虎</w:t>
            </w:r>
          </w:p>
        </w:tc>
        <w:tc>
          <w:tcPr>
            <w:tcW w:w="3550" w:type="dxa"/>
            <w:tcBorders>
              <w:top w:val="single" w:color="auto" w:sz="2" w:space="0"/>
              <w:left w:val="single" w:color="auto" w:sz="2" w:space="0"/>
              <w:bottom w:val="single" w:color="auto" w:sz="2" w:space="0"/>
              <w:right w:val="single" w:color="auto" w:sz="2" w:space="0"/>
            </w:tcBorders>
            <w:vAlign w:val="center"/>
          </w:tcPr>
          <w:p w14:paraId="3161F8ED">
            <w:pPr>
              <w:spacing w:before="0" w:after="0" w:line="240" w:lineRule="exact"/>
              <w:jc w:val="left"/>
              <w:rPr>
                <w:rFonts w:ascii="宋体" w:hAnsi="宋体" w:eastAsia="宋体" w:cs="宋体"/>
                <w:sz w:val="18"/>
                <w:szCs w:val="18"/>
              </w:rPr>
            </w:pPr>
            <w:r>
              <w:rPr>
                <w:rFonts w:ascii="宋体" w:hAnsi="宋体" w:eastAsia="宋体" w:cs="宋体"/>
                <w:sz w:val="18"/>
                <w:szCs w:val="18"/>
              </w:rPr>
              <w:t>福建博奥医学检验所有限公司</w:t>
            </w:r>
          </w:p>
        </w:tc>
        <w:tc>
          <w:tcPr>
            <w:tcW w:w="1550" w:type="dxa"/>
            <w:tcBorders>
              <w:top w:val="single" w:color="auto" w:sz="2" w:space="0"/>
              <w:left w:val="single" w:color="auto" w:sz="2" w:space="0"/>
              <w:bottom w:val="single" w:color="auto" w:sz="2" w:space="0"/>
              <w:right w:val="single" w:color="auto" w:sz="2" w:space="0"/>
            </w:tcBorders>
            <w:vAlign w:val="center"/>
          </w:tcPr>
          <w:p w14:paraId="793256D2">
            <w:pPr>
              <w:spacing w:before="0" w:after="0" w:line="240" w:lineRule="exact"/>
              <w:jc w:val="left"/>
              <w:rPr>
                <w:rFonts w:ascii="宋体" w:hAnsi="宋体" w:eastAsia="宋体" w:cs="宋体"/>
                <w:sz w:val="18"/>
                <w:szCs w:val="18"/>
              </w:rPr>
            </w:pPr>
            <w:r>
              <w:rPr>
                <w:rFonts w:ascii="宋体" w:hAnsi="宋体" w:eastAsia="宋体" w:cs="宋体"/>
                <w:sz w:val="18"/>
                <w:szCs w:val="18"/>
              </w:rPr>
              <w:t>董事</w:t>
            </w:r>
          </w:p>
        </w:tc>
        <w:tc>
          <w:tcPr>
            <w:tcW w:w="880" w:type="dxa"/>
            <w:tcBorders>
              <w:top w:val="single" w:color="auto" w:sz="2" w:space="0"/>
              <w:left w:val="single" w:color="auto" w:sz="2" w:space="0"/>
              <w:bottom w:val="single" w:color="auto" w:sz="2" w:space="0"/>
              <w:right w:val="single" w:color="auto" w:sz="2" w:space="0"/>
            </w:tcBorders>
            <w:vAlign w:val="center"/>
          </w:tcPr>
          <w:p w14:paraId="05EA390D">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123E0109">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54BDB430">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43B66E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083C6759">
            <w:pPr>
              <w:spacing w:before="0" w:after="0" w:line="240" w:lineRule="exact"/>
              <w:jc w:val="left"/>
              <w:rPr>
                <w:rFonts w:ascii="宋体" w:hAnsi="宋体" w:eastAsia="宋体" w:cs="宋体"/>
                <w:sz w:val="18"/>
                <w:szCs w:val="18"/>
              </w:rPr>
            </w:pPr>
            <w:r>
              <w:rPr>
                <w:rFonts w:ascii="宋体" w:hAnsi="宋体" w:eastAsia="宋体" w:cs="宋体"/>
                <w:sz w:val="18"/>
                <w:szCs w:val="18"/>
              </w:rPr>
              <w:t>黄伏虎</w:t>
            </w:r>
          </w:p>
        </w:tc>
        <w:tc>
          <w:tcPr>
            <w:tcW w:w="3550" w:type="dxa"/>
            <w:tcBorders>
              <w:top w:val="single" w:color="auto" w:sz="2" w:space="0"/>
              <w:left w:val="single" w:color="auto" w:sz="2" w:space="0"/>
              <w:bottom w:val="single" w:color="auto" w:sz="2" w:space="0"/>
              <w:right w:val="single" w:color="auto" w:sz="2" w:space="0"/>
            </w:tcBorders>
            <w:vAlign w:val="center"/>
          </w:tcPr>
          <w:p w14:paraId="22A95481">
            <w:pPr>
              <w:spacing w:before="0" w:after="0" w:line="240" w:lineRule="exact"/>
              <w:jc w:val="left"/>
              <w:rPr>
                <w:rFonts w:ascii="宋体" w:hAnsi="宋体" w:eastAsia="宋体" w:cs="宋体"/>
                <w:sz w:val="18"/>
                <w:szCs w:val="18"/>
              </w:rPr>
            </w:pPr>
            <w:r>
              <w:rPr>
                <w:rFonts w:ascii="宋体" w:hAnsi="宋体" w:eastAsia="宋体" w:cs="宋体"/>
                <w:sz w:val="18"/>
                <w:szCs w:val="18"/>
              </w:rPr>
              <w:t>福州奥泰六期投资合伙企业（有限合伙）</w:t>
            </w:r>
          </w:p>
        </w:tc>
        <w:tc>
          <w:tcPr>
            <w:tcW w:w="1550" w:type="dxa"/>
            <w:tcBorders>
              <w:top w:val="single" w:color="auto" w:sz="2" w:space="0"/>
              <w:left w:val="single" w:color="auto" w:sz="2" w:space="0"/>
              <w:bottom w:val="single" w:color="auto" w:sz="2" w:space="0"/>
              <w:right w:val="single" w:color="auto" w:sz="2" w:space="0"/>
            </w:tcBorders>
            <w:vAlign w:val="center"/>
          </w:tcPr>
          <w:p w14:paraId="5A4359F0">
            <w:pPr>
              <w:spacing w:before="0" w:after="0" w:line="240" w:lineRule="exact"/>
              <w:jc w:val="left"/>
              <w:rPr>
                <w:rFonts w:ascii="宋体" w:hAnsi="宋体" w:eastAsia="宋体" w:cs="宋体"/>
                <w:sz w:val="18"/>
                <w:szCs w:val="18"/>
              </w:rPr>
            </w:pPr>
            <w:r>
              <w:rPr>
                <w:rFonts w:ascii="宋体" w:hAnsi="宋体" w:eastAsia="宋体" w:cs="宋体"/>
                <w:sz w:val="18"/>
                <w:szCs w:val="18"/>
              </w:rPr>
              <w:t>执行事务合伙人</w:t>
            </w:r>
          </w:p>
        </w:tc>
        <w:tc>
          <w:tcPr>
            <w:tcW w:w="880" w:type="dxa"/>
            <w:tcBorders>
              <w:top w:val="single" w:color="auto" w:sz="2" w:space="0"/>
              <w:left w:val="single" w:color="auto" w:sz="2" w:space="0"/>
              <w:bottom w:val="single" w:color="auto" w:sz="2" w:space="0"/>
              <w:right w:val="single" w:color="auto" w:sz="2" w:space="0"/>
            </w:tcBorders>
            <w:vAlign w:val="center"/>
          </w:tcPr>
          <w:p w14:paraId="603C8B75">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55F5BA2B">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722E8791">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6CDB40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13FE965D">
            <w:pPr>
              <w:spacing w:before="0" w:after="0" w:line="240" w:lineRule="exact"/>
              <w:jc w:val="left"/>
              <w:rPr>
                <w:rFonts w:ascii="宋体" w:hAnsi="宋体" w:eastAsia="宋体" w:cs="宋体"/>
                <w:sz w:val="18"/>
                <w:szCs w:val="18"/>
              </w:rPr>
            </w:pPr>
            <w:r>
              <w:rPr>
                <w:rFonts w:ascii="宋体" w:hAnsi="宋体" w:eastAsia="宋体" w:cs="宋体"/>
                <w:sz w:val="18"/>
                <w:szCs w:val="18"/>
              </w:rPr>
              <w:t>吴红军</w:t>
            </w:r>
          </w:p>
        </w:tc>
        <w:tc>
          <w:tcPr>
            <w:tcW w:w="3550" w:type="dxa"/>
            <w:tcBorders>
              <w:top w:val="single" w:color="auto" w:sz="2" w:space="0"/>
              <w:left w:val="single" w:color="auto" w:sz="2" w:space="0"/>
              <w:bottom w:val="single" w:color="auto" w:sz="2" w:space="0"/>
              <w:right w:val="single" w:color="auto" w:sz="2" w:space="0"/>
            </w:tcBorders>
            <w:vAlign w:val="center"/>
          </w:tcPr>
          <w:p w14:paraId="5856A2B5">
            <w:pPr>
              <w:spacing w:before="0" w:after="0" w:line="240" w:lineRule="exact"/>
              <w:jc w:val="left"/>
              <w:rPr>
                <w:rFonts w:ascii="宋体" w:hAnsi="宋体" w:eastAsia="宋体" w:cs="宋体"/>
                <w:sz w:val="18"/>
                <w:szCs w:val="18"/>
              </w:rPr>
            </w:pPr>
            <w:r>
              <w:rPr>
                <w:rFonts w:ascii="宋体" w:hAnsi="宋体" w:eastAsia="宋体" w:cs="宋体"/>
                <w:sz w:val="18"/>
                <w:szCs w:val="18"/>
              </w:rPr>
              <w:t>厦门大学</w:t>
            </w:r>
          </w:p>
        </w:tc>
        <w:tc>
          <w:tcPr>
            <w:tcW w:w="1550" w:type="dxa"/>
            <w:tcBorders>
              <w:top w:val="single" w:color="auto" w:sz="2" w:space="0"/>
              <w:left w:val="single" w:color="auto" w:sz="2" w:space="0"/>
              <w:bottom w:val="single" w:color="auto" w:sz="2" w:space="0"/>
              <w:right w:val="single" w:color="auto" w:sz="2" w:space="0"/>
            </w:tcBorders>
            <w:vAlign w:val="center"/>
          </w:tcPr>
          <w:p w14:paraId="1EB0E362">
            <w:pPr>
              <w:spacing w:before="0" w:after="0" w:line="240" w:lineRule="exact"/>
              <w:jc w:val="left"/>
              <w:rPr>
                <w:rFonts w:ascii="宋体" w:hAnsi="宋体" w:eastAsia="宋体" w:cs="宋体"/>
                <w:sz w:val="18"/>
                <w:szCs w:val="18"/>
              </w:rPr>
            </w:pPr>
            <w:r>
              <w:rPr>
                <w:rFonts w:ascii="宋体" w:hAnsi="宋体" w:eastAsia="宋体" w:cs="宋体"/>
                <w:sz w:val="18"/>
                <w:szCs w:val="18"/>
              </w:rPr>
              <w:t>副教授</w:t>
            </w:r>
          </w:p>
        </w:tc>
        <w:tc>
          <w:tcPr>
            <w:tcW w:w="880" w:type="dxa"/>
            <w:tcBorders>
              <w:top w:val="single" w:color="auto" w:sz="2" w:space="0"/>
              <w:left w:val="single" w:color="auto" w:sz="2" w:space="0"/>
              <w:bottom w:val="single" w:color="auto" w:sz="2" w:space="0"/>
              <w:right w:val="single" w:color="auto" w:sz="2" w:space="0"/>
            </w:tcBorders>
            <w:vAlign w:val="center"/>
          </w:tcPr>
          <w:p w14:paraId="448F4187">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6C77C9C3">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60A2E4E0">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03E5EF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4BD286FF">
            <w:pPr>
              <w:spacing w:before="0" w:after="0" w:line="240" w:lineRule="exact"/>
              <w:jc w:val="left"/>
              <w:rPr>
                <w:rFonts w:ascii="宋体" w:hAnsi="宋体" w:eastAsia="宋体" w:cs="宋体"/>
                <w:sz w:val="18"/>
                <w:szCs w:val="18"/>
              </w:rPr>
            </w:pPr>
            <w:r>
              <w:rPr>
                <w:rFonts w:ascii="宋体" w:hAnsi="宋体" w:eastAsia="宋体" w:cs="宋体"/>
                <w:sz w:val="18"/>
                <w:szCs w:val="18"/>
              </w:rPr>
              <w:t>鲁凤民</w:t>
            </w:r>
          </w:p>
        </w:tc>
        <w:tc>
          <w:tcPr>
            <w:tcW w:w="3550" w:type="dxa"/>
            <w:tcBorders>
              <w:top w:val="single" w:color="auto" w:sz="2" w:space="0"/>
              <w:left w:val="single" w:color="auto" w:sz="2" w:space="0"/>
              <w:bottom w:val="single" w:color="auto" w:sz="2" w:space="0"/>
              <w:right w:val="single" w:color="auto" w:sz="2" w:space="0"/>
            </w:tcBorders>
            <w:vAlign w:val="center"/>
          </w:tcPr>
          <w:p w14:paraId="1BF3D900">
            <w:pPr>
              <w:spacing w:before="0" w:after="0" w:line="240" w:lineRule="exact"/>
              <w:jc w:val="left"/>
              <w:rPr>
                <w:rFonts w:ascii="宋体" w:hAnsi="宋体" w:eastAsia="宋体" w:cs="宋体"/>
                <w:sz w:val="18"/>
                <w:szCs w:val="18"/>
              </w:rPr>
            </w:pPr>
            <w:r>
              <w:rPr>
                <w:rFonts w:ascii="宋体" w:hAnsi="宋体" w:eastAsia="宋体" w:cs="宋体"/>
                <w:sz w:val="18"/>
                <w:szCs w:val="18"/>
              </w:rPr>
              <w:t>北京大学</w:t>
            </w:r>
          </w:p>
        </w:tc>
        <w:tc>
          <w:tcPr>
            <w:tcW w:w="1550" w:type="dxa"/>
            <w:tcBorders>
              <w:top w:val="single" w:color="auto" w:sz="2" w:space="0"/>
              <w:left w:val="single" w:color="auto" w:sz="2" w:space="0"/>
              <w:bottom w:val="single" w:color="auto" w:sz="2" w:space="0"/>
              <w:right w:val="single" w:color="auto" w:sz="2" w:space="0"/>
            </w:tcBorders>
            <w:vAlign w:val="center"/>
          </w:tcPr>
          <w:p w14:paraId="5485DF88">
            <w:pPr>
              <w:spacing w:before="0" w:after="0" w:line="240" w:lineRule="exact"/>
              <w:jc w:val="left"/>
              <w:rPr>
                <w:rFonts w:ascii="宋体" w:hAnsi="宋体" w:eastAsia="宋体" w:cs="宋体"/>
                <w:sz w:val="18"/>
                <w:szCs w:val="18"/>
              </w:rPr>
            </w:pPr>
            <w:r>
              <w:rPr>
                <w:rFonts w:ascii="宋体" w:hAnsi="宋体" w:eastAsia="宋体" w:cs="宋体"/>
                <w:sz w:val="18"/>
                <w:szCs w:val="18"/>
              </w:rPr>
              <w:t>教授</w:t>
            </w:r>
          </w:p>
        </w:tc>
        <w:tc>
          <w:tcPr>
            <w:tcW w:w="880" w:type="dxa"/>
            <w:tcBorders>
              <w:top w:val="single" w:color="auto" w:sz="2" w:space="0"/>
              <w:left w:val="single" w:color="auto" w:sz="2" w:space="0"/>
              <w:bottom w:val="single" w:color="auto" w:sz="2" w:space="0"/>
              <w:right w:val="single" w:color="auto" w:sz="2" w:space="0"/>
            </w:tcBorders>
            <w:vAlign w:val="center"/>
          </w:tcPr>
          <w:p w14:paraId="3012866B">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185224DA">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5B298A07">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40A1E1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58645959">
            <w:pPr>
              <w:spacing w:before="0" w:after="0" w:line="240" w:lineRule="exact"/>
              <w:jc w:val="left"/>
              <w:rPr>
                <w:rFonts w:ascii="宋体" w:hAnsi="宋体" w:eastAsia="宋体" w:cs="宋体"/>
                <w:sz w:val="18"/>
                <w:szCs w:val="18"/>
              </w:rPr>
            </w:pPr>
            <w:r>
              <w:rPr>
                <w:rFonts w:ascii="宋体" w:hAnsi="宋体" w:eastAsia="宋体" w:cs="宋体"/>
                <w:sz w:val="18"/>
                <w:szCs w:val="18"/>
              </w:rPr>
              <w:t>鲁凤民</w:t>
            </w:r>
          </w:p>
        </w:tc>
        <w:tc>
          <w:tcPr>
            <w:tcW w:w="3550" w:type="dxa"/>
            <w:tcBorders>
              <w:top w:val="single" w:color="auto" w:sz="2" w:space="0"/>
              <w:left w:val="single" w:color="auto" w:sz="2" w:space="0"/>
              <w:bottom w:val="single" w:color="auto" w:sz="2" w:space="0"/>
              <w:right w:val="single" w:color="auto" w:sz="2" w:space="0"/>
            </w:tcBorders>
            <w:vAlign w:val="center"/>
          </w:tcPr>
          <w:p w14:paraId="39F75302">
            <w:pPr>
              <w:spacing w:before="0" w:after="0" w:line="240" w:lineRule="exact"/>
              <w:jc w:val="left"/>
              <w:rPr>
                <w:rFonts w:ascii="宋体" w:hAnsi="宋体" w:eastAsia="宋体" w:cs="宋体"/>
                <w:sz w:val="18"/>
                <w:szCs w:val="18"/>
              </w:rPr>
            </w:pPr>
            <w:r>
              <w:rPr>
                <w:rFonts w:ascii="宋体" w:hAnsi="宋体" w:eastAsia="宋体" w:cs="宋体"/>
                <w:sz w:val="18"/>
                <w:szCs w:val="18"/>
              </w:rPr>
              <w:t>圣湘生物科技股份有限公司</w:t>
            </w:r>
          </w:p>
        </w:tc>
        <w:tc>
          <w:tcPr>
            <w:tcW w:w="1550" w:type="dxa"/>
            <w:tcBorders>
              <w:top w:val="single" w:color="auto" w:sz="2" w:space="0"/>
              <w:left w:val="single" w:color="auto" w:sz="2" w:space="0"/>
              <w:bottom w:val="single" w:color="auto" w:sz="2" w:space="0"/>
              <w:right w:val="single" w:color="auto" w:sz="2" w:space="0"/>
            </w:tcBorders>
            <w:vAlign w:val="center"/>
          </w:tcPr>
          <w:p w14:paraId="5D3EEAEB">
            <w:pPr>
              <w:spacing w:before="0" w:after="0" w:line="240" w:lineRule="exact"/>
              <w:jc w:val="left"/>
              <w:rPr>
                <w:rFonts w:ascii="宋体" w:hAnsi="宋体" w:eastAsia="宋体" w:cs="宋体"/>
                <w:sz w:val="18"/>
                <w:szCs w:val="18"/>
              </w:rPr>
            </w:pPr>
            <w:r>
              <w:rPr>
                <w:rFonts w:ascii="宋体" w:hAnsi="宋体" w:eastAsia="宋体" w:cs="宋体"/>
                <w:sz w:val="18"/>
                <w:szCs w:val="18"/>
              </w:rPr>
              <w:t>董事</w:t>
            </w:r>
          </w:p>
        </w:tc>
        <w:tc>
          <w:tcPr>
            <w:tcW w:w="880" w:type="dxa"/>
            <w:tcBorders>
              <w:top w:val="single" w:color="auto" w:sz="2" w:space="0"/>
              <w:left w:val="single" w:color="auto" w:sz="2" w:space="0"/>
              <w:bottom w:val="single" w:color="auto" w:sz="2" w:space="0"/>
              <w:right w:val="single" w:color="auto" w:sz="2" w:space="0"/>
            </w:tcBorders>
            <w:vAlign w:val="center"/>
          </w:tcPr>
          <w:p w14:paraId="7FFAD6D8">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660096CF">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0BF6466A">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249014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10DB9437">
            <w:pPr>
              <w:spacing w:before="0" w:after="0" w:line="240" w:lineRule="exact"/>
              <w:jc w:val="left"/>
              <w:rPr>
                <w:rFonts w:ascii="宋体" w:hAnsi="宋体" w:eastAsia="宋体" w:cs="宋体"/>
                <w:sz w:val="18"/>
                <w:szCs w:val="18"/>
              </w:rPr>
            </w:pPr>
            <w:r>
              <w:rPr>
                <w:rFonts w:ascii="宋体" w:hAnsi="宋体" w:eastAsia="宋体" w:cs="宋体"/>
                <w:sz w:val="18"/>
                <w:szCs w:val="18"/>
              </w:rPr>
              <w:t>吴飞美</w:t>
            </w:r>
          </w:p>
        </w:tc>
        <w:tc>
          <w:tcPr>
            <w:tcW w:w="3550" w:type="dxa"/>
            <w:tcBorders>
              <w:top w:val="single" w:color="auto" w:sz="2" w:space="0"/>
              <w:left w:val="single" w:color="auto" w:sz="2" w:space="0"/>
              <w:bottom w:val="single" w:color="auto" w:sz="2" w:space="0"/>
              <w:right w:val="single" w:color="auto" w:sz="2" w:space="0"/>
            </w:tcBorders>
            <w:vAlign w:val="center"/>
          </w:tcPr>
          <w:p w14:paraId="28D019D5">
            <w:pPr>
              <w:spacing w:before="0" w:after="0" w:line="240" w:lineRule="exact"/>
              <w:jc w:val="left"/>
              <w:rPr>
                <w:rFonts w:ascii="宋体" w:hAnsi="宋体" w:eastAsia="宋体" w:cs="宋体"/>
                <w:sz w:val="18"/>
                <w:szCs w:val="18"/>
              </w:rPr>
            </w:pPr>
            <w:r>
              <w:rPr>
                <w:rFonts w:ascii="宋体" w:hAnsi="宋体" w:eastAsia="宋体" w:cs="宋体"/>
                <w:sz w:val="18"/>
                <w:szCs w:val="18"/>
              </w:rPr>
              <w:t>福建福光股份有限公司</w:t>
            </w:r>
          </w:p>
        </w:tc>
        <w:tc>
          <w:tcPr>
            <w:tcW w:w="1550" w:type="dxa"/>
            <w:tcBorders>
              <w:top w:val="single" w:color="auto" w:sz="2" w:space="0"/>
              <w:left w:val="single" w:color="auto" w:sz="2" w:space="0"/>
              <w:bottom w:val="single" w:color="auto" w:sz="2" w:space="0"/>
              <w:right w:val="single" w:color="auto" w:sz="2" w:space="0"/>
            </w:tcBorders>
            <w:vAlign w:val="center"/>
          </w:tcPr>
          <w:p w14:paraId="2312FD15">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880" w:type="dxa"/>
            <w:tcBorders>
              <w:top w:val="single" w:color="auto" w:sz="2" w:space="0"/>
              <w:left w:val="single" w:color="auto" w:sz="2" w:space="0"/>
              <w:bottom w:val="single" w:color="auto" w:sz="2" w:space="0"/>
              <w:right w:val="single" w:color="auto" w:sz="2" w:space="0"/>
            </w:tcBorders>
            <w:vAlign w:val="center"/>
          </w:tcPr>
          <w:p w14:paraId="4AE2E335">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0813AA21">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5E5A995E">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502A02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2E413487">
            <w:pPr>
              <w:spacing w:before="0" w:after="0" w:line="240" w:lineRule="exact"/>
              <w:jc w:val="left"/>
              <w:rPr>
                <w:rFonts w:ascii="宋体" w:hAnsi="宋体" w:eastAsia="宋体" w:cs="宋体"/>
                <w:sz w:val="18"/>
                <w:szCs w:val="18"/>
              </w:rPr>
            </w:pPr>
            <w:r>
              <w:rPr>
                <w:rFonts w:ascii="宋体" w:hAnsi="宋体" w:eastAsia="宋体" w:cs="宋体"/>
                <w:sz w:val="18"/>
                <w:szCs w:val="18"/>
              </w:rPr>
              <w:t>史保明</w:t>
            </w:r>
          </w:p>
        </w:tc>
        <w:tc>
          <w:tcPr>
            <w:tcW w:w="3550" w:type="dxa"/>
            <w:tcBorders>
              <w:top w:val="single" w:color="auto" w:sz="2" w:space="0"/>
              <w:left w:val="single" w:color="auto" w:sz="2" w:space="0"/>
              <w:bottom w:val="single" w:color="auto" w:sz="2" w:space="0"/>
              <w:right w:val="single" w:color="auto" w:sz="2" w:space="0"/>
            </w:tcBorders>
            <w:vAlign w:val="center"/>
          </w:tcPr>
          <w:p w14:paraId="3CCDFE2F">
            <w:pPr>
              <w:spacing w:before="0" w:after="0" w:line="240" w:lineRule="exact"/>
              <w:jc w:val="left"/>
              <w:rPr>
                <w:rFonts w:ascii="宋体" w:hAnsi="宋体" w:eastAsia="宋体" w:cs="宋体"/>
                <w:sz w:val="18"/>
                <w:szCs w:val="18"/>
              </w:rPr>
            </w:pPr>
            <w:r>
              <w:rPr>
                <w:rFonts w:ascii="宋体" w:hAnsi="宋体" w:eastAsia="宋体" w:cs="宋体"/>
                <w:sz w:val="18"/>
                <w:szCs w:val="18"/>
              </w:rPr>
              <w:t>福建阿吉安生物科技有限公司</w:t>
            </w:r>
          </w:p>
        </w:tc>
        <w:tc>
          <w:tcPr>
            <w:tcW w:w="1550" w:type="dxa"/>
            <w:tcBorders>
              <w:top w:val="single" w:color="auto" w:sz="2" w:space="0"/>
              <w:left w:val="single" w:color="auto" w:sz="2" w:space="0"/>
              <w:bottom w:val="single" w:color="auto" w:sz="2" w:space="0"/>
              <w:right w:val="single" w:color="auto" w:sz="2" w:space="0"/>
            </w:tcBorders>
            <w:vAlign w:val="center"/>
          </w:tcPr>
          <w:p w14:paraId="0B36F4B8">
            <w:pPr>
              <w:spacing w:before="0" w:after="0" w:line="240" w:lineRule="exact"/>
              <w:jc w:val="left"/>
              <w:rPr>
                <w:rFonts w:ascii="宋体" w:hAnsi="宋体" w:eastAsia="宋体" w:cs="宋体"/>
                <w:sz w:val="18"/>
                <w:szCs w:val="18"/>
              </w:rPr>
            </w:pPr>
            <w:r>
              <w:rPr>
                <w:rFonts w:ascii="宋体" w:hAnsi="宋体" w:eastAsia="宋体" w:cs="宋体"/>
                <w:sz w:val="18"/>
                <w:szCs w:val="18"/>
              </w:rPr>
              <w:t>董事长，经理</w:t>
            </w:r>
          </w:p>
        </w:tc>
        <w:tc>
          <w:tcPr>
            <w:tcW w:w="880" w:type="dxa"/>
            <w:tcBorders>
              <w:top w:val="single" w:color="auto" w:sz="2" w:space="0"/>
              <w:left w:val="single" w:color="auto" w:sz="2" w:space="0"/>
              <w:bottom w:val="single" w:color="auto" w:sz="2" w:space="0"/>
              <w:right w:val="single" w:color="auto" w:sz="2" w:space="0"/>
            </w:tcBorders>
            <w:vAlign w:val="center"/>
          </w:tcPr>
          <w:p w14:paraId="7CD62EB3">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5FA52876">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7F52032C">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39C786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48BD9110">
            <w:pPr>
              <w:spacing w:before="0" w:after="0" w:line="240" w:lineRule="exact"/>
              <w:jc w:val="left"/>
              <w:rPr>
                <w:rFonts w:ascii="宋体" w:hAnsi="宋体" w:eastAsia="宋体" w:cs="宋体"/>
                <w:sz w:val="18"/>
                <w:szCs w:val="18"/>
              </w:rPr>
            </w:pPr>
            <w:r>
              <w:rPr>
                <w:rFonts w:ascii="宋体" w:hAnsi="宋体" w:eastAsia="宋体" w:cs="宋体"/>
                <w:sz w:val="18"/>
                <w:szCs w:val="18"/>
              </w:rPr>
              <w:t>官建辉</w:t>
            </w:r>
          </w:p>
        </w:tc>
        <w:tc>
          <w:tcPr>
            <w:tcW w:w="3550" w:type="dxa"/>
            <w:tcBorders>
              <w:top w:val="single" w:color="auto" w:sz="2" w:space="0"/>
              <w:left w:val="single" w:color="auto" w:sz="2" w:space="0"/>
              <w:bottom w:val="single" w:color="auto" w:sz="2" w:space="0"/>
              <w:right w:val="single" w:color="auto" w:sz="2" w:space="0"/>
            </w:tcBorders>
            <w:vAlign w:val="center"/>
          </w:tcPr>
          <w:p w14:paraId="2C80D101">
            <w:pPr>
              <w:spacing w:before="0" w:after="0" w:line="240" w:lineRule="exact"/>
              <w:jc w:val="left"/>
              <w:rPr>
                <w:rFonts w:ascii="宋体" w:hAnsi="宋体" w:eastAsia="宋体" w:cs="宋体"/>
                <w:sz w:val="18"/>
                <w:szCs w:val="18"/>
              </w:rPr>
            </w:pPr>
            <w:r>
              <w:rPr>
                <w:rFonts w:ascii="宋体" w:hAnsi="宋体" w:eastAsia="宋体" w:cs="宋体"/>
                <w:sz w:val="18"/>
                <w:szCs w:val="18"/>
              </w:rPr>
              <w:t>福建博奥医学检验所有限公司</w:t>
            </w:r>
          </w:p>
        </w:tc>
        <w:tc>
          <w:tcPr>
            <w:tcW w:w="1550" w:type="dxa"/>
            <w:tcBorders>
              <w:top w:val="single" w:color="auto" w:sz="2" w:space="0"/>
              <w:left w:val="single" w:color="auto" w:sz="2" w:space="0"/>
              <w:bottom w:val="single" w:color="auto" w:sz="2" w:space="0"/>
              <w:right w:val="single" w:color="auto" w:sz="2" w:space="0"/>
            </w:tcBorders>
            <w:vAlign w:val="center"/>
          </w:tcPr>
          <w:p w14:paraId="4F6F18BE">
            <w:pPr>
              <w:spacing w:before="0" w:after="0" w:line="240" w:lineRule="exact"/>
              <w:jc w:val="left"/>
              <w:rPr>
                <w:rFonts w:ascii="宋体" w:hAnsi="宋体" w:eastAsia="宋体" w:cs="宋体"/>
                <w:sz w:val="18"/>
                <w:szCs w:val="18"/>
              </w:rPr>
            </w:pPr>
            <w:r>
              <w:rPr>
                <w:rFonts w:ascii="宋体" w:hAnsi="宋体" w:eastAsia="宋体" w:cs="宋体"/>
                <w:sz w:val="18"/>
                <w:szCs w:val="18"/>
              </w:rPr>
              <w:t>监事</w:t>
            </w:r>
          </w:p>
        </w:tc>
        <w:tc>
          <w:tcPr>
            <w:tcW w:w="880" w:type="dxa"/>
            <w:tcBorders>
              <w:top w:val="single" w:color="auto" w:sz="2" w:space="0"/>
              <w:left w:val="single" w:color="auto" w:sz="2" w:space="0"/>
              <w:bottom w:val="single" w:color="auto" w:sz="2" w:space="0"/>
              <w:right w:val="single" w:color="auto" w:sz="2" w:space="0"/>
            </w:tcBorders>
            <w:vAlign w:val="center"/>
          </w:tcPr>
          <w:p w14:paraId="6274D76C">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68FF0CBD">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1DBE867E">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6D0B39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vAlign w:val="center"/>
          </w:tcPr>
          <w:p w14:paraId="78D9A925">
            <w:pPr>
              <w:spacing w:before="0" w:after="0" w:line="240" w:lineRule="exact"/>
              <w:jc w:val="left"/>
              <w:rPr>
                <w:rFonts w:ascii="宋体" w:hAnsi="宋体" w:eastAsia="宋体" w:cs="宋体"/>
                <w:sz w:val="18"/>
                <w:szCs w:val="18"/>
              </w:rPr>
            </w:pPr>
            <w:r>
              <w:rPr>
                <w:rFonts w:ascii="宋体" w:hAnsi="宋体" w:eastAsia="宋体" w:cs="宋体"/>
                <w:sz w:val="18"/>
                <w:szCs w:val="18"/>
              </w:rPr>
              <w:t>官建辉</w:t>
            </w:r>
          </w:p>
        </w:tc>
        <w:tc>
          <w:tcPr>
            <w:tcW w:w="3550" w:type="dxa"/>
            <w:tcBorders>
              <w:top w:val="single" w:color="auto" w:sz="2" w:space="0"/>
              <w:left w:val="single" w:color="auto" w:sz="2" w:space="0"/>
              <w:bottom w:val="single" w:color="auto" w:sz="2" w:space="0"/>
              <w:right w:val="single" w:color="auto" w:sz="2" w:space="0"/>
            </w:tcBorders>
            <w:vAlign w:val="center"/>
          </w:tcPr>
          <w:p w14:paraId="7FDC2F44">
            <w:pPr>
              <w:spacing w:before="0" w:after="0" w:line="240" w:lineRule="exact"/>
              <w:jc w:val="left"/>
              <w:rPr>
                <w:rFonts w:ascii="宋体" w:hAnsi="宋体" w:eastAsia="宋体" w:cs="宋体"/>
                <w:sz w:val="18"/>
                <w:szCs w:val="18"/>
              </w:rPr>
            </w:pPr>
            <w:r>
              <w:rPr>
                <w:rFonts w:ascii="宋体" w:hAnsi="宋体" w:eastAsia="宋体" w:cs="宋体"/>
                <w:sz w:val="18"/>
                <w:szCs w:val="18"/>
              </w:rPr>
              <w:t>福州奥泰五期投资合伙企业（有限合伙）</w:t>
            </w:r>
          </w:p>
        </w:tc>
        <w:tc>
          <w:tcPr>
            <w:tcW w:w="1550" w:type="dxa"/>
            <w:tcBorders>
              <w:top w:val="single" w:color="auto" w:sz="2" w:space="0"/>
              <w:left w:val="single" w:color="auto" w:sz="2" w:space="0"/>
              <w:bottom w:val="single" w:color="auto" w:sz="2" w:space="0"/>
              <w:right w:val="single" w:color="auto" w:sz="2" w:space="0"/>
            </w:tcBorders>
            <w:vAlign w:val="center"/>
          </w:tcPr>
          <w:p w14:paraId="2A6E0E83">
            <w:pPr>
              <w:spacing w:before="0" w:after="0" w:line="240" w:lineRule="exact"/>
              <w:jc w:val="left"/>
              <w:rPr>
                <w:rFonts w:ascii="宋体" w:hAnsi="宋体" w:eastAsia="宋体" w:cs="宋体"/>
                <w:sz w:val="18"/>
                <w:szCs w:val="18"/>
              </w:rPr>
            </w:pPr>
            <w:r>
              <w:rPr>
                <w:rFonts w:ascii="宋体" w:hAnsi="宋体" w:eastAsia="宋体" w:cs="宋体"/>
                <w:sz w:val="18"/>
                <w:szCs w:val="18"/>
              </w:rPr>
              <w:t>执行事务合伙人</w:t>
            </w:r>
          </w:p>
        </w:tc>
        <w:tc>
          <w:tcPr>
            <w:tcW w:w="880" w:type="dxa"/>
            <w:tcBorders>
              <w:top w:val="single" w:color="auto" w:sz="2" w:space="0"/>
              <w:left w:val="single" w:color="auto" w:sz="2" w:space="0"/>
              <w:bottom w:val="single" w:color="auto" w:sz="2" w:space="0"/>
              <w:right w:val="single" w:color="auto" w:sz="2" w:space="0"/>
            </w:tcBorders>
            <w:vAlign w:val="center"/>
          </w:tcPr>
          <w:p w14:paraId="5C5E2AB4">
            <w:pPr>
              <w:spacing w:before="0" w:after="0" w:line="240" w:lineRule="exact"/>
              <w:jc w:val="left"/>
              <w:rPr>
                <w:rFonts w:ascii="宋体" w:hAnsi="宋体" w:eastAsia="宋体" w:cs="宋体"/>
                <w:sz w:val="18"/>
                <w:szCs w:val="18"/>
              </w:rPr>
            </w:pPr>
          </w:p>
        </w:tc>
        <w:tc>
          <w:tcPr>
            <w:tcW w:w="860" w:type="dxa"/>
            <w:tcBorders>
              <w:top w:val="single" w:color="auto" w:sz="2" w:space="0"/>
              <w:left w:val="single" w:color="auto" w:sz="2" w:space="0"/>
              <w:bottom w:val="single" w:color="auto" w:sz="2" w:space="0"/>
              <w:right w:val="single" w:color="auto" w:sz="2" w:space="0"/>
            </w:tcBorders>
            <w:vAlign w:val="center"/>
          </w:tcPr>
          <w:p w14:paraId="7CF40311">
            <w:pPr>
              <w:spacing w:before="0" w:after="0" w:line="240" w:lineRule="exact"/>
              <w:jc w:val="left"/>
              <w:rPr>
                <w:rFonts w:ascii="宋体" w:hAnsi="宋体" w:eastAsia="宋体" w:cs="宋体"/>
                <w:sz w:val="18"/>
                <w:szCs w:val="18"/>
              </w:rPr>
            </w:pPr>
          </w:p>
        </w:tc>
        <w:tc>
          <w:tcPr>
            <w:tcW w:w="1499" w:type="dxa"/>
            <w:tcBorders>
              <w:top w:val="single" w:color="auto" w:sz="2" w:space="0"/>
              <w:left w:val="single" w:color="auto" w:sz="2" w:space="0"/>
              <w:bottom w:val="single" w:color="auto" w:sz="2" w:space="0"/>
              <w:right w:val="single" w:color="auto" w:sz="2" w:space="0"/>
            </w:tcBorders>
            <w:vAlign w:val="center"/>
          </w:tcPr>
          <w:p w14:paraId="7076455A">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078063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97" w:type="dxa"/>
            <w:tcBorders>
              <w:top w:val="single" w:color="auto" w:sz="2" w:space="0"/>
              <w:left w:val="single" w:color="auto" w:sz="2" w:space="0"/>
              <w:bottom w:val="single" w:color="auto" w:sz="2" w:space="0"/>
              <w:right w:val="single" w:color="auto" w:sz="2" w:space="0"/>
            </w:tcBorders>
            <w:shd w:val="clear" w:color="auto" w:fill="D3D3D3"/>
            <w:vAlign w:val="center"/>
          </w:tcPr>
          <w:p w14:paraId="4F08C8CA">
            <w:pPr>
              <w:spacing w:before="40" w:after="40" w:line="240" w:lineRule="exact"/>
              <w:jc w:val="left"/>
              <w:rPr>
                <w:rFonts w:ascii="宋体" w:hAnsi="宋体" w:eastAsia="宋体" w:cs="宋体"/>
                <w:sz w:val="18"/>
                <w:szCs w:val="18"/>
              </w:rPr>
            </w:pPr>
            <w:r>
              <w:rPr>
                <w:rFonts w:ascii="宋体" w:hAnsi="宋体" w:eastAsia="宋体" w:cs="宋体"/>
                <w:sz w:val="18"/>
                <w:szCs w:val="18"/>
              </w:rPr>
              <w:t>在其他单位任职情况的说明</w:t>
            </w:r>
          </w:p>
        </w:tc>
        <w:tc>
          <w:tcPr>
            <w:tcW w:w="8339" w:type="dxa"/>
            <w:gridSpan w:val="5"/>
            <w:tcBorders>
              <w:top w:val="single" w:color="auto" w:sz="2" w:space="0"/>
              <w:left w:val="single" w:color="auto" w:sz="2" w:space="0"/>
              <w:bottom w:val="single" w:color="auto" w:sz="2" w:space="0"/>
              <w:right w:val="single" w:color="auto" w:sz="2" w:space="0"/>
            </w:tcBorders>
            <w:vAlign w:val="center"/>
          </w:tcPr>
          <w:p w14:paraId="63A505E8">
            <w:pPr>
              <w:spacing w:before="0" w:after="0" w:line="240" w:lineRule="exact"/>
              <w:jc w:val="left"/>
              <w:rPr>
                <w:rFonts w:ascii="宋体" w:hAnsi="宋体" w:eastAsia="宋体" w:cs="宋体"/>
                <w:sz w:val="18"/>
                <w:szCs w:val="18"/>
              </w:rPr>
            </w:pPr>
            <w:r>
              <w:rPr>
                <w:rFonts w:ascii="宋体" w:hAnsi="宋体" w:eastAsia="宋体" w:cs="宋体"/>
                <w:sz w:val="18"/>
                <w:szCs w:val="18"/>
              </w:rPr>
              <w:t>见上表。</w:t>
            </w:r>
          </w:p>
        </w:tc>
      </w:tr>
    </w:tbl>
    <w:p w14:paraId="02E45021">
      <w:pPr>
        <w:spacing w:before="100" w:after="100" w:line="240" w:lineRule="exact"/>
        <w:jc w:val="left"/>
        <w:rPr>
          <w:rFonts w:ascii="宋体" w:hAnsi="宋体" w:eastAsia="宋体" w:cs="宋体"/>
          <w:sz w:val="18"/>
          <w:szCs w:val="18"/>
        </w:rPr>
      </w:pPr>
      <w:r>
        <w:rPr>
          <w:rFonts w:ascii="宋体" w:hAnsi="宋体" w:eastAsia="宋体" w:cs="宋体"/>
          <w:sz w:val="18"/>
          <w:szCs w:val="18"/>
        </w:rPr>
        <w:t>公司现任及报告期内离任董事、监事和高级管理人员近三年证券监管机构处罚的情况</w:t>
      </w:r>
    </w:p>
    <w:p w14:paraId="53870E4A">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3209B0F">
      <w:pPr>
        <w:keepNext/>
        <w:keepLines/>
        <w:spacing w:before="300" w:after="300" w:line="280" w:lineRule="exact"/>
        <w:jc w:val="left"/>
        <w:outlineLvl w:val="2"/>
        <w:rPr>
          <w:rFonts w:ascii="宋体" w:hAnsi="宋体" w:eastAsia="宋体" w:cs="宋体"/>
          <w:b/>
          <w:bCs/>
          <w:sz w:val="21"/>
          <w:szCs w:val="21"/>
        </w:rPr>
      </w:pPr>
      <w:bookmarkStart w:id="69" w:name="_Toc988956"/>
      <w:r>
        <w:rPr>
          <w:rFonts w:ascii="宋体" w:hAnsi="宋体" w:eastAsia="宋体" w:cs="宋体"/>
          <w:b/>
          <w:bCs/>
          <w:sz w:val="21"/>
          <w:szCs w:val="21"/>
        </w:rPr>
        <w:t>3、董事、监事、高级管理人员报酬情况</w:t>
      </w:r>
      <w:bookmarkEnd w:id="69"/>
    </w:p>
    <w:p w14:paraId="46DD96EF">
      <w:pPr>
        <w:spacing w:before="100" w:after="100" w:line="240" w:lineRule="exact"/>
        <w:jc w:val="left"/>
        <w:rPr>
          <w:rFonts w:ascii="宋体" w:hAnsi="宋体" w:eastAsia="宋体" w:cs="宋体"/>
          <w:sz w:val="18"/>
          <w:szCs w:val="18"/>
        </w:rPr>
      </w:pPr>
      <w:r>
        <w:rPr>
          <w:rFonts w:ascii="宋体" w:hAnsi="宋体" w:eastAsia="宋体" w:cs="宋体"/>
          <w:sz w:val="18"/>
          <w:szCs w:val="18"/>
        </w:rPr>
        <w:t>董事、监事、高级管理人员报酬的决策程序、确定依据、实际支付情况</w:t>
      </w:r>
    </w:p>
    <w:p w14:paraId="4042E3D3">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董事、监事、高级管理人员报酬的决策程序、确定依据、实际支付情况</w:t>
      </w:r>
    </w:p>
    <w:p w14:paraId="78ACA0BD">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（1）董事、监事、高级管理人员报酬的决策程序</w:t>
      </w:r>
    </w:p>
    <w:p w14:paraId="7F4E57AE">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董事、监事报酬由股东大会决定，高级管理人员报酬由董事会决定；在公司承担职务的非独立董事、监事、高级管理人员报酬由公司支付，非独立董事、监事不另外支付津贴；独立董事津贴依据股东大会决议支付。</w:t>
      </w:r>
    </w:p>
    <w:p w14:paraId="146FDE1F">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（2）董事、监事、高级管理人员报酬确定依据</w:t>
      </w:r>
    </w:p>
    <w:p w14:paraId="21F490B2">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依据公司盈利水平及各董事、监事、高级管理人员的分工和工作能力等因素确定。</w:t>
      </w:r>
    </w:p>
    <w:p w14:paraId="0FF26AA4">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（3）董事、监事和高级管理人员报酬的实际支付情况</w:t>
      </w:r>
    </w:p>
    <w:p w14:paraId="5162841B">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公司已按相关规定及时支付董事、监事和高级管理人员报酬。</w:t>
      </w:r>
    </w:p>
    <w:p w14:paraId="43B36C6D">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公司报告期内董事、监事和高级管理人员报酬情况</w:t>
      </w:r>
    </w:p>
    <w:p w14:paraId="6D08BB01">
      <w:pPr>
        <w:spacing w:before="120" w:after="120" w:line="240" w:lineRule="exact"/>
        <w:jc w:val="right"/>
        <w:rPr>
          <w:rFonts w:ascii="宋体" w:hAnsi="宋体" w:eastAsia="宋体" w:cs="宋体"/>
          <w:sz w:val="18"/>
          <w:szCs w:val="18"/>
        </w:rPr>
      </w:pPr>
      <w:r>
        <w:rPr>
          <w:rFonts w:ascii="宋体" w:hAnsi="宋体" w:eastAsia="宋体" w:cs="宋体"/>
          <w:sz w:val="18"/>
          <w:szCs w:val="18"/>
        </w:rPr>
        <w:t>单位：万元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197"/>
        <w:gridCol w:w="720"/>
        <w:gridCol w:w="810"/>
        <w:gridCol w:w="2110"/>
        <w:gridCol w:w="1048"/>
        <w:gridCol w:w="1377"/>
        <w:gridCol w:w="1377"/>
      </w:tblGrid>
      <w:tr w14:paraId="6E7ABE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shd w:val="clear" w:color="auto" w:fill="D3D3D3"/>
            <w:vAlign w:val="center"/>
          </w:tcPr>
          <w:p w14:paraId="04F56A6D">
            <w:pPr>
              <w:spacing w:before="40" w:after="40" w:line="240" w:lineRule="exact"/>
              <w:jc w:val="center"/>
              <w:rPr>
                <w:rFonts w:ascii="宋体" w:hAnsi="宋体" w:eastAsia="宋体" w:cs="宋体"/>
                <w:sz w:val="18"/>
                <w:szCs w:val="18"/>
              </w:rPr>
            </w:pPr>
            <w:r>
              <w:rPr>
                <w:rFonts w:ascii="宋体" w:hAnsi="宋体" w:eastAsia="宋体" w:cs="宋体"/>
                <w:sz w:val="18"/>
                <w:szCs w:val="18"/>
              </w:rPr>
              <w:t>姓名</w:t>
            </w:r>
          </w:p>
        </w:tc>
        <w:tc>
          <w:tcPr>
            <w:tcW w:w="720" w:type="dxa"/>
            <w:tcBorders>
              <w:top w:val="single" w:color="auto" w:sz="2" w:space="0"/>
              <w:left w:val="single" w:color="auto" w:sz="2" w:space="0"/>
              <w:bottom w:val="single" w:color="auto" w:sz="2" w:space="0"/>
              <w:right w:val="single" w:color="auto" w:sz="2" w:space="0"/>
            </w:tcBorders>
            <w:shd w:val="clear" w:color="auto" w:fill="D3D3D3"/>
            <w:vAlign w:val="center"/>
          </w:tcPr>
          <w:p w14:paraId="7F15AE3D">
            <w:pPr>
              <w:spacing w:before="40" w:after="40" w:line="240" w:lineRule="exact"/>
              <w:jc w:val="center"/>
              <w:rPr>
                <w:rFonts w:ascii="宋体" w:hAnsi="宋体" w:eastAsia="宋体" w:cs="宋体"/>
                <w:sz w:val="18"/>
                <w:szCs w:val="18"/>
              </w:rPr>
            </w:pPr>
            <w:r>
              <w:rPr>
                <w:rFonts w:ascii="宋体" w:hAnsi="宋体" w:eastAsia="宋体" w:cs="宋体"/>
                <w:sz w:val="18"/>
                <w:szCs w:val="18"/>
              </w:rPr>
              <w:t>性别</w:t>
            </w:r>
          </w:p>
        </w:tc>
        <w:tc>
          <w:tcPr>
            <w:tcW w:w="810" w:type="dxa"/>
            <w:tcBorders>
              <w:top w:val="single" w:color="auto" w:sz="2" w:space="0"/>
              <w:left w:val="single" w:color="auto" w:sz="2" w:space="0"/>
              <w:bottom w:val="single" w:color="auto" w:sz="2" w:space="0"/>
              <w:right w:val="single" w:color="auto" w:sz="2" w:space="0"/>
            </w:tcBorders>
            <w:shd w:val="clear" w:color="auto" w:fill="D3D3D3"/>
            <w:vAlign w:val="center"/>
          </w:tcPr>
          <w:p w14:paraId="17B3253E">
            <w:pPr>
              <w:spacing w:before="40" w:after="40" w:line="240" w:lineRule="exact"/>
              <w:jc w:val="center"/>
              <w:rPr>
                <w:rFonts w:ascii="宋体" w:hAnsi="宋体" w:eastAsia="宋体" w:cs="宋体"/>
                <w:sz w:val="18"/>
                <w:szCs w:val="18"/>
              </w:rPr>
            </w:pPr>
            <w:r>
              <w:rPr>
                <w:rFonts w:ascii="宋体" w:hAnsi="宋体" w:eastAsia="宋体" w:cs="宋体"/>
                <w:sz w:val="18"/>
                <w:szCs w:val="18"/>
              </w:rPr>
              <w:t>年龄</w:t>
            </w:r>
          </w:p>
        </w:tc>
        <w:tc>
          <w:tcPr>
            <w:tcW w:w="2110" w:type="dxa"/>
            <w:tcBorders>
              <w:top w:val="single" w:color="auto" w:sz="2" w:space="0"/>
              <w:left w:val="single" w:color="auto" w:sz="2" w:space="0"/>
              <w:bottom w:val="single" w:color="auto" w:sz="2" w:space="0"/>
              <w:right w:val="single" w:color="auto" w:sz="2" w:space="0"/>
            </w:tcBorders>
            <w:shd w:val="clear" w:color="auto" w:fill="D3D3D3"/>
            <w:vAlign w:val="center"/>
          </w:tcPr>
          <w:p w14:paraId="51A4A542">
            <w:pPr>
              <w:spacing w:before="40" w:after="40" w:line="240" w:lineRule="exact"/>
              <w:jc w:val="center"/>
              <w:rPr>
                <w:rFonts w:ascii="宋体" w:hAnsi="宋体" w:eastAsia="宋体" w:cs="宋体"/>
                <w:sz w:val="18"/>
                <w:szCs w:val="18"/>
              </w:rPr>
            </w:pPr>
            <w:r>
              <w:rPr>
                <w:rFonts w:ascii="宋体" w:hAnsi="宋体" w:eastAsia="宋体" w:cs="宋体"/>
                <w:sz w:val="18"/>
                <w:szCs w:val="18"/>
              </w:rPr>
              <w:t>职务</w:t>
            </w:r>
          </w:p>
        </w:tc>
        <w:tc>
          <w:tcPr>
            <w:tcW w:w="1048" w:type="dxa"/>
            <w:tcBorders>
              <w:top w:val="single" w:color="auto" w:sz="2" w:space="0"/>
              <w:left w:val="single" w:color="auto" w:sz="2" w:space="0"/>
              <w:bottom w:val="single" w:color="auto" w:sz="2" w:space="0"/>
              <w:right w:val="single" w:color="auto" w:sz="2" w:space="0"/>
            </w:tcBorders>
            <w:shd w:val="clear" w:color="auto" w:fill="D3D3D3"/>
            <w:vAlign w:val="center"/>
          </w:tcPr>
          <w:p w14:paraId="42372668">
            <w:pPr>
              <w:spacing w:before="40" w:after="40" w:line="240" w:lineRule="exact"/>
              <w:jc w:val="center"/>
              <w:rPr>
                <w:rFonts w:ascii="宋体" w:hAnsi="宋体" w:eastAsia="宋体" w:cs="宋体"/>
                <w:sz w:val="18"/>
                <w:szCs w:val="18"/>
              </w:rPr>
            </w:pPr>
            <w:r>
              <w:rPr>
                <w:rFonts w:ascii="宋体" w:hAnsi="宋体" w:eastAsia="宋体" w:cs="宋体"/>
                <w:sz w:val="18"/>
                <w:szCs w:val="18"/>
              </w:rPr>
              <w:t>任职状态</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4EE04B1">
            <w:pPr>
              <w:spacing w:before="40" w:after="40" w:line="240" w:lineRule="exact"/>
              <w:jc w:val="center"/>
              <w:rPr>
                <w:rFonts w:ascii="宋体" w:hAnsi="宋体" w:eastAsia="宋体" w:cs="宋体"/>
                <w:sz w:val="18"/>
                <w:szCs w:val="18"/>
              </w:rPr>
            </w:pPr>
            <w:r>
              <w:rPr>
                <w:rFonts w:ascii="宋体" w:hAnsi="宋体" w:eastAsia="宋体" w:cs="宋体"/>
                <w:sz w:val="18"/>
                <w:szCs w:val="18"/>
              </w:rPr>
              <w:t>从公司获得的税前报酬总额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D3561F8">
            <w:pPr>
              <w:spacing w:before="40" w:after="40" w:line="240" w:lineRule="exact"/>
              <w:jc w:val="center"/>
              <w:rPr>
                <w:rFonts w:ascii="宋体" w:hAnsi="宋体" w:eastAsia="宋体" w:cs="宋体"/>
                <w:sz w:val="18"/>
                <w:szCs w:val="18"/>
              </w:rPr>
            </w:pPr>
            <w:r>
              <w:rPr>
                <w:rFonts w:ascii="宋体" w:hAnsi="宋体" w:eastAsia="宋体" w:cs="宋体"/>
                <w:sz w:val="18"/>
                <w:szCs w:val="18"/>
              </w:rPr>
              <w:t>是否在公司关联方获取报酬</w:t>
            </w:r>
          </w:p>
        </w:tc>
      </w:tr>
      <w:tr w14:paraId="6EF40F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7C75FE8A">
            <w:pPr>
              <w:spacing w:before="0" w:after="0" w:line="240" w:lineRule="exact"/>
              <w:jc w:val="left"/>
              <w:rPr>
                <w:rFonts w:ascii="宋体" w:hAnsi="宋体" w:eastAsia="宋体" w:cs="宋体"/>
                <w:sz w:val="18"/>
                <w:szCs w:val="18"/>
              </w:rPr>
            </w:pPr>
            <w:bookmarkStart w:id="621" w:name="_GoBack" w:colFirst="5" w:colLast="5"/>
            <w:r>
              <w:rPr>
                <w:rFonts w:ascii="宋体" w:hAnsi="宋体" w:eastAsia="宋体" w:cs="宋体"/>
                <w:sz w:val="18"/>
                <w:szCs w:val="18"/>
              </w:rPr>
              <w:t>李国平</w:t>
            </w:r>
          </w:p>
        </w:tc>
        <w:tc>
          <w:tcPr>
            <w:tcW w:w="720" w:type="dxa"/>
            <w:tcBorders>
              <w:top w:val="single" w:color="auto" w:sz="2" w:space="0"/>
              <w:left w:val="single" w:color="auto" w:sz="2" w:space="0"/>
              <w:bottom w:val="single" w:color="auto" w:sz="2" w:space="0"/>
              <w:right w:val="single" w:color="auto" w:sz="2" w:space="0"/>
            </w:tcBorders>
            <w:vAlign w:val="center"/>
          </w:tcPr>
          <w:p w14:paraId="08B753F5">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2B9E3C51">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57</w:t>
            </w:r>
          </w:p>
        </w:tc>
        <w:tc>
          <w:tcPr>
            <w:tcW w:w="2110" w:type="dxa"/>
            <w:tcBorders>
              <w:top w:val="single" w:color="auto" w:sz="2" w:space="0"/>
              <w:left w:val="single" w:color="auto" w:sz="2" w:space="0"/>
              <w:bottom w:val="single" w:color="auto" w:sz="2" w:space="0"/>
              <w:right w:val="single" w:color="auto" w:sz="2" w:space="0"/>
            </w:tcBorders>
            <w:vAlign w:val="center"/>
          </w:tcPr>
          <w:p w14:paraId="2E3CB41B">
            <w:pPr>
              <w:spacing w:before="0" w:after="0" w:line="240" w:lineRule="exact"/>
              <w:jc w:val="left"/>
              <w:rPr>
                <w:rFonts w:ascii="宋体" w:hAnsi="宋体" w:eastAsia="宋体" w:cs="宋体"/>
                <w:sz w:val="18"/>
                <w:szCs w:val="18"/>
              </w:rPr>
            </w:pPr>
            <w:r>
              <w:rPr>
                <w:rFonts w:ascii="宋体" w:hAnsi="宋体" w:eastAsia="宋体" w:cs="宋体"/>
                <w:sz w:val="18"/>
                <w:szCs w:val="18"/>
              </w:rPr>
              <w:t>董事长、总经理</w:t>
            </w:r>
          </w:p>
        </w:tc>
        <w:tc>
          <w:tcPr>
            <w:tcW w:w="1048" w:type="dxa"/>
            <w:tcBorders>
              <w:top w:val="single" w:color="auto" w:sz="2" w:space="0"/>
              <w:left w:val="single" w:color="auto" w:sz="2" w:space="0"/>
              <w:bottom w:val="single" w:color="auto" w:sz="2" w:space="0"/>
              <w:right w:val="single" w:color="auto" w:sz="2" w:space="0"/>
            </w:tcBorders>
            <w:vAlign w:val="center"/>
          </w:tcPr>
          <w:p w14:paraId="4C1F99CE">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72BE2457">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120.00</w:t>
            </w:r>
          </w:p>
        </w:tc>
        <w:tc>
          <w:tcPr>
            <w:tcW w:w="1377" w:type="dxa"/>
            <w:tcBorders>
              <w:top w:val="single" w:color="auto" w:sz="2" w:space="0"/>
              <w:left w:val="single" w:color="auto" w:sz="2" w:space="0"/>
              <w:bottom w:val="single" w:color="auto" w:sz="2" w:space="0"/>
              <w:right w:val="single" w:color="auto" w:sz="2" w:space="0"/>
            </w:tcBorders>
            <w:vAlign w:val="center"/>
          </w:tcPr>
          <w:p w14:paraId="0672DEBD">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36CF9F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20F50A12">
            <w:pPr>
              <w:spacing w:before="0" w:after="0" w:line="240" w:lineRule="exact"/>
              <w:jc w:val="left"/>
              <w:rPr>
                <w:rFonts w:ascii="宋体" w:hAnsi="宋体" w:eastAsia="宋体" w:cs="宋体"/>
                <w:sz w:val="18"/>
                <w:szCs w:val="18"/>
              </w:rPr>
            </w:pPr>
            <w:r>
              <w:rPr>
                <w:rFonts w:ascii="宋体" w:hAnsi="宋体" w:eastAsia="宋体" w:cs="宋体"/>
                <w:sz w:val="18"/>
                <w:szCs w:val="18"/>
              </w:rPr>
              <w:t>叶理青</w:t>
            </w:r>
          </w:p>
        </w:tc>
        <w:tc>
          <w:tcPr>
            <w:tcW w:w="720" w:type="dxa"/>
            <w:tcBorders>
              <w:top w:val="single" w:color="auto" w:sz="2" w:space="0"/>
              <w:left w:val="single" w:color="auto" w:sz="2" w:space="0"/>
              <w:bottom w:val="single" w:color="auto" w:sz="2" w:space="0"/>
              <w:right w:val="single" w:color="auto" w:sz="2" w:space="0"/>
            </w:tcBorders>
            <w:vAlign w:val="center"/>
          </w:tcPr>
          <w:p w14:paraId="3AB16371">
            <w:pPr>
              <w:spacing w:before="0" w:after="0" w:line="240" w:lineRule="exact"/>
              <w:jc w:val="left"/>
              <w:rPr>
                <w:rFonts w:ascii="宋体" w:hAnsi="宋体" w:eastAsia="宋体" w:cs="宋体"/>
                <w:sz w:val="18"/>
                <w:szCs w:val="18"/>
              </w:rPr>
            </w:pPr>
            <w:r>
              <w:rPr>
                <w:rFonts w:ascii="宋体" w:hAnsi="宋体" w:eastAsia="宋体" w:cs="宋体"/>
                <w:sz w:val="18"/>
                <w:szCs w:val="18"/>
              </w:rPr>
              <w:t>女</w:t>
            </w:r>
          </w:p>
        </w:tc>
        <w:tc>
          <w:tcPr>
            <w:tcW w:w="810" w:type="dxa"/>
            <w:tcBorders>
              <w:top w:val="single" w:color="auto" w:sz="2" w:space="0"/>
              <w:left w:val="single" w:color="auto" w:sz="2" w:space="0"/>
              <w:bottom w:val="single" w:color="auto" w:sz="2" w:space="0"/>
              <w:right w:val="single" w:color="auto" w:sz="2" w:space="0"/>
            </w:tcBorders>
            <w:vAlign w:val="center"/>
          </w:tcPr>
          <w:p w14:paraId="40A044CB">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55</w:t>
            </w:r>
          </w:p>
        </w:tc>
        <w:tc>
          <w:tcPr>
            <w:tcW w:w="2110" w:type="dxa"/>
            <w:tcBorders>
              <w:top w:val="single" w:color="auto" w:sz="2" w:space="0"/>
              <w:left w:val="single" w:color="auto" w:sz="2" w:space="0"/>
              <w:bottom w:val="single" w:color="auto" w:sz="2" w:space="0"/>
              <w:right w:val="single" w:color="auto" w:sz="2" w:space="0"/>
            </w:tcBorders>
            <w:vAlign w:val="center"/>
          </w:tcPr>
          <w:p w14:paraId="2E9F1407">
            <w:pPr>
              <w:spacing w:before="0" w:after="0" w:line="240" w:lineRule="exact"/>
              <w:jc w:val="left"/>
              <w:rPr>
                <w:rFonts w:ascii="宋体" w:hAnsi="宋体" w:eastAsia="宋体" w:cs="宋体"/>
                <w:sz w:val="18"/>
                <w:szCs w:val="18"/>
              </w:rPr>
            </w:pPr>
            <w:r>
              <w:rPr>
                <w:rFonts w:ascii="宋体" w:hAnsi="宋体" w:eastAsia="宋体" w:cs="宋体"/>
                <w:sz w:val="18"/>
                <w:szCs w:val="18"/>
              </w:rPr>
              <w:t>董事</w:t>
            </w:r>
          </w:p>
        </w:tc>
        <w:tc>
          <w:tcPr>
            <w:tcW w:w="1048" w:type="dxa"/>
            <w:tcBorders>
              <w:top w:val="single" w:color="auto" w:sz="2" w:space="0"/>
              <w:left w:val="single" w:color="auto" w:sz="2" w:space="0"/>
              <w:bottom w:val="single" w:color="auto" w:sz="2" w:space="0"/>
              <w:right w:val="single" w:color="auto" w:sz="2" w:space="0"/>
            </w:tcBorders>
            <w:vAlign w:val="center"/>
          </w:tcPr>
          <w:p w14:paraId="424AB311">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3D8A6AE3">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0.00</w:t>
            </w:r>
          </w:p>
        </w:tc>
        <w:tc>
          <w:tcPr>
            <w:tcW w:w="1377" w:type="dxa"/>
            <w:tcBorders>
              <w:top w:val="single" w:color="auto" w:sz="2" w:space="0"/>
              <w:left w:val="single" w:color="auto" w:sz="2" w:space="0"/>
              <w:bottom w:val="single" w:color="auto" w:sz="2" w:space="0"/>
              <w:right w:val="single" w:color="auto" w:sz="2" w:space="0"/>
            </w:tcBorders>
            <w:vAlign w:val="center"/>
          </w:tcPr>
          <w:p w14:paraId="41A6D4D2">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717132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06C41FCB">
            <w:pPr>
              <w:spacing w:before="0" w:after="0" w:line="240" w:lineRule="exact"/>
              <w:jc w:val="left"/>
              <w:rPr>
                <w:rFonts w:ascii="宋体" w:hAnsi="宋体" w:eastAsia="宋体" w:cs="宋体"/>
                <w:sz w:val="18"/>
                <w:szCs w:val="18"/>
              </w:rPr>
            </w:pPr>
            <w:r>
              <w:rPr>
                <w:rFonts w:ascii="宋体" w:hAnsi="宋体" w:eastAsia="宋体" w:cs="宋体"/>
                <w:sz w:val="18"/>
                <w:szCs w:val="18"/>
              </w:rPr>
              <w:t>李国栋</w:t>
            </w:r>
          </w:p>
        </w:tc>
        <w:tc>
          <w:tcPr>
            <w:tcW w:w="720" w:type="dxa"/>
            <w:tcBorders>
              <w:top w:val="single" w:color="auto" w:sz="2" w:space="0"/>
              <w:left w:val="single" w:color="auto" w:sz="2" w:space="0"/>
              <w:bottom w:val="single" w:color="auto" w:sz="2" w:space="0"/>
              <w:right w:val="single" w:color="auto" w:sz="2" w:space="0"/>
            </w:tcBorders>
            <w:vAlign w:val="center"/>
          </w:tcPr>
          <w:p w14:paraId="60851C3F">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4B0258A0">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54</w:t>
            </w:r>
          </w:p>
        </w:tc>
        <w:tc>
          <w:tcPr>
            <w:tcW w:w="2110" w:type="dxa"/>
            <w:tcBorders>
              <w:top w:val="single" w:color="auto" w:sz="2" w:space="0"/>
              <w:left w:val="single" w:color="auto" w:sz="2" w:space="0"/>
              <w:bottom w:val="single" w:color="auto" w:sz="2" w:space="0"/>
              <w:right w:val="single" w:color="auto" w:sz="2" w:space="0"/>
            </w:tcBorders>
            <w:vAlign w:val="center"/>
          </w:tcPr>
          <w:p w14:paraId="46F698FD">
            <w:pPr>
              <w:spacing w:before="0" w:after="0" w:line="240" w:lineRule="exact"/>
              <w:jc w:val="left"/>
              <w:rPr>
                <w:rFonts w:ascii="宋体" w:hAnsi="宋体" w:eastAsia="宋体" w:cs="宋体"/>
                <w:sz w:val="18"/>
                <w:szCs w:val="18"/>
              </w:rPr>
            </w:pPr>
            <w:r>
              <w:rPr>
                <w:rFonts w:ascii="宋体" w:hAnsi="宋体" w:eastAsia="宋体" w:cs="宋体"/>
                <w:sz w:val="18"/>
                <w:szCs w:val="18"/>
              </w:rPr>
              <w:t>董事</w:t>
            </w:r>
          </w:p>
        </w:tc>
        <w:tc>
          <w:tcPr>
            <w:tcW w:w="1048" w:type="dxa"/>
            <w:tcBorders>
              <w:top w:val="single" w:color="auto" w:sz="2" w:space="0"/>
              <w:left w:val="single" w:color="auto" w:sz="2" w:space="0"/>
              <w:bottom w:val="single" w:color="auto" w:sz="2" w:space="0"/>
              <w:right w:val="single" w:color="auto" w:sz="2" w:space="0"/>
            </w:tcBorders>
            <w:vAlign w:val="center"/>
          </w:tcPr>
          <w:p w14:paraId="0C14FBDA">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6C36BCC2">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42.12</w:t>
            </w:r>
          </w:p>
        </w:tc>
        <w:tc>
          <w:tcPr>
            <w:tcW w:w="1377" w:type="dxa"/>
            <w:tcBorders>
              <w:top w:val="single" w:color="auto" w:sz="2" w:space="0"/>
              <w:left w:val="single" w:color="auto" w:sz="2" w:space="0"/>
              <w:bottom w:val="single" w:color="auto" w:sz="2" w:space="0"/>
              <w:right w:val="single" w:color="auto" w:sz="2" w:space="0"/>
            </w:tcBorders>
            <w:vAlign w:val="center"/>
          </w:tcPr>
          <w:p w14:paraId="3C2D5BD3">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7DF79D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151DBB9F">
            <w:pPr>
              <w:spacing w:before="0" w:after="0" w:line="240" w:lineRule="exact"/>
              <w:jc w:val="left"/>
              <w:rPr>
                <w:rFonts w:ascii="宋体" w:hAnsi="宋体" w:eastAsia="宋体" w:cs="宋体"/>
                <w:sz w:val="18"/>
                <w:szCs w:val="18"/>
              </w:rPr>
            </w:pPr>
            <w:r>
              <w:rPr>
                <w:rFonts w:ascii="宋体" w:hAnsi="宋体" w:eastAsia="宋体" w:cs="宋体"/>
                <w:sz w:val="18"/>
                <w:szCs w:val="18"/>
              </w:rPr>
              <w:t>黄伏虎</w:t>
            </w:r>
          </w:p>
        </w:tc>
        <w:tc>
          <w:tcPr>
            <w:tcW w:w="720" w:type="dxa"/>
            <w:tcBorders>
              <w:top w:val="single" w:color="auto" w:sz="2" w:space="0"/>
              <w:left w:val="single" w:color="auto" w:sz="2" w:space="0"/>
              <w:bottom w:val="single" w:color="auto" w:sz="2" w:space="0"/>
              <w:right w:val="single" w:color="auto" w:sz="2" w:space="0"/>
            </w:tcBorders>
            <w:vAlign w:val="center"/>
          </w:tcPr>
          <w:p w14:paraId="4C95BB9E">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0DC0B06C">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49</w:t>
            </w:r>
          </w:p>
        </w:tc>
        <w:tc>
          <w:tcPr>
            <w:tcW w:w="2110" w:type="dxa"/>
            <w:tcBorders>
              <w:top w:val="single" w:color="auto" w:sz="2" w:space="0"/>
              <w:left w:val="single" w:color="auto" w:sz="2" w:space="0"/>
              <w:bottom w:val="single" w:color="auto" w:sz="2" w:space="0"/>
              <w:right w:val="single" w:color="auto" w:sz="2" w:space="0"/>
            </w:tcBorders>
            <w:vAlign w:val="center"/>
          </w:tcPr>
          <w:p w14:paraId="2FEAFCD5">
            <w:pPr>
              <w:spacing w:before="0" w:after="0" w:line="240" w:lineRule="exact"/>
              <w:jc w:val="left"/>
              <w:rPr>
                <w:rFonts w:ascii="宋体" w:hAnsi="宋体" w:eastAsia="宋体" w:cs="宋体"/>
                <w:sz w:val="18"/>
                <w:szCs w:val="18"/>
              </w:rPr>
            </w:pPr>
            <w:r>
              <w:rPr>
                <w:rFonts w:ascii="宋体" w:hAnsi="宋体" w:eastAsia="宋体" w:cs="宋体"/>
                <w:sz w:val="18"/>
                <w:szCs w:val="18"/>
              </w:rPr>
              <w:t>董事</w:t>
            </w:r>
            <w:r>
              <w:rPr>
                <w:rFonts w:hint="eastAsia" w:ascii="宋体" w:hAnsi="宋体" w:eastAsia="宋体" w:cs="宋体"/>
                <w:sz w:val="18"/>
                <w:szCs w:val="18"/>
              </w:rPr>
              <w:t>、首席运营官</w:t>
            </w:r>
          </w:p>
        </w:tc>
        <w:tc>
          <w:tcPr>
            <w:tcW w:w="1048" w:type="dxa"/>
            <w:tcBorders>
              <w:top w:val="single" w:color="auto" w:sz="2" w:space="0"/>
              <w:left w:val="single" w:color="auto" w:sz="2" w:space="0"/>
              <w:bottom w:val="single" w:color="auto" w:sz="2" w:space="0"/>
              <w:right w:val="single" w:color="auto" w:sz="2" w:space="0"/>
            </w:tcBorders>
            <w:vAlign w:val="center"/>
          </w:tcPr>
          <w:p w14:paraId="3B3F15F2">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04792A01">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235.14</w:t>
            </w:r>
          </w:p>
        </w:tc>
        <w:tc>
          <w:tcPr>
            <w:tcW w:w="1377" w:type="dxa"/>
            <w:tcBorders>
              <w:top w:val="single" w:color="auto" w:sz="2" w:space="0"/>
              <w:left w:val="single" w:color="auto" w:sz="2" w:space="0"/>
              <w:bottom w:val="single" w:color="auto" w:sz="2" w:space="0"/>
              <w:right w:val="single" w:color="auto" w:sz="2" w:space="0"/>
            </w:tcBorders>
            <w:vAlign w:val="center"/>
          </w:tcPr>
          <w:p w14:paraId="314762EF">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00C265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29A17A2A">
            <w:pPr>
              <w:spacing w:before="0" w:after="0" w:line="240" w:lineRule="exact"/>
              <w:jc w:val="left"/>
              <w:rPr>
                <w:rFonts w:ascii="宋体" w:hAnsi="宋体" w:eastAsia="宋体" w:cs="宋体"/>
                <w:sz w:val="18"/>
                <w:szCs w:val="18"/>
              </w:rPr>
            </w:pPr>
            <w:r>
              <w:rPr>
                <w:rFonts w:ascii="宋体" w:hAnsi="宋体" w:eastAsia="宋体" w:cs="宋体"/>
                <w:sz w:val="18"/>
                <w:szCs w:val="18"/>
              </w:rPr>
              <w:t>庄辰明</w:t>
            </w:r>
          </w:p>
        </w:tc>
        <w:tc>
          <w:tcPr>
            <w:tcW w:w="720" w:type="dxa"/>
            <w:tcBorders>
              <w:top w:val="single" w:color="auto" w:sz="2" w:space="0"/>
              <w:left w:val="single" w:color="auto" w:sz="2" w:space="0"/>
              <w:bottom w:val="single" w:color="auto" w:sz="2" w:space="0"/>
              <w:right w:val="single" w:color="auto" w:sz="2" w:space="0"/>
            </w:tcBorders>
            <w:vAlign w:val="center"/>
          </w:tcPr>
          <w:p w14:paraId="61C69C86">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3A2AB393">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48</w:t>
            </w:r>
          </w:p>
        </w:tc>
        <w:tc>
          <w:tcPr>
            <w:tcW w:w="2110" w:type="dxa"/>
            <w:tcBorders>
              <w:top w:val="single" w:color="auto" w:sz="2" w:space="0"/>
              <w:left w:val="single" w:color="auto" w:sz="2" w:space="0"/>
              <w:bottom w:val="single" w:color="auto" w:sz="2" w:space="0"/>
              <w:right w:val="single" w:color="auto" w:sz="2" w:space="0"/>
            </w:tcBorders>
            <w:vAlign w:val="center"/>
          </w:tcPr>
          <w:p w14:paraId="1BF5FF79">
            <w:pPr>
              <w:spacing w:before="0" w:after="0" w:line="240" w:lineRule="exact"/>
              <w:jc w:val="left"/>
              <w:rPr>
                <w:rFonts w:ascii="宋体" w:hAnsi="宋体" w:eastAsia="宋体" w:cs="宋体"/>
                <w:sz w:val="18"/>
                <w:szCs w:val="18"/>
              </w:rPr>
            </w:pPr>
            <w:r>
              <w:rPr>
                <w:rFonts w:ascii="宋体" w:hAnsi="宋体" w:eastAsia="宋体" w:cs="宋体"/>
                <w:sz w:val="18"/>
                <w:szCs w:val="18"/>
              </w:rPr>
              <w:t>董事、副总经理</w:t>
            </w:r>
          </w:p>
        </w:tc>
        <w:tc>
          <w:tcPr>
            <w:tcW w:w="1048" w:type="dxa"/>
            <w:tcBorders>
              <w:top w:val="single" w:color="auto" w:sz="2" w:space="0"/>
              <w:left w:val="single" w:color="auto" w:sz="2" w:space="0"/>
              <w:bottom w:val="single" w:color="auto" w:sz="2" w:space="0"/>
              <w:right w:val="single" w:color="auto" w:sz="2" w:space="0"/>
            </w:tcBorders>
            <w:vAlign w:val="center"/>
          </w:tcPr>
          <w:p w14:paraId="3C4A00FD">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1E4C74C7">
            <w:pPr>
              <w:keepNext w:val="0"/>
              <w:keepLines w:val="0"/>
              <w:widowControl/>
              <w:suppressLineNumbers w:val="0"/>
              <w:jc w:val="right"/>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78.33</w:t>
            </w:r>
          </w:p>
        </w:tc>
        <w:tc>
          <w:tcPr>
            <w:tcW w:w="1377" w:type="dxa"/>
            <w:tcBorders>
              <w:top w:val="single" w:color="auto" w:sz="2" w:space="0"/>
              <w:left w:val="single" w:color="auto" w:sz="2" w:space="0"/>
              <w:bottom w:val="single" w:color="auto" w:sz="2" w:space="0"/>
              <w:right w:val="single" w:color="auto" w:sz="2" w:space="0"/>
            </w:tcBorders>
            <w:vAlign w:val="center"/>
          </w:tcPr>
          <w:p w14:paraId="3D3C5A49">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0A891F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14520BB2">
            <w:pPr>
              <w:spacing w:before="0" w:after="0" w:line="240" w:lineRule="exact"/>
              <w:jc w:val="left"/>
              <w:rPr>
                <w:rFonts w:ascii="宋体" w:hAnsi="宋体" w:eastAsia="宋体" w:cs="宋体"/>
                <w:sz w:val="18"/>
                <w:szCs w:val="18"/>
              </w:rPr>
            </w:pPr>
            <w:r>
              <w:rPr>
                <w:rFonts w:ascii="宋体" w:hAnsi="宋体" w:eastAsia="宋体" w:cs="宋体"/>
                <w:sz w:val="18"/>
                <w:szCs w:val="18"/>
              </w:rPr>
              <w:t>吴红军</w:t>
            </w:r>
          </w:p>
        </w:tc>
        <w:tc>
          <w:tcPr>
            <w:tcW w:w="720" w:type="dxa"/>
            <w:tcBorders>
              <w:top w:val="single" w:color="auto" w:sz="2" w:space="0"/>
              <w:left w:val="single" w:color="auto" w:sz="2" w:space="0"/>
              <w:bottom w:val="single" w:color="auto" w:sz="2" w:space="0"/>
              <w:right w:val="single" w:color="auto" w:sz="2" w:space="0"/>
            </w:tcBorders>
            <w:vAlign w:val="center"/>
          </w:tcPr>
          <w:p w14:paraId="2C76CC1E">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37A798FA">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55</w:t>
            </w:r>
          </w:p>
        </w:tc>
        <w:tc>
          <w:tcPr>
            <w:tcW w:w="2110" w:type="dxa"/>
            <w:tcBorders>
              <w:top w:val="single" w:color="auto" w:sz="2" w:space="0"/>
              <w:left w:val="single" w:color="auto" w:sz="2" w:space="0"/>
              <w:bottom w:val="single" w:color="auto" w:sz="2" w:space="0"/>
              <w:right w:val="single" w:color="auto" w:sz="2" w:space="0"/>
            </w:tcBorders>
            <w:vAlign w:val="center"/>
          </w:tcPr>
          <w:p w14:paraId="1C5D6835">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1048" w:type="dxa"/>
            <w:tcBorders>
              <w:top w:val="single" w:color="auto" w:sz="2" w:space="0"/>
              <w:left w:val="single" w:color="auto" w:sz="2" w:space="0"/>
              <w:bottom w:val="single" w:color="auto" w:sz="2" w:space="0"/>
              <w:right w:val="single" w:color="auto" w:sz="2" w:space="0"/>
            </w:tcBorders>
            <w:vAlign w:val="center"/>
          </w:tcPr>
          <w:p w14:paraId="0EC29131">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78716969">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6.00</w:t>
            </w:r>
          </w:p>
        </w:tc>
        <w:tc>
          <w:tcPr>
            <w:tcW w:w="1377" w:type="dxa"/>
            <w:tcBorders>
              <w:top w:val="single" w:color="auto" w:sz="2" w:space="0"/>
              <w:left w:val="single" w:color="auto" w:sz="2" w:space="0"/>
              <w:bottom w:val="single" w:color="auto" w:sz="2" w:space="0"/>
              <w:right w:val="single" w:color="auto" w:sz="2" w:space="0"/>
            </w:tcBorders>
            <w:vAlign w:val="center"/>
          </w:tcPr>
          <w:p w14:paraId="5048C98C">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32E0CF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3F898C23">
            <w:pPr>
              <w:spacing w:before="0" w:after="0" w:line="240" w:lineRule="exact"/>
              <w:jc w:val="left"/>
              <w:rPr>
                <w:rFonts w:ascii="宋体" w:hAnsi="宋体" w:eastAsia="宋体" w:cs="宋体"/>
                <w:sz w:val="18"/>
                <w:szCs w:val="18"/>
              </w:rPr>
            </w:pPr>
            <w:r>
              <w:rPr>
                <w:rFonts w:ascii="宋体" w:hAnsi="宋体" w:eastAsia="宋体" w:cs="宋体"/>
                <w:sz w:val="18"/>
                <w:szCs w:val="18"/>
              </w:rPr>
              <w:t>鲁凤民</w:t>
            </w:r>
          </w:p>
        </w:tc>
        <w:tc>
          <w:tcPr>
            <w:tcW w:w="720" w:type="dxa"/>
            <w:tcBorders>
              <w:top w:val="single" w:color="auto" w:sz="2" w:space="0"/>
              <w:left w:val="single" w:color="auto" w:sz="2" w:space="0"/>
              <w:bottom w:val="single" w:color="auto" w:sz="2" w:space="0"/>
              <w:right w:val="single" w:color="auto" w:sz="2" w:space="0"/>
            </w:tcBorders>
            <w:vAlign w:val="center"/>
          </w:tcPr>
          <w:p w14:paraId="2F61A671">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1133239F">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61</w:t>
            </w:r>
          </w:p>
        </w:tc>
        <w:tc>
          <w:tcPr>
            <w:tcW w:w="2110" w:type="dxa"/>
            <w:tcBorders>
              <w:top w:val="single" w:color="auto" w:sz="2" w:space="0"/>
              <w:left w:val="single" w:color="auto" w:sz="2" w:space="0"/>
              <w:bottom w:val="single" w:color="auto" w:sz="2" w:space="0"/>
              <w:right w:val="single" w:color="auto" w:sz="2" w:space="0"/>
            </w:tcBorders>
            <w:vAlign w:val="center"/>
          </w:tcPr>
          <w:p w14:paraId="3434F8BD">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1048" w:type="dxa"/>
            <w:tcBorders>
              <w:top w:val="single" w:color="auto" w:sz="2" w:space="0"/>
              <w:left w:val="single" w:color="auto" w:sz="2" w:space="0"/>
              <w:bottom w:val="single" w:color="auto" w:sz="2" w:space="0"/>
              <w:right w:val="single" w:color="auto" w:sz="2" w:space="0"/>
            </w:tcBorders>
            <w:vAlign w:val="center"/>
          </w:tcPr>
          <w:p w14:paraId="3E9D4BCE">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048DA151">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6.00</w:t>
            </w:r>
          </w:p>
        </w:tc>
        <w:tc>
          <w:tcPr>
            <w:tcW w:w="1377" w:type="dxa"/>
            <w:tcBorders>
              <w:top w:val="single" w:color="auto" w:sz="2" w:space="0"/>
              <w:left w:val="single" w:color="auto" w:sz="2" w:space="0"/>
              <w:bottom w:val="single" w:color="auto" w:sz="2" w:space="0"/>
              <w:right w:val="single" w:color="auto" w:sz="2" w:space="0"/>
            </w:tcBorders>
            <w:vAlign w:val="center"/>
          </w:tcPr>
          <w:p w14:paraId="7E92A391">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4CECB0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78D095CA">
            <w:pPr>
              <w:spacing w:before="0" w:after="0" w:line="240" w:lineRule="exact"/>
              <w:jc w:val="left"/>
              <w:rPr>
                <w:rFonts w:ascii="宋体" w:hAnsi="宋体" w:eastAsia="宋体" w:cs="宋体"/>
                <w:sz w:val="18"/>
                <w:szCs w:val="18"/>
              </w:rPr>
            </w:pPr>
            <w:r>
              <w:rPr>
                <w:rFonts w:ascii="宋体" w:hAnsi="宋体" w:eastAsia="宋体" w:cs="宋体"/>
                <w:sz w:val="18"/>
                <w:szCs w:val="18"/>
              </w:rPr>
              <w:t>吴飞美</w:t>
            </w:r>
          </w:p>
        </w:tc>
        <w:tc>
          <w:tcPr>
            <w:tcW w:w="720" w:type="dxa"/>
            <w:tcBorders>
              <w:top w:val="single" w:color="auto" w:sz="2" w:space="0"/>
              <w:left w:val="single" w:color="auto" w:sz="2" w:space="0"/>
              <w:bottom w:val="single" w:color="auto" w:sz="2" w:space="0"/>
              <w:right w:val="single" w:color="auto" w:sz="2" w:space="0"/>
            </w:tcBorders>
            <w:vAlign w:val="center"/>
          </w:tcPr>
          <w:p w14:paraId="67C660CC">
            <w:pPr>
              <w:spacing w:before="0" w:after="0" w:line="240" w:lineRule="exact"/>
              <w:jc w:val="left"/>
              <w:rPr>
                <w:rFonts w:ascii="宋体" w:hAnsi="宋体" w:eastAsia="宋体" w:cs="宋体"/>
                <w:sz w:val="18"/>
                <w:szCs w:val="18"/>
              </w:rPr>
            </w:pPr>
            <w:r>
              <w:rPr>
                <w:rFonts w:ascii="宋体" w:hAnsi="宋体" w:eastAsia="宋体" w:cs="宋体"/>
                <w:sz w:val="18"/>
                <w:szCs w:val="18"/>
              </w:rPr>
              <w:t>女</w:t>
            </w:r>
          </w:p>
        </w:tc>
        <w:tc>
          <w:tcPr>
            <w:tcW w:w="810" w:type="dxa"/>
            <w:tcBorders>
              <w:top w:val="single" w:color="auto" w:sz="2" w:space="0"/>
              <w:left w:val="single" w:color="auto" w:sz="2" w:space="0"/>
              <w:bottom w:val="single" w:color="auto" w:sz="2" w:space="0"/>
              <w:right w:val="single" w:color="auto" w:sz="2" w:space="0"/>
            </w:tcBorders>
            <w:vAlign w:val="center"/>
          </w:tcPr>
          <w:p w14:paraId="40D4670F">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61</w:t>
            </w:r>
          </w:p>
        </w:tc>
        <w:tc>
          <w:tcPr>
            <w:tcW w:w="2110" w:type="dxa"/>
            <w:tcBorders>
              <w:top w:val="single" w:color="auto" w:sz="2" w:space="0"/>
              <w:left w:val="single" w:color="auto" w:sz="2" w:space="0"/>
              <w:bottom w:val="single" w:color="auto" w:sz="2" w:space="0"/>
              <w:right w:val="single" w:color="auto" w:sz="2" w:space="0"/>
            </w:tcBorders>
            <w:vAlign w:val="center"/>
          </w:tcPr>
          <w:p w14:paraId="1938E396">
            <w:pPr>
              <w:spacing w:before="0" w:after="0" w:line="240" w:lineRule="exact"/>
              <w:jc w:val="left"/>
              <w:rPr>
                <w:rFonts w:ascii="宋体" w:hAnsi="宋体" w:eastAsia="宋体" w:cs="宋体"/>
                <w:sz w:val="18"/>
                <w:szCs w:val="18"/>
              </w:rPr>
            </w:pPr>
            <w:r>
              <w:rPr>
                <w:rFonts w:ascii="宋体" w:hAnsi="宋体" w:eastAsia="宋体" w:cs="宋体"/>
                <w:sz w:val="18"/>
                <w:szCs w:val="18"/>
              </w:rPr>
              <w:t>独立董事</w:t>
            </w:r>
          </w:p>
        </w:tc>
        <w:tc>
          <w:tcPr>
            <w:tcW w:w="1048" w:type="dxa"/>
            <w:tcBorders>
              <w:top w:val="single" w:color="auto" w:sz="2" w:space="0"/>
              <w:left w:val="single" w:color="auto" w:sz="2" w:space="0"/>
              <w:bottom w:val="single" w:color="auto" w:sz="2" w:space="0"/>
              <w:right w:val="single" w:color="auto" w:sz="2" w:space="0"/>
            </w:tcBorders>
            <w:vAlign w:val="center"/>
          </w:tcPr>
          <w:p w14:paraId="09BE01CB">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5D7A6030">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6.00</w:t>
            </w:r>
          </w:p>
        </w:tc>
        <w:tc>
          <w:tcPr>
            <w:tcW w:w="1377" w:type="dxa"/>
            <w:tcBorders>
              <w:top w:val="single" w:color="auto" w:sz="2" w:space="0"/>
              <w:left w:val="single" w:color="auto" w:sz="2" w:space="0"/>
              <w:bottom w:val="single" w:color="auto" w:sz="2" w:space="0"/>
              <w:right w:val="single" w:color="auto" w:sz="2" w:space="0"/>
            </w:tcBorders>
            <w:vAlign w:val="center"/>
          </w:tcPr>
          <w:p w14:paraId="3FB205AD">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444131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2F7E76FB">
            <w:pPr>
              <w:spacing w:before="0" w:after="0" w:line="240" w:lineRule="exact"/>
              <w:jc w:val="left"/>
              <w:rPr>
                <w:rFonts w:ascii="宋体" w:hAnsi="宋体" w:eastAsia="宋体" w:cs="宋体"/>
                <w:sz w:val="18"/>
                <w:szCs w:val="18"/>
              </w:rPr>
            </w:pPr>
            <w:r>
              <w:rPr>
                <w:rFonts w:ascii="宋体" w:hAnsi="宋体" w:eastAsia="宋体" w:cs="宋体"/>
                <w:sz w:val="18"/>
                <w:szCs w:val="18"/>
              </w:rPr>
              <w:t>史保明</w:t>
            </w:r>
          </w:p>
        </w:tc>
        <w:tc>
          <w:tcPr>
            <w:tcW w:w="720" w:type="dxa"/>
            <w:tcBorders>
              <w:top w:val="single" w:color="auto" w:sz="2" w:space="0"/>
              <w:left w:val="single" w:color="auto" w:sz="2" w:space="0"/>
              <w:bottom w:val="single" w:color="auto" w:sz="2" w:space="0"/>
              <w:right w:val="single" w:color="auto" w:sz="2" w:space="0"/>
            </w:tcBorders>
            <w:vAlign w:val="center"/>
          </w:tcPr>
          <w:p w14:paraId="3179ECD4">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3DBD4A54">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56</w:t>
            </w:r>
          </w:p>
        </w:tc>
        <w:tc>
          <w:tcPr>
            <w:tcW w:w="2110" w:type="dxa"/>
            <w:tcBorders>
              <w:top w:val="single" w:color="auto" w:sz="2" w:space="0"/>
              <w:left w:val="single" w:color="auto" w:sz="2" w:space="0"/>
              <w:bottom w:val="single" w:color="auto" w:sz="2" w:space="0"/>
              <w:right w:val="single" w:color="auto" w:sz="2" w:space="0"/>
            </w:tcBorders>
            <w:vAlign w:val="center"/>
          </w:tcPr>
          <w:p w14:paraId="293F0CE8">
            <w:pPr>
              <w:spacing w:before="0" w:after="0" w:line="240" w:lineRule="exact"/>
              <w:jc w:val="left"/>
              <w:rPr>
                <w:rFonts w:ascii="宋体" w:hAnsi="宋体" w:eastAsia="宋体" w:cs="宋体"/>
                <w:sz w:val="18"/>
                <w:szCs w:val="18"/>
              </w:rPr>
            </w:pPr>
            <w:r>
              <w:rPr>
                <w:rFonts w:ascii="宋体" w:hAnsi="宋体" w:eastAsia="宋体" w:cs="宋体"/>
                <w:sz w:val="18"/>
                <w:szCs w:val="18"/>
              </w:rPr>
              <w:t>监事会主席</w:t>
            </w:r>
          </w:p>
        </w:tc>
        <w:tc>
          <w:tcPr>
            <w:tcW w:w="1048" w:type="dxa"/>
            <w:tcBorders>
              <w:top w:val="single" w:color="auto" w:sz="2" w:space="0"/>
              <w:left w:val="single" w:color="auto" w:sz="2" w:space="0"/>
              <w:bottom w:val="single" w:color="auto" w:sz="2" w:space="0"/>
              <w:right w:val="single" w:color="auto" w:sz="2" w:space="0"/>
            </w:tcBorders>
            <w:vAlign w:val="center"/>
          </w:tcPr>
          <w:p w14:paraId="7E5A360E">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7DD8B73F">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0.00</w:t>
            </w:r>
          </w:p>
        </w:tc>
        <w:tc>
          <w:tcPr>
            <w:tcW w:w="1377" w:type="dxa"/>
            <w:tcBorders>
              <w:top w:val="single" w:color="auto" w:sz="2" w:space="0"/>
              <w:left w:val="single" w:color="auto" w:sz="2" w:space="0"/>
              <w:bottom w:val="single" w:color="auto" w:sz="2" w:space="0"/>
              <w:right w:val="single" w:color="auto" w:sz="2" w:space="0"/>
            </w:tcBorders>
            <w:vAlign w:val="center"/>
          </w:tcPr>
          <w:p w14:paraId="56C1E867">
            <w:pPr>
              <w:spacing w:before="0" w:after="0" w:line="240" w:lineRule="exact"/>
              <w:jc w:val="left"/>
              <w:rPr>
                <w:rFonts w:hint="eastAsia" w:ascii="宋体" w:hAnsi="宋体" w:eastAsia="宋体" w:cs="宋体"/>
                <w:sz w:val="18"/>
                <w:szCs w:val="18"/>
                <w:lang w:eastAsia="zh-CN"/>
              </w:rPr>
            </w:pPr>
            <w:r>
              <w:rPr>
                <w:rFonts w:hint="eastAsia" w:ascii="宋体" w:hAnsi="宋体" w:cs="宋体"/>
                <w:sz w:val="18"/>
                <w:szCs w:val="18"/>
                <w:lang w:val="en-US" w:eastAsia="zh-CN"/>
              </w:rPr>
              <w:t>是</w:t>
            </w:r>
          </w:p>
        </w:tc>
      </w:tr>
      <w:tr w14:paraId="1754A1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7E077D42">
            <w:pPr>
              <w:spacing w:before="0" w:after="0" w:line="240" w:lineRule="exact"/>
              <w:jc w:val="left"/>
              <w:rPr>
                <w:rFonts w:ascii="宋体" w:hAnsi="宋体" w:eastAsia="宋体" w:cs="宋体"/>
                <w:sz w:val="18"/>
                <w:szCs w:val="18"/>
              </w:rPr>
            </w:pPr>
            <w:r>
              <w:rPr>
                <w:rFonts w:ascii="宋体" w:hAnsi="宋体" w:eastAsia="宋体" w:cs="宋体"/>
                <w:sz w:val="18"/>
                <w:szCs w:val="18"/>
              </w:rPr>
              <w:t>肖厚麟</w:t>
            </w:r>
          </w:p>
        </w:tc>
        <w:tc>
          <w:tcPr>
            <w:tcW w:w="720" w:type="dxa"/>
            <w:tcBorders>
              <w:top w:val="single" w:color="auto" w:sz="2" w:space="0"/>
              <w:left w:val="single" w:color="auto" w:sz="2" w:space="0"/>
              <w:bottom w:val="single" w:color="auto" w:sz="2" w:space="0"/>
              <w:right w:val="single" w:color="auto" w:sz="2" w:space="0"/>
            </w:tcBorders>
            <w:vAlign w:val="center"/>
          </w:tcPr>
          <w:p w14:paraId="013F4E20">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2BC4AD06">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42</w:t>
            </w:r>
          </w:p>
        </w:tc>
        <w:tc>
          <w:tcPr>
            <w:tcW w:w="2110" w:type="dxa"/>
            <w:tcBorders>
              <w:top w:val="single" w:color="auto" w:sz="2" w:space="0"/>
              <w:left w:val="single" w:color="auto" w:sz="2" w:space="0"/>
              <w:bottom w:val="single" w:color="auto" w:sz="2" w:space="0"/>
              <w:right w:val="single" w:color="auto" w:sz="2" w:space="0"/>
            </w:tcBorders>
            <w:vAlign w:val="center"/>
          </w:tcPr>
          <w:p w14:paraId="39A75529">
            <w:pPr>
              <w:spacing w:before="0" w:after="0" w:line="240" w:lineRule="exact"/>
              <w:jc w:val="left"/>
              <w:rPr>
                <w:rFonts w:ascii="宋体" w:hAnsi="宋体" w:eastAsia="宋体" w:cs="宋体"/>
                <w:sz w:val="18"/>
                <w:szCs w:val="18"/>
              </w:rPr>
            </w:pPr>
            <w:r>
              <w:rPr>
                <w:rFonts w:ascii="宋体" w:hAnsi="宋体" w:eastAsia="宋体" w:cs="宋体"/>
                <w:sz w:val="18"/>
                <w:szCs w:val="18"/>
              </w:rPr>
              <w:t>监事</w:t>
            </w:r>
          </w:p>
        </w:tc>
        <w:tc>
          <w:tcPr>
            <w:tcW w:w="1048" w:type="dxa"/>
            <w:tcBorders>
              <w:top w:val="single" w:color="auto" w:sz="2" w:space="0"/>
              <w:left w:val="single" w:color="auto" w:sz="2" w:space="0"/>
              <w:bottom w:val="single" w:color="auto" w:sz="2" w:space="0"/>
              <w:right w:val="single" w:color="auto" w:sz="2" w:space="0"/>
            </w:tcBorders>
            <w:vAlign w:val="center"/>
          </w:tcPr>
          <w:p w14:paraId="732E2468">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20615809">
            <w:pPr>
              <w:keepNext w:val="0"/>
              <w:keepLines w:val="0"/>
              <w:widowControl/>
              <w:suppressLineNumbers w:val="0"/>
              <w:jc w:val="right"/>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2.60</w:t>
            </w:r>
          </w:p>
        </w:tc>
        <w:tc>
          <w:tcPr>
            <w:tcW w:w="1377" w:type="dxa"/>
            <w:tcBorders>
              <w:top w:val="single" w:color="auto" w:sz="2" w:space="0"/>
              <w:left w:val="single" w:color="auto" w:sz="2" w:space="0"/>
              <w:bottom w:val="single" w:color="auto" w:sz="2" w:space="0"/>
              <w:right w:val="single" w:color="auto" w:sz="2" w:space="0"/>
            </w:tcBorders>
            <w:vAlign w:val="center"/>
          </w:tcPr>
          <w:p w14:paraId="7C61B4C0">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088E68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7AA1AA3E">
            <w:pPr>
              <w:spacing w:before="0" w:after="0" w:line="240" w:lineRule="exact"/>
              <w:jc w:val="left"/>
              <w:rPr>
                <w:rFonts w:ascii="宋体" w:hAnsi="宋体" w:eastAsia="宋体" w:cs="宋体"/>
                <w:sz w:val="18"/>
                <w:szCs w:val="18"/>
              </w:rPr>
            </w:pPr>
            <w:r>
              <w:rPr>
                <w:rFonts w:ascii="宋体" w:hAnsi="宋体" w:eastAsia="宋体" w:cs="宋体"/>
                <w:sz w:val="18"/>
                <w:szCs w:val="18"/>
              </w:rPr>
              <w:t>林海峰</w:t>
            </w:r>
          </w:p>
        </w:tc>
        <w:tc>
          <w:tcPr>
            <w:tcW w:w="720" w:type="dxa"/>
            <w:tcBorders>
              <w:top w:val="single" w:color="auto" w:sz="2" w:space="0"/>
              <w:left w:val="single" w:color="auto" w:sz="2" w:space="0"/>
              <w:bottom w:val="single" w:color="auto" w:sz="2" w:space="0"/>
              <w:right w:val="single" w:color="auto" w:sz="2" w:space="0"/>
            </w:tcBorders>
            <w:vAlign w:val="center"/>
          </w:tcPr>
          <w:p w14:paraId="3CA31EBF">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5BE5AB1E">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37</w:t>
            </w:r>
          </w:p>
        </w:tc>
        <w:tc>
          <w:tcPr>
            <w:tcW w:w="2110" w:type="dxa"/>
            <w:tcBorders>
              <w:top w:val="single" w:color="auto" w:sz="2" w:space="0"/>
              <w:left w:val="single" w:color="auto" w:sz="2" w:space="0"/>
              <w:bottom w:val="single" w:color="auto" w:sz="2" w:space="0"/>
              <w:right w:val="single" w:color="auto" w:sz="2" w:space="0"/>
            </w:tcBorders>
            <w:vAlign w:val="center"/>
          </w:tcPr>
          <w:p w14:paraId="7DCE1E8D">
            <w:pPr>
              <w:spacing w:before="0" w:after="0" w:line="240" w:lineRule="exact"/>
              <w:jc w:val="left"/>
              <w:rPr>
                <w:rFonts w:ascii="宋体" w:hAnsi="宋体" w:eastAsia="宋体" w:cs="宋体"/>
                <w:sz w:val="18"/>
                <w:szCs w:val="18"/>
              </w:rPr>
            </w:pPr>
            <w:r>
              <w:rPr>
                <w:rFonts w:ascii="宋体" w:hAnsi="宋体" w:eastAsia="宋体" w:cs="宋体"/>
                <w:sz w:val="18"/>
                <w:szCs w:val="18"/>
              </w:rPr>
              <w:t>职工代表监事</w:t>
            </w:r>
          </w:p>
        </w:tc>
        <w:tc>
          <w:tcPr>
            <w:tcW w:w="1048" w:type="dxa"/>
            <w:tcBorders>
              <w:top w:val="single" w:color="auto" w:sz="2" w:space="0"/>
              <w:left w:val="single" w:color="auto" w:sz="2" w:space="0"/>
              <w:bottom w:val="single" w:color="auto" w:sz="2" w:space="0"/>
              <w:right w:val="single" w:color="auto" w:sz="2" w:space="0"/>
            </w:tcBorders>
            <w:vAlign w:val="center"/>
          </w:tcPr>
          <w:p w14:paraId="3ED54B85">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350511E4">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30.15</w:t>
            </w:r>
          </w:p>
        </w:tc>
        <w:tc>
          <w:tcPr>
            <w:tcW w:w="1377" w:type="dxa"/>
            <w:tcBorders>
              <w:top w:val="single" w:color="auto" w:sz="2" w:space="0"/>
              <w:left w:val="single" w:color="auto" w:sz="2" w:space="0"/>
              <w:bottom w:val="single" w:color="auto" w:sz="2" w:space="0"/>
              <w:right w:val="single" w:color="auto" w:sz="2" w:space="0"/>
            </w:tcBorders>
            <w:vAlign w:val="center"/>
          </w:tcPr>
          <w:p w14:paraId="06DBB247">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1D8AC7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2197" w:type="dxa"/>
            <w:tcBorders>
              <w:top w:val="single" w:color="auto" w:sz="2" w:space="0"/>
              <w:left w:val="single" w:color="auto" w:sz="2" w:space="0"/>
              <w:bottom w:val="single" w:color="auto" w:sz="2" w:space="0"/>
              <w:right w:val="single" w:color="auto" w:sz="2" w:space="0"/>
            </w:tcBorders>
            <w:vAlign w:val="center"/>
          </w:tcPr>
          <w:p w14:paraId="6140DCF9">
            <w:pPr>
              <w:spacing w:before="0" w:after="0" w:line="240" w:lineRule="exact"/>
              <w:jc w:val="left"/>
              <w:rPr>
                <w:rFonts w:ascii="宋体" w:hAnsi="宋体" w:eastAsia="宋体" w:cs="宋体"/>
                <w:sz w:val="18"/>
                <w:szCs w:val="18"/>
              </w:rPr>
            </w:pPr>
            <w:r>
              <w:rPr>
                <w:rFonts w:ascii="宋体" w:hAnsi="宋体" w:eastAsia="宋体" w:cs="宋体"/>
                <w:sz w:val="18"/>
                <w:szCs w:val="18"/>
              </w:rPr>
              <w:t>官建辉</w:t>
            </w:r>
          </w:p>
        </w:tc>
        <w:tc>
          <w:tcPr>
            <w:tcW w:w="720" w:type="dxa"/>
            <w:tcBorders>
              <w:top w:val="single" w:color="auto" w:sz="2" w:space="0"/>
              <w:left w:val="single" w:color="auto" w:sz="2" w:space="0"/>
              <w:bottom w:val="single" w:color="auto" w:sz="2" w:space="0"/>
              <w:right w:val="single" w:color="auto" w:sz="2" w:space="0"/>
            </w:tcBorders>
            <w:vAlign w:val="center"/>
          </w:tcPr>
          <w:p w14:paraId="59D3BCA2">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56B558CC">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49</w:t>
            </w:r>
          </w:p>
        </w:tc>
        <w:tc>
          <w:tcPr>
            <w:tcW w:w="2110" w:type="dxa"/>
            <w:tcBorders>
              <w:top w:val="single" w:color="auto" w:sz="2" w:space="0"/>
              <w:left w:val="single" w:color="auto" w:sz="2" w:space="0"/>
              <w:bottom w:val="single" w:color="auto" w:sz="2" w:space="0"/>
              <w:right w:val="single" w:color="auto" w:sz="2" w:space="0"/>
            </w:tcBorders>
            <w:vAlign w:val="center"/>
          </w:tcPr>
          <w:p w14:paraId="179FAB66">
            <w:pPr>
              <w:spacing w:before="0" w:after="0" w:line="240" w:lineRule="exact"/>
              <w:jc w:val="left"/>
              <w:rPr>
                <w:rFonts w:ascii="宋体" w:hAnsi="宋体" w:eastAsia="宋体" w:cs="宋体"/>
                <w:sz w:val="18"/>
                <w:szCs w:val="18"/>
              </w:rPr>
            </w:pPr>
            <w:r>
              <w:rPr>
                <w:rFonts w:ascii="宋体" w:hAnsi="宋体" w:eastAsia="宋体" w:cs="宋体"/>
                <w:sz w:val="18"/>
                <w:szCs w:val="18"/>
              </w:rPr>
              <w:t>财务总监</w:t>
            </w:r>
          </w:p>
        </w:tc>
        <w:tc>
          <w:tcPr>
            <w:tcW w:w="1048" w:type="dxa"/>
            <w:tcBorders>
              <w:top w:val="single" w:color="auto" w:sz="2" w:space="0"/>
              <w:left w:val="single" w:color="auto" w:sz="2" w:space="0"/>
              <w:bottom w:val="single" w:color="auto" w:sz="2" w:space="0"/>
              <w:right w:val="single" w:color="auto" w:sz="2" w:space="0"/>
            </w:tcBorders>
            <w:vAlign w:val="center"/>
          </w:tcPr>
          <w:p w14:paraId="44AD4C0E">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5A855039">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79.58</w:t>
            </w:r>
          </w:p>
        </w:tc>
        <w:tc>
          <w:tcPr>
            <w:tcW w:w="1377" w:type="dxa"/>
            <w:tcBorders>
              <w:top w:val="single" w:color="auto" w:sz="2" w:space="0"/>
              <w:left w:val="single" w:color="auto" w:sz="2" w:space="0"/>
              <w:bottom w:val="single" w:color="auto" w:sz="2" w:space="0"/>
              <w:right w:val="single" w:color="auto" w:sz="2" w:space="0"/>
            </w:tcBorders>
            <w:vAlign w:val="center"/>
          </w:tcPr>
          <w:p w14:paraId="701F5100">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7DA3A1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268681EA">
            <w:pPr>
              <w:spacing w:before="0" w:after="0" w:line="240" w:lineRule="exact"/>
              <w:jc w:val="left"/>
              <w:rPr>
                <w:rFonts w:ascii="宋体" w:hAnsi="宋体" w:eastAsia="宋体" w:cs="宋体"/>
                <w:sz w:val="18"/>
                <w:szCs w:val="18"/>
              </w:rPr>
            </w:pPr>
            <w:r>
              <w:rPr>
                <w:rFonts w:ascii="宋体" w:hAnsi="宋体" w:eastAsia="宋体" w:cs="宋体"/>
                <w:sz w:val="18"/>
                <w:szCs w:val="18"/>
              </w:rPr>
              <w:t>曾炳祥</w:t>
            </w:r>
          </w:p>
        </w:tc>
        <w:tc>
          <w:tcPr>
            <w:tcW w:w="720" w:type="dxa"/>
            <w:tcBorders>
              <w:top w:val="single" w:color="auto" w:sz="2" w:space="0"/>
              <w:left w:val="single" w:color="auto" w:sz="2" w:space="0"/>
              <w:bottom w:val="single" w:color="auto" w:sz="2" w:space="0"/>
              <w:right w:val="single" w:color="auto" w:sz="2" w:space="0"/>
            </w:tcBorders>
            <w:vAlign w:val="center"/>
          </w:tcPr>
          <w:p w14:paraId="4E670679">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24953745">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62</w:t>
            </w:r>
          </w:p>
        </w:tc>
        <w:tc>
          <w:tcPr>
            <w:tcW w:w="2110" w:type="dxa"/>
            <w:tcBorders>
              <w:top w:val="single" w:color="auto" w:sz="2" w:space="0"/>
              <w:left w:val="single" w:color="auto" w:sz="2" w:space="0"/>
              <w:bottom w:val="single" w:color="auto" w:sz="2" w:space="0"/>
              <w:right w:val="single" w:color="auto" w:sz="2" w:space="0"/>
            </w:tcBorders>
            <w:vAlign w:val="center"/>
          </w:tcPr>
          <w:p w14:paraId="79DD4EA0">
            <w:pPr>
              <w:spacing w:before="0" w:after="0" w:line="240" w:lineRule="exact"/>
              <w:jc w:val="left"/>
              <w:rPr>
                <w:rFonts w:ascii="宋体" w:hAnsi="宋体" w:eastAsia="宋体" w:cs="宋体"/>
                <w:sz w:val="18"/>
                <w:szCs w:val="18"/>
              </w:rPr>
            </w:pPr>
            <w:r>
              <w:rPr>
                <w:rFonts w:ascii="宋体" w:hAnsi="宋体" w:eastAsia="宋体" w:cs="宋体"/>
                <w:sz w:val="18"/>
                <w:szCs w:val="18"/>
              </w:rPr>
              <w:t>副总经理</w:t>
            </w:r>
          </w:p>
        </w:tc>
        <w:tc>
          <w:tcPr>
            <w:tcW w:w="1048" w:type="dxa"/>
            <w:tcBorders>
              <w:top w:val="single" w:color="auto" w:sz="2" w:space="0"/>
              <w:left w:val="single" w:color="auto" w:sz="2" w:space="0"/>
              <w:bottom w:val="single" w:color="auto" w:sz="2" w:space="0"/>
              <w:right w:val="single" w:color="auto" w:sz="2" w:space="0"/>
            </w:tcBorders>
            <w:vAlign w:val="center"/>
          </w:tcPr>
          <w:p w14:paraId="36329F5C">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6D3BEDF7">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61.65</w:t>
            </w:r>
          </w:p>
        </w:tc>
        <w:tc>
          <w:tcPr>
            <w:tcW w:w="1377" w:type="dxa"/>
            <w:tcBorders>
              <w:top w:val="single" w:color="auto" w:sz="2" w:space="0"/>
              <w:left w:val="single" w:color="auto" w:sz="2" w:space="0"/>
              <w:bottom w:val="single" w:color="auto" w:sz="2" w:space="0"/>
              <w:right w:val="single" w:color="auto" w:sz="2" w:space="0"/>
            </w:tcBorders>
            <w:vAlign w:val="center"/>
          </w:tcPr>
          <w:p w14:paraId="6CED2365">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6D83CE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2F97BB05">
            <w:pPr>
              <w:spacing w:before="0" w:after="0" w:line="240" w:lineRule="exact"/>
              <w:jc w:val="left"/>
              <w:rPr>
                <w:rFonts w:ascii="宋体" w:hAnsi="宋体" w:eastAsia="宋体" w:cs="宋体"/>
                <w:sz w:val="18"/>
                <w:szCs w:val="18"/>
              </w:rPr>
            </w:pPr>
            <w:r>
              <w:rPr>
                <w:rFonts w:ascii="宋体" w:hAnsi="宋体" w:eastAsia="宋体" w:cs="宋体"/>
                <w:sz w:val="18"/>
                <w:szCs w:val="18"/>
              </w:rPr>
              <w:t>张清河</w:t>
            </w:r>
          </w:p>
        </w:tc>
        <w:tc>
          <w:tcPr>
            <w:tcW w:w="720" w:type="dxa"/>
            <w:tcBorders>
              <w:top w:val="single" w:color="auto" w:sz="2" w:space="0"/>
              <w:left w:val="single" w:color="auto" w:sz="2" w:space="0"/>
              <w:bottom w:val="single" w:color="auto" w:sz="2" w:space="0"/>
              <w:right w:val="single" w:color="auto" w:sz="2" w:space="0"/>
            </w:tcBorders>
            <w:vAlign w:val="center"/>
          </w:tcPr>
          <w:p w14:paraId="2FA83E7F">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0919CC2D">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38</w:t>
            </w:r>
          </w:p>
        </w:tc>
        <w:tc>
          <w:tcPr>
            <w:tcW w:w="2110" w:type="dxa"/>
            <w:tcBorders>
              <w:top w:val="single" w:color="auto" w:sz="2" w:space="0"/>
              <w:left w:val="single" w:color="auto" w:sz="2" w:space="0"/>
              <w:bottom w:val="single" w:color="auto" w:sz="2" w:space="0"/>
              <w:right w:val="single" w:color="auto" w:sz="2" w:space="0"/>
            </w:tcBorders>
            <w:vAlign w:val="center"/>
          </w:tcPr>
          <w:p w14:paraId="0BA9C77B">
            <w:pPr>
              <w:spacing w:before="0" w:after="0" w:line="240" w:lineRule="exact"/>
              <w:jc w:val="left"/>
              <w:rPr>
                <w:rFonts w:ascii="宋体" w:hAnsi="宋体" w:eastAsia="宋体" w:cs="宋体"/>
                <w:sz w:val="18"/>
                <w:szCs w:val="18"/>
              </w:rPr>
            </w:pPr>
            <w:r>
              <w:rPr>
                <w:rFonts w:ascii="宋体" w:hAnsi="宋体" w:eastAsia="宋体" w:cs="宋体"/>
                <w:sz w:val="18"/>
                <w:szCs w:val="18"/>
              </w:rPr>
              <w:t>副总经理、董事会秘书</w:t>
            </w:r>
          </w:p>
        </w:tc>
        <w:tc>
          <w:tcPr>
            <w:tcW w:w="1048" w:type="dxa"/>
            <w:tcBorders>
              <w:top w:val="single" w:color="auto" w:sz="2" w:space="0"/>
              <w:left w:val="single" w:color="auto" w:sz="2" w:space="0"/>
              <w:bottom w:val="single" w:color="auto" w:sz="2" w:space="0"/>
              <w:right w:val="single" w:color="auto" w:sz="2" w:space="0"/>
            </w:tcBorders>
            <w:vAlign w:val="center"/>
          </w:tcPr>
          <w:p w14:paraId="0D7F13F7">
            <w:pPr>
              <w:spacing w:before="0" w:after="0" w:line="240" w:lineRule="exact"/>
              <w:jc w:val="left"/>
              <w:rPr>
                <w:rFonts w:ascii="宋体" w:hAnsi="宋体" w:eastAsia="宋体" w:cs="宋体"/>
                <w:sz w:val="18"/>
                <w:szCs w:val="18"/>
              </w:rPr>
            </w:pPr>
            <w:r>
              <w:rPr>
                <w:rFonts w:ascii="宋体" w:hAnsi="宋体" w:eastAsia="宋体" w:cs="宋体"/>
                <w:sz w:val="18"/>
                <w:szCs w:val="18"/>
              </w:rPr>
              <w:t>现任</w:t>
            </w:r>
          </w:p>
        </w:tc>
        <w:tc>
          <w:tcPr>
            <w:tcW w:w="1377" w:type="dxa"/>
            <w:tcBorders>
              <w:top w:val="single" w:color="auto" w:sz="2" w:space="0"/>
              <w:left w:val="single" w:color="auto" w:sz="2" w:space="0"/>
              <w:bottom w:val="single" w:color="auto" w:sz="2" w:space="0"/>
              <w:right w:val="single" w:color="auto" w:sz="2" w:space="0"/>
            </w:tcBorders>
            <w:vAlign w:val="center"/>
          </w:tcPr>
          <w:p w14:paraId="521B35F9">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47.11</w:t>
            </w:r>
          </w:p>
        </w:tc>
        <w:tc>
          <w:tcPr>
            <w:tcW w:w="1377" w:type="dxa"/>
            <w:tcBorders>
              <w:top w:val="single" w:color="auto" w:sz="2" w:space="0"/>
              <w:left w:val="single" w:color="auto" w:sz="2" w:space="0"/>
              <w:bottom w:val="single" w:color="auto" w:sz="2" w:space="0"/>
              <w:right w:val="single" w:color="auto" w:sz="2" w:space="0"/>
            </w:tcBorders>
            <w:vAlign w:val="center"/>
          </w:tcPr>
          <w:p w14:paraId="389F9970">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7E0619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4D9A929C">
            <w:pPr>
              <w:spacing w:before="0" w:after="0" w:line="240" w:lineRule="exact"/>
              <w:jc w:val="left"/>
              <w:rPr>
                <w:rFonts w:ascii="宋体" w:hAnsi="宋体" w:eastAsia="宋体" w:cs="宋体"/>
                <w:sz w:val="18"/>
                <w:szCs w:val="18"/>
              </w:rPr>
            </w:pPr>
            <w:r>
              <w:rPr>
                <w:rFonts w:ascii="宋体" w:hAnsi="宋体" w:eastAsia="宋体" w:cs="宋体"/>
                <w:sz w:val="18"/>
                <w:szCs w:val="18"/>
              </w:rPr>
              <w:t>李洪明</w:t>
            </w:r>
          </w:p>
        </w:tc>
        <w:tc>
          <w:tcPr>
            <w:tcW w:w="720" w:type="dxa"/>
            <w:tcBorders>
              <w:top w:val="single" w:color="auto" w:sz="2" w:space="0"/>
              <w:left w:val="single" w:color="auto" w:sz="2" w:space="0"/>
              <w:bottom w:val="single" w:color="auto" w:sz="2" w:space="0"/>
              <w:right w:val="single" w:color="auto" w:sz="2" w:space="0"/>
            </w:tcBorders>
            <w:vAlign w:val="center"/>
          </w:tcPr>
          <w:p w14:paraId="775C25CB">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57E4857D">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56</w:t>
            </w:r>
          </w:p>
        </w:tc>
        <w:tc>
          <w:tcPr>
            <w:tcW w:w="2110" w:type="dxa"/>
            <w:tcBorders>
              <w:top w:val="single" w:color="auto" w:sz="2" w:space="0"/>
              <w:left w:val="single" w:color="auto" w:sz="2" w:space="0"/>
              <w:bottom w:val="single" w:color="auto" w:sz="2" w:space="0"/>
              <w:right w:val="single" w:color="auto" w:sz="2" w:space="0"/>
            </w:tcBorders>
            <w:vAlign w:val="center"/>
          </w:tcPr>
          <w:p w14:paraId="51E5A2C0">
            <w:pPr>
              <w:spacing w:before="0" w:after="0" w:line="240" w:lineRule="exact"/>
              <w:jc w:val="left"/>
              <w:rPr>
                <w:rFonts w:ascii="宋体" w:hAnsi="宋体" w:eastAsia="宋体" w:cs="宋体"/>
                <w:sz w:val="18"/>
                <w:szCs w:val="18"/>
              </w:rPr>
            </w:pPr>
            <w:r>
              <w:rPr>
                <w:rFonts w:ascii="宋体" w:hAnsi="宋体" w:eastAsia="宋体" w:cs="宋体"/>
                <w:sz w:val="18"/>
                <w:szCs w:val="18"/>
              </w:rPr>
              <w:t>原董事、首席运营官</w:t>
            </w:r>
          </w:p>
        </w:tc>
        <w:tc>
          <w:tcPr>
            <w:tcW w:w="1048" w:type="dxa"/>
            <w:tcBorders>
              <w:top w:val="single" w:color="auto" w:sz="2" w:space="0"/>
              <w:left w:val="single" w:color="auto" w:sz="2" w:space="0"/>
              <w:bottom w:val="single" w:color="auto" w:sz="2" w:space="0"/>
              <w:right w:val="single" w:color="auto" w:sz="2" w:space="0"/>
            </w:tcBorders>
            <w:vAlign w:val="center"/>
          </w:tcPr>
          <w:p w14:paraId="60755602">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1377" w:type="dxa"/>
            <w:tcBorders>
              <w:top w:val="single" w:color="auto" w:sz="2" w:space="0"/>
              <w:left w:val="single" w:color="auto" w:sz="2" w:space="0"/>
              <w:bottom w:val="single" w:color="auto" w:sz="2" w:space="0"/>
              <w:right w:val="single" w:color="auto" w:sz="2" w:space="0"/>
            </w:tcBorders>
            <w:vAlign w:val="center"/>
          </w:tcPr>
          <w:p w14:paraId="7628C610">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174.47</w:t>
            </w:r>
          </w:p>
        </w:tc>
        <w:tc>
          <w:tcPr>
            <w:tcW w:w="1377" w:type="dxa"/>
            <w:tcBorders>
              <w:top w:val="single" w:color="auto" w:sz="2" w:space="0"/>
              <w:left w:val="single" w:color="auto" w:sz="2" w:space="0"/>
              <w:bottom w:val="single" w:color="auto" w:sz="2" w:space="0"/>
              <w:right w:val="single" w:color="auto" w:sz="2" w:space="0"/>
            </w:tcBorders>
            <w:vAlign w:val="center"/>
          </w:tcPr>
          <w:p w14:paraId="05536486">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6007FE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57E973D2">
            <w:pPr>
              <w:spacing w:before="0" w:after="0" w:line="240" w:lineRule="exact"/>
              <w:jc w:val="left"/>
              <w:rPr>
                <w:rFonts w:ascii="宋体" w:hAnsi="宋体" w:eastAsia="宋体" w:cs="宋体"/>
                <w:sz w:val="18"/>
                <w:szCs w:val="18"/>
              </w:rPr>
            </w:pPr>
            <w:r>
              <w:rPr>
                <w:rFonts w:ascii="宋体" w:hAnsi="宋体" w:eastAsia="宋体" w:cs="宋体"/>
                <w:sz w:val="18"/>
                <w:szCs w:val="18"/>
              </w:rPr>
              <w:t>任红</w:t>
            </w:r>
          </w:p>
        </w:tc>
        <w:tc>
          <w:tcPr>
            <w:tcW w:w="720" w:type="dxa"/>
            <w:tcBorders>
              <w:top w:val="single" w:color="auto" w:sz="2" w:space="0"/>
              <w:left w:val="single" w:color="auto" w:sz="2" w:space="0"/>
              <w:bottom w:val="single" w:color="auto" w:sz="2" w:space="0"/>
              <w:right w:val="single" w:color="auto" w:sz="2" w:space="0"/>
            </w:tcBorders>
            <w:vAlign w:val="center"/>
          </w:tcPr>
          <w:p w14:paraId="14B174AB">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022D37E0">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65</w:t>
            </w:r>
          </w:p>
        </w:tc>
        <w:tc>
          <w:tcPr>
            <w:tcW w:w="2110" w:type="dxa"/>
            <w:tcBorders>
              <w:top w:val="single" w:color="auto" w:sz="2" w:space="0"/>
              <w:left w:val="single" w:color="auto" w:sz="2" w:space="0"/>
              <w:bottom w:val="single" w:color="auto" w:sz="2" w:space="0"/>
              <w:right w:val="single" w:color="auto" w:sz="2" w:space="0"/>
            </w:tcBorders>
            <w:vAlign w:val="center"/>
          </w:tcPr>
          <w:p w14:paraId="1D4025DF">
            <w:pPr>
              <w:spacing w:before="0" w:after="0" w:line="240" w:lineRule="exact"/>
              <w:jc w:val="left"/>
              <w:rPr>
                <w:rFonts w:ascii="宋体" w:hAnsi="宋体" w:eastAsia="宋体" w:cs="宋体"/>
                <w:sz w:val="18"/>
                <w:szCs w:val="18"/>
              </w:rPr>
            </w:pPr>
            <w:r>
              <w:rPr>
                <w:rFonts w:ascii="宋体" w:hAnsi="宋体" w:eastAsia="宋体" w:cs="宋体"/>
                <w:sz w:val="18"/>
                <w:szCs w:val="18"/>
              </w:rPr>
              <w:t>原独立董事</w:t>
            </w:r>
          </w:p>
        </w:tc>
        <w:tc>
          <w:tcPr>
            <w:tcW w:w="1048" w:type="dxa"/>
            <w:tcBorders>
              <w:top w:val="single" w:color="auto" w:sz="2" w:space="0"/>
              <w:left w:val="single" w:color="auto" w:sz="2" w:space="0"/>
              <w:bottom w:val="single" w:color="auto" w:sz="2" w:space="0"/>
              <w:right w:val="single" w:color="auto" w:sz="2" w:space="0"/>
            </w:tcBorders>
            <w:vAlign w:val="center"/>
          </w:tcPr>
          <w:p w14:paraId="1DD2B640">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1377" w:type="dxa"/>
            <w:tcBorders>
              <w:top w:val="single" w:color="auto" w:sz="2" w:space="0"/>
              <w:left w:val="single" w:color="auto" w:sz="2" w:space="0"/>
              <w:bottom w:val="single" w:color="auto" w:sz="2" w:space="0"/>
              <w:right w:val="single" w:color="auto" w:sz="2" w:space="0"/>
            </w:tcBorders>
            <w:vAlign w:val="center"/>
          </w:tcPr>
          <w:p w14:paraId="6C072119">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6.00</w:t>
            </w:r>
          </w:p>
        </w:tc>
        <w:tc>
          <w:tcPr>
            <w:tcW w:w="1377" w:type="dxa"/>
            <w:tcBorders>
              <w:top w:val="single" w:color="auto" w:sz="2" w:space="0"/>
              <w:left w:val="single" w:color="auto" w:sz="2" w:space="0"/>
              <w:bottom w:val="single" w:color="auto" w:sz="2" w:space="0"/>
              <w:right w:val="single" w:color="auto" w:sz="2" w:space="0"/>
            </w:tcBorders>
            <w:vAlign w:val="center"/>
          </w:tcPr>
          <w:p w14:paraId="23C154BA">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34365F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4B476A69">
            <w:pPr>
              <w:spacing w:before="0" w:after="0" w:line="240" w:lineRule="exact"/>
              <w:jc w:val="left"/>
              <w:rPr>
                <w:rFonts w:ascii="宋体" w:hAnsi="宋体" w:eastAsia="宋体" w:cs="宋体"/>
                <w:sz w:val="18"/>
                <w:szCs w:val="18"/>
              </w:rPr>
            </w:pPr>
            <w:r>
              <w:rPr>
                <w:rFonts w:ascii="宋体" w:hAnsi="宋体" w:eastAsia="宋体" w:cs="宋体"/>
                <w:sz w:val="18"/>
                <w:szCs w:val="18"/>
              </w:rPr>
              <w:t>陈明宇</w:t>
            </w:r>
          </w:p>
        </w:tc>
        <w:tc>
          <w:tcPr>
            <w:tcW w:w="720" w:type="dxa"/>
            <w:tcBorders>
              <w:top w:val="single" w:color="auto" w:sz="2" w:space="0"/>
              <w:left w:val="single" w:color="auto" w:sz="2" w:space="0"/>
              <w:bottom w:val="single" w:color="auto" w:sz="2" w:space="0"/>
              <w:right w:val="single" w:color="auto" w:sz="2" w:space="0"/>
            </w:tcBorders>
            <w:vAlign w:val="center"/>
          </w:tcPr>
          <w:p w14:paraId="66F7AACE">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0AB763FF">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62</w:t>
            </w:r>
          </w:p>
        </w:tc>
        <w:tc>
          <w:tcPr>
            <w:tcW w:w="2110" w:type="dxa"/>
            <w:tcBorders>
              <w:top w:val="single" w:color="auto" w:sz="2" w:space="0"/>
              <w:left w:val="single" w:color="auto" w:sz="2" w:space="0"/>
              <w:bottom w:val="single" w:color="auto" w:sz="2" w:space="0"/>
              <w:right w:val="single" w:color="auto" w:sz="2" w:space="0"/>
            </w:tcBorders>
            <w:vAlign w:val="center"/>
          </w:tcPr>
          <w:p w14:paraId="5CD3B821">
            <w:pPr>
              <w:spacing w:before="0" w:after="0" w:line="240" w:lineRule="exact"/>
              <w:jc w:val="left"/>
              <w:rPr>
                <w:rFonts w:ascii="宋体" w:hAnsi="宋体" w:eastAsia="宋体" w:cs="宋体"/>
                <w:sz w:val="18"/>
                <w:szCs w:val="18"/>
              </w:rPr>
            </w:pPr>
            <w:r>
              <w:rPr>
                <w:rFonts w:ascii="宋体" w:hAnsi="宋体" w:eastAsia="宋体" w:cs="宋体"/>
                <w:sz w:val="18"/>
                <w:szCs w:val="18"/>
              </w:rPr>
              <w:t>原独立董事</w:t>
            </w:r>
          </w:p>
        </w:tc>
        <w:tc>
          <w:tcPr>
            <w:tcW w:w="1048" w:type="dxa"/>
            <w:tcBorders>
              <w:top w:val="single" w:color="auto" w:sz="2" w:space="0"/>
              <w:left w:val="single" w:color="auto" w:sz="2" w:space="0"/>
              <w:bottom w:val="single" w:color="auto" w:sz="2" w:space="0"/>
              <w:right w:val="single" w:color="auto" w:sz="2" w:space="0"/>
            </w:tcBorders>
            <w:vAlign w:val="center"/>
          </w:tcPr>
          <w:p w14:paraId="651A27D5">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1377" w:type="dxa"/>
            <w:tcBorders>
              <w:top w:val="single" w:color="auto" w:sz="2" w:space="0"/>
              <w:left w:val="single" w:color="auto" w:sz="2" w:space="0"/>
              <w:bottom w:val="single" w:color="auto" w:sz="2" w:space="0"/>
              <w:right w:val="single" w:color="auto" w:sz="2" w:space="0"/>
            </w:tcBorders>
            <w:vAlign w:val="center"/>
          </w:tcPr>
          <w:p w14:paraId="0EF72811">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6.00</w:t>
            </w:r>
          </w:p>
        </w:tc>
        <w:tc>
          <w:tcPr>
            <w:tcW w:w="1377" w:type="dxa"/>
            <w:tcBorders>
              <w:top w:val="single" w:color="auto" w:sz="2" w:space="0"/>
              <w:left w:val="single" w:color="auto" w:sz="2" w:space="0"/>
              <w:bottom w:val="single" w:color="auto" w:sz="2" w:space="0"/>
              <w:right w:val="single" w:color="auto" w:sz="2" w:space="0"/>
            </w:tcBorders>
            <w:vAlign w:val="center"/>
          </w:tcPr>
          <w:p w14:paraId="40454561">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71A0B1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3F9A960D">
            <w:pPr>
              <w:spacing w:before="0" w:after="0" w:line="240" w:lineRule="exact"/>
              <w:jc w:val="left"/>
              <w:rPr>
                <w:rFonts w:ascii="宋体" w:hAnsi="宋体" w:eastAsia="宋体" w:cs="宋体"/>
                <w:sz w:val="18"/>
                <w:szCs w:val="18"/>
              </w:rPr>
            </w:pPr>
            <w:r>
              <w:rPr>
                <w:rFonts w:ascii="宋体" w:hAnsi="宋体" w:eastAsia="宋体" w:cs="宋体"/>
                <w:sz w:val="18"/>
                <w:szCs w:val="18"/>
              </w:rPr>
              <w:t>强欣荣</w:t>
            </w:r>
          </w:p>
        </w:tc>
        <w:tc>
          <w:tcPr>
            <w:tcW w:w="720" w:type="dxa"/>
            <w:tcBorders>
              <w:top w:val="single" w:color="auto" w:sz="2" w:space="0"/>
              <w:left w:val="single" w:color="auto" w:sz="2" w:space="0"/>
              <w:bottom w:val="single" w:color="auto" w:sz="2" w:space="0"/>
              <w:right w:val="single" w:color="auto" w:sz="2" w:space="0"/>
            </w:tcBorders>
            <w:vAlign w:val="center"/>
          </w:tcPr>
          <w:p w14:paraId="7C4B1E21">
            <w:pPr>
              <w:spacing w:before="0" w:after="0" w:line="240" w:lineRule="exact"/>
              <w:jc w:val="left"/>
              <w:rPr>
                <w:rFonts w:ascii="宋体" w:hAnsi="宋体" w:eastAsia="宋体" w:cs="宋体"/>
                <w:sz w:val="18"/>
                <w:szCs w:val="18"/>
              </w:rPr>
            </w:pPr>
            <w:r>
              <w:rPr>
                <w:rFonts w:ascii="宋体" w:hAnsi="宋体" w:eastAsia="宋体" w:cs="宋体"/>
                <w:sz w:val="18"/>
                <w:szCs w:val="18"/>
              </w:rPr>
              <w:t>女</w:t>
            </w:r>
          </w:p>
        </w:tc>
        <w:tc>
          <w:tcPr>
            <w:tcW w:w="810" w:type="dxa"/>
            <w:tcBorders>
              <w:top w:val="single" w:color="auto" w:sz="2" w:space="0"/>
              <w:left w:val="single" w:color="auto" w:sz="2" w:space="0"/>
              <w:bottom w:val="single" w:color="auto" w:sz="2" w:space="0"/>
              <w:right w:val="single" w:color="auto" w:sz="2" w:space="0"/>
            </w:tcBorders>
            <w:vAlign w:val="center"/>
          </w:tcPr>
          <w:p w14:paraId="567AC78A">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53</w:t>
            </w:r>
          </w:p>
        </w:tc>
        <w:tc>
          <w:tcPr>
            <w:tcW w:w="2110" w:type="dxa"/>
            <w:tcBorders>
              <w:top w:val="single" w:color="auto" w:sz="2" w:space="0"/>
              <w:left w:val="single" w:color="auto" w:sz="2" w:space="0"/>
              <w:bottom w:val="single" w:color="auto" w:sz="2" w:space="0"/>
              <w:right w:val="single" w:color="auto" w:sz="2" w:space="0"/>
            </w:tcBorders>
            <w:vAlign w:val="center"/>
          </w:tcPr>
          <w:p w14:paraId="57C005AC">
            <w:pPr>
              <w:spacing w:before="0" w:after="0" w:line="240" w:lineRule="exact"/>
              <w:jc w:val="left"/>
              <w:rPr>
                <w:rFonts w:ascii="宋体" w:hAnsi="宋体" w:eastAsia="宋体" w:cs="宋体"/>
                <w:sz w:val="18"/>
                <w:szCs w:val="18"/>
              </w:rPr>
            </w:pPr>
            <w:r>
              <w:rPr>
                <w:rFonts w:ascii="宋体" w:hAnsi="宋体" w:eastAsia="宋体" w:cs="宋体"/>
                <w:sz w:val="18"/>
                <w:szCs w:val="18"/>
              </w:rPr>
              <w:t>原独立董事</w:t>
            </w:r>
          </w:p>
        </w:tc>
        <w:tc>
          <w:tcPr>
            <w:tcW w:w="1048" w:type="dxa"/>
            <w:tcBorders>
              <w:top w:val="single" w:color="auto" w:sz="2" w:space="0"/>
              <w:left w:val="single" w:color="auto" w:sz="2" w:space="0"/>
              <w:bottom w:val="single" w:color="auto" w:sz="2" w:space="0"/>
              <w:right w:val="single" w:color="auto" w:sz="2" w:space="0"/>
            </w:tcBorders>
            <w:vAlign w:val="center"/>
          </w:tcPr>
          <w:p w14:paraId="6D691998">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1377" w:type="dxa"/>
            <w:tcBorders>
              <w:top w:val="single" w:color="auto" w:sz="2" w:space="0"/>
              <w:left w:val="single" w:color="auto" w:sz="2" w:space="0"/>
              <w:bottom w:val="single" w:color="auto" w:sz="2" w:space="0"/>
              <w:right w:val="single" w:color="auto" w:sz="2" w:space="0"/>
            </w:tcBorders>
            <w:vAlign w:val="center"/>
          </w:tcPr>
          <w:p w14:paraId="52C08E42">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6.00</w:t>
            </w:r>
          </w:p>
        </w:tc>
        <w:tc>
          <w:tcPr>
            <w:tcW w:w="1377" w:type="dxa"/>
            <w:tcBorders>
              <w:top w:val="single" w:color="auto" w:sz="2" w:space="0"/>
              <w:left w:val="single" w:color="auto" w:sz="2" w:space="0"/>
              <w:bottom w:val="single" w:color="auto" w:sz="2" w:space="0"/>
              <w:right w:val="single" w:color="auto" w:sz="2" w:space="0"/>
            </w:tcBorders>
            <w:vAlign w:val="center"/>
          </w:tcPr>
          <w:p w14:paraId="0F5244C6">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30D099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449591A4">
            <w:pPr>
              <w:spacing w:before="0" w:after="0" w:line="240" w:lineRule="exact"/>
              <w:jc w:val="left"/>
              <w:rPr>
                <w:rFonts w:ascii="宋体" w:hAnsi="宋体" w:eastAsia="宋体" w:cs="宋体"/>
                <w:sz w:val="18"/>
                <w:szCs w:val="18"/>
              </w:rPr>
            </w:pPr>
            <w:r>
              <w:rPr>
                <w:rFonts w:ascii="宋体" w:hAnsi="宋体" w:eastAsia="宋体" w:cs="宋体"/>
                <w:sz w:val="18"/>
                <w:szCs w:val="18"/>
              </w:rPr>
              <w:t>李援黎</w:t>
            </w:r>
          </w:p>
        </w:tc>
        <w:tc>
          <w:tcPr>
            <w:tcW w:w="720" w:type="dxa"/>
            <w:tcBorders>
              <w:top w:val="single" w:color="auto" w:sz="2" w:space="0"/>
              <w:left w:val="single" w:color="auto" w:sz="2" w:space="0"/>
              <w:bottom w:val="single" w:color="auto" w:sz="2" w:space="0"/>
              <w:right w:val="single" w:color="auto" w:sz="2" w:space="0"/>
            </w:tcBorders>
            <w:vAlign w:val="center"/>
          </w:tcPr>
          <w:p w14:paraId="3FCC0773">
            <w:pPr>
              <w:spacing w:before="0" w:after="0" w:line="240" w:lineRule="exact"/>
              <w:jc w:val="left"/>
              <w:rPr>
                <w:rFonts w:ascii="宋体" w:hAnsi="宋体" w:eastAsia="宋体" w:cs="宋体"/>
                <w:sz w:val="18"/>
                <w:szCs w:val="18"/>
              </w:rPr>
            </w:pPr>
            <w:r>
              <w:rPr>
                <w:rFonts w:ascii="宋体" w:hAnsi="宋体" w:eastAsia="宋体" w:cs="宋体"/>
                <w:sz w:val="18"/>
                <w:szCs w:val="18"/>
              </w:rPr>
              <w:t>女</w:t>
            </w:r>
          </w:p>
        </w:tc>
        <w:tc>
          <w:tcPr>
            <w:tcW w:w="810" w:type="dxa"/>
            <w:tcBorders>
              <w:top w:val="single" w:color="auto" w:sz="2" w:space="0"/>
              <w:left w:val="single" w:color="auto" w:sz="2" w:space="0"/>
              <w:bottom w:val="single" w:color="auto" w:sz="2" w:space="0"/>
              <w:right w:val="single" w:color="auto" w:sz="2" w:space="0"/>
            </w:tcBorders>
            <w:vAlign w:val="center"/>
          </w:tcPr>
          <w:p w14:paraId="5FD2F72D">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67</w:t>
            </w:r>
          </w:p>
        </w:tc>
        <w:tc>
          <w:tcPr>
            <w:tcW w:w="2110" w:type="dxa"/>
            <w:tcBorders>
              <w:top w:val="single" w:color="auto" w:sz="2" w:space="0"/>
              <w:left w:val="single" w:color="auto" w:sz="2" w:space="0"/>
              <w:bottom w:val="single" w:color="auto" w:sz="2" w:space="0"/>
              <w:right w:val="single" w:color="auto" w:sz="2" w:space="0"/>
            </w:tcBorders>
            <w:vAlign w:val="center"/>
          </w:tcPr>
          <w:p w14:paraId="31B51D89">
            <w:pPr>
              <w:spacing w:before="0" w:after="0" w:line="240" w:lineRule="exact"/>
              <w:jc w:val="left"/>
              <w:rPr>
                <w:rFonts w:ascii="宋体" w:hAnsi="宋体" w:eastAsia="宋体" w:cs="宋体"/>
                <w:sz w:val="18"/>
                <w:szCs w:val="18"/>
              </w:rPr>
            </w:pPr>
            <w:r>
              <w:rPr>
                <w:rFonts w:ascii="宋体" w:hAnsi="宋体" w:eastAsia="宋体" w:cs="宋体"/>
                <w:sz w:val="18"/>
                <w:szCs w:val="18"/>
              </w:rPr>
              <w:t>原监事会主席</w:t>
            </w:r>
          </w:p>
        </w:tc>
        <w:tc>
          <w:tcPr>
            <w:tcW w:w="1048" w:type="dxa"/>
            <w:tcBorders>
              <w:top w:val="single" w:color="auto" w:sz="2" w:space="0"/>
              <w:left w:val="single" w:color="auto" w:sz="2" w:space="0"/>
              <w:bottom w:val="single" w:color="auto" w:sz="2" w:space="0"/>
              <w:right w:val="single" w:color="auto" w:sz="2" w:space="0"/>
            </w:tcBorders>
            <w:vAlign w:val="center"/>
          </w:tcPr>
          <w:p w14:paraId="37696882">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1377" w:type="dxa"/>
            <w:tcBorders>
              <w:top w:val="single" w:color="auto" w:sz="2" w:space="0"/>
              <w:left w:val="single" w:color="auto" w:sz="2" w:space="0"/>
              <w:bottom w:val="single" w:color="auto" w:sz="2" w:space="0"/>
              <w:right w:val="single" w:color="auto" w:sz="2" w:space="0"/>
            </w:tcBorders>
            <w:vAlign w:val="center"/>
          </w:tcPr>
          <w:p w14:paraId="4EBAA952">
            <w:pPr>
              <w:keepNext w:val="0"/>
              <w:keepLines w:val="0"/>
              <w:widowControl/>
              <w:suppressLineNumbers w:val="0"/>
              <w:jc w:val="right"/>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15.16</w:t>
            </w:r>
          </w:p>
        </w:tc>
        <w:tc>
          <w:tcPr>
            <w:tcW w:w="1377" w:type="dxa"/>
            <w:tcBorders>
              <w:top w:val="single" w:color="auto" w:sz="2" w:space="0"/>
              <w:left w:val="single" w:color="auto" w:sz="2" w:space="0"/>
              <w:bottom w:val="single" w:color="auto" w:sz="2" w:space="0"/>
              <w:right w:val="single" w:color="auto" w:sz="2" w:space="0"/>
            </w:tcBorders>
            <w:vAlign w:val="center"/>
          </w:tcPr>
          <w:p w14:paraId="0DB07EC2">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2D3A68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6971E062">
            <w:pPr>
              <w:spacing w:before="0" w:after="0" w:line="240" w:lineRule="exact"/>
              <w:jc w:val="left"/>
              <w:rPr>
                <w:rFonts w:ascii="宋体" w:hAnsi="宋体" w:eastAsia="宋体" w:cs="宋体"/>
                <w:sz w:val="18"/>
                <w:szCs w:val="18"/>
              </w:rPr>
            </w:pPr>
            <w:r>
              <w:rPr>
                <w:rFonts w:ascii="宋体" w:hAnsi="宋体" w:eastAsia="宋体" w:cs="宋体"/>
                <w:sz w:val="18"/>
                <w:szCs w:val="18"/>
              </w:rPr>
              <w:t>郭晓阳</w:t>
            </w:r>
          </w:p>
        </w:tc>
        <w:tc>
          <w:tcPr>
            <w:tcW w:w="720" w:type="dxa"/>
            <w:tcBorders>
              <w:top w:val="single" w:color="auto" w:sz="2" w:space="0"/>
              <w:left w:val="single" w:color="auto" w:sz="2" w:space="0"/>
              <w:bottom w:val="single" w:color="auto" w:sz="2" w:space="0"/>
              <w:right w:val="single" w:color="auto" w:sz="2" w:space="0"/>
            </w:tcBorders>
            <w:vAlign w:val="center"/>
          </w:tcPr>
          <w:p w14:paraId="5BB3B3F4">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42F6EE24">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56</w:t>
            </w:r>
          </w:p>
        </w:tc>
        <w:tc>
          <w:tcPr>
            <w:tcW w:w="2110" w:type="dxa"/>
            <w:tcBorders>
              <w:top w:val="single" w:color="auto" w:sz="2" w:space="0"/>
              <w:left w:val="single" w:color="auto" w:sz="2" w:space="0"/>
              <w:bottom w:val="single" w:color="auto" w:sz="2" w:space="0"/>
              <w:right w:val="single" w:color="auto" w:sz="2" w:space="0"/>
            </w:tcBorders>
            <w:vAlign w:val="center"/>
          </w:tcPr>
          <w:p w14:paraId="762FE786">
            <w:pPr>
              <w:spacing w:before="0" w:after="0" w:line="240" w:lineRule="exact"/>
              <w:jc w:val="left"/>
              <w:rPr>
                <w:rFonts w:ascii="宋体" w:hAnsi="宋体" w:eastAsia="宋体" w:cs="宋体"/>
                <w:sz w:val="18"/>
                <w:szCs w:val="18"/>
              </w:rPr>
            </w:pPr>
            <w:r>
              <w:rPr>
                <w:rFonts w:ascii="宋体" w:hAnsi="宋体" w:eastAsia="宋体" w:cs="宋体"/>
                <w:sz w:val="18"/>
                <w:szCs w:val="18"/>
              </w:rPr>
              <w:t>原监事</w:t>
            </w:r>
          </w:p>
        </w:tc>
        <w:tc>
          <w:tcPr>
            <w:tcW w:w="1048" w:type="dxa"/>
            <w:tcBorders>
              <w:top w:val="single" w:color="auto" w:sz="2" w:space="0"/>
              <w:left w:val="single" w:color="auto" w:sz="2" w:space="0"/>
              <w:bottom w:val="single" w:color="auto" w:sz="2" w:space="0"/>
              <w:right w:val="single" w:color="auto" w:sz="2" w:space="0"/>
            </w:tcBorders>
            <w:vAlign w:val="center"/>
          </w:tcPr>
          <w:p w14:paraId="2571CD6D">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1377" w:type="dxa"/>
            <w:tcBorders>
              <w:top w:val="single" w:color="auto" w:sz="2" w:space="0"/>
              <w:left w:val="single" w:color="auto" w:sz="2" w:space="0"/>
              <w:bottom w:val="single" w:color="auto" w:sz="2" w:space="0"/>
              <w:right w:val="single" w:color="auto" w:sz="2" w:space="0"/>
            </w:tcBorders>
            <w:vAlign w:val="center"/>
          </w:tcPr>
          <w:p w14:paraId="707AF4E5">
            <w:pPr>
              <w:keepNext w:val="0"/>
              <w:keepLines w:val="0"/>
              <w:widowControl/>
              <w:suppressLineNumbers w:val="0"/>
              <w:jc w:val="right"/>
              <w:textAlignment w:val="center"/>
              <w:rPr>
                <w:rFonts w:hint="eastAsia" w:ascii="宋体" w:hAnsi="宋体" w:eastAsia="宋体" w:cs="宋体"/>
                <w:sz w:val="18"/>
                <w:szCs w:val="18"/>
                <w:lang w:eastAsia="zh-CN"/>
              </w:rPr>
            </w:pPr>
            <w:r>
              <w:rPr>
                <w:rFonts w:hint="eastAsia" w:ascii="宋体" w:hAnsi="宋体" w:eastAsia="宋体" w:cs="宋体"/>
                <w:i w:val="0"/>
                <w:iCs w:val="0"/>
                <w:color w:val="000000"/>
                <w:kern w:val="0"/>
                <w:sz w:val="18"/>
                <w:szCs w:val="18"/>
                <w:u w:val="none"/>
                <w:lang w:val="en-US" w:eastAsia="zh-CN" w:bidi="ar"/>
              </w:rPr>
              <w:t>8.25</w:t>
            </w:r>
          </w:p>
        </w:tc>
        <w:tc>
          <w:tcPr>
            <w:tcW w:w="1377" w:type="dxa"/>
            <w:tcBorders>
              <w:top w:val="single" w:color="auto" w:sz="2" w:space="0"/>
              <w:left w:val="single" w:color="auto" w:sz="2" w:space="0"/>
              <w:bottom w:val="single" w:color="auto" w:sz="2" w:space="0"/>
              <w:right w:val="single" w:color="auto" w:sz="2" w:space="0"/>
            </w:tcBorders>
            <w:vAlign w:val="center"/>
          </w:tcPr>
          <w:p w14:paraId="77E90302">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4C388B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vAlign w:val="center"/>
          </w:tcPr>
          <w:p w14:paraId="073A757E">
            <w:pPr>
              <w:spacing w:before="0" w:after="0" w:line="240" w:lineRule="exact"/>
              <w:jc w:val="left"/>
              <w:rPr>
                <w:rFonts w:ascii="宋体" w:hAnsi="宋体" w:eastAsia="宋体" w:cs="宋体"/>
                <w:sz w:val="18"/>
                <w:szCs w:val="18"/>
              </w:rPr>
            </w:pPr>
            <w:r>
              <w:rPr>
                <w:rFonts w:ascii="宋体" w:hAnsi="宋体" w:eastAsia="宋体" w:cs="宋体"/>
                <w:sz w:val="18"/>
                <w:szCs w:val="18"/>
              </w:rPr>
              <w:t>John Wei-Zhong Mao（毛伟忠）</w:t>
            </w:r>
          </w:p>
        </w:tc>
        <w:tc>
          <w:tcPr>
            <w:tcW w:w="720" w:type="dxa"/>
            <w:tcBorders>
              <w:top w:val="single" w:color="auto" w:sz="2" w:space="0"/>
              <w:left w:val="single" w:color="auto" w:sz="2" w:space="0"/>
              <w:bottom w:val="single" w:color="auto" w:sz="2" w:space="0"/>
              <w:right w:val="single" w:color="auto" w:sz="2" w:space="0"/>
            </w:tcBorders>
            <w:vAlign w:val="center"/>
          </w:tcPr>
          <w:p w14:paraId="346E5EE2">
            <w:pPr>
              <w:spacing w:before="0" w:after="0" w:line="240" w:lineRule="exact"/>
              <w:jc w:val="left"/>
              <w:rPr>
                <w:rFonts w:ascii="宋体" w:hAnsi="宋体" w:eastAsia="宋体" w:cs="宋体"/>
                <w:sz w:val="18"/>
                <w:szCs w:val="18"/>
              </w:rPr>
            </w:pPr>
            <w:r>
              <w:rPr>
                <w:rFonts w:ascii="宋体" w:hAnsi="宋体" w:eastAsia="宋体" w:cs="宋体"/>
                <w:sz w:val="18"/>
                <w:szCs w:val="18"/>
              </w:rPr>
              <w:t>男</w:t>
            </w:r>
          </w:p>
        </w:tc>
        <w:tc>
          <w:tcPr>
            <w:tcW w:w="810" w:type="dxa"/>
            <w:tcBorders>
              <w:top w:val="single" w:color="auto" w:sz="2" w:space="0"/>
              <w:left w:val="single" w:color="auto" w:sz="2" w:space="0"/>
              <w:bottom w:val="single" w:color="auto" w:sz="2" w:space="0"/>
              <w:right w:val="single" w:color="auto" w:sz="2" w:space="0"/>
            </w:tcBorders>
            <w:vAlign w:val="center"/>
          </w:tcPr>
          <w:p w14:paraId="6C63E918">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62</w:t>
            </w:r>
          </w:p>
        </w:tc>
        <w:tc>
          <w:tcPr>
            <w:tcW w:w="2110" w:type="dxa"/>
            <w:tcBorders>
              <w:top w:val="single" w:color="auto" w:sz="2" w:space="0"/>
              <w:left w:val="single" w:color="auto" w:sz="2" w:space="0"/>
              <w:bottom w:val="single" w:color="auto" w:sz="2" w:space="0"/>
              <w:right w:val="single" w:color="auto" w:sz="2" w:space="0"/>
            </w:tcBorders>
            <w:vAlign w:val="center"/>
          </w:tcPr>
          <w:p w14:paraId="57938784">
            <w:pPr>
              <w:spacing w:before="0" w:after="0" w:line="240" w:lineRule="exact"/>
              <w:jc w:val="left"/>
              <w:rPr>
                <w:rFonts w:ascii="宋体" w:hAnsi="宋体" w:eastAsia="宋体" w:cs="宋体"/>
                <w:sz w:val="18"/>
                <w:szCs w:val="18"/>
              </w:rPr>
            </w:pPr>
            <w:r>
              <w:rPr>
                <w:rFonts w:ascii="宋体" w:hAnsi="宋体" w:eastAsia="宋体" w:cs="宋体"/>
                <w:sz w:val="18"/>
                <w:szCs w:val="18"/>
              </w:rPr>
              <w:t>原首席科学家</w:t>
            </w:r>
          </w:p>
        </w:tc>
        <w:tc>
          <w:tcPr>
            <w:tcW w:w="1048" w:type="dxa"/>
            <w:tcBorders>
              <w:top w:val="single" w:color="auto" w:sz="2" w:space="0"/>
              <w:left w:val="single" w:color="auto" w:sz="2" w:space="0"/>
              <w:bottom w:val="single" w:color="auto" w:sz="2" w:space="0"/>
              <w:right w:val="single" w:color="auto" w:sz="2" w:space="0"/>
            </w:tcBorders>
            <w:vAlign w:val="center"/>
          </w:tcPr>
          <w:p w14:paraId="4C4EF68D">
            <w:pPr>
              <w:spacing w:before="0" w:after="0" w:line="240" w:lineRule="exact"/>
              <w:jc w:val="left"/>
              <w:rPr>
                <w:rFonts w:ascii="宋体" w:hAnsi="宋体" w:eastAsia="宋体" w:cs="宋体"/>
                <w:sz w:val="18"/>
                <w:szCs w:val="18"/>
              </w:rPr>
            </w:pPr>
            <w:r>
              <w:rPr>
                <w:rFonts w:ascii="宋体" w:hAnsi="宋体" w:eastAsia="宋体" w:cs="宋体"/>
                <w:sz w:val="18"/>
                <w:szCs w:val="18"/>
              </w:rPr>
              <w:t>离任</w:t>
            </w:r>
          </w:p>
        </w:tc>
        <w:tc>
          <w:tcPr>
            <w:tcW w:w="1377" w:type="dxa"/>
            <w:tcBorders>
              <w:top w:val="single" w:color="auto" w:sz="2" w:space="0"/>
              <w:left w:val="single" w:color="auto" w:sz="2" w:space="0"/>
              <w:bottom w:val="single" w:color="auto" w:sz="2" w:space="0"/>
              <w:right w:val="single" w:color="auto" w:sz="2" w:space="0"/>
            </w:tcBorders>
            <w:vAlign w:val="center"/>
          </w:tcPr>
          <w:p w14:paraId="73ED0F35">
            <w:pPr>
              <w:keepNext w:val="0"/>
              <w:keepLines w:val="0"/>
              <w:widowControl/>
              <w:suppressLineNumbers w:val="0"/>
              <w:jc w:val="right"/>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90.00</w:t>
            </w:r>
          </w:p>
        </w:tc>
        <w:tc>
          <w:tcPr>
            <w:tcW w:w="1377" w:type="dxa"/>
            <w:tcBorders>
              <w:top w:val="single" w:color="auto" w:sz="2" w:space="0"/>
              <w:left w:val="single" w:color="auto" w:sz="2" w:space="0"/>
              <w:bottom w:val="single" w:color="auto" w:sz="2" w:space="0"/>
              <w:right w:val="single" w:color="auto" w:sz="2" w:space="0"/>
            </w:tcBorders>
            <w:vAlign w:val="center"/>
          </w:tcPr>
          <w:p w14:paraId="699A1540">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3E673C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97" w:type="dxa"/>
            <w:tcBorders>
              <w:top w:val="single" w:color="auto" w:sz="2" w:space="0"/>
              <w:left w:val="single" w:color="auto" w:sz="2" w:space="0"/>
              <w:bottom w:val="single" w:color="auto" w:sz="2" w:space="0"/>
              <w:right w:val="single" w:color="auto" w:sz="2" w:space="0"/>
            </w:tcBorders>
            <w:shd w:val="clear" w:color="auto" w:fill="D3D3D3"/>
            <w:vAlign w:val="center"/>
          </w:tcPr>
          <w:p w14:paraId="25C6242F">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720" w:type="dxa"/>
            <w:tcBorders>
              <w:top w:val="single" w:color="auto" w:sz="2" w:space="0"/>
              <w:left w:val="single" w:color="auto" w:sz="2" w:space="0"/>
              <w:bottom w:val="single" w:color="auto" w:sz="2" w:space="0"/>
              <w:right w:val="single" w:color="auto" w:sz="2" w:space="0"/>
            </w:tcBorders>
            <w:shd w:val="clear" w:color="auto" w:fill="D3D3D3"/>
            <w:vAlign w:val="center"/>
          </w:tcPr>
          <w:p w14:paraId="5A30DCF8">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810" w:type="dxa"/>
            <w:tcBorders>
              <w:top w:val="single" w:color="auto" w:sz="2" w:space="0"/>
              <w:left w:val="single" w:color="auto" w:sz="2" w:space="0"/>
              <w:bottom w:val="single" w:color="auto" w:sz="2" w:space="0"/>
              <w:right w:val="single" w:color="auto" w:sz="2" w:space="0"/>
            </w:tcBorders>
            <w:shd w:val="clear" w:color="auto" w:fill="D3D3D3"/>
            <w:vAlign w:val="center"/>
          </w:tcPr>
          <w:p w14:paraId="0B154E02">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2110" w:type="dxa"/>
            <w:tcBorders>
              <w:top w:val="single" w:color="auto" w:sz="2" w:space="0"/>
              <w:left w:val="single" w:color="auto" w:sz="2" w:space="0"/>
              <w:bottom w:val="single" w:color="auto" w:sz="2" w:space="0"/>
              <w:right w:val="single" w:color="auto" w:sz="2" w:space="0"/>
            </w:tcBorders>
            <w:shd w:val="clear" w:color="auto" w:fill="D3D3D3"/>
            <w:vAlign w:val="center"/>
          </w:tcPr>
          <w:p w14:paraId="30C7F0DF">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048" w:type="dxa"/>
            <w:tcBorders>
              <w:top w:val="single" w:color="auto" w:sz="2" w:space="0"/>
              <w:left w:val="single" w:color="auto" w:sz="2" w:space="0"/>
              <w:bottom w:val="single" w:color="auto" w:sz="2" w:space="0"/>
              <w:right w:val="single" w:color="auto" w:sz="2" w:space="0"/>
            </w:tcBorders>
            <w:shd w:val="clear" w:color="auto" w:fill="D3D3D3"/>
            <w:vAlign w:val="center"/>
          </w:tcPr>
          <w:p w14:paraId="6707E32A">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377" w:type="dxa"/>
            <w:tcBorders>
              <w:top w:val="single" w:color="auto" w:sz="2" w:space="0"/>
              <w:left w:val="single" w:color="auto" w:sz="2" w:space="0"/>
              <w:bottom w:val="single" w:color="auto" w:sz="2" w:space="0"/>
              <w:right w:val="single" w:color="auto" w:sz="2" w:space="0"/>
            </w:tcBorders>
            <w:shd w:val="clear" w:color="auto" w:fill="auto"/>
            <w:vAlign w:val="center"/>
          </w:tcPr>
          <w:p w14:paraId="00B81E0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18"/>
                <w:szCs w:val="18"/>
                <w:u w:val="none"/>
                <w:lang w:val="en-US" w:eastAsia="zh-CN" w:bidi="ar"/>
              </w:rPr>
              <w:t>1,020.56</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9ED06D7">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bookmarkEnd w:id="621"/>
    </w:tbl>
    <w:p w14:paraId="144A3544">
      <w:pPr>
        <w:spacing w:before="100" w:after="100" w:line="240" w:lineRule="exact"/>
        <w:jc w:val="left"/>
        <w:rPr>
          <w:rFonts w:ascii="宋体" w:hAnsi="宋体" w:eastAsia="宋体" w:cs="宋体"/>
          <w:sz w:val="18"/>
          <w:szCs w:val="18"/>
        </w:rPr>
      </w:pPr>
      <w:r>
        <w:rPr>
          <w:rFonts w:ascii="宋体" w:hAnsi="宋体" w:eastAsia="宋体" w:cs="宋体"/>
          <w:sz w:val="18"/>
          <w:szCs w:val="18"/>
        </w:rPr>
        <w:t>其他情况说明</w:t>
      </w:r>
    </w:p>
    <w:p w14:paraId="5ACA3137">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44B6D28">
      <w:pPr>
        <w:keepNext/>
        <w:keepLines/>
        <w:spacing w:before="300" w:after="300" w:line="320" w:lineRule="exact"/>
        <w:jc w:val="left"/>
        <w:outlineLvl w:val="1"/>
        <w:rPr>
          <w:rFonts w:ascii="宋体" w:hAnsi="宋体" w:eastAsia="宋体" w:cs="宋体"/>
          <w:b/>
          <w:bCs/>
          <w:sz w:val="24"/>
          <w:szCs w:val="24"/>
        </w:rPr>
      </w:pPr>
      <w:bookmarkStart w:id="70" w:name="_Toc988957"/>
      <w:r>
        <w:rPr>
          <w:rFonts w:ascii="宋体" w:hAnsi="宋体" w:eastAsia="宋体" w:cs="宋体"/>
          <w:b/>
          <w:bCs/>
          <w:sz w:val="24"/>
          <w:szCs w:val="24"/>
        </w:rPr>
        <w:t>八、报告期内董事履行职责的情况</w:t>
      </w:r>
      <w:bookmarkEnd w:id="70"/>
    </w:p>
    <w:p w14:paraId="6BBA4BB7">
      <w:pPr>
        <w:keepNext/>
        <w:keepLines/>
        <w:spacing w:before="300" w:after="300" w:line="280" w:lineRule="exact"/>
        <w:jc w:val="left"/>
        <w:outlineLvl w:val="2"/>
        <w:rPr>
          <w:rFonts w:ascii="宋体" w:hAnsi="宋体" w:eastAsia="宋体" w:cs="宋体"/>
          <w:b/>
          <w:bCs/>
          <w:sz w:val="21"/>
          <w:szCs w:val="21"/>
        </w:rPr>
      </w:pPr>
      <w:bookmarkStart w:id="71" w:name="_Toc988958"/>
      <w:r>
        <w:rPr>
          <w:rFonts w:ascii="宋体" w:hAnsi="宋体" w:eastAsia="宋体" w:cs="宋体"/>
          <w:b/>
          <w:bCs/>
          <w:sz w:val="21"/>
          <w:szCs w:val="21"/>
        </w:rPr>
        <w:t>1、本报告期董事会情况</w:t>
      </w:r>
      <w:bookmarkEnd w:id="71"/>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87"/>
        <w:gridCol w:w="1780"/>
        <w:gridCol w:w="1710"/>
        <w:gridCol w:w="4663"/>
      </w:tblGrid>
      <w:tr w14:paraId="2F94B6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87" w:type="dxa"/>
            <w:tcBorders>
              <w:top w:val="single" w:color="auto" w:sz="2" w:space="0"/>
              <w:left w:val="single" w:color="auto" w:sz="2" w:space="0"/>
              <w:bottom w:val="single" w:color="auto" w:sz="2" w:space="0"/>
              <w:right w:val="single" w:color="auto" w:sz="2" w:space="0"/>
            </w:tcBorders>
            <w:shd w:val="clear" w:color="auto" w:fill="D3D3D3"/>
            <w:vAlign w:val="center"/>
          </w:tcPr>
          <w:p w14:paraId="3E7C5EB7">
            <w:pPr>
              <w:spacing w:before="40" w:after="40" w:line="240" w:lineRule="exact"/>
              <w:jc w:val="center"/>
              <w:rPr>
                <w:rFonts w:ascii="宋体" w:hAnsi="宋体" w:eastAsia="宋体" w:cs="宋体"/>
                <w:sz w:val="18"/>
                <w:szCs w:val="18"/>
              </w:rPr>
            </w:pPr>
            <w:r>
              <w:rPr>
                <w:rFonts w:ascii="宋体" w:hAnsi="宋体" w:eastAsia="宋体" w:cs="宋体"/>
                <w:sz w:val="18"/>
                <w:szCs w:val="18"/>
              </w:rPr>
              <w:t>会议届次</w:t>
            </w:r>
          </w:p>
        </w:tc>
        <w:tc>
          <w:tcPr>
            <w:tcW w:w="1780" w:type="dxa"/>
            <w:tcBorders>
              <w:top w:val="single" w:color="auto" w:sz="2" w:space="0"/>
              <w:left w:val="single" w:color="auto" w:sz="2" w:space="0"/>
              <w:bottom w:val="single" w:color="auto" w:sz="2" w:space="0"/>
              <w:right w:val="single" w:color="auto" w:sz="2" w:space="0"/>
            </w:tcBorders>
            <w:shd w:val="clear" w:color="auto" w:fill="D3D3D3"/>
            <w:vAlign w:val="center"/>
          </w:tcPr>
          <w:p w14:paraId="32053954">
            <w:pPr>
              <w:spacing w:before="40" w:after="40" w:line="240" w:lineRule="exact"/>
              <w:jc w:val="center"/>
              <w:rPr>
                <w:rFonts w:ascii="宋体" w:hAnsi="宋体" w:eastAsia="宋体" w:cs="宋体"/>
                <w:sz w:val="18"/>
                <w:szCs w:val="18"/>
              </w:rPr>
            </w:pPr>
            <w:r>
              <w:rPr>
                <w:rFonts w:ascii="宋体" w:hAnsi="宋体" w:eastAsia="宋体" w:cs="宋体"/>
                <w:sz w:val="18"/>
                <w:szCs w:val="18"/>
              </w:rPr>
              <w:t>召开日期</w:t>
            </w:r>
          </w:p>
        </w:tc>
        <w:tc>
          <w:tcPr>
            <w:tcW w:w="1710" w:type="dxa"/>
            <w:tcBorders>
              <w:top w:val="single" w:color="auto" w:sz="2" w:space="0"/>
              <w:left w:val="single" w:color="auto" w:sz="2" w:space="0"/>
              <w:bottom w:val="single" w:color="auto" w:sz="2" w:space="0"/>
              <w:right w:val="single" w:color="auto" w:sz="2" w:space="0"/>
            </w:tcBorders>
            <w:shd w:val="clear" w:color="auto" w:fill="D3D3D3"/>
            <w:vAlign w:val="center"/>
          </w:tcPr>
          <w:p w14:paraId="62B85F56">
            <w:pPr>
              <w:spacing w:before="40" w:after="40" w:line="240" w:lineRule="exact"/>
              <w:jc w:val="center"/>
              <w:rPr>
                <w:rFonts w:ascii="宋体" w:hAnsi="宋体" w:eastAsia="宋体" w:cs="宋体"/>
                <w:sz w:val="18"/>
                <w:szCs w:val="18"/>
              </w:rPr>
            </w:pPr>
            <w:r>
              <w:rPr>
                <w:rFonts w:ascii="宋体" w:hAnsi="宋体" w:eastAsia="宋体" w:cs="宋体"/>
                <w:sz w:val="18"/>
                <w:szCs w:val="18"/>
              </w:rPr>
              <w:t>披露日期</w:t>
            </w:r>
          </w:p>
        </w:tc>
        <w:tc>
          <w:tcPr>
            <w:tcW w:w="4663" w:type="dxa"/>
            <w:tcBorders>
              <w:top w:val="single" w:color="auto" w:sz="2" w:space="0"/>
              <w:left w:val="single" w:color="auto" w:sz="2" w:space="0"/>
              <w:bottom w:val="single" w:color="auto" w:sz="2" w:space="0"/>
              <w:right w:val="single" w:color="auto" w:sz="2" w:space="0"/>
            </w:tcBorders>
            <w:shd w:val="clear" w:color="auto" w:fill="D3D3D3"/>
            <w:vAlign w:val="center"/>
          </w:tcPr>
          <w:p w14:paraId="3C2D37E7">
            <w:pPr>
              <w:spacing w:before="40" w:after="40" w:line="240" w:lineRule="exact"/>
              <w:jc w:val="center"/>
              <w:rPr>
                <w:rFonts w:ascii="宋体" w:hAnsi="宋体" w:eastAsia="宋体" w:cs="宋体"/>
                <w:sz w:val="18"/>
                <w:szCs w:val="18"/>
              </w:rPr>
            </w:pPr>
            <w:r>
              <w:rPr>
                <w:rFonts w:ascii="宋体" w:hAnsi="宋体" w:eastAsia="宋体" w:cs="宋体"/>
                <w:sz w:val="18"/>
                <w:szCs w:val="18"/>
              </w:rPr>
              <w:t>会议决议</w:t>
            </w:r>
          </w:p>
        </w:tc>
      </w:tr>
      <w:tr w14:paraId="04432B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87" w:type="dxa"/>
            <w:tcBorders>
              <w:top w:val="single" w:color="auto" w:sz="2" w:space="0"/>
              <w:left w:val="single" w:color="auto" w:sz="2" w:space="0"/>
              <w:bottom w:val="single" w:color="auto" w:sz="2" w:space="0"/>
              <w:right w:val="single" w:color="auto" w:sz="2" w:space="0"/>
            </w:tcBorders>
            <w:vAlign w:val="center"/>
          </w:tcPr>
          <w:p w14:paraId="3C77F418">
            <w:pPr>
              <w:spacing w:before="0" w:after="0" w:line="240" w:lineRule="exact"/>
              <w:jc w:val="left"/>
              <w:rPr>
                <w:rFonts w:ascii="宋体" w:hAnsi="宋体" w:eastAsia="宋体" w:cs="宋体"/>
                <w:sz w:val="18"/>
                <w:szCs w:val="18"/>
              </w:rPr>
            </w:pPr>
            <w:r>
              <w:rPr>
                <w:rFonts w:ascii="宋体" w:hAnsi="宋体" w:eastAsia="宋体" w:cs="宋体"/>
                <w:sz w:val="18"/>
                <w:szCs w:val="18"/>
              </w:rPr>
              <w:t>第四届董事会第二十八次会议</w:t>
            </w:r>
          </w:p>
        </w:tc>
        <w:tc>
          <w:tcPr>
            <w:tcW w:w="1780" w:type="dxa"/>
            <w:tcBorders>
              <w:top w:val="single" w:color="auto" w:sz="2" w:space="0"/>
              <w:left w:val="single" w:color="auto" w:sz="2" w:space="0"/>
              <w:bottom w:val="single" w:color="auto" w:sz="2" w:space="0"/>
              <w:right w:val="single" w:color="auto" w:sz="2" w:space="0"/>
            </w:tcBorders>
            <w:vAlign w:val="center"/>
          </w:tcPr>
          <w:p w14:paraId="316B5256">
            <w:pPr>
              <w:spacing w:before="0" w:after="0" w:line="240" w:lineRule="exact"/>
              <w:jc w:val="left"/>
              <w:rPr>
                <w:rFonts w:ascii="宋体" w:hAnsi="宋体" w:eastAsia="宋体" w:cs="宋体"/>
                <w:sz w:val="18"/>
                <w:szCs w:val="18"/>
              </w:rPr>
            </w:pPr>
            <w:r>
              <w:rPr>
                <w:rFonts w:ascii="宋体" w:hAnsi="宋体" w:eastAsia="宋体" w:cs="宋体"/>
                <w:sz w:val="18"/>
                <w:szCs w:val="18"/>
              </w:rPr>
              <w:t>2024年01月09日</w:t>
            </w:r>
          </w:p>
        </w:tc>
        <w:tc>
          <w:tcPr>
            <w:tcW w:w="1710" w:type="dxa"/>
            <w:tcBorders>
              <w:top w:val="single" w:color="auto" w:sz="2" w:space="0"/>
              <w:left w:val="single" w:color="auto" w:sz="2" w:space="0"/>
              <w:bottom w:val="single" w:color="auto" w:sz="2" w:space="0"/>
              <w:right w:val="single" w:color="auto" w:sz="2" w:space="0"/>
            </w:tcBorders>
            <w:vAlign w:val="center"/>
          </w:tcPr>
          <w:p w14:paraId="19F8EB4C">
            <w:pPr>
              <w:spacing w:before="0" w:after="0" w:line="240" w:lineRule="exact"/>
              <w:jc w:val="left"/>
              <w:rPr>
                <w:rFonts w:ascii="宋体" w:hAnsi="宋体" w:eastAsia="宋体" w:cs="宋体"/>
                <w:sz w:val="18"/>
                <w:szCs w:val="18"/>
              </w:rPr>
            </w:pPr>
            <w:r>
              <w:rPr>
                <w:rFonts w:ascii="宋体" w:hAnsi="宋体" w:eastAsia="宋体" w:cs="宋体"/>
                <w:sz w:val="18"/>
                <w:szCs w:val="18"/>
              </w:rPr>
              <w:t>2024年01月09日</w:t>
            </w:r>
          </w:p>
        </w:tc>
        <w:tc>
          <w:tcPr>
            <w:tcW w:w="4663" w:type="dxa"/>
            <w:tcBorders>
              <w:top w:val="single" w:color="auto" w:sz="2" w:space="0"/>
              <w:left w:val="single" w:color="auto" w:sz="2" w:space="0"/>
              <w:bottom w:val="single" w:color="auto" w:sz="2" w:space="0"/>
              <w:right w:val="single" w:color="auto" w:sz="2" w:space="0"/>
            </w:tcBorders>
            <w:vAlign w:val="center"/>
          </w:tcPr>
          <w:p w14:paraId="7DA4F913">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巨潮资讯网（www.cninfo.com.cn）《关于第四届董事会第二十八次会议决议的公告》（公告编号：2024002）</w:t>
            </w:r>
          </w:p>
        </w:tc>
      </w:tr>
      <w:tr w14:paraId="278DE6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87" w:type="dxa"/>
            <w:tcBorders>
              <w:top w:val="single" w:color="auto" w:sz="2" w:space="0"/>
              <w:left w:val="single" w:color="auto" w:sz="2" w:space="0"/>
              <w:bottom w:val="single" w:color="auto" w:sz="2" w:space="0"/>
              <w:right w:val="single" w:color="auto" w:sz="2" w:space="0"/>
            </w:tcBorders>
            <w:vAlign w:val="center"/>
          </w:tcPr>
          <w:p w14:paraId="2B92065C">
            <w:pPr>
              <w:spacing w:before="0" w:after="0" w:line="240" w:lineRule="exact"/>
              <w:jc w:val="left"/>
              <w:rPr>
                <w:rFonts w:ascii="宋体" w:hAnsi="宋体" w:eastAsia="宋体" w:cs="宋体"/>
                <w:sz w:val="18"/>
                <w:szCs w:val="18"/>
              </w:rPr>
            </w:pPr>
            <w:r>
              <w:rPr>
                <w:rFonts w:ascii="宋体" w:hAnsi="宋体" w:eastAsia="宋体" w:cs="宋体"/>
                <w:sz w:val="18"/>
                <w:szCs w:val="18"/>
              </w:rPr>
              <w:t>第四届董事会第二十九次会议</w:t>
            </w:r>
          </w:p>
        </w:tc>
        <w:tc>
          <w:tcPr>
            <w:tcW w:w="1780" w:type="dxa"/>
            <w:tcBorders>
              <w:top w:val="single" w:color="auto" w:sz="2" w:space="0"/>
              <w:left w:val="single" w:color="auto" w:sz="2" w:space="0"/>
              <w:bottom w:val="single" w:color="auto" w:sz="2" w:space="0"/>
              <w:right w:val="single" w:color="auto" w:sz="2" w:space="0"/>
            </w:tcBorders>
            <w:vAlign w:val="center"/>
          </w:tcPr>
          <w:p w14:paraId="245AE8B6">
            <w:pPr>
              <w:spacing w:before="0" w:after="0" w:line="240" w:lineRule="exact"/>
              <w:jc w:val="left"/>
              <w:rPr>
                <w:rFonts w:ascii="宋体" w:hAnsi="宋体" w:eastAsia="宋体" w:cs="宋体"/>
                <w:sz w:val="18"/>
                <w:szCs w:val="18"/>
              </w:rPr>
            </w:pPr>
            <w:r>
              <w:rPr>
                <w:rFonts w:ascii="宋体" w:hAnsi="宋体" w:eastAsia="宋体" w:cs="宋体"/>
                <w:sz w:val="18"/>
                <w:szCs w:val="18"/>
              </w:rPr>
              <w:t>2024年03月29日</w:t>
            </w:r>
          </w:p>
        </w:tc>
        <w:tc>
          <w:tcPr>
            <w:tcW w:w="1710" w:type="dxa"/>
            <w:tcBorders>
              <w:top w:val="single" w:color="auto" w:sz="2" w:space="0"/>
              <w:left w:val="single" w:color="auto" w:sz="2" w:space="0"/>
              <w:bottom w:val="single" w:color="auto" w:sz="2" w:space="0"/>
              <w:right w:val="single" w:color="auto" w:sz="2" w:space="0"/>
            </w:tcBorders>
            <w:vAlign w:val="center"/>
          </w:tcPr>
          <w:p w14:paraId="633E73CC">
            <w:pPr>
              <w:spacing w:before="0" w:after="0" w:line="240" w:lineRule="exact"/>
              <w:jc w:val="left"/>
              <w:rPr>
                <w:rFonts w:ascii="宋体" w:hAnsi="宋体" w:eastAsia="宋体" w:cs="宋体"/>
                <w:sz w:val="18"/>
                <w:szCs w:val="18"/>
              </w:rPr>
            </w:pPr>
            <w:r>
              <w:rPr>
                <w:rFonts w:ascii="宋体" w:hAnsi="宋体" w:eastAsia="宋体" w:cs="宋体"/>
                <w:sz w:val="18"/>
                <w:szCs w:val="18"/>
              </w:rPr>
              <w:t>2024年04月01日</w:t>
            </w:r>
          </w:p>
        </w:tc>
        <w:tc>
          <w:tcPr>
            <w:tcW w:w="4663" w:type="dxa"/>
            <w:tcBorders>
              <w:top w:val="single" w:color="auto" w:sz="2" w:space="0"/>
              <w:left w:val="single" w:color="auto" w:sz="2" w:space="0"/>
              <w:bottom w:val="single" w:color="auto" w:sz="2" w:space="0"/>
              <w:right w:val="single" w:color="auto" w:sz="2" w:space="0"/>
            </w:tcBorders>
            <w:vAlign w:val="center"/>
          </w:tcPr>
          <w:p w14:paraId="7D8333D3">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巨潮资讯网（www.cninfo.com.cn）《关于第四届董事会第二十九次会议决议的公告》（公告编号：2024015）</w:t>
            </w:r>
          </w:p>
        </w:tc>
      </w:tr>
      <w:tr w14:paraId="04ABFE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87" w:type="dxa"/>
            <w:tcBorders>
              <w:top w:val="single" w:color="auto" w:sz="2" w:space="0"/>
              <w:left w:val="single" w:color="auto" w:sz="2" w:space="0"/>
              <w:bottom w:val="single" w:color="auto" w:sz="2" w:space="0"/>
              <w:right w:val="single" w:color="auto" w:sz="2" w:space="0"/>
            </w:tcBorders>
            <w:vAlign w:val="center"/>
          </w:tcPr>
          <w:p w14:paraId="042154C5">
            <w:pPr>
              <w:spacing w:before="0" w:after="0" w:line="240" w:lineRule="exact"/>
              <w:jc w:val="left"/>
              <w:rPr>
                <w:rFonts w:ascii="宋体" w:hAnsi="宋体" w:eastAsia="宋体" w:cs="宋体"/>
                <w:sz w:val="18"/>
                <w:szCs w:val="18"/>
              </w:rPr>
            </w:pPr>
            <w:r>
              <w:rPr>
                <w:rFonts w:ascii="宋体" w:hAnsi="宋体" w:eastAsia="宋体" w:cs="宋体"/>
                <w:sz w:val="18"/>
                <w:szCs w:val="18"/>
              </w:rPr>
              <w:t>第四届董事会第三十次会议</w:t>
            </w:r>
          </w:p>
        </w:tc>
        <w:tc>
          <w:tcPr>
            <w:tcW w:w="1780" w:type="dxa"/>
            <w:tcBorders>
              <w:top w:val="single" w:color="auto" w:sz="2" w:space="0"/>
              <w:left w:val="single" w:color="auto" w:sz="2" w:space="0"/>
              <w:bottom w:val="single" w:color="auto" w:sz="2" w:space="0"/>
              <w:right w:val="single" w:color="auto" w:sz="2" w:space="0"/>
            </w:tcBorders>
            <w:vAlign w:val="center"/>
          </w:tcPr>
          <w:p w14:paraId="15C4394D">
            <w:pPr>
              <w:spacing w:before="0" w:after="0" w:line="240" w:lineRule="exact"/>
              <w:jc w:val="left"/>
              <w:rPr>
                <w:rFonts w:ascii="宋体" w:hAnsi="宋体" w:eastAsia="宋体" w:cs="宋体"/>
                <w:sz w:val="18"/>
                <w:szCs w:val="18"/>
              </w:rPr>
            </w:pPr>
            <w:r>
              <w:rPr>
                <w:rFonts w:ascii="宋体" w:hAnsi="宋体" w:eastAsia="宋体" w:cs="宋体"/>
                <w:sz w:val="18"/>
                <w:szCs w:val="18"/>
              </w:rPr>
              <w:t>2024年04月18日</w:t>
            </w:r>
          </w:p>
        </w:tc>
        <w:tc>
          <w:tcPr>
            <w:tcW w:w="1710" w:type="dxa"/>
            <w:tcBorders>
              <w:top w:val="single" w:color="auto" w:sz="2" w:space="0"/>
              <w:left w:val="single" w:color="auto" w:sz="2" w:space="0"/>
              <w:bottom w:val="single" w:color="auto" w:sz="2" w:space="0"/>
              <w:right w:val="single" w:color="auto" w:sz="2" w:space="0"/>
            </w:tcBorders>
            <w:vAlign w:val="center"/>
          </w:tcPr>
          <w:p w14:paraId="0E837A31">
            <w:pPr>
              <w:spacing w:before="0" w:after="0" w:line="240" w:lineRule="exact"/>
              <w:jc w:val="left"/>
              <w:rPr>
                <w:rFonts w:ascii="宋体" w:hAnsi="宋体" w:eastAsia="宋体" w:cs="宋体"/>
                <w:sz w:val="18"/>
                <w:szCs w:val="18"/>
              </w:rPr>
            </w:pPr>
            <w:r>
              <w:rPr>
                <w:rFonts w:ascii="宋体" w:hAnsi="宋体" w:eastAsia="宋体" w:cs="宋体"/>
                <w:sz w:val="18"/>
                <w:szCs w:val="18"/>
              </w:rPr>
              <w:t>2024年04月20日</w:t>
            </w:r>
          </w:p>
        </w:tc>
        <w:tc>
          <w:tcPr>
            <w:tcW w:w="4663" w:type="dxa"/>
            <w:tcBorders>
              <w:top w:val="single" w:color="auto" w:sz="2" w:space="0"/>
              <w:left w:val="single" w:color="auto" w:sz="2" w:space="0"/>
              <w:bottom w:val="single" w:color="auto" w:sz="2" w:space="0"/>
              <w:right w:val="single" w:color="auto" w:sz="2" w:space="0"/>
            </w:tcBorders>
            <w:vAlign w:val="center"/>
          </w:tcPr>
          <w:p w14:paraId="4128AE4E">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巨潮资讯网（www.cninfo.com.cn）《关于第四届董事会第三十次会议决议的公告》（公告编号：2024025）</w:t>
            </w:r>
          </w:p>
        </w:tc>
      </w:tr>
      <w:tr w14:paraId="131C46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87" w:type="dxa"/>
            <w:tcBorders>
              <w:top w:val="single" w:color="auto" w:sz="2" w:space="0"/>
              <w:left w:val="single" w:color="auto" w:sz="2" w:space="0"/>
              <w:bottom w:val="single" w:color="auto" w:sz="2" w:space="0"/>
              <w:right w:val="single" w:color="auto" w:sz="2" w:space="0"/>
            </w:tcBorders>
            <w:vAlign w:val="center"/>
          </w:tcPr>
          <w:p w14:paraId="1C4DA9F4">
            <w:pPr>
              <w:spacing w:before="0" w:after="0" w:line="240" w:lineRule="exact"/>
              <w:jc w:val="left"/>
              <w:rPr>
                <w:rFonts w:ascii="宋体" w:hAnsi="宋体" w:eastAsia="宋体" w:cs="宋体"/>
                <w:sz w:val="18"/>
                <w:szCs w:val="18"/>
              </w:rPr>
            </w:pPr>
            <w:r>
              <w:rPr>
                <w:rFonts w:ascii="宋体" w:hAnsi="宋体" w:eastAsia="宋体" w:cs="宋体"/>
                <w:sz w:val="18"/>
                <w:szCs w:val="18"/>
              </w:rPr>
              <w:t>第四届董事会第三十一次会议</w:t>
            </w:r>
          </w:p>
        </w:tc>
        <w:tc>
          <w:tcPr>
            <w:tcW w:w="1780" w:type="dxa"/>
            <w:tcBorders>
              <w:top w:val="single" w:color="auto" w:sz="2" w:space="0"/>
              <w:left w:val="single" w:color="auto" w:sz="2" w:space="0"/>
              <w:bottom w:val="single" w:color="auto" w:sz="2" w:space="0"/>
              <w:right w:val="single" w:color="auto" w:sz="2" w:space="0"/>
            </w:tcBorders>
            <w:vAlign w:val="center"/>
          </w:tcPr>
          <w:p w14:paraId="57316B71">
            <w:pPr>
              <w:spacing w:before="0" w:after="0" w:line="240" w:lineRule="exact"/>
              <w:jc w:val="left"/>
              <w:rPr>
                <w:rFonts w:ascii="宋体" w:hAnsi="宋体" w:eastAsia="宋体" w:cs="宋体"/>
                <w:sz w:val="18"/>
                <w:szCs w:val="18"/>
              </w:rPr>
            </w:pPr>
            <w:r>
              <w:rPr>
                <w:rFonts w:ascii="宋体" w:hAnsi="宋体" w:eastAsia="宋体" w:cs="宋体"/>
                <w:sz w:val="18"/>
                <w:szCs w:val="18"/>
              </w:rPr>
              <w:t>2024年06月07日</w:t>
            </w:r>
          </w:p>
        </w:tc>
        <w:tc>
          <w:tcPr>
            <w:tcW w:w="1710" w:type="dxa"/>
            <w:tcBorders>
              <w:top w:val="single" w:color="auto" w:sz="2" w:space="0"/>
              <w:left w:val="single" w:color="auto" w:sz="2" w:space="0"/>
              <w:bottom w:val="single" w:color="auto" w:sz="2" w:space="0"/>
              <w:right w:val="single" w:color="auto" w:sz="2" w:space="0"/>
            </w:tcBorders>
            <w:vAlign w:val="center"/>
          </w:tcPr>
          <w:p w14:paraId="30EEB96B">
            <w:pPr>
              <w:spacing w:before="0" w:after="0" w:line="240" w:lineRule="exact"/>
              <w:jc w:val="left"/>
              <w:rPr>
                <w:rFonts w:ascii="宋体" w:hAnsi="宋体" w:eastAsia="宋体" w:cs="宋体"/>
                <w:sz w:val="18"/>
                <w:szCs w:val="18"/>
              </w:rPr>
            </w:pPr>
            <w:r>
              <w:rPr>
                <w:rFonts w:ascii="宋体" w:hAnsi="宋体" w:eastAsia="宋体" w:cs="宋体"/>
                <w:sz w:val="18"/>
                <w:szCs w:val="18"/>
              </w:rPr>
              <w:t>2024年06月08日</w:t>
            </w:r>
          </w:p>
        </w:tc>
        <w:tc>
          <w:tcPr>
            <w:tcW w:w="4663" w:type="dxa"/>
            <w:tcBorders>
              <w:top w:val="single" w:color="auto" w:sz="2" w:space="0"/>
              <w:left w:val="single" w:color="auto" w:sz="2" w:space="0"/>
              <w:bottom w:val="single" w:color="auto" w:sz="2" w:space="0"/>
              <w:right w:val="single" w:color="auto" w:sz="2" w:space="0"/>
            </w:tcBorders>
            <w:vAlign w:val="center"/>
          </w:tcPr>
          <w:p w14:paraId="286235A6">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巨潮资讯网（www.cninfo.com.cn）《关于第四届董事会第三十一次会议决议的公告》（公告编号：2024043）</w:t>
            </w:r>
          </w:p>
        </w:tc>
      </w:tr>
      <w:tr w14:paraId="1327B8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87" w:type="dxa"/>
            <w:tcBorders>
              <w:top w:val="single" w:color="auto" w:sz="2" w:space="0"/>
              <w:left w:val="single" w:color="auto" w:sz="2" w:space="0"/>
              <w:bottom w:val="single" w:color="auto" w:sz="2" w:space="0"/>
              <w:right w:val="single" w:color="auto" w:sz="2" w:space="0"/>
            </w:tcBorders>
            <w:vAlign w:val="center"/>
          </w:tcPr>
          <w:p w14:paraId="40EDDF50">
            <w:pPr>
              <w:spacing w:before="0" w:after="0" w:line="240" w:lineRule="exact"/>
              <w:jc w:val="left"/>
              <w:rPr>
                <w:rFonts w:ascii="宋体" w:hAnsi="宋体" w:eastAsia="宋体" w:cs="宋体"/>
                <w:sz w:val="18"/>
                <w:szCs w:val="18"/>
              </w:rPr>
            </w:pPr>
            <w:r>
              <w:rPr>
                <w:rFonts w:ascii="宋体" w:hAnsi="宋体" w:eastAsia="宋体" w:cs="宋体"/>
                <w:sz w:val="18"/>
                <w:szCs w:val="18"/>
              </w:rPr>
              <w:t>第五届董事会第一次会议</w:t>
            </w:r>
          </w:p>
        </w:tc>
        <w:tc>
          <w:tcPr>
            <w:tcW w:w="1780" w:type="dxa"/>
            <w:tcBorders>
              <w:top w:val="single" w:color="auto" w:sz="2" w:space="0"/>
              <w:left w:val="single" w:color="auto" w:sz="2" w:space="0"/>
              <w:bottom w:val="single" w:color="auto" w:sz="2" w:space="0"/>
              <w:right w:val="single" w:color="auto" w:sz="2" w:space="0"/>
            </w:tcBorders>
            <w:vAlign w:val="center"/>
          </w:tcPr>
          <w:p w14:paraId="002F97D7">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1710" w:type="dxa"/>
            <w:tcBorders>
              <w:top w:val="single" w:color="auto" w:sz="2" w:space="0"/>
              <w:left w:val="single" w:color="auto" w:sz="2" w:space="0"/>
              <w:bottom w:val="single" w:color="auto" w:sz="2" w:space="0"/>
              <w:right w:val="single" w:color="auto" w:sz="2" w:space="0"/>
            </w:tcBorders>
            <w:vAlign w:val="center"/>
          </w:tcPr>
          <w:p w14:paraId="1E5F4B04">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4663" w:type="dxa"/>
            <w:tcBorders>
              <w:top w:val="single" w:color="auto" w:sz="2" w:space="0"/>
              <w:left w:val="single" w:color="auto" w:sz="2" w:space="0"/>
              <w:bottom w:val="single" w:color="auto" w:sz="2" w:space="0"/>
              <w:right w:val="single" w:color="auto" w:sz="2" w:space="0"/>
            </w:tcBorders>
            <w:vAlign w:val="center"/>
          </w:tcPr>
          <w:p w14:paraId="4C5BA269">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巨潮资讯网（www.cninfo.com.cn）《关于第五届董事会第一次会议决议的公告》（公告编号：2024049）</w:t>
            </w:r>
          </w:p>
        </w:tc>
      </w:tr>
      <w:tr w14:paraId="685F1B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87" w:type="dxa"/>
            <w:tcBorders>
              <w:top w:val="single" w:color="auto" w:sz="2" w:space="0"/>
              <w:left w:val="single" w:color="auto" w:sz="2" w:space="0"/>
              <w:bottom w:val="single" w:color="auto" w:sz="2" w:space="0"/>
              <w:right w:val="single" w:color="auto" w:sz="2" w:space="0"/>
            </w:tcBorders>
            <w:vAlign w:val="center"/>
          </w:tcPr>
          <w:p w14:paraId="2C0B71B6">
            <w:pPr>
              <w:spacing w:before="0" w:after="0" w:line="240" w:lineRule="exact"/>
              <w:jc w:val="left"/>
              <w:rPr>
                <w:rFonts w:ascii="宋体" w:hAnsi="宋体" w:eastAsia="宋体" w:cs="宋体"/>
                <w:sz w:val="18"/>
                <w:szCs w:val="18"/>
              </w:rPr>
            </w:pPr>
            <w:r>
              <w:rPr>
                <w:rFonts w:ascii="宋体" w:hAnsi="宋体" w:eastAsia="宋体" w:cs="宋体"/>
                <w:sz w:val="18"/>
                <w:szCs w:val="18"/>
              </w:rPr>
              <w:t>第五届董事会第二次会议</w:t>
            </w:r>
          </w:p>
        </w:tc>
        <w:tc>
          <w:tcPr>
            <w:tcW w:w="1780" w:type="dxa"/>
            <w:tcBorders>
              <w:top w:val="single" w:color="auto" w:sz="2" w:space="0"/>
              <w:left w:val="single" w:color="auto" w:sz="2" w:space="0"/>
              <w:bottom w:val="single" w:color="auto" w:sz="2" w:space="0"/>
              <w:right w:val="single" w:color="auto" w:sz="2" w:space="0"/>
            </w:tcBorders>
            <w:vAlign w:val="center"/>
          </w:tcPr>
          <w:p w14:paraId="3472E0F2">
            <w:pPr>
              <w:spacing w:before="0" w:after="0" w:line="240" w:lineRule="exact"/>
              <w:jc w:val="left"/>
              <w:rPr>
                <w:rFonts w:ascii="宋体" w:hAnsi="宋体" w:eastAsia="宋体" w:cs="宋体"/>
                <w:sz w:val="18"/>
                <w:szCs w:val="18"/>
              </w:rPr>
            </w:pPr>
            <w:r>
              <w:rPr>
                <w:rFonts w:ascii="宋体" w:hAnsi="宋体" w:eastAsia="宋体" w:cs="宋体"/>
                <w:sz w:val="18"/>
                <w:szCs w:val="18"/>
              </w:rPr>
              <w:t>2024年07月30日</w:t>
            </w:r>
          </w:p>
        </w:tc>
        <w:tc>
          <w:tcPr>
            <w:tcW w:w="1710" w:type="dxa"/>
            <w:tcBorders>
              <w:top w:val="single" w:color="auto" w:sz="2" w:space="0"/>
              <w:left w:val="single" w:color="auto" w:sz="2" w:space="0"/>
              <w:bottom w:val="single" w:color="auto" w:sz="2" w:space="0"/>
              <w:right w:val="single" w:color="auto" w:sz="2" w:space="0"/>
            </w:tcBorders>
            <w:vAlign w:val="center"/>
          </w:tcPr>
          <w:p w14:paraId="4A6BC1EE">
            <w:pPr>
              <w:spacing w:before="0" w:after="0" w:line="240" w:lineRule="exact"/>
              <w:jc w:val="left"/>
              <w:rPr>
                <w:rFonts w:ascii="宋体" w:hAnsi="宋体" w:eastAsia="宋体" w:cs="宋体"/>
                <w:sz w:val="18"/>
                <w:szCs w:val="18"/>
              </w:rPr>
            </w:pPr>
            <w:r>
              <w:rPr>
                <w:rFonts w:ascii="宋体" w:hAnsi="宋体" w:eastAsia="宋体" w:cs="宋体"/>
                <w:sz w:val="18"/>
                <w:szCs w:val="18"/>
              </w:rPr>
              <w:t>2024年07月31日</w:t>
            </w:r>
          </w:p>
        </w:tc>
        <w:tc>
          <w:tcPr>
            <w:tcW w:w="4663" w:type="dxa"/>
            <w:tcBorders>
              <w:top w:val="single" w:color="auto" w:sz="2" w:space="0"/>
              <w:left w:val="single" w:color="auto" w:sz="2" w:space="0"/>
              <w:bottom w:val="single" w:color="auto" w:sz="2" w:space="0"/>
              <w:right w:val="single" w:color="auto" w:sz="2" w:space="0"/>
            </w:tcBorders>
            <w:vAlign w:val="center"/>
          </w:tcPr>
          <w:p w14:paraId="0387659A">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巨潮资讯网（www.cninfo.com.cn）《关于第五届董事会第二次会议决议的公告》（公告编号：2024054）</w:t>
            </w:r>
          </w:p>
        </w:tc>
      </w:tr>
      <w:tr w14:paraId="496298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87" w:type="dxa"/>
            <w:tcBorders>
              <w:top w:val="single" w:color="auto" w:sz="2" w:space="0"/>
              <w:left w:val="single" w:color="auto" w:sz="2" w:space="0"/>
              <w:bottom w:val="single" w:color="auto" w:sz="2" w:space="0"/>
              <w:right w:val="single" w:color="auto" w:sz="2" w:space="0"/>
            </w:tcBorders>
            <w:vAlign w:val="center"/>
          </w:tcPr>
          <w:p w14:paraId="141777E4">
            <w:pPr>
              <w:spacing w:before="0" w:after="0" w:line="240" w:lineRule="exact"/>
              <w:jc w:val="left"/>
              <w:rPr>
                <w:rFonts w:ascii="宋体" w:hAnsi="宋体" w:eastAsia="宋体" w:cs="宋体"/>
                <w:sz w:val="18"/>
                <w:szCs w:val="18"/>
              </w:rPr>
            </w:pPr>
            <w:r>
              <w:rPr>
                <w:rFonts w:ascii="宋体" w:hAnsi="宋体" w:eastAsia="宋体" w:cs="宋体"/>
                <w:sz w:val="18"/>
                <w:szCs w:val="18"/>
              </w:rPr>
              <w:t>第五届董事会第三次会议</w:t>
            </w:r>
          </w:p>
        </w:tc>
        <w:tc>
          <w:tcPr>
            <w:tcW w:w="1780" w:type="dxa"/>
            <w:tcBorders>
              <w:top w:val="single" w:color="auto" w:sz="2" w:space="0"/>
              <w:left w:val="single" w:color="auto" w:sz="2" w:space="0"/>
              <w:bottom w:val="single" w:color="auto" w:sz="2" w:space="0"/>
              <w:right w:val="single" w:color="auto" w:sz="2" w:space="0"/>
            </w:tcBorders>
            <w:vAlign w:val="center"/>
          </w:tcPr>
          <w:p w14:paraId="79A7328E">
            <w:pPr>
              <w:spacing w:before="0" w:after="0" w:line="240" w:lineRule="exact"/>
              <w:jc w:val="left"/>
              <w:rPr>
                <w:rFonts w:ascii="宋体" w:hAnsi="宋体" w:eastAsia="宋体" w:cs="宋体"/>
                <w:sz w:val="18"/>
                <w:szCs w:val="18"/>
              </w:rPr>
            </w:pPr>
            <w:r>
              <w:rPr>
                <w:rFonts w:ascii="宋体" w:hAnsi="宋体" w:eastAsia="宋体" w:cs="宋体"/>
                <w:sz w:val="18"/>
                <w:szCs w:val="18"/>
              </w:rPr>
              <w:t>2024年08月27日</w:t>
            </w:r>
          </w:p>
        </w:tc>
        <w:tc>
          <w:tcPr>
            <w:tcW w:w="1710" w:type="dxa"/>
            <w:tcBorders>
              <w:top w:val="single" w:color="auto" w:sz="2" w:space="0"/>
              <w:left w:val="single" w:color="auto" w:sz="2" w:space="0"/>
              <w:bottom w:val="single" w:color="auto" w:sz="2" w:space="0"/>
              <w:right w:val="single" w:color="auto" w:sz="2" w:space="0"/>
            </w:tcBorders>
            <w:vAlign w:val="center"/>
          </w:tcPr>
          <w:p w14:paraId="0D37F981">
            <w:pPr>
              <w:spacing w:before="0" w:after="0" w:line="240" w:lineRule="exact"/>
              <w:jc w:val="left"/>
              <w:rPr>
                <w:rFonts w:ascii="宋体" w:hAnsi="宋体" w:eastAsia="宋体" w:cs="宋体"/>
                <w:sz w:val="18"/>
                <w:szCs w:val="18"/>
              </w:rPr>
            </w:pPr>
            <w:r>
              <w:rPr>
                <w:rFonts w:ascii="宋体" w:hAnsi="宋体" w:eastAsia="宋体" w:cs="宋体"/>
                <w:sz w:val="18"/>
                <w:szCs w:val="18"/>
              </w:rPr>
              <w:t>2024年08月28日</w:t>
            </w:r>
          </w:p>
        </w:tc>
        <w:tc>
          <w:tcPr>
            <w:tcW w:w="4663" w:type="dxa"/>
            <w:tcBorders>
              <w:top w:val="single" w:color="auto" w:sz="2" w:space="0"/>
              <w:left w:val="single" w:color="auto" w:sz="2" w:space="0"/>
              <w:bottom w:val="single" w:color="auto" w:sz="2" w:space="0"/>
              <w:right w:val="single" w:color="auto" w:sz="2" w:space="0"/>
            </w:tcBorders>
            <w:vAlign w:val="center"/>
          </w:tcPr>
          <w:p w14:paraId="6E67CD7B">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巨潮资讯网（www.cninfo.com.cn）《关于第五届董事会第三次会议决议的公告》（公告编号：2024061）</w:t>
            </w:r>
          </w:p>
        </w:tc>
      </w:tr>
      <w:tr w14:paraId="454209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87" w:type="dxa"/>
            <w:tcBorders>
              <w:top w:val="single" w:color="auto" w:sz="2" w:space="0"/>
              <w:left w:val="single" w:color="auto" w:sz="2" w:space="0"/>
              <w:bottom w:val="single" w:color="auto" w:sz="2" w:space="0"/>
              <w:right w:val="single" w:color="auto" w:sz="2" w:space="0"/>
            </w:tcBorders>
            <w:vAlign w:val="center"/>
          </w:tcPr>
          <w:p w14:paraId="0C8181AE">
            <w:pPr>
              <w:spacing w:before="0" w:after="0" w:line="240" w:lineRule="exact"/>
              <w:jc w:val="left"/>
              <w:rPr>
                <w:rFonts w:ascii="宋体" w:hAnsi="宋体" w:eastAsia="宋体" w:cs="宋体"/>
                <w:sz w:val="18"/>
                <w:szCs w:val="18"/>
              </w:rPr>
            </w:pPr>
            <w:r>
              <w:rPr>
                <w:rFonts w:ascii="宋体" w:hAnsi="宋体" w:eastAsia="宋体" w:cs="宋体"/>
                <w:sz w:val="18"/>
                <w:szCs w:val="18"/>
              </w:rPr>
              <w:t>第五届董事会第四次会议</w:t>
            </w:r>
          </w:p>
        </w:tc>
        <w:tc>
          <w:tcPr>
            <w:tcW w:w="1780" w:type="dxa"/>
            <w:tcBorders>
              <w:top w:val="single" w:color="auto" w:sz="2" w:space="0"/>
              <w:left w:val="single" w:color="auto" w:sz="2" w:space="0"/>
              <w:bottom w:val="single" w:color="auto" w:sz="2" w:space="0"/>
              <w:right w:val="single" w:color="auto" w:sz="2" w:space="0"/>
            </w:tcBorders>
            <w:vAlign w:val="center"/>
          </w:tcPr>
          <w:p w14:paraId="77852C01">
            <w:pPr>
              <w:spacing w:before="0" w:after="0" w:line="240" w:lineRule="exact"/>
              <w:jc w:val="left"/>
              <w:rPr>
                <w:rFonts w:ascii="宋体" w:hAnsi="宋体" w:eastAsia="宋体" w:cs="宋体"/>
                <w:sz w:val="18"/>
                <w:szCs w:val="18"/>
              </w:rPr>
            </w:pPr>
            <w:r>
              <w:rPr>
                <w:rFonts w:ascii="宋体" w:hAnsi="宋体" w:eastAsia="宋体" w:cs="宋体"/>
                <w:sz w:val="18"/>
                <w:szCs w:val="18"/>
              </w:rPr>
              <w:t>2024年10月24日</w:t>
            </w:r>
          </w:p>
        </w:tc>
        <w:tc>
          <w:tcPr>
            <w:tcW w:w="1710" w:type="dxa"/>
            <w:tcBorders>
              <w:top w:val="single" w:color="auto" w:sz="2" w:space="0"/>
              <w:left w:val="single" w:color="auto" w:sz="2" w:space="0"/>
              <w:bottom w:val="single" w:color="auto" w:sz="2" w:space="0"/>
              <w:right w:val="single" w:color="auto" w:sz="2" w:space="0"/>
            </w:tcBorders>
            <w:vAlign w:val="center"/>
          </w:tcPr>
          <w:p w14:paraId="5BBBEA16">
            <w:pPr>
              <w:spacing w:before="0" w:after="0" w:line="240" w:lineRule="exact"/>
              <w:jc w:val="left"/>
              <w:rPr>
                <w:rFonts w:ascii="宋体" w:hAnsi="宋体" w:eastAsia="宋体" w:cs="宋体"/>
                <w:sz w:val="18"/>
                <w:szCs w:val="18"/>
              </w:rPr>
            </w:pPr>
            <w:r>
              <w:rPr>
                <w:rFonts w:ascii="宋体" w:hAnsi="宋体" w:eastAsia="宋体" w:cs="宋体"/>
                <w:sz w:val="18"/>
                <w:szCs w:val="18"/>
              </w:rPr>
              <w:t>2024年10月25日</w:t>
            </w:r>
          </w:p>
        </w:tc>
        <w:tc>
          <w:tcPr>
            <w:tcW w:w="4663" w:type="dxa"/>
            <w:tcBorders>
              <w:top w:val="single" w:color="auto" w:sz="2" w:space="0"/>
              <w:left w:val="single" w:color="auto" w:sz="2" w:space="0"/>
              <w:bottom w:val="single" w:color="auto" w:sz="2" w:space="0"/>
              <w:right w:val="single" w:color="auto" w:sz="2" w:space="0"/>
            </w:tcBorders>
            <w:vAlign w:val="center"/>
          </w:tcPr>
          <w:p w14:paraId="4588D4FA">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巨潮资讯网（www.cninfo.com.cn）《关于第五届董事会第四次会议决议的公告》（公告编号：2024069）</w:t>
            </w:r>
          </w:p>
        </w:tc>
      </w:tr>
      <w:tr w14:paraId="74C303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87" w:type="dxa"/>
            <w:tcBorders>
              <w:top w:val="single" w:color="auto" w:sz="2" w:space="0"/>
              <w:left w:val="single" w:color="auto" w:sz="2" w:space="0"/>
              <w:bottom w:val="single" w:color="auto" w:sz="2" w:space="0"/>
              <w:right w:val="single" w:color="auto" w:sz="2" w:space="0"/>
            </w:tcBorders>
            <w:vAlign w:val="center"/>
          </w:tcPr>
          <w:p w14:paraId="5A954CA2">
            <w:pPr>
              <w:spacing w:before="0" w:after="0" w:line="240" w:lineRule="exact"/>
              <w:jc w:val="left"/>
              <w:rPr>
                <w:rFonts w:ascii="宋体" w:hAnsi="宋体" w:eastAsia="宋体" w:cs="宋体"/>
                <w:sz w:val="18"/>
                <w:szCs w:val="18"/>
              </w:rPr>
            </w:pPr>
            <w:r>
              <w:rPr>
                <w:rFonts w:ascii="宋体" w:hAnsi="宋体" w:eastAsia="宋体" w:cs="宋体"/>
                <w:sz w:val="18"/>
                <w:szCs w:val="18"/>
              </w:rPr>
              <w:t>第五届董事会第五次会议</w:t>
            </w:r>
          </w:p>
        </w:tc>
        <w:tc>
          <w:tcPr>
            <w:tcW w:w="1780" w:type="dxa"/>
            <w:tcBorders>
              <w:top w:val="single" w:color="auto" w:sz="2" w:space="0"/>
              <w:left w:val="single" w:color="auto" w:sz="2" w:space="0"/>
              <w:bottom w:val="single" w:color="auto" w:sz="2" w:space="0"/>
              <w:right w:val="single" w:color="auto" w:sz="2" w:space="0"/>
            </w:tcBorders>
            <w:vAlign w:val="center"/>
          </w:tcPr>
          <w:p w14:paraId="656F4EF4">
            <w:pPr>
              <w:spacing w:before="0" w:after="0" w:line="240" w:lineRule="exact"/>
              <w:jc w:val="left"/>
              <w:rPr>
                <w:rFonts w:ascii="宋体" w:hAnsi="宋体" w:eastAsia="宋体" w:cs="宋体"/>
                <w:sz w:val="18"/>
                <w:szCs w:val="18"/>
              </w:rPr>
            </w:pPr>
            <w:r>
              <w:rPr>
                <w:rFonts w:ascii="宋体" w:hAnsi="宋体" w:eastAsia="宋体" w:cs="宋体"/>
                <w:sz w:val="18"/>
                <w:szCs w:val="18"/>
              </w:rPr>
              <w:t>2024年11月22日</w:t>
            </w:r>
          </w:p>
        </w:tc>
        <w:tc>
          <w:tcPr>
            <w:tcW w:w="1710" w:type="dxa"/>
            <w:tcBorders>
              <w:top w:val="single" w:color="auto" w:sz="2" w:space="0"/>
              <w:left w:val="single" w:color="auto" w:sz="2" w:space="0"/>
              <w:bottom w:val="single" w:color="auto" w:sz="2" w:space="0"/>
              <w:right w:val="single" w:color="auto" w:sz="2" w:space="0"/>
            </w:tcBorders>
            <w:vAlign w:val="center"/>
          </w:tcPr>
          <w:p w14:paraId="6735571E">
            <w:pPr>
              <w:spacing w:before="0" w:after="0" w:line="240" w:lineRule="exact"/>
              <w:jc w:val="left"/>
              <w:rPr>
                <w:rFonts w:ascii="宋体" w:hAnsi="宋体" w:eastAsia="宋体" w:cs="宋体"/>
                <w:sz w:val="18"/>
                <w:szCs w:val="18"/>
              </w:rPr>
            </w:pPr>
            <w:r>
              <w:rPr>
                <w:rFonts w:ascii="宋体" w:hAnsi="宋体" w:eastAsia="宋体" w:cs="宋体"/>
                <w:sz w:val="18"/>
                <w:szCs w:val="18"/>
              </w:rPr>
              <w:t>2024年11月23日</w:t>
            </w:r>
          </w:p>
        </w:tc>
        <w:tc>
          <w:tcPr>
            <w:tcW w:w="4663" w:type="dxa"/>
            <w:tcBorders>
              <w:top w:val="single" w:color="auto" w:sz="2" w:space="0"/>
              <w:left w:val="single" w:color="auto" w:sz="2" w:space="0"/>
              <w:bottom w:val="single" w:color="auto" w:sz="2" w:space="0"/>
              <w:right w:val="single" w:color="auto" w:sz="2" w:space="0"/>
            </w:tcBorders>
            <w:vAlign w:val="center"/>
          </w:tcPr>
          <w:p w14:paraId="12105B84">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巨潮资讯网（www.cninfo.com.cn）《关于第五届董事会第五次会议决议的公告》（公告编号：2024074）</w:t>
            </w:r>
          </w:p>
        </w:tc>
      </w:tr>
    </w:tbl>
    <w:p w14:paraId="2F3A646B">
      <w:pPr>
        <w:keepNext/>
        <w:keepLines/>
        <w:spacing w:before="300" w:after="300" w:line="280" w:lineRule="exact"/>
        <w:jc w:val="left"/>
        <w:outlineLvl w:val="2"/>
        <w:rPr>
          <w:rFonts w:ascii="宋体" w:hAnsi="宋体" w:eastAsia="宋体" w:cs="宋体"/>
          <w:b/>
          <w:bCs/>
          <w:sz w:val="21"/>
          <w:szCs w:val="21"/>
        </w:rPr>
      </w:pPr>
      <w:bookmarkStart w:id="72" w:name="_Toc988959"/>
      <w:r>
        <w:rPr>
          <w:rFonts w:ascii="宋体" w:hAnsi="宋体" w:eastAsia="宋体" w:cs="宋体"/>
          <w:b/>
          <w:bCs/>
          <w:sz w:val="21"/>
          <w:szCs w:val="21"/>
        </w:rPr>
        <w:t>2、董事出席董事会及股东大会的情况</w:t>
      </w:r>
      <w:bookmarkEnd w:id="72"/>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37"/>
        <w:gridCol w:w="1320"/>
        <w:gridCol w:w="1358"/>
        <w:gridCol w:w="1205"/>
        <w:gridCol w:w="1205"/>
        <w:gridCol w:w="1052"/>
        <w:gridCol w:w="1358"/>
        <w:gridCol w:w="1205"/>
      </w:tblGrid>
      <w:tr w14:paraId="19A6B7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0" w:type="dxa"/>
            <w:gridSpan w:val="8"/>
            <w:tcBorders>
              <w:top w:val="single" w:color="auto" w:sz="2" w:space="0"/>
              <w:left w:val="single" w:color="auto" w:sz="2" w:space="0"/>
              <w:bottom w:val="single" w:color="auto" w:sz="2" w:space="0"/>
              <w:right w:val="single" w:color="auto" w:sz="2" w:space="0"/>
            </w:tcBorders>
            <w:shd w:val="clear" w:color="auto" w:fill="D3D3D3"/>
            <w:vAlign w:val="center"/>
          </w:tcPr>
          <w:p w14:paraId="0D317576">
            <w:pPr>
              <w:spacing w:before="40" w:after="40" w:line="240" w:lineRule="exact"/>
              <w:jc w:val="center"/>
              <w:rPr>
                <w:rFonts w:ascii="宋体" w:hAnsi="宋体" w:eastAsia="宋体" w:cs="宋体"/>
                <w:sz w:val="18"/>
                <w:szCs w:val="18"/>
              </w:rPr>
            </w:pPr>
            <w:r>
              <w:rPr>
                <w:rFonts w:ascii="宋体" w:hAnsi="宋体" w:eastAsia="宋体" w:cs="宋体"/>
                <w:sz w:val="18"/>
                <w:szCs w:val="18"/>
              </w:rPr>
              <w:t>董事出席董事会及股东大会的情况</w:t>
            </w:r>
          </w:p>
        </w:tc>
      </w:tr>
      <w:tr w14:paraId="70663B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shd w:val="clear" w:color="auto" w:fill="D3D3D3"/>
            <w:vAlign w:val="center"/>
          </w:tcPr>
          <w:p w14:paraId="70DDD2FA">
            <w:pPr>
              <w:spacing w:before="40" w:after="40" w:line="240" w:lineRule="exact"/>
              <w:jc w:val="center"/>
              <w:rPr>
                <w:rFonts w:ascii="宋体" w:hAnsi="宋体" w:eastAsia="宋体" w:cs="宋体"/>
                <w:sz w:val="18"/>
                <w:szCs w:val="18"/>
              </w:rPr>
            </w:pPr>
            <w:r>
              <w:rPr>
                <w:rFonts w:ascii="宋体" w:hAnsi="宋体" w:eastAsia="宋体" w:cs="宋体"/>
                <w:sz w:val="18"/>
                <w:szCs w:val="18"/>
              </w:rPr>
              <w:t>董事姓名</w:t>
            </w:r>
          </w:p>
        </w:tc>
        <w:tc>
          <w:tcPr>
            <w:tcW w:w="1320" w:type="dxa"/>
            <w:tcBorders>
              <w:top w:val="single" w:color="auto" w:sz="2" w:space="0"/>
              <w:left w:val="single" w:color="auto" w:sz="2" w:space="0"/>
              <w:bottom w:val="single" w:color="auto" w:sz="2" w:space="0"/>
              <w:right w:val="single" w:color="auto" w:sz="2" w:space="0"/>
            </w:tcBorders>
            <w:shd w:val="clear" w:color="auto" w:fill="D3D3D3"/>
            <w:vAlign w:val="center"/>
          </w:tcPr>
          <w:p w14:paraId="128EF949">
            <w:pPr>
              <w:spacing w:before="40" w:after="40" w:line="240" w:lineRule="exact"/>
              <w:jc w:val="center"/>
              <w:rPr>
                <w:rFonts w:ascii="宋体" w:hAnsi="宋体" w:eastAsia="宋体" w:cs="宋体"/>
                <w:sz w:val="18"/>
                <w:szCs w:val="18"/>
              </w:rPr>
            </w:pPr>
            <w:r>
              <w:rPr>
                <w:rFonts w:ascii="宋体" w:hAnsi="宋体" w:eastAsia="宋体" w:cs="宋体"/>
                <w:sz w:val="18"/>
                <w:szCs w:val="18"/>
              </w:rPr>
              <w:t>本报告期应参加董事会次数</w:t>
            </w:r>
          </w:p>
        </w:tc>
        <w:tc>
          <w:tcPr>
            <w:tcW w:w="1358" w:type="dxa"/>
            <w:tcBorders>
              <w:top w:val="single" w:color="auto" w:sz="2" w:space="0"/>
              <w:left w:val="single" w:color="auto" w:sz="2" w:space="0"/>
              <w:bottom w:val="single" w:color="auto" w:sz="2" w:space="0"/>
              <w:right w:val="single" w:color="auto" w:sz="2" w:space="0"/>
            </w:tcBorders>
            <w:shd w:val="clear" w:color="auto" w:fill="D3D3D3"/>
            <w:vAlign w:val="center"/>
          </w:tcPr>
          <w:p w14:paraId="2FA48D14">
            <w:pPr>
              <w:spacing w:before="40" w:after="40" w:line="240" w:lineRule="exact"/>
              <w:jc w:val="center"/>
              <w:rPr>
                <w:rFonts w:ascii="宋体" w:hAnsi="宋体" w:eastAsia="宋体" w:cs="宋体"/>
                <w:sz w:val="18"/>
                <w:szCs w:val="18"/>
              </w:rPr>
            </w:pPr>
            <w:r>
              <w:rPr>
                <w:rFonts w:ascii="宋体" w:hAnsi="宋体" w:eastAsia="宋体" w:cs="宋体"/>
                <w:sz w:val="18"/>
                <w:szCs w:val="18"/>
              </w:rPr>
              <w:t>现场出席董事会次数</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67A9240C">
            <w:pPr>
              <w:spacing w:before="40" w:after="40" w:line="240" w:lineRule="exact"/>
              <w:jc w:val="center"/>
              <w:rPr>
                <w:rFonts w:ascii="宋体" w:hAnsi="宋体" w:eastAsia="宋体" w:cs="宋体"/>
                <w:sz w:val="18"/>
                <w:szCs w:val="18"/>
              </w:rPr>
            </w:pPr>
            <w:r>
              <w:rPr>
                <w:rFonts w:ascii="宋体" w:hAnsi="宋体" w:eastAsia="宋体" w:cs="宋体"/>
                <w:sz w:val="18"/>
                <w:szCs w:val="18"/>
              </w:rPr>
              <w:t>以通讯方式参加董事会次数</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32ADD130">
            <w:pPr>
              <w:spacing w:before="40" w:after="40" w:line="240" w:lineRule="exact"/>
              <w:jc w:val="center"/>
              <w:rPr>
                <w:rFonts w:ascii="宋体" w:hAnsi="宋体" w:eastAsia="宋体" w:cs="宋体"/>
                <w:sz w:val="18"/>
                <w:szCs w:val="18"/>
              </w:rPr>
            </w:pPr>
            <w:r>
              <w:rPr>
                <w:rFonts w:ascii="宋体" w:hAnsi="宋体" w:eastAsia="宋体" w:cs="宋体"/>
                <w:sz w:val="18"/>
                <w:szCs w:val="18"/>
              </w:rPr>
              <w:t>委托出席董事会次数</w:t>
            </w:r>
          </w:p>
        </w:tc>
        <w:tc>
          <w:tcPr>
            <w:tcW w:w="1052" w:type="dxa"/>
            <w:tcBorders>
              <w:top w:val="single" w:color="auto" w:sz="2" w:space="0"/>
              <w:left w:val="single" w:color="auto" w:sz="2" w:space="0"/>
              <w:bottom w:val="single" w:color="auto" w:sz="2" w:space="0"/>
              <w:right w:val="single" w:color="auto" w:sz="2" w:space="0"/>
            </w:tcBorders>
            <w:shd w:val="clear" w:color="auto" w:fill="D3D3D3"/>
            <w:vAlign w:val="center"/>
          </w:tcPr>
          <w:p w14:paraId="24182C39">
            <w:pPr>
              <w:spacing w:before="40" w:after="40" w:line="240" w:lineRule="exact"/>
              <w:jc w:val="center"/>
              <w:rPr>
                <w:rFonts w:ascii="宋体" w:hAnsi="宋体" w:eastAsia="宋体" w:cs="宋体"/>
                <w:sz w:val="18"/>
                <w:szCs w:val="18"/>
              </w:rPr>
            </w:pPr>
            <w:r>
              <w:rPr>
                <w:rFonts w:ascii="宋体" w:hAnsi="宋体" w:eastAsia="宋体" w:cs="宋体"/>
                <w:sz w:val="18"/>
                <w:szCs w:val="18"/>
              </w:rPr>
              <w:t>缺席董事会次数</w:t>
            </w:r>
          </w:p>
        </w:tc>
        <w:tc>
          <w:tcPr>
            <w:tcW w:w="1358" w:type="dxa"/>
            <w:tcBorders>
              <w:top w:val="single" w:color="auto" w:sz="2" w:space="0"/>
              <w:left w:val="single" w:color="auto" w:sz="2" w:space="0"/>
              <w:bottom w:val="single" w:color="auto" w:sz="2" w:space="0"/>
              <w:right w:val="single" w:color="auto" w:sz="2" w:space="0"/>
            </w:tcBorders>
            <w:shd w:val="clear" w:color="auto" w:fill="D3D3D3"/>
            <w:vAlign w:val="center"/>
          </w:tcPr>
          <w:p w14:paraId="1DC2EF4A">
            <w:pPr>
              <w:spacing w:before="40" w:after="40" w:line="240" w:lineRule="exact"/>
              <w:jc w:val="center"/>
              <w:rPr>
                <w:rFonts w:ascii="宋体" w:hAnsi="宋体" w:eastAsia="宋体" w:cs="宋体"/>
                <w:sz w:val="18"/>
                <w:szCs w:val="18"/>
              </w:rPr>
            </w:pPr>
            <w:r>
              <w:rPr>
                <w:rFonts w:ascii="宋体" w:hAnsi="宋体" w:eastAsia="宋体" w:cs="宋体"/>
                <w:sz w:val="18"/>
                <w:szCs w:val="18"/>
              </w:rPr>
              <w:t>是否连续两次未亲自参加董事会会议</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5453BF3D">
            <w:pPr>
              <w:spacing w:before="40" w:after="40" w:line="240" w:lineRule="exact"/>
              <w:jc w:val="center"/>
              <w:rPr>
                <w:rFonts w:ascii="宋体" w:hAnsi="宋体" w:eastAsia="宋体" w:cs="宋体"/>
                <w:sz w:val="18"/>
                <w:szCs w:val="18"/>
              </w:rPr>
            </w:pPr>
            <w:r>
              <w:rPr>
                <w:rFonts w:ascii="宋体" w:hAnsi="宋体" w:eastAsia="宋体" w:cs="宋体"/>
                <w:sz w:val="18"/>
                <w:szCs w:val="18"/>
              </w:rPr>
              <w:t>出席股东大会次数</w:t>
            </w:r>
          </w:p>
        </w:tc>
      </w:tr>
      <w:tr w14:paraId="681E51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7EE87A3A">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320" w:type="dxa"/>
            <w:tcBorders>
              <w:top w:val="single" w:color="auto" w:sz="2" w:space="0"/>
              <w:left w:val="single" w:color="auto" w:sz="2" w:space="0"/>
              <w:bottom w:val="single" w:color="auto" w:sz="2" w:space="0"/>
              <w:right w:val="single" w:color="auto" w:sz="2" w:space="0"/>
            </w:tcBorders>
            <w:vAlign w:val="center"/>
          </w:tcPr>
          <w:p w14:paraId="3FF34AB8">
            <w:pPr>
              <w:spacing w:before="0" w:after="0" w:line="240" w:lineRule="exact"/>
              <w:jc w:val="right"/>
              <w:rPr>
                <w:rFonts w:ascii="宋体" w:hAnsi="宋体" w:eastAsia="宋体" w:cs="宋体"/>
                <w:sz w:val="18"/>
                <w:szCs w:val="18"/>
              </w:rPr>
            </w:pPr>
            <w:r>
              <w:rPr>
                <w:rFonts w:ascii="宋体" w:hAnsi="宋体" w:eastAsia="宋体" w:cs="宋体"/>
                <w:sz w:val="18"/>
                <w:szCs w:val="18"/>
              </w:rPr>
              <w:t>9</w:t>
            </w:r>
          </w:p>
        </w:tc>
        <w:tc>
          <w:tcPr>
            <w:tcW w:w="1358" w:type="dxa"/>
            <w:tcBorders>
              <w:top w:val="single" w:color="auto" w:sz="2" w:space="0"/>
              <w:left w:val="single" w:color="auto" w:sz="2" w:space="0"/>
              <w:bottom w:val="single" w:color="auto" w:sz="2" w:space="0"/>
              <w:right w:val="single" w:color="auto" w:sz="2" w:space="0"/>
            </w:tcBorders>
            <w:vAlign w:val="center"/>
          </w:tcPr>
          <w:p w14:paraId="724D6350">
            <w:pPr>
              <w:spacing w:before="0" w:after="0" w:line="240" w:lineRule="exact"/>
              <w:jc w:val="right"/>
              <w:rPr>
                <w:rFonts w:ascii="宋体" w:hAnsi="宋体" w:eastAsia="宋体" w:cs="宋体"/>
                <w:sz w:val="18"/>
                <w:szCs w:val="18"/>
              </w:rPr>
            </w:pPr>
            <w:r>
              <w:rPr>
                <w:rFonts w:ascii="宋体" w:hAnsi="宋体" w:eastAsia="宋体" w:cs="宋体"/>
                <w:sz w:val="18"/>
                <w:szCs w:val="18"/>
              </w:rPr>
              <w:t>5</w:t>
            </w:r>
          </w:p>
        </w:tc>
        <w:tc>
          <w:tcPr>
            <w:tcW w:w="1205" w:type="dxa"/>
            <w:tcBorders>
              <w:top w:val="single" w:color="auto" w:sz="2" w:space="0"/>
              <w:left w:val="single" w:color="auto" w:sz="2" w:space="0"/>
              <w:bottom w:val="single" w:color="auto" w:sz="2" w:space="0"/>
              <w:right w:val="single" w:color="auto" w:sz="2" w:space="0"/>
            </w:tcBorders>
            <w:vAlign w:val="center"/>
          </w:tcPr>
          <w:p w14:paraId="1465C89E">
            <w:pPr>
              <w:spacing w:before="0" w:after="0" w:line="240" w:lineRule="exact"/>
              <w:jc w:val="right"/>
              <w:rPr>
                <w:rFonts w:ascii="宋体" w:hAnsi="宋体" w:eastAsia="宋体" w:cs="宋体"/>
                <w:sz w:val="18"/>
                <w:szCs w:val="18"/>
              </w:rPr>
            </w:pPr>
            <w:r>
              <w:rPr>
                <w:rFonts w:ascii="宋体" w:hAnsi="宋体" w:eastAsia="宋体" w:cs="宋体"/>
                <w:sz w:val="18"/>
                <w:szCs w:val="18"/>
              </w:rPr>
              <w:t>4</w:t>
            </w:r>
          </w:p>
        </w:tc>
        <w:tc>
          <w:tcPr>
            <w:tcW w:w="1205" w:type="dxa"/>
            <w:tcBorders>
              <w:top w:val="single" w:color="auto" w:sz="2" w:space="0"/>
              <w:left w:val="single" w:color="auto" w:sz="2" w:space="0"/>
              <w:bottom w:val="single" w:color="auto" w:sz="2" w:space="0"/>
              <w:right w:val="single" w:color="auto" w:sz="2" w:space="0"/>
            </w:tcBorders>
            <w:vAlign w:val="center"/>
          </w:tcPr>
          <w:p w14:paraId="2EF9A351">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7D55426B">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531AB27E">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1E2B0898">
            <w:pPr>
              <w:spacing w:before="0" w:after="0" w:line="240" w:lineRule="exact"/>
              <w:jc w:val="right"/>
              <w:rPr>
                <w:rFonts w:ascii="宋体" w:hAnsi="宋体" w:eastAsia="宋体" w:cs="宋体"/>
                <w:sz w:val="18"/>
                <w:szCs w:val="18"/>
              </w:rPr>
            </w:pPr>
            <w:r>
              <w:rPr>
                <w:rFonts w:ascii="宋体" w:hAnsi="宋体" w:eastAsia="宋体" w:cs="宋体"/>
                <w:sz w:val="18"/>
                <w:szCs w:val="18"/>
              </w:rPr>
              <w:t>5</w:t>
            </w:r>
          </w:p>
        </w:tc>
      </w:tr>
      <w:tr w14:paraId="52485A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2C2B51E1">
            <w:pPr>
              <w:spacing w:before="0" w:after="0" w:line="240" w:lineRule="exact"/>
              <w:jc w:val="left"/>
              <w:rPr>
                <w:rFonts w:ascii="宋体" w:hAnsi="宋体" w:eastAsia="宋体" w:cs="宋体"/>
                <w:sz w:val="18"/>
                <w:szCs w:val="18"/>
              </w:rPr>
            </w:pPr>
            <w:r>
              <w:rPr>
                <w:rFonts w:ascii="宋体" w:hAnsi="宋体" w:eastAsia="宋体" w:cs="宋体"/>
                <w:sz w:val="18"/>
                <w:szCs w:val="18"/>
              </w:rPr>
              <w:t>叶理青</w:t>
            </w:r>
          </w:p>
        </w:tc>
        <w:tc>
          <w:tcPr>
            <w:tcW w:w="1320" w:type="dxa"/>
            <w:tcBorders>
              <w:top w:val="single" w:color="auto" w:sz="2" w:space="0"/>
              <w:left w:val="single" w:color="auto" w:sz="2" w:space="0"/>
              <w:bottom w:val="single" w:color="auto" w:sz="2" w:space="0"/>
              <w:right w:val="single" w:color="auto" w:sz="2" w:space="0"/>
            </w:tcBorders>
            <w:vAlign w:val="center"/>
          </w:tcPr>
          <w:p w14:paraId="5E7A8E96">
            <w:pPr>
              <w:spacing w:before="0" w:after="0" w:line="240" w:lineRule="exact"/>
              <w:jc w:val="right"/>
              <w:rPr>
                <w:rFonts w:ascii="宋体" w:hAnsi="宋体" w:eastAsia="宋体" w:cs="宋体"/>
                <w:sz w:val="18"/>
                <w:szCs w:val="18"/>
              </w:rPr>
            </w:pPr>
            <w:r>
              <w:rPr>
                <w:rFonts w:ascii="宋体" w:hAnsi="宋体" w:eastAsia="宋体" w:cs="宋体"/>
                <w:sz w:val="18"/>
                <w:szCs w:val="18"/>
              </w:rPr>
              <w:t>9</w:t>
            </w:r>
          </w:p>
        </w:tc>
        <w:tc>
          <w:tcPr>
            <w:tcW w:w="1358" w:type="dxa"/>
            <w:tcBorders>
              <w:top w:val="single" w:color="auto" w:sz="2" w:space="0"/>
              <w:left w:val="single" w:color="auto" w:sz="2" w:space="0"/>
              <w:bottom w:val="single" w:color="auto" w:sz="2" w:space="0"/>
              <w:right w:val="single" w:color="auto" w:sz="2" w:space="0"/>
            </w:tcBorders>
            <w:vAlign w:val="center"/>
          </w:tcPr>
          <w:p w14:paraId="595AE413">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14:paraId="0CE97141">
            <w:pPr>
              <w:spacing w:before="0" w:after="0" w:line="240" w:lineRule="exact"/>
              <w:jc w:val="right"/>
              <w:rPr>
                <w:rFonts w:ascii="宋体" w:hAnsi="宋体" w:eastAsia="宋体" w:cs="宋体"/>
                <w:sz w:val="18"/>
                <w:szCs w:val="18"/>
              </w:rPr>
            </w:pPr>
            <w:r>
              <w:rPr>
                <w:rFonts w:ascii="宋体" w:hAnsi="宋体" w:eastAsia="宋体" w:cs="宋体"/>
                <w:sz w:val="18"/>
                <w:szCs w:val="18"/>
              </w:rPr>
              <w:t>9</w:t>
            </w:r>
          </w:p>
        </w:tc>
        <w:tc>
          <w:tcPr>
            <w:tcW w:w="1205" w:type="dxa"/>
            <w:tcBorders>
              <w:top w:val="single" w:color="auto" w:sz="2" w:space="0"/>
              <w:left w:val="single" w:color="auto" w:sz="2" w:space="0"/>
              <w:bottom w:val="single" w:color="auto" w:sz="2" w:space="0"/>
              <w:right w:val="single" w:color="auto" w:sz="2" w:space="0"/>
            </w:tcBorders>
            <w:vAlign w:val="center"/>
          </w:tcPr>
          <w:p w14:paraId="78FF31F0">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6FCC77C8">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18838934">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52B28326">
            <w:pPr>
              <w:spacing w:before="0" w:after="0" w:line="240" w:lineRule="exact"/>
              <w:jc w:val="right"/>
              <w:rPr>
                <w:rFonts w:ascii="宋体" w:hAnsi="宋体" w:eastAsia="宋体" w:cs="宋体"/>
                <w:sz w:val="18"/>
                <w:szCs w:val="18"/>
              </w:rPr>
            </w:pPr>
            <w:r>
              <w:rPr>
                <w:rFonts w:ascii="宋体" w:hAnsi="宋体" w:eastAsia="宋体" w:cs="宋体"/>
                <w:sz w:val="18"/>
                <w:szCs w:val="18"/>
              </w:rPr>
              <w:t>5</w:t>
            </w:r>
          </w:p>
        </w:tc>
      </w:tr>
      <w:tr w14:paraId="5DB986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2055F7C7">
            <w:pPr>
              <w:spacing w:before="0" w:after="0" w:line="240" w:lineRule="exact"/>
              <w:jc w:val="left"/>
              <w:rPr>
                <w:rFonts w:ascii="宋体" w:hAnsi="宋体" w:eastAsia="宋体" w:cs="宋体"/>
                <w:sz w:val="18"/>
                <w:szCs w:val="18"/>
              </w:rPr>
            </w:pPr>
            <w:r>
              <w:rPr>
                <w:rFonts w:ascii="宋体" w:hAnsi="宋体" w:eastAsia="宋体" w:cs="宋体"/>
                <w:sz w:val="18"/>
                <w:szCs w:val="18"/>
              </w:rPr>
              <w:t>李国栋</w:t>
            </w:r>
          </w:p>
        </w:tc>
        <w:tc>
          <w:tcPr>
            <w:tcW w:w="1320" w:type="dxa"/>
            <w:tcBorders>
              <w:top w:val="single" w:color="auto" w:sz="2" w:space="0"/>
              <w:left w:val="single" w:color="auto" w:sz="2" w:space="0"/>
              <w:bottom w:val="single" w:color="auto" w:sz="2" w:space="0"/>
              <w:right w:val="single" w:color="auto" w:sz="2" w:space="0"/>
            </w:tcBorders>
            <w:vAlign w:val="center"/>
          </w:tcPr>
          <w:p w14:paraId="7EF45C6F">
            <w:pPr>
              <w:spacing w:before="0" w:after="0" w:line="240" w:lineRule="exact"/>
              <w:jc w:val="right"/>
              <w:rPr>
                <w:rFonts w:ascii="宋体" w:hAnsi="宋体" w:eastAsia="宋体" w:cs="宋体"/>
                <w:sz w:val="18"/>
                <w:szCs w:val="18"/>
              </w:rPr>
            </w:pPr>
            <w:r>
              <w:rPr>
                <w:rFonts w:ascii="宋体" w:hAnsi="宋体" w:eastAsia="宋体" w:cs="宋体"/>
                <w:sz w:val="18"/>
                <w:szCs w:val="18"/>
              </w:rPr>
              <w:t>9</w:t>
            </w:r>
          </w:p>
        </w:tc>
        <w:tc>
          <w:tcPr>
            <w:tcW w:w="1358" w:type="dxa"/>
            <w:tcBorders>
              <w:top w:val="single" w:color="auto" w:sz="2" w:space="0"/>
              <w:left w:val="single" w:color="auto" w:sz="2" w:space="0"/>
              <w:bottom w:val="single" w:color="auto" w:sz="2" w:space="0"/>
              <w:right w:val="single" w:color="auto" w:sz="2" w:space="0"/>
            </w:tcBorders>
            <w:vAlign w:val="center"/>
          </w:tcPr>
          <w:p w14:paraId="0170B41B">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14:paraId="4DAC2A03">
            <w:pPr>
              <w:spacing w:before="0" w:after="0" w:line="240" w:lineRule="exact"/>
              <w:jc w:val="right"/>
              <w:rPr>
                <w:rFonts w:ascii="宋体" w:hAnsi="宋体" w:eastAsia="宋体" w:cs="宋体"/>
                <w:sz w:val="18"/>
                <w:szCs w:val="18"/>
              </w:rPr>
            </w:pPr>
            <w:r>
              <w:rPr>
                <w:rFonts w:ascii="宋体" w:hAnsi="宋体" w:eastAsia="宋体" w:cs="宋体"/>
                <w:sz w:val="18"/>
                <w:szCs w:val="18"/>
              </w:rPr>
              <w:t>9</w:t>
            </w:r>
          </w:p>
        </w:tc>
        <w:tc>
          <w:tcPr>
            <w:tcW w:w="1205" w:type="dxa"/>
            <w:tcBorders>
              <w:top w:val="single" w:color="auto" w:sz="2" w:space="0"/>
              <w:left w:val="single" w:color="auto" w:sz="2" w:space="0"/>
              <w:bottom w:val="single" w:color="auto" w:sz="2" w:space="0"/>
              <w:right w:val="single" w:color="auto" w:sz="2" w:space="0"/>
            </w:tcBorders>
            <w:vAlign w:val="center"/>
          </w:tcPr>
          <w:p w14:paraId="5AC7F8EC">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5A897646">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617C4444">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1D518419">
            <w:pPr>
              <w:spacing w:before="0" w:after="0" w:line="240" w:lineRule="exact"/>
              <w:jc w:val="right"/>
              <w:rPr>
                <w:rFonts w:ascii="宋体" w:hAnsi="宋体" w:eastAsia="宋体" w:cs="宋体"/>
                <w:sz w:val="18"/>
                <w:szCs w:val="18"/>
              </w:rPr>
            </w:pPr>
            <w:r>
              <w:rPr>
                <w:rFonts w:ascii="宋体" w:hAnsi="宋体" w:eastAsia="宋体" w:cs="宋体"/>
                <w:sz w:val="18"/>
                <w:szCs w:val="18"/>
              </w:rPr>
              <w:t>5</w:t>
            </w:r>
          </w:p>
        </w:tc>
      </w:tr>
      <w:tr w14:paraId="78C1F1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3DA022FC">
            <w:pPr>
              <w:spacing w:before="0" w:after="0" w:line="240" w:lineRule="exact"/>
              <w:jc w:val="left"/>
              <w:rPr>
                <w:rFonts w:ascii="宋体" w:hAnsi="宋体" w:eastAsia="宋体" w:cs="宋体"/>
                <w:sz w:val="18"/>
                <w:szCs w:val="18"/>
              </w:rPr>
            </w:pPr>
            <w:r>
              <w:rPr>
                <w:rFonts w:ascii="宋体" w:hAnsi="宋体" w:eastAsia="宋体" w:cs="宋体"/>
                <w:sz w:val="18"/>
                <w:szCs w:val="18"/>
              </w:rPr>
              <w:t>李洪明</w:t>
            </w:r>
          </w:p>
        </w:tc>
        <w:tc>
          <w:tcPr>
            <w:tcW w:w="1320" w:type="dxa"/>
            <w:tcBorders>
              <w:top w:val="single" w:color="auto" w:sz="2" w:space="0"/>
              <w:left w:val="single" w:color="auto" w:sz="2" w:space="0"/>
              <w:bottom w:val="single" w:color="auto" w:sz="2" w:space="0"/>
              <w:right w:val="single" w:color="auto" w:sz="2" w:space="0"/>
            </w:tcBorders>
            <w:vAlign w:val="center"/>
          </w:tcPr>
          <w:p w14:paraId="2D3FC3A3">
            <w:pPr>
              <w:spacing w:before="0" w:after="0" w:line="240" w:lineRule="exact"/>
              <w:jc w:val="right"/>
              <w:rPr>
                <w:rFonts w:ascii="宋体" w:hAnsi="宋体" w:eastAsia="宋体" w:cs="宋体"/>
                <w:sz w:val="18"/>
                <w:szCs w:val="18"/>
              </w:rPr>
            </w:pPr>
            <w:r>
              <w:rPr>
                <w:rFonts w:ascii="宋体" w:hAnsi="宋体" w:eastAsia="宋体" w:cs="宋体"/>
                <w:sz w:val="18"/>
                <w:szCs w:val="18"/>
              </w:rPr>
              <w:t>9</w:t>
            </w:r>
          </w:p>
        </w:tc>
        <w:tc>
          <w:tcPr>
            <w:tcW w:w="1358" w:type="dxa"/>
            <w:tcBorders>
              <w:top w:val="single" w:color="auto" w:sz="2" w:space="0"/>
              <w:left w:val="single" w:color="auto" w:sz="2" w:space="0"/>
              <w:bottom w:val="single" w:color="auto" w:sz="2" w:space="0"/>
              <w:right w:val="single" w:color="auto" w:sz="2" w:space="0"/>
            </w:tcBorders>
            <w:vAlign w:val="center"/>
          </w:tcPr>
          <w:p w14:paraId="05A0FF16">
            <w:pPr>
              <w:spacing w:before="0" w:after="0" w:line="240" w:lineRule="exact"/>
              <w:jc w:val="right"/>
              <w:rPr>
                <w:rFonts w:ascii="宋体" w:hAnsi="宋体" w:eastAsia="宋体" w:cs="宋体"/>
                <w:sz w:val="18"/>
                <w:szCs w:val="18"/>
              </w:rPr>
            </w:pPr>
            <w:r>
              <w:rPr>
                <w:rFonts w:ascii="宋体" w:hAnsi="宋体" w:eastAsia="宋体" w:cs="宋体"/>
                <w:sz w:val="18"/>
                <w:szCs w:val="18"/>
              </w:rPr>
              <w:t>3</w:t>
            </w:r>
          </w:p>
        </w:tc>
        <w:tc>
          <w:tcPr>
            <w:tcW w:w="1205" w:type="dxa"/>
            <w:tcBorders>
              <w:top w:val="single" w:color="auto" w:sz="2" w:space="0"/>
              <w:left w:val="single" w:color="auto" w:sz="2" w:space="0"/>
              <w:bottom w:val="single" w:color="auto" w:sz="2" w:space="0"/>
              <w:right w:val="single" w:color="auto" w:sz="2" w:space="0"/>
            </w:tcBorders>
            <w:vAlign w:val="center"/>
          </w:tcPr>
          <w:p w14:paraId="4448C604">
            <w:pPr>
              <w:spacing w:before="0" w:after="0" w:line="240" w:lineRule="exact"/>
              <w:jc w:val="right"/>
              <w:rPr>
                <w:rFonts w:ascii="宋体" w:hAnsi="宋体" w:eastAsia="宋体" w:cs="宋体"/>
                <w:sz w:val="18"/>
                <w:szCs w:val="18"/>
              </w:rPr>
            </w:pPr>
            <w:r>
              <w:rPr>
                <w:rFonts w:ascii="宋体" w:hAnsi="宋体" w:eastAsia="宋体" w:cs="宋体"/>
                <w:sz w:val="18"/>
                <w:szCs w:val="18"/>
              </w:rPr>
              <w:t>6</w:t>
            </w:r>
          </w:p>
        </w:tc>
        <w:tc>
          <w:tcPr>
            <w:tcW w:w="1205" w:type="dxa"/>
            <w:tcBorders>
              <w:top w:val="single" w:color="auto" w:sz="2" w:space="0"/>
              <w:left w:val="single" w:color="auto" w:sz="2" w:space="0"/>
              <w:bottom w:val="single" w:color="auto" w:sz="2" w:space="0"/>
              <w:right w:val="single" w:color="auto" w:sz="2" w:space="0"/>
            </w:tcBorders>
            <w:vAlign w:val="center"/>
          </w:tcPr>
          <w:p w14:paraId="77772D74">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3CC5CC80">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18F6DC20">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4A8852E8">
            <w:pPr>
              <w:spacing w:before="0" w:after="0" w:line="240" w:lineRule="exact"/>
              <w:jc w:val="right"/>
              <w:rPr>
                <w:rFonts w:ascii="宋体" w:hAnsi="宋体" w:eastAsia="宋体" w:cs="宋体"/>
                <w:sz w:val="18"/>
                <w:szCs w:val="18"/>
              </w:rPr>
            </w:pPr>
            <w:r>
              <w:rPr>
                <w:rFonts w:ascii="宋体" w:hAnsi="宋体" w:eastAsia="宋体" w:cs="宋体"/>
                <w:sz w:val="18"/>
                <w:szCs w:val="18"/>
              </w:rPr>
              <w:t>5</w:t>
            </w:r>
          </w:p>
        </w:tc>
      </w:tr>
      <w:tr w14:paraId="0D2495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542C4DB2">
            <w:pPr>
              <w:spacing w:before="0" w:after="0" w:line="240" w:lineRule="exact"/>
              <w:jc w:val="left"/>
              <w:rPr>
                <w:rFonts w:ascii="宋体" w:hAnsi="宋体" w:eastAsia="宋体" w:cs="宋体"/>
                <w:sz w:val="18"/>
                <w:szCs w:val="18"/>
              </w:rPr>
            </w:pPr>
            <w:r>
              <w:rPr>
                <w:rFonts w:ascii="宋体" w:hAnsi="宋体" w:eastAsia="宋体" w:cs="宋体"/>
                <w:sz w:val="18"/>
                <w:szCs w:val="18"/>
              </w:rPr>
              <w:t>黄伏虎</w:t>
            </w:r>
          </w:p>
        </w:tc>
        <w:tc>
          <w:tcPr>
            <w:tcW w:w="1320" w:type="dxa"/>
            <w:tcBorders>
              <w:top w:val="single" w:color="auto" w:sz="2" w:space="0"/>
              <w:left w:val="single" w:color="auto" w:sz="2" w:space="0"/>
              <w:bottom w:val="single" w:color="auto" w:sz="2" w:space="0"/>
              <w:right w:val="single" w:color="auto" w:sz="2" w:space="0"/>
            </w:tcBorders>
            <w:vAlign w:val="center"/>
          </w:tcPr>
          <w:p w14:paraId="024EFC3E">
            <w:pPr>
              <w:spacing w:before="0" w:after="0" w:line="240" w:lineRule="exact"/>
              <w:jc w:val="right"/>
              <w:rPr>
                <w:rFonts w:ascii="宋体" w:hAnsi="宋体" w:eastAsia="宋体" w:cs="宋体"/>
                <w:sz w:val="18"/>
                <w:szCs w:val="18"/>
              </w:rPr>
            </w:pPr>
            <w:r>
              <w:rPr>
                <w:rFonts w:ascii="宋体" w:hAnsi="宋体" w:eastAsia="宋体" w:cs="宋体"/>
                <w:sz w:val="18"/>
                <w:szCs w:val="18"/>
              </w:rPr>
              <w:t>9</w:t>
            </w:r>
          </w:p>
        </w:tc>
        <w:tc>
          <w:tcPr>
            <w:tcW w:w="1358" w:type="dxa"/>
            <w:tcBorders>
              <w:top w:val="single" w:color="auto" w:sz="2" w:space="0"/>
              <w:left w:val="single" w:color="auto" w:sz="2" w:space="0"/>
              <w:bottom w:val="single" w:color="auto" w:sz="2" w:space="0"/>
              <w:right w:val="single" w:color="auto" w:sz="2" w:space="0"/>
            </w:tcBorders>
            <w:vAlign w:val="center"/>
          </w:tcPr>
          <w:p w14:paraId="6C347925">
            <w:pPr>
              <w:spacing w:before="0" w:after="0" w:line="240" w:lineRule="exact"/>
              <w:jc w:val="right"/>
              <w:rPr>
                <w:rFonts w:ascii="宋体" w:hAnsi="宋体" w:eastAsia="宋体" w:cs="宋体"/>
                <w:sz w:val="18"/>
                <w:szCs w:val="18"/>
              </w:rPr>
            </w:pPr>
            <w:r>
              <w:rPr>
                <w:rFonts w:ascii="宋体" w:hAnsi="宋体" w:eastAsia="宋体" w:cs="宋体"/>
                <w:sz w:val="18"/>
                <w:szCs w:val="18"/>
              </w:rPr>
              <w:t>4</w:t>
            </w:r>
          </w:p>
        </w:tc>
        <w:tc>
          <w:tcPr>
            <w:tcW w:w="1205" w:type="dxa"/>
            <w:tcBorders>
              <w:top w:val="single" w:color="auto" w:sz="2" w:space="0"/>
              <w:left w:val="single" w:color="auto" w:sz="2" w:space="0"/>
              <w:bottom w:val="single" w:color="auto" w:sz="2" w:space="0"/>
              <w:right w:val="single" w:color="auto" w:sz="2" w:space="0"/>
            </w:tcBorders>
            <w:vAlign w:val="center"/>
          </w:tcPr>
          <w:p w14:paraId="6F06659A">
            <w:pPr>
              <w:spacing w:before="0" w:after="0" w:line="240" w:lineRule="exact"/>
              <w:jc w:val="right"/>
              <w:rPr>
                <w:rFonts w:ascii="宋体" w:hAnsi="宋体" w:eastAsia="宋体" w:cs="宋体"/>
                <w:sz w:val="18"/>
                <w:szCs w:val="18"/>
              </w:rPr>
            </w:pPr>
            <w:r>
              <w:rPr>
                <w:rFonts w:ascii="宋体" w:hAnsi="宋体" w:eastAsia="宋体" w:cs="宋体"/>
                <w:sz w:val="18"/>
                <w:szCs w:val="18"/>
              </w:rPr>
              <w:t>5</w:t>
            </w:r>
          </w:p>
        </w:tc>
        <w:tc>
          <w:tcPr>
            <w:tcW w:w="1205" w:type="dxa"/>
            <w:tcBorders>
              <w:top w:val="single" w:color="auto" w:sz="2" w:space="0"/>
              <w:left w:val="single" w:color="auto" w:sz="2" w:space="0"/>
              <w:bottom w:val="single" w:color="auto" w:sz="2" w:space="0"/>
              <w:right w:val="single" w:color="auto" w:sz="2" w:space="0"/>
            </w:tcBorders>
            <w:vAlign w:val="center"/>
          </w:tcPr>
          <w:p w14:paraId="422B9F80">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6DCE9968">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36D62DBC">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390621AF">
            <w:pPr>
              <w:spacing w:before="0" w:after="0" w:line="240" w:lineRule="exact"/>
              <w:jc w:val="right"/>
              <w:rPr>
                <w:rFonts w:ascii="宋体" w:hAnsi="宋体" w:eastAsia="宋体" w:cs="宋体"/>
                <w:sz w:val="18"/>
                <w:szCs w:val="18"/>
              </w:rPr>
            </w:pPr>
            <w:r>
              <w:rPr>
                <w:rFonts w:ascii="宋体" w:hAnsi="宋体" w:eastAsia="宋体" w:cs="宋体"/>
                <w:sz w:val="18"/>
                <w:szCs w:val="18"/>
              </w:rPr>
              <w:t>5</w:t>
            </w:r>
          </w:p>
        </w:tc>
      </w:tr>
      <w:tr w14:paraId="446120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74BD78D6">
            <w:pPr>
              <w:spacing w:before="0" w:after="0" w:line="240" w:lineRule="exact"/>
              <w:jc w:val="left"/>
              <w:rPr>
                <w:rFonts w:ascii="宋体" w:hAnsi="宋体" w:eastAsia="宋体" w:cs="宋体"/>
                <w:sz w:val="18"/>
                <w:szCs w:val="18"/>
              </w:rPr>
            </w:pPr>
            <w:r>
              <w:rPr>
                <w:rFonts w:ascii="宋体" w:hAnsi="宋体" w:eastAsia="宋体" w:cs="宋体"/>
                <w:sz w:val="18"/>
                <w:szCs w:val="18"/>
              </w:rPr>
              <w:t>庄辰明</w:t>
            </w:r>
          </w:p>
        </w:tc>
        <w:tc>
          <w:tcPr>
            <w:tcW w:w="1320" w:type="dxa"/>
            <w:tcBorders>
              <w:top w:val="single" w:color="auto" w:sz="2" w:space="0"/>
              <w:left w:val="single" w:color="auto" w:sz="2" w:space="0"/>
              <w:bottom w:val="single" w:color="auto" w:sz="2" w:space="0"/>
              <w:right w:val="single" w:color="auto" w:sz="2" w:space="0"/>
            </w:tcBorders>
            <w:vAlign w:val="center"/>
          </w:tcPr>
          <w:p w14:paraId="2B5BF298">
            <w:pPr>
              <w:spacing w:before="0" w:after="0" w:line="240" w:lineRule="exact"/>
              <w:jc w:val="right"/>
              <w:rPr>
                <w:rFonts w:ascii="宋体" w:hAnsi="宋体" w:eastAsia="宋体" w:cs="宋体"/>
                <w:sz w:val="18"/>
                <w:szCs w:val="18"/>
              </w:rPr>
            </w:pPr>
            <w:r>
              <w:rPr>
                <w:rFonts w:ascii="宋体" w:hAnsi="宋体" w:eastAsia="宋体" w:cs="宋体"/>
                <w:sz w:val="18"/>
                <w:szCs w:val="18"/>
              </w:rPr>
              <w:t>5</w:t>
            </w:r>
          </w:p>
        </w:tc>
        <w:tc>
          <w:tcPr>
            <w:tcW w:w="1358" w:type="dxa"/>
            <w:tcBorders>
              <w:top w:val="single" w:color="auto" w:sz="2" w:space="0"/>
              <w:left w:val="single" w:color="auto" w:sz="2" w:space="0"/>
              <w:bottom w:val="single" w:color="auto" w:sz="2" w:space="0"/>
              <w:right w:val="single" w:color="auto" w:sz="2" w:space="0"/>
            </w:tcBorders>
            <w:vAlign w:val="center"/>
          </w:tcPr>
          <w:p w14:paraId="77908D8F">
            <w:pPr>
              <w:spacing w:before="0" w:after="0" w:line="240" w:lineRule="exact"/>
              <w:jc w:val="right"/>
              <w:rPr>
                <w:rFonts w:ascii="宋体" w:hAnsi="宋体" w:eastAsia="宋体" w:cs="宋体"/>
                <w:sz w:val="18"/>
                <w:szCs w:val="18"/>
              </w:rPr>
            </w:pPr>
            <w:r>
              <w:rPr>
                <w:rFonts w:ascii="宋体" w:hAnsi="宋体" w:eastAsia="宋体" w:cs="宋体"/>
                <w:sz w:val="18"/>
                <w:szCs w:val="18"/>
              </w:rPr>
              <w:t>3</w:t>
            </w:r>
          </w:p>
        </w:tc>
        <w:tc>
          <w:tcPr>
            <w:tcW w:w="1205" w:type="dxa"/>
            <w:tcBorders>
              <w:top w:val="single" w:color="auto" w:sz="2" w:space="0"/>
              <w:left w:val="single" w:color="auto" w:sz="2" w:space="0"/>
              <w:bottom w:val="single" w:color="auto" w:sz="2" w:space="0"/>
              <w:right w:val="single" w:color="auto" w:sz="2" w:space="0"/>
            </w:tcBorders>
            <w:vAlign w:val="center"/>
          </w:tcPr>
          <w:p w14:paraId="3067A8FB">
            <w:pPr>
              <w:spacing w:before="0" w:after="0" w:line="240" w:lineRule="exact"/>
              <w:jc w:val="right"/>
              <w:rPr>
                <w:rFonts w:ascii="宋体" w:hAnsi="宋体" w:eastAsia="宋体" w:cs="宋体"/>
                <w:sz w:val="18"/>
                <w:szCs w:val="18"/>
              </w:rPr>
            </w:pPr>
            <w:r>
              <w:rPr>
                <w:rFonts w:ascii="宋体" w:hAnsi="宋体" w:eastAsia="宋体" w:cs="宋体"/>
                <w:sz w:val="18"/>
                <w:szCs w:val="18"/>
              </w:rPr>
              <w:t>2</w:t>
            </w:r>
          </w:p>
        </w:tc>
        <w:tc>
          <w:tcPr>
            <w:tcW w:w="1205" w:type="dxa"/>
            <w:tcBorders>
              <w:top w:val="single" w:color="auto" w:sz="2" w:space="0"/>
              <w:left w:val="single" w:color="auto" w:sz="2" w:space="0"/>
              <w:bottom w:val="single" w:color="auto" w:sz="2" w:space="0"/>
              <w:right w:val="single" w:color="auto" w:sz="2" w:space="0"/>
            </w:tcBorders>
            <w:vAlign w:val="center"/>
          </w:tcPr>
          <w:p w14:paraId="690382DF">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27E1C710">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6C4E82D9">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22176EA8">
            <w:pPr>
              <w:spacing w:before="0" w:after="0" w:line="240" w:lineRule="exact"/>
              <w:jc w:val="right"/>
              <w:rPr>
                <w:rFonts w:ascii="宋体" w:hAnsi="宋体" w:eastAsia="宋体" w:cs="宋体"/>
                <w:sz w:val="18"/>
                <w:szCs w:val="18"/>
              </w:rPr>
            </w:pPr>
            <w:r>
              <w:rPr>
                <w:rFonts w:ascii="宋体" w:hAnsi="宋体" w:eastAsia="宋体" w:cs="宋体"/>
                <w:sz w:val="18"/>
                <w:szCs w:val="18"/>
              </w:rPr>
              <w:t>2</w:t>
            </w:r>
          </w:p>
        </w:tc>
      </w:tr>
      <w:tr w14:paraId="4F8898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0DB1670E">
            <w:pPr>
              <w:spacing w:before="0" w:after="0" w:line="240" w:lineRule="exact"/>
              <w:jc w:val="left"/>
              <w:rPr>
                <w:rFonts w:ascii="宋体" w:hAnsi="宋体" w:eastAsia="宋体" w:cs="宋体"/>
                <w:sz w:val="18"/>
                <w:szCs w:val="18"/>
              </w:rPr>
            </w:pPr>
            <w:r>
              <w:rPr>
                <w:rFonts w:ascii="宋体" w:hAnsi="宋体" w:eastAsia="宋体" w:cs="宋体"/>
                <w:sz w:val="18"/>
                <w:szCs w:val="18"/>
              </w:rPr>
              <w:t>任红</w:t>
            </w:r>
          </w:p>
        </w:tc>
        <w:tc>
          <w:tcPr>
            <w:tcW w:w="1320" w:type="dxa"/>
            <w:tcBorders>
              <w:top w:val="single" w:color="auto" w:sz="2" w:space="0"/>
              <w:left w:val="single" w:color="auto" w:sz="2" w:space="0"/>
              <w:bottom w:val="single" w:color="auto" w:sz="2" w:space="0"/>
              <w:right w:val="single" w:color="auto" w:sz="2" w:space="0"/>
            </w:tcBorders>
            <w:vAlign w:val="center"/>
          </w:tcPr>
          <w:p w14:paraId="01DAFA02">
            <w:pPr>
              <w:spacing w:before="0" w:after="0" w:line="240" w:lineRule="exact"/>
              <w:jc w:val="right"/>
              <w:rPr>
                <w:rFonts w:ascii="宋体" w:hAnsi="宋体" w:eastAsia="宋体" w:cs="宋体"/>
                <w:sz w:val="18"/>
                <w:szCs w:val="18"/>
              </w:rPr>
            </w:pPr>
            <w:r>
              <w:rPr>
                <w:rFonts w:ascii="宋体" w:hAnsi="宋体" w:eastAsia="宋体" w:cs="宋体"/>
                <w:sz w:val="18"/>
                <w:szCs w:val="18"/>
              </w:rPr>
              <w:t>4</w:t>
            </w:r>
          </w:p>
        </w:tc>
        <w:tc>
          <w:tcPr>
            <w:tcW w:w="1358" w:type="dxa"/>
            <w:tcBorders>
              <w:top w:val="single" w:color="auto" w:sz="2" w:space="0"/>
              <w:left w:val="single" w:color="auto" w:sz="2" w:space="0"/>
              <w:bottom w:val="single" w:color="auto" w:sz="2" w:space="0"/>
              <w:right w:val="single" w:color="auto" w:sz="2" w:space="0"/>
            </w:tcBorders>
            <w:vAlign w:val="center"/>
          </w:tcPr>
          <w:p w14:paraId="6C668AFA">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14:paraId="7DC754B6">
            <w:pPr>
              <w:spacing w:before="0" w:after="0" w:line="240" w:lineRule="exact"/>
              <w:jc w:val="right"/>
              <w:rPr>
                <w:rFonts w:ascii="宋体" w:hAnsi="宋体" w:eastAsia="宋体" w:cs="宋体"/>
                <w:sz w:val="18"/>
                <w:szCs w:val="18"/>
              </w:rPr>
            </w:pPr>
            <w:r>
              <w:rPr>
                <w:rFonts w:ascii="宋体" w:hAnsi="宋体" w:eastAsia="宋体" w:cs="宋体"/>
                <w:sz w:val="18"/>
                <w:szCs w:val="18"/>
              </w:rPr>
              <w:t>4</w:t>
            </w:r>
          </w:p>
        </w:tc>
        <w:tc>
          <w:tcPr>
            <w:tcW w:w="1205" w:type="dxa"/>
            <w:tcBorders>
              <w:top w:val="single" w:color="auto" w:sz="2" w:space="0"/>
              <w:left w:val="single" w:color="auto" w:sz="2" w:space="0"/>
              <w:bottom w:val="single" w:color="auto" w:sz="2" w:space="0"/>
              <w:right w:val="single" w:color="auto" w:sz="2" w:space="0"/>
            </w:tcBorders>
            <w:vAlign w:val="center"/>
          </w:tcPr>
          <w:p w14:paraId="3B080B6A">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30055208">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0A8DD0B5">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1FA7BE55">
            <w:pPr>
              <w:spacing w:before="0" w:after="0" w:line="240" w:lineRule="exact"/>
              <w:jc w:val="right"/>
              <w:rPr>
                <w:rFonts w:ascii="宋体" w:hAnsi="宋体" w:eastAsia="宋体" w:cs="宋体"/>
                <w:sz w:val="18"/>
                <w:szCs w:val="18"/>
              </w:rPr>
            </w:pPr>
            <w:r>
              <w:rPr>
                <w:rFonts w:ascii="宋体" w:hAnsi="宋体" w:eastAsia="宋体" w:cs="宋体"/>
                <w:sz w:val="18"/>
                <w:szCs w:val="18"/>
              </w:rPr>
              <w:t>3</w:t>
            </w:r>
          </w:p>
        </w:tc>
      </w:tr>
      <w:tr w14:paraId="0299A6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58DC0C2A">
            <w:pPr>
              <w:spacing w:before="0" w:after="0" w:line="240" w:lineRule="exact"/>
              <w:jc w:val="left"/>
              <w:rPr>
                <w:rFonts w:ascii="宋体" w:hAnsi="宋体" w:eastAsia="宋体" w:cs="宋体"/>
                <w:sz w:val="18"/>
                <w:szCs w:val="18"/>
              </w:rPr>
            </w:pPr>
            <w:r>
              <w:rPr>
                <w:rFonts w:ascii="宋体" w:hAnsi="宋体" w:eastAsia="宋体" w:cs="宋体"/>
                <w:sz w:val="18"/>
                <w:szCs w:val="18"/>
              </w:rPr>
              <w:t>陈明宇</w:t>
            </w:r>
          </w:p>
        </w:tc>
        <w:tc>
          <w:tcPr>
            <w:tcW w:w="1320" w:type="dxa"/>
            <w:tcBorders>
              <w:top w:val="single" w:color="auto" w:sz="2" w:space="0"/>
              <w:left w:val="single" w:color="auto" w:sz="2" w:space="0"/>
              <w:bottom w:val="single" w:color="auto" w:sz="2" w:space="0"/>
              <w:right w:val="single" w:color="auto" w:sz="2" w:space="0"/>
            </w:tcBorders>
            <w:vAlign w:val="center"/>
          </w:tcPr>
          <w:p w14:paraId="1F9E8597">
            <w:pPr>
              <w:spacing w:before="0" w:after="0" w:line="240" w:lineRule="exact"/>
              <w:jc w:val="right"/>
              <w:rPr>
                <w:rFonts w:ascii="宋体" w:hAnsi="宋体" w:eastAsia="宋体" w:cs="宋体"/>
                <w:sz w:val="18"/>
                <w:szCs w:val="18"/>
              </w:rPr>
            </w:pPr>
            <w:r>
              <w:rPr>
                <w:rFonts w:ascii="宋体" w:hAnsi="宋体" w:eastAsia="宋体" w:cs="宋体"/>
                <w:sz w:val="18"/>
                <w:szCs w:val="18"/>
              </w:rPr>
              <w:t>4</w:t>
            </w:r>
          </w:p>
        </w:tc>
        <w:tc>
          <w:tcPr>
            <w:tcW w:w="1358" w:type="dxa"/>
            <w:tcBorders>
              <w:top w:val="single" w:color="auto" w:sz="2" w:space="0"/>
              <w:left w:val="single" w:color="auto" w:sz="2" w:space="0"/>
              <w:bottom w:val="single" w:color="auto" w:sz="2" w:space="0"/>
              <w:right w:val="single" w:color="auto" w:sz="2" w:space="0"/>
            </w:tcBorders>
            <w:vAlign w:val="center"/>
          </w:tcPr>
          <w:p w14:paraId="25BD2C78">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14:paraId="54498752">
            <w:pPr>
              <w:spacing w:before="0" w:after="0" w:line="240" w:lineRule="exact"/>
              <w:jc w:val="right"/>
              <w:rPr>
                <w:rFonts w:ascii="宋体" w:hAnsi="宋体" w:eastAsia="宋体" w:cs="宋体"/>
                <w:sz w:val="18"/>
                <w:szCs w:val="18"/>
              </w:rPr>
            </w:pPr>
            <w:r>
              <w:rPr>
                <w:rFonts w:ascii="宋体" w:hAnsi="宋体" w:eastAsia="宋体" w:cs="宋体"/>
                <w:sz w:val="18"/>
                <w:szCs w:val="18"/>
              </w:rPr>
              <w:t>4</w:t>
            </w:r>
          </w:p>
        </w:tc>
        <w:tc>
          <w:tcPr>
            <w:tcW w:w="1205" w:type="dxa"/>
            <w:tcBorders>
              <w:top w:val="single" w:color="auto" w:sz="2" w:space="0"/>
              <w:left w:val="single" w:color="auto" w:sz="2" w:space="0"/>
              <w:bottom w:val="single" w:color="auto" w:sz="2" w:space="0"/>
              <w:right w:val="single" w:color="auto" w:sz="2" w:space="0"/>
            </w:tcBorders>
            <w:vAlign w:val="center"/>
          </w:tcPr>
          <w:p w14:paraId="2311354B">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5AFBB6B4">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6ED0E52D">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0687030A">
            <w:pPr>
              <w:spacing w:before="0" w:after="0" w:line="240" w:lineRule="exact"/>
              <w:jc w:val="right"/>
              <w:rPr>
                <w:rFonts w:ascii="宋体" w:hAnsi="宋体" w:eastAsia="宋体" w:cs="宋体"/>
                <w:sz w:val="18"/>
                <w:szCs w:val="18"/>
              </w:rPr>
            </w:pPr>
            <w:r>
              <w:rPr>
                <w:rFonts w:ascii="宋体" w:hAnsi="宋体" w:eastAsia="宋体" w:cs="宋体"/>
                <w:sz w:val="18"/>
                <w:szCs w:val="18"/>
              </w:rPr>
              <w:t>3</w:t>
            </w:r>
          </w:p>
        </w:tc>
      </w:tr>
      <w:tr w14:paraId="3B1A7A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3ADC0963">
            <w:pPr>
              <w:spacing w:before="0" w:after="0" w:line="240" w:lineRule="exact"/>
              <w:jc w:val="left"/>
              <w:rPr>
                <w:rFonts w:ascii="宋体" w:hAnsi="宋体" w:eastAsia="宋体" w:cs="宋体"/>
                <w:sz w:val="18"/>
                <w:szCs w:val="18"/>
              </w:rPr>
            </w:pPr>
            <w:r>
              <w:rPr>
                <w:rFonts w:ascii="宋体" w:hAnsi="宋体" w:eastAsia="宋体" w:cs="宋体"/>
                <w:sz w:val="18"/>
                <w:szCs w:val="18"/>
              </w:rPr>
              <w:t>强欣荣</w:t>
            </w:r>
          </w:p>
        </w:tc>
        <w:tc>
          <w:tcPr>
            <w:tcW w:w="1320" w:type="dxa"/>
            <w:tcBorders>
              <w:top w:val="single" w:color="auto" w:sz="2" w:space="0"/>
              <w:left w:val="single" w:color="auto" w:sz="2" w:space="0"/>
              <w:bottom w:val="single" w:color="auto" w:sz="2" w:space="0"/>
              <w:right w:val="single" w:color="auto" w:sz="2" w:space="0"/>
            </w:tcBorders>
            <w:vAlign w:val="center"/>
          </w:tcPr>
          <w:p w14:paraId="26F96788">
            <w:pPr>
              <w:spacing w:before="0" w:after="0" w:line="240" w:lineRule="exact"/>
              <w:jc w:val="right"/>
              <w:rPr>
                <w:rFonts w:ascii="宋体" w:hAnsi="宋体" w:eastAsia="宋体" w:cs="宋体"/>
                <w:sz w:val="18"/>
                <w:szCs w:val="18"/>
              </w:rPr>
            </w:pPr>
            <w:r>
              <w:rPr>
                <w:rFonts w:ascii="宋体" w:hAnsi="宋体" w:eastAsia="宋体" w:cs="宋体"/>
                <w:sz w:val="18"/>
                <w:szCs w:val="18"/>
              </w:rPr>
              <w:t>4</w:t>
            </w:r>
          </w:p>
        </w:tc>
        <w:tc>
          <w:tcPr>
            <w:tcW w:w="1358" w:type="dxa"/>
            <w:tcBorders>
              <w:top w:val="single" w:color="auto" w:sz="2" w:space="0"/>
              <w:left w:val="single" w:color="auto" w:sz="2" w:space="0"/>
              <w:bottom w:val="single" w:color="auto" w:sz="2" w:space="0"/>
              <w:right w:val="single" w:color="auto" w:sz="2" w:space="0"/>
            </w:tcBorders>
            <w:vAlign w:val="center"/>
          </w:tcPr>
          <w:p w14:paraId="743F9505">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14:paraId="6F441A46">
            <w:pPr>
              <w:spacing w:before="0" w:after="0" w:line="240" w:lineRule="exact"/>
              <w:jc w:val="right"/>
              <w:rPr>
                <w:rFonts w:ascii="宋体" w:hAnsi="宋体" w:eastAsia="宋体" w:cs="宋体"/>
                <w:sz w:val="18"/>
                <w:szCs w:val="18"/>
              </w:rPr>
            </w:pPr>
            <w:r>
              <w:rPr>
                <w:rFonts w:ascii="宋体" w:hAnsi="宋体" w:eastAsia="宋体" w:cs="宋体"/>
                <w:sz w:val="18"/>
                <w:szCs w:val="18"/>
              </w:rPr>
              <w:t>4</w:t>
            </w:r>
          </w:p>
        </w:tc>
        <w:tc>
          <w:tcPr>
            <w:tcW w:w="1205" w:type="dxa"/>
            <w:tcBorders>
              <w:top w:val="single" w:color="auto" w:sz="2" w:space="0"/>
              <w:left w:val="single" w:color="auto" w:sz="2" w:space="0"/>
              <w:bottom w:val="single" w:color="auto" w:sz="2" w:space="0"/>
              <w:right w:val="single" w:color="auto" w:sz="2" w:space="0"/>
            </w:tcBorders>
            <w:vAlign w:val="center"/>
          </w:tcPr>
          <w:p w14:paraId="2C90986F">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39A5DD11">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4875995B">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20E84322">
            <w:pPr>
              <w:spacing w:before="0" w:after="0" w:line="240" w:lineRule="exact"/>
              <w:jc w:val="right"/>
              <w:rPr>
                <w:rFonts w:ascii="宋体" w:hAnsi="宋体" w:eastAsia="宋体" w:cs="宋体"/>
                <w:sz w:val="18"/>
                <w:szCs w:val="18"/>
              </w:rPr>
            </w:pPr>
            <w:r>
              <w:rPr>
                <w:rFonts w:ascii="宋体" w:hAnsi="宋体" w:eastAsia="宋体" w:cs="宋体"/>
                <w:sz w:val="18"/>
                <w:szCs w:val="18"/>
              </w:rPr>
              <w:t>3</w:t>
            </w:r>
          </w:p>
        </w:tc>
      </w:tr>
      <w:tr w14:paraId="67BF2E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01A2A4DC">
            <w:pPr>
              <w:spacing w:before="0" w:after="0" w:line="240" w:lineRule="exact"/>
              <w:jc w:val="left"/>
              <w:rPr>
                <w:rFonts w:ascii="宋体" w:hAnsi="宋体" w:eastAsia="宋体" w:cs="宋体"/>
                <w:sz w:val="18"/>
                <w:szCs w:val="18"/>
              </w:rPr>
            </w:pPr>
            <w:r>
              <w:rPr>
                <w:rFonts w:ascii="宋体" w:hAnsi="宋体" w:eastAsia="宋体" w:cs="宋体"/>
                <w:sz w:val="18"/>
                <w:szCs w:val="18"/>
              </w:rPr>
              <w:t>吴飞美</w:t>
            </w:r>
          </w:p>
        </w:tc>
        <w:tc>
          <w:tcPr>
            <w:tcW w:w="1320" w:type="dxa"/>
            <w:tcBorders>
              <w:top w:val="single" w:color="auto" w:sz="2" w:space="0"/>
              <w:left w:val="single" w:color="auto" w:sz="2" w:space="0"/>
              <w:bottom w:val="single" w:color="auto" w:sz="2" w:space="0"/>
              <w:right w:val="single" w:color="auto" w:sz="2" w:space="0"/>
            </w:tcBorders>
            <w:vAlign w:val="center"/>
          </w:tcPr>
          <w:p w14:paraId="1EF2BAFF">
            <w:pPr>
              <w:spacing w:before="0" w:after="0" w:line="240" w:lineRule="exact"/>
              <w:jc w:val="right"/>
              <w:rPr>
                <w:rFonts w:ascii="宋体" w:hAnsi="宋体" w:eastAsia="宋体" w:cs="宋体"/>
                <w:sz w:val="18"/>
                <w:szCs w:val="18"/>
              </w:rPr>
            </w:pPr>
            <w:r>
              <w:rPr>
                <w:rFonts w:ascii="宋体" w:hAnsi="宋体" w:eastAsia="宋体" w:cs="宋体"/>
                <w:sz w:val="18"/>
                <w:szCs w:val="18"/>
              </w:rPr>
              <w:t>5</w:t>
            </w:r>
          </w:p>
        </w:tc>
        <w:tc>
          <w:tcPr>
            <w:tcW w:w="1358" w:type="dxa"/>
            <w:tcBorders>
              <w:top w:val="single" w:color="auto" w:sz="2" w:space="0"/>
              <w:left w:val="single" w:color="auto" w:sz="2" w:space="0"/>
              <w:bottom w:val="single" w:color="auto" w:sz="2" w:space="0"/>
              <w:right w:val="single" w:color="auto" w:sz="2" w:space="0"/>
            </w:tcBorders>
            <w:vAlign w:val="center"/>
          </w:tcPr>
          <w:p w14:paraId="04C1AC44">
            <w:pPr>
              <w:spacing w:before="0" w:after="0" w:line="240" w:lineRule="exact"/>
              <w:jc w:val="right"/>
              <w:rPr>
                <w:rFonts w:ascii="宋体" w:hAnsi="宋体" w:eastAsia="宋体" w:cs="宋体"/>
                <w:sz w:val="18"/>
                <w:szCs w:val="18"/>
              </w:rPr>
            </w:pPr>
            <w:r>
              <w:rPr>
                <w:rFonts w:ascii="宋体" w:hAnsi="宋体" w:eastAsia="宋体" w:cs="宋体"/>
                <w:sz w:val="18"/>
                <w:szCs w:val="18"/>
              </w:rPr>
              <w:t>1</w:t>
            </w:r>
          </w:p>
        </w:tc>
        <w:tc>
          <w:tcPr>
            <w:tcW w:w="1205" w:type="dxa"/>
            <w:tcBorders>
              <w:top w:val="single" w:color="auto" w:sz="2" w:space="0"/>
              <w:left w:val="single" w:color="auto" w:sz="2" w:space="0"/>
              <w:bottom w:val="single" w:color="auto" w:sz="2" w:space="0"/>
              <w:right w:val="single" w:color="auto" w:sz="2" w:space="0"/>
            </w:tcBorders>
            <w:vAlign w:val="center"/>
          </w:tcPr>
          <w:p w14:paraId="732141A9">
            <w:pPr>
              <w:spacing w:before="0" w:after="0" w:line="240" w:lineRule="exact"/>
              <w:jc w:val="right"/>
              <w:rPr>
                <w:rFonts w:ascii="宋体" w:hAnsi="宋体" w:eastAsia="宋体" w:cs="宋体"/>
                <w:sz w:val="18"/>
                <w:szCs w:val="18"/>
              </w:rPr>
            </w:pPr>
            <w:r>
              <w:rPr>
                <w:rFonts w:ascii="宋体" w:hAnsi="宋体" w:eastAsia="宋体" w:cs="宋体"/>
                <w:sz w:val="18"/>
                <w:szCs w:val="18"/>
              </w:rPr>
              <w:t>4</w:t>
            </w:r>
          </w:p>
        </w:tc>
        <w:tc>
          <w:tcPr>
            <w:tcW w:w="1205" w:type="dxa"/>
            <w:tcBorders>
              <w:top w:val="single" w:color="auto" w:sz="2" w:space="0"/>
              <w:left w:val="single" w:color="auto" w:sz="2" w:space="0"/>
              <w:bottom w:val="single" w:color="auto" w:sz="2" w:space="0"/>
              <w:right w:val="single" w:color="auto" w:sz="2" w:space="0"/>
            </w:tcBorders>
            <w:vAlign w:val="center"/>
          </w:tcPr>
          <w:p w14:paraId="679EF5AE">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5954CEC5">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44BC04A8">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447A5745">
            <w:pPr>
              <w:spacing w:before="0" w:after="0" w:line="240" w:lineRule="exact"/>
              <w:jc w:val="right"/>
              <w:rPr>
                <w:rFonts w:ascii="宋体" w:hAnsi="宋体" w:eastAsia="宋体" w:cs="宋体"/>
                <w:sz w:val="18"/>
                <w:szCs w:val="18"/>
              </w:rPr>
            </w:pPr>
            <w:r>
              <w:rPr>
                <w:rFonts w:ascii="宋体" w:hAnsi="宋体" w:eastAsia="宋体" w:cs="宋体"/>
                <w:sz w:val="18"/>
                <w:szCs w:val="18"/>
              </w:rPr>
              <w:t>2</w:t>
            </w:r>
          </w:p>
        </w:tc>
      </w:tr>
      <w:tr w14:paraId="497FE3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23550103">
            <w:pPr>
              <w:spacing w:before="0" w:after="0" w:line="240" w:lineRule="exact"/>
              <w:jc w:val="left"/>
              <w:rPr>
                <w:rFonts w:ascii="宋体" w:hAnsi="宋体" w:eastAsia="宋体" w:cs="宋体"/>
                <w:sz w:val="18"/>
                <w:szCs w:val="18"/>
              </w:rPr>
            </w:pPr>
            <w:r>
              <w:rPr>
                <w:rFonts w:ascii="宋体" w:hAnsi="宋体" w:eastAsia="宋体" w:cs="宋体"/>
                <w:sz w:val="18"/>
                <w:szCs w:val="18"/>
              </w:rPr>
              <w:t>吴红军</w:t>
            </w:r>
          </w:p>
        </w:tc>
        <w:tc>
          <w:tcPr>
            <w:tcW w:w="1320" w:type="dxa"/>
            <w:tcBorders>
              <w:top w:val="single" w:color="auto" w:sz="2" w:space="0"/>
              <w:left w:val="single" w:color="auto" w:sz="2" w:space="0"/>
              <w:bottom w:val="single" w:color="auto" w:sz="2" w:space="0"/>
              <w:right w:val="single" w:color="auto" w:sz="2" w:space="0"/>
            </w:tcBorders>
            <w:vAlign w:val="center"/>
          </w:tcPr>
          <w:p w14:paraId="56E30598">
            <w:pPr>
              <w:spacing w:before="0" w:after="0" w:line="240" w:lineRule="exact"/>
              <w:jc w:val="right"/>
              <w:rPr>
                <w:rFonts w:ascii="宋体" w:hAnsi="宋体" w:eastAsia="宋体" w:cs="宋体"/>
                <w:sz w:val="18"/>
                <w:szCs w:val="18"/>
              </w:rPr>
            </w:pPr>
            <w:r>
              <w:rPr>
                <w:rFonts w:ascii="宋体" w:hAnsi="宋体" w:eastAsia="宋体" w:cs="宋体"/>
                <w:sz w:val="18"/>
                <w:szCs w:val="18"/>
              </w:rPr>
              <w:t>5</w:t>
            </w:r>
          </w:p>
        </w:tc>
        <w:tc>
          <w:tcPr>
            <w:tcW w:w="1358" w:type="dxa"/>
            <w:tcBorders>
              <w:top w:val="single" w:color="auto" w:sz="2" w:space="0"/>
              <w:left w:val="single" w:color="auto" w:sz="2" w:space="0"/>
              <w:bottom w:val="single" w:color="auto" w:sz="2" w:space="0"/>
              <w:right w:val="single" w:color="auto" w:sz="2" w:space="0"/>
            </w:tcBorders>
            <w:vAlign w:val="center"/>
          </w:tcPr>
          <w:p w14:paraId="46E67A0A">
            <w:pPr>
              <w:spacing w:before="0" w:after="0" w:line="240" w:lineRule="exact"/>
              <w:jc w:val="right"/>
              <w:rPr>
                <w:rFonts w:ascii="宋体" w:hAnsi="宋体" w:eastAsia="宋体" w:cs="宋体"/>
                <w:sz w:val="18"/>
                <w:szCs w:val="18"/>
              </w:rPr>
            </w:pPr>
            <w:r>
              <w:rPr>
                <w:rFonts w:ascii="宋体" w:hAnsi="宋体" w:eastAsia="宋体" w:cs="宋体"/>
                <w:sz w:val="18"/>
                <w:szCs w:val="18"/>
              </w:rPr>
              <w:t>1</w:t>
            </w:r>
          </w:p>
        </w:tc>
        <w:tc>
          <w:tcPr>
            <w:tcW w:w="1205" w:type="dxa"/>
            <w:tcBorders>
              <w:top w:val="single" w:color="auto" w:sz="2" w:space="0"/>
              <w:left w:val="single" w:color="auto" w:sz="2" w:space="0"/>
              <w:bottom w:val="single" w:color="auto" w:sz="2" w:space="0"/>
              <w:right w:val="single" w:color="auto" w:sz="2" w:space="0"/>
            </w:tcBorders>
            <w:vAlign w:val="center"/>
          </w:tcPr>
          <w:p w14:paraId="546D7219">
            <w:pPr>
              <w:spacing w:before="0" w:after="0" w:line="240" w:lineRule="exact"/>
              <w:jc w:val="right"/>
              <w:rPr>
                <w:rFonts w:ascii="宋体" w:hAnsi="宋体" w:eastAsia="宋体" w:cs="宋体"/>
                <w:sz w:val="18"/>
                <w:szCs w:val="18"/>
              </w:rPr>
            </w:pPr>
            <w:r>
              <w:rPr>
                <w:rFonts w:ascii="宋体" w:hAnsi="宋体" w:eastAsia="宋体" w:cs="宋体"/>
                <w:sz w:val="18"/>
                <w:szCs w:val="18"/>
              </w:rPr>
              <w:t>4</w:t>
            </w:r>
          </w:p>
        </w:tc>
        <w:tc>
          <w:tcPr>
            <w:tcW w:w="1205" w:type="dxa"/>
            <w:tcBorders>
              <w:top w:val="single" w:color="auto" w:sz="2" w:space="0"/>
              <w:left w:val="single" w:color="auto" w:sz="2" w:space="0"/>
              <w:bottom w:val="single" w:color="auto" w:sz="2" w:space="0"/>
              <w:right w:val="single" w:color="auto" w:sz="2" w:space="0"/>
            </w:tcBorders>
            <w:vAlign w:val="center"/>
          </w:tcPr>
          <w:p w14:paraId="14F187C0">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5E965647">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2117A86D">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14E8885E">
            <w:pPr>
              <w:spacing w:before="0" w:after="0" w:line="240" w:lineRule="exact"/>
              <w:jc w:val="right"/>
              <w:rPr>
                <w:rFonts w:ascii="宋体" w:hAnsi="宋体" w:eastAsia="宋体" w:cs="宋体"/>
                <w:sz w:val="18"/>
                <w:szCs w:val="18"/>
              </w:rPr>
            </w:pPr>
            <w:r>
              <w:rPr>
                <w:rFonts w:ascii="宋体" w:hAnsi="宋体" w:eastAsia="宋体" w:cs="宋体"/>
                <w:sz w:val="18"/>
                <w:szCs w:val="18"/>
              </w:rPr>
              <w:t>2</w:t>
            </w:r>
          </w:p>
        </w:tc>
      </w:tr>
      <w:tr w14:paraId="51EFBF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37" w:type="dxa"/>
            <w:tcBorders>
              <w:top w:val="single" w:color="auto" w:sz="2" w:space="0"/>
              <w:left w:val="single" w:color="auto" w:sz="2" w:space="0"/>
              <w:bottom w:val="single" w:color="auto" w:sz="2" w:space="0"/>
              <w:right w:val="single" w:color="auto" w:sz="2" w:space="0"/>
            </w:tcBorders>
            <w:vAlign w:val="center"/>
          </w:tcPr>
          <w:p w14:paraId="2F7F0C24">
            <w:pPr>
              <w:spacing w:before="0" w:after="0" w:line="240" w:lineRule="exact"/>
              <w:jc w:val="left"/>
              <w:rPr>
                <w:rFonts w:ascii="宋体" w:hAnsi="宋体" w:eastAsia="宋体" w:cs="宋体"/>
                <w:sz w:val="18"/>
                <w:szCs w:val="18"/>
              </w:rPr>
            </w:pPr>
            <w:r>
              <w:rPr>
                <w:rFonts w:ascii="宋体" w:hAnsi="宋体" w:eastAsia="宋体" w:cs="宋体"/>
                <w:sz w:val="18"/>
                <w:szCs w:val="18"/>
              </w:rPr>
              <w:t>鲁凤民</w:t>
            </w:r>
          </w:p>
        </w:tc>
        <w:tc>
          <w:tcPr>
            <w:tcW w:w="1320" w:type="dxa"/>
            <w:tcBorders>
              <w:top w:val="single" w:color="auto" w:sz="2" w:space="0"/>
              <w:left w:val="single" w:color="auto" w:sz="2" w:space="0"/>
              <w:bottom w:val="single" w:color="auto" w:sz="2" w:space="0"/>
              <w:right w:val="single" w:color="auto" w:sz="2" w:space="0"/>
            </w:tcBorders>
            <w:vAlign w:val="center"/>
          </w:tcPr>
          <w:p w14:paraId="4D843F56">
            <w:pPr>
              <w:spacing w:before="0" w:after="0" w:line="240" w:lineRule="exact"/>
              <w:jc w:val="right"/>
              <w:rPr>
                <w:rFonts w:ascii="宋体" w:hAnsi="宋体" w:eastAsia="宋体" w:cs="宋体"/>
                <w:sz w:val="18"/>
                <w:szCs w:val="18"/>
              </w:rPr>
            </w:pPr>
            <w:r>
              <w:rPr>
                <w:rFonts w:ascii="宋体" w:hAnsi="宋体" w:eastAsia="宋体" w:cs="宋体"/>
                <w:sz w:val="18"/>
                <w:szCs w:val="18"/>
              </w:rPr>
              <w:t>5</w:t>
            </w:r>
          </w:p>
        </w:tc>
        <w:tc>
          <w:tcPr>
            <w:tcW w:w="1358" w:type="dxa"/>
            <w:tcBorders>
              <w:top w:val="single" w:color="auto" w:sz="2" w:space="0"/>
              <w:left w:val="single" w:color="auto" w:sz="2" w:space="0"/>
              <w:bottom w:val="single" w:color="auto" w:sz="2" w:space="0"/>
              <w:right w:val="single" w:color="auto" w:sz="2" w:space="0"/>
            </w:tcBorders>
            <w:vAlign w:val="center"/>
          </w:tcPr>
          <w:p w14:paraId="303EDE62">
            <w:pPr>
              <w:spacing w:before="0" w:after="0" w:line="240" w:lineRule="exact"/>
              <w:jc w:val="right"/>
              <w:rPr>
                <w:rFonts w:ascii="宋体" w:hAnsi="宋体" w:eastAsia="宋体" w:cs="宋体"/>
                <w:sz w:val="18"/>
                <w:szCs w:val="18"/>
              </w:rPr>
            </w:pPr>
            <w:r>
              <w:rPr>
                <w:rFonts w:ascii="宋体" w:hAnsi="宋体" w:eastAsia="宋体" w:cs="宋体"/>
                <w:sz w:val="18"/>
                <w:szCs w:val="18"/>
              </w:rPr>
              <w:t>1</w:t>
            </w:r>
          </w:p>
        </w:tc>
        <w:tc>
          <w:tcPr>
            <w:tcW w:w="1205" w:type="dxa"/>
            <w:tcBorders>
              <w:top w:val="single" w:color="auto" w:sz="2" w:space="0"/>
              <w:left w:val="single" w:color="auto" w:sz="2" w:space="0"/>
              <w:bottom w:val="single" w:color="auto" w:sz="2" w:space="0"/>
              <w:right w:val="single" w:color="auto" w:sz="2" w:space="0"/>
            </w:tcBorders>
            <w:vAlign w:val="center"/>
          </w:tcPr>
          <w:p w14:paraId="44FB6244">
            <w:pPr>
              <w:spacing w:before="0" w:after="0" w:line="240" w:lineRule="exact"/>
              <w:jc w:val="right"/>
              <w:rPr>
                <w:rFonts w:ascii="宋体" w:hAnsi="宋体" w:eastAsia="宋体" w:cs="宋体"/>
                <w:sz w:val="18"/>
                <w:szCs w:val="18"/>
              </w:rPr>
            </w:pPr>
            <w:r>
              <w:rPr>
                <w:rFonts w:ascii="宋体" w:hAnsi="宋体" w:eastAsia="宋体" w:cs="宋体"/>
                <w:sz w:val="18"/>
                <w:szCs w:val="18"/>
              </w:rPr>
              <w:t>4</w:t>
            </w:r>
          </w:p>
        </w:tc>
        <w:tc>
          <w:tcPr>
            <w:tcW w:w="1205" w:type="dxa"/>
            <w:tcBorders>
              <w:top w:val="single" w:color="auto" w:sz="2" w:space="0"/>
              <w:left w:val="single" w:color="auto" w:sz="2" w:space="0"/>
              <w:bottom w:val="single" w:color="auto" w:sz="2" w:space="0"/>
              <w:right w:val="single" w:color="auto" w:sz="2" w:space="0"/>
            </w:tcBorders>
            <w:vAlign w:val="center"/>
          </w:tcPr>
          <w:p w14:paraId="4FBD8FE9">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052" w:type="dxa"/>
            <w:tcBorders>
              <w:top w:val="single" w:color="auto" w:sz="2" w:space="0"/>
              <w:left w:val="single" w:color="auto" w:sz="2" w:space="0"/>
              <w:bottom w:val="single" w:color="auto" w:sz="2" w:space="0"/>
              <w:right w:val="single" w:color="auto" w:sz="2" w:space="0"/>
            </w:tcBorders>
            <w:vAlign w:val="center"/>
          </w:tcPr>
          <w:p w14:paraId="26092C0C">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358" w:type="dxa"/>
            <w:tcBorders>
              <w:top w:val="single" w:color="auto" w:sz="2" w:space="0"/>
              <w:left w:val="single" w:color="auto" w:sz="2" w:space="0"/>
              <w:bottom w:val="single" w:color="auto" w:sz="2" w:space="0"/>
              <w:right w:val="single" w:color="auto" w:sz="2" w:space="0"/>
            </w:tcBorders>
            <w:vAlign w:val="center"/>
          </w:tcPr>
          <w:p w14:paraId="04F54511">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14:paraId="3BA0235E">
            <w:pPr>
              <w:spacing w:before="0" w:after="0" w:line="240" w:lineRule="exact"/>
              <w:jc w:val="right"/>
              <w:rPr>
                <w:rFonts w:ascii="宋体" w:hAnsi="宋体" w:eastAsia="宋体" w:cs="宋体"/>
                <w:sz w:val="18"/>
                <w:szCs w:val="18"/>
              </w:rPr>
            </w:pPr>
            <w:r>
              <w:rPr>
                <w:rFonts w:ascii="宋体" w:hAnsi="宋体" w:eastAsia="宋体" w:cs="宋体"/>
                <w:sz w:val="18"/>
                <w:szCs w:val="18"/>
              </w:rPr>
              <w:t>2</w:t>
            </w:r>
          </w:p>
        </w:tc>
      </w:tr>
    </w:tbl>
    <w:p w14:paraId="67A9F38B">
      <w:pPr>
        <w:spacing w:before="100" w:after="100" w:line="240" w:lineRule="exact"/>
        <w:jc w:val="left"/>
        <w:rPr>
          <w:rFonts w:ascii="宋体" w:hAnsi="宋体" w:eastAsia="宋体" w:cs="宋体"/>
          <w:sz w:val="18"/>
          <w:szCs w:val="18"/>
        </w:rPr>
      </w:pPr>
      <w:r>
        <w:rPr>
          <w:rFonts w:ascii="宋体" w:hAnsi="宋体" w:eastAsia="宋体" w:cs="宋体"/>
          <w:sz w:val="18"/>
          <w:szCs w:val="18"/>
        </w:rPr>
        <w:t>连续两次未亲自出席董事会的说明</w:t>
      </w:r>
    </w:p>
    <w:p w14:paraId="6B0387E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57"/>
        <w:textAlignment w:val="auto"/>
        <w:rPr>
          <w:rFonts w:hint="eastAsia" w:ascii="宋体" w:hAnsi="宋体" w:eastAsia="宋体" w:cs="宋体"/>
          <w:sz w:val="18"/>
          <w:szCs w:val="18"/>
        </w:rPr>
      </w:pPr>
      <w:r>
        <w:rPr>
          <w:rFonts w:hint="eastAsia" w:ascii="宋体" w:hAnsi="宋体" w:eastAsia="宋体" w:cs="宋体"/>
          <w:sz w:val="18"/>
          <w:szCs w:val="18"/>
        </w:rPr>
        <w:t>不适用。</w:t>
      </w:r>
    </w:p>
    <w:p w14:paraId="1A0C56EC">
      <w:pPr>
        <w:keepNext/>
        <w:keepLines/>
        <w:spacing w:before="300" w:after="300" w:line="280" w:lineRule="exact"/>
        <w:jc w:val="left"/>
        <w:outlineLvl w:val="2"/>
        <w:rPr>
          <w:rFonts w:ascii="宋体" w:hAnsi="宋体" w:eastAsia="宋体" w:cs="宋体"/>
          <w:b/>
          <w:bCs/>
          <w:sz w:val="21"/>
          <w:szCs w:val="21"/>
        </w:rPr>
      </w:pPr>
      <w:bookmarkStart w:id="73" w:name="_Toc988960"/>
      <w:r>
        <w:rPr>
          <w:rFonts w:ascii="宋体" w:hAnsi="宋体" w:eastAsia="宋体" w:cs="宋体"/>
          <w:b/>
          <w:bCs/>
          <w:sz w:val="21"/>
          <w:szCs w:val="21"/>
        </w:rPr>
        <w:t>3、董事对公司有关事项提出异议的情况</w:t>
      </w:r>
      <w:bookmarkEnd w:id="73"/>
    </w:p>
    <w:p w14:paraId="38251C6F">
      <w:pPr>
        <w:spacing w:before="100" w:after="100" w:line="240" w:lineRule="exact"/>
        <w:jc w:val="left"/>
        <w:rPr>
          <w:rFonts w:ascii="宋体" w:hAnsi="宋体" w:eastAsia="宋体" w:cs="宋体"/>
          <w:sz w:val="18"/>
          <w:szCs w:val="18"/>
        </w:rPr>
      </w:pPr>
      <w:r>
        <w:rPr>
          <w:rFonts w:ascii="宋体" w:hAnsi="宋体" w:eastAsia="宋体" w:cs="宋体"/>
          <w:sz w:val="18"/>
          <w:szCs w:val="18"/>
        </w:rPr>
        <w:t>董事对公司有关事项是否提出异议</w:t>
      </w:r>
    </w:p>
    <w:p w14:paraId="03C67321">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67CBF1E0">
      <w:pPr>
        <w:spacing w:before="40" w:after="40" w:line="240" w:lineRule="exact"/>
        <w:jc w:val="left"/>
        <w:rPr>
          <w:rFonts w:ascii="宋体" w:hAnsi="宋体" w:eastAsia="宋体" w:cs="宋体"/>
          <w:sz w:val="18"/>
          <w:szCs w:val="18"/>
        </w:rPr>
      </w:pPr>
      <w:r>
        <w:rPr>
          <w:rFonts w:ascii="宋体" w:hAnsi="宋体" w:eastAsia="宋体" w:cs="宋体"/>
          <w:sz w:val="18"/>
          <w:szCs w:val="18"/>
        </w:rPr>
        <w:t>报告期内董事对公司有关事项未提出异议。</w:t>
      </w:r>
    </w:p>
    <w:p w14:paraId="637858A1">
      <w:pPr>
        <w:keepNext/>
        <w:keepLines/>
        <w:spacing w:before="300" w:after="300" w:line="280" w:lineRule="exact"/>
        <w:jc w:val="left"/>
        <w:outlineLvl w:val="2"/>
        <w:rPr>
          <w:rFonts w:ascii="宋体" w:hAnsi="宋体" w:eastAsia="宋体" w:cs="宋体"/>
          <w:b/>
          <w:bCs/>
          <w:sz w:val="21"/>
          <w:szCs w:val="21"/>
        </w:rPr>
      </w:pPr>
      <w:bookmarkStart w:id="74" w:name="_Toc988961"/>
      <w:r>
        <w:rPr>
          <w:rFonts w:ascii="宋体" w:hAnsi="宋体" w:eastAsia="宋体" w:cs="宋体"/>
          <w:b/>
          <w:bCs/>
          <w:sz w:val="21"/>
          <w:szCs w:val="21"/>
        </w:rPr>
        <w:t>4、董事履行职责的其他说明</w:t>
      </w:r>
      <w:bookmarkEnd w:id="74"/>
    </w:p>
    <w:p w14:paraId="6F5F30C4">
      <w:pPr>
        <w:spacing w:before="100" w:after="100" w:line="240" w:lineRule="exact"/>
        <w:jc w:val="left"/>
        <w:rPr>
          <w:rFonts w:ascii="宋体" w:hAnsi="宋体" w:eastAsia="宋体" w:cs="宋体"/>
          <w:sz w:val="18"/>
          <w:szCs w:val="18"/>
        </w:rPr>
      </w:pPr>
      <w:r>
        <w:rPr>
          <w:rFonts w:ascii="宋体" w:hAnsi="宋体" w:eastAsia="宋体" w:cs="宋体"/>
          <w:sz w:val="18"/>
          <w:szCs w:val="18"/>
        </w:rPr>
        <w:t>董事对公司有关建议是否被采纳</w:t>
      </w:r>
    </w:p>
    <w:p w14:paraId="0644954A">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w:t>
      </w:r>
    </w:p>
    <w:p w14:paraId="4FEDBAC4">
      <w:pPr>
        <w:spacing w:before="100" w:after="100" w:line="240" w:lineRule="exact"/>
        <w:jc w:val="left"/>
        <w:rPr>
          <w:rFonts w:ascii="宋体" w:hAnsi="宋体" w:eastAsia="宋体" w:cs="宋体"/>
          <w:sz w:val="18"/>
          <w:szCs w:val="18"/>
        </w:rPr>
      </w:pPr>
      <w:r>
        <w:rPr>
          <w:rFonts w:ascii="宋体" w:hAnsi="宋体" w:eastAsia="宋体" w:cs="宋体"/>
          <w:sz w:val="18"/>
          <w:szCs w:val="18"/>
        </w:rPr>
        <w:t>董事对公司有关建议被采纳或未被采纳的说明</w:t>
      </w:r>
    </w:p>
    <w:p w14:paraId="6DDFF59D">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报告期内，公司董事根据《深圳证券交易所创业板股票上市规则》《深圳证券交易所上市公司自律监管指引第2号——创业板上市公司规范运作》《上市公司独立董事规则》《公司章程》等有关规定，忠实、勤勉地履行职责，按时积极出席公司董事会和股东大会及董事会下属各专门委员会，会前通过电话、邮件等方式主动了解并获取做出决策所需要的资料，会上认真审议每项议案，积极参与讨论并提出合理化建议，有效保证了公司董事会决策的公正性和客观性。此外，公司独立董事与公司高级管理人员及相关人员保持沟通，积极了解公司生产经营及财务状况，对定期报告、内部控制等重要事项，发表了独立、公正客观的意见，有效维护了全体股东特别是中小股东的合法权益，为公司的规范运作和健康发展发挥了积极作用。</w:t>
      </w:r>
    </w:p>
    <w:p w14:paraId="3272A39B">
      <w:pPr>
        <w:keepNext/>
        <w:keepLines/>
        <w:numPr>
          <w:ilvl w:val="0"/>
          <w:numId w:val="1"/>
        </w:numPr>
        <w:spacing w:before="300" w:after="300" w:line="320" w:lineRule="exact"/>
        <w:jc w:val="left"/>
        <w:outlineLvl w:val="1"/>
        <w:rPr>
          <w:rFonts w:ascii="宋体" w:hAnsi="宋体" w:eastAsia="宋体" w:cs="宋体"/>
          <w:b/>
          <w:bCs/>
          <w:sz w:val="24"/>
          <w:szCs w:val="24"/>
        </w:rPr>
      </w:pPr>
      <w:bookmarkStart w:id="75" w:name="_Toc988962"/>
      <w:r>
        <w:rPr>
          <w:rFonts w:ascii="宋体" w:hAnsi="宋体" w:eastAsia="宋体" w:cs="宋体"/>
          <w:b/>
          <w:bCs/>
          <w:sz w:val="24"/>
          <w:szCs w:val="24"/>
        </w:rPr>
        <w:t>董事会下设专门委员会在报告期内的情况</w:t>
      </w:r>
      <w:bookmarkEnd w:id="75"/>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7"/>
        <w:gridCol w:w="1310"/>
        <w:gridCol w:w="640"/>
        <w:gridCol w:w="1170"/>
        <w:gridCol w:w="1650"/>
        <w:gridCol w:w="1623"/>
        <w:gridCol w:w="1205"/>
        <w:gridCol w:w="1205"/>
      </w:tblGrid>
      <w:tr w14:paraId="0C3197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7" w:type="dxa"/>
            <w:tcBorders>
              <w:top w:val="single" w:color="auto" w:sz="2" w:space="0"/>
              <w:left w:val="single" w:color="auto" w:sz="2" w:space="0"/>
              <w:bottom w:val="single" w:color="auto" w:sz="2" w:space="0"/>
              <w:right w:val="single" w:color="auto" w:sz="2" w:space="0"/>
            </w:tcBorders>
            <w:shd w:val="clear" w:color="auto" w:fill="D3D3D3"/>
            <w:vAlign w:val="center"/>
          </w:tcPr>
          <w:p w14:paraId="2D8052E8">
            <w:pPr>
              <w:spacing w:before="40" w:after="40" w:line="240" w:lineRule="exact"/>
              <w:jc w:val="center"/>
              <w:rPr>
                <w:rFonts w:ascii="宋体" w:hAnsi="宋体" w:eastAsia="宋体" w:cs="宋体"/>
                <w:sz w:val="18"/>
                <w:szCs w:val="18"/>
              </w:rPr>
            </w:pPr>
            <w:bookmarkStart w:id="76" w:name="_Toc988963"/>
            <w:r>
              <w:rPr>
                <w:rFonts w:ascii="宋体" w:hAnsi="宋体" w:eastAsia="宋体" w:cs="宋体"/>
                <w:sz w:val="18"/>
                <w:szCs w:val="18"/>
              </w:rPr>
              <w:t>委员会名称</w:t>
            </w:r>
          </w:p>
        </w:tc>
        <w:tc>
          <w:tcPr>
            <w:tcW w:w="1310" w:type="dxa"/>
            <w:tcBorders>
              <w:top w:val="single" w:color="auto" w:sz="2" w:space="0"/>
              <w:left w:val="single" w:color="auto" w:sz="2" w:space="0"/>
              <w:bottom w:val="single" w:color="auto" w:sz="2" w:space="0"/>
              <w:right w:val="single" w:color="auto" w:sz="2" w:space="0"/>
            </w:tcBorders>
            <w:shd w:val="clear" w:color="auto" w:fill="D3D3D3"/>
            <w:vAlign w:val="center"/>
          </w:tcPr>
          <w:p w14:paraId="2775AA2B">
            <w:pPr>
              <w:spacing w:before="40" w:after="40" w:line="240" w:lineRule="exact"/>
              <w:jc w:val="center"/>
              <w:rPr>
                <w:rFonts w:ascii="宋体" w:hAnsi="宋体" w:eastAsia="宋体" w:cs="宋体"/>
                <w:sz w:val="18"/>
                <w:szCs w:val="18"/>
              </w:rPr>
            </w:pPr>
            <w:r>
              <w:rPr>
                <w:rFonts w:ascii="宋体" w:hAnsi="宋体" w:eastAsia="宋体" w:cs="宋体"/>
                <w:sz w:val="18"/>
                <w:szCs w:val="18"/>
              </w:rPr>
              <w:t>成员情况</w:t>
            </w:r>
          </w:p>
        </w:tc>
        <w:tc>
          <w:tcPr>
            <w:tcW w:w="640" w:type="dxa"/>
            <w:tcBorders>
              <w:top w:val="single" w:color="auto" w:sz="2" w:space="0"/>
              <w:left w:val="single" w:color="auto" w:sz="2" w:space="0"/>
              <w:bottom w:val="single" w:color="auto" w:sz="2" w:space="0"/>
              <w:right w:val="single" w:color="auto" w:sz="2" w:space="0"/>
            </w:tcBorders>
            <w:shd w:val="clear" w:color="auto" w:fill="D3D3D3"/>
            <w:vAlign w:val="center"/>
          </w:tcPr>
          <w:p w14:paraId="047E3290">
            <w:pPr>
              <w:spacing w:before="40" w:after="40" w:line="240" w:lineRule="exact"/>
              <w:jc w:val="center"/>
              <w:rPr>
                <w:rFonts w:ascii="宋体" w:hAnsi="宋体" w:eastAsia="宋体" w:cs="宋体"/>
                <w:sz w:val="18"/>
                <w:szCs w:val="18"/>
              </w:rPr>
            </w:pPr>
            <w:r>
              <w:rPr>
                <w:rFonts w:ascii="宋体" w:hAnsi="宋体" w:eastAsia="宋体" w:cs="宋体"/>
                <w:sz w:val="18"/>
                <w:szCs w:val="18"/>
              </w:rPr>
              <w:t>召开会议次数</w:t>
            </w:r>
          </w:p>
        </w:tc>
        <w:tc>
          <w:tcPr>
            <w:tcW w:w="1170" w:type="dxa"/>
            <w:tcBorders>
              <w:top w:val="single" w:color="auto" w:sz="2" w:space="0"/>
              <w:left w:val="single" w:color="auto" w:sz="2" w:space="0"/>
              <w:bottom w:val="single" w:color="auto" w:sz="2" w:space="0"/>
              <w:right w:val="single" w:color="auto" w:sz="2" w:space="0"/>
            </w:tcBorders>
            <w:shd w:val="clear" w:color="auto" w:fill="D3D3D3"/>
            <w:vAlign w:val="center"/>
          </w:tcPr>
          <w:p w14:paraId="1AA05DDB">
            <w:pPr>
              <w:spacing w:before="40" w:after="40" w:line="240" w:lineRule="exact"/>
              <w:jc w:val="center"/>
              <w:rPr>
                <w:rFonts w:ascii="宋体" w:hAnsi="宋体" w:eastAsia="宋体" w:cs="宋体"/>
                <w:sz w:val="18"/>
                <w:szCs w:val="18"/>
              </w:rPr>
            </w:pPr>
            <w:r>
              <w:rPr>
                <w:rFonts w:ascii="宋体" w:hAnsi="宋体" w:eastAsia="宋体" w:cs="宋体"/>
                <w:sz w:val="18"/>
                <w:szCs w:val="18"/>
              </w:rPr>
              <w:t>召开日期</w:t>
            </w:r>
          </w:p>
        </w:tc>
        <w:tc>
          <w:tcPr>
            <w:tcW w:w="1650" w:type="dxa"/>
            <w:tcBorders>
              <w:top w:val="single" w:color="auto" w:sz="2" w:space="0"/>
              <w:left w:val="single" w:color="auto" w:sz="2" w:space="0"/>
              <w:bottom w:val="single" w:color="auto" w:sz="2" w:space="0"/>
              <w:right w:val="single" w:color="auto" w:sz="2" w:space="0"/>
            </w:tcBorders>
            <w:shd w:val="clear" w:color="auto" w:fill="D3D3D3"/>
            <w:vAlign w:val="center"/>
          </w:tcPr>
          <w:p w14:paraId="3391740C">
            <w:pPr>
              <w:spacing w:before="40" w:after="40" w:line="240" w:lineRule="exact"/>
              <w:jc w:val="center"/>
              <w:rPr>
                <w:rFonts w:ascii="宋体" w:hAnsi="宋体" w:eastAsia="宋体" w:cs="宋体"/>
                <w:sz w:val="18"/>
                <w:szCs w:val="18"/>
              </w:rPr>
            </w:pPr>
            <w:r>
              <w:rPr>
                <w:rFonts w:ascii="宋体" w:hAnsi="宋体" w:eastAsia="宋体" w:cs="宋体"/>
                <w:sz w:val="18"/>
                <w:szCs w:val="18"/>
              </w:rPr>
              <w:t>会议内容</w:t>
            </w:r>
          </w:p>
        </w:tc>
        <w:tc>
          <w:tcPr>
            <w:tcW w:w="1623" w:type="dxa"/>
            <w:tcBorders>
              <w:top w:val="single" w:color="auto" w:sz="2" w:space="0"/>
              <w:left w:val="single" w:color="auto" w:sz="2" w:space="0"/>
              <w:bottom w:val="single" w:color="auto" w:sz="2" w:space="0"/>
              <w:right w:val="single" w:color="auto" w:sz="2" w:space="0"/>
            </w:tcBorders>
            <w:shd w:val="clear" w:color="auto" w:fill="D3D3D3"/>
            <w:vAlign w:val="center"/>
          </w:tcPr>
          <w:p w14:paraId="4E7C17E5">
            <w:pPr>
              <w:spacing w:before="40" w:after="40" w:line="240" w:lineRule="exact"/>
              <w:jc w:val="center"/>
              <w:rPr>
                <w:rFonts w:ascii="宋体" w:hAnsi="宋体" w:eastAsia="宋体" w:cs="宋体"/>
                <w:sz w:val="18"/>
                <w:szCs w:val="18"/>
              </w:rPr>
            </w:pPr>
            <w:r>
              <w:rPr>
                <w:rFonts w:ascii="宋体" w:hAnsi="宋体" w:eastAsia="宋体" w:cs="宋体"/>
                <w:sz w:val="18"/>
                <w:szCs w:val="18"/>
              </w:rPr>
              <w:t>提出的重要意见和建议</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3B854595">
            <w:pPr>
              <w:spacing w:before="40" w:after="40" w:line="240" w:lineRule="exact"/>
              <w:jc w:val="center"/>
              <w:rPr>
                <w:rFonts w:ascii="宋体" w:hAnsi="宋体" w:eastAsia="宋体" w:cs="宋体"/>
                <w:sz w:val="18"/>
                <w:szCs w:val="18"/>
              </w:rPr>
            </w:pPr>
            <w:r>
              <w:rPr>
                <w:rFonts w:ascii="宋体" w:hAnsi="宋体" w:eastAsia="宋体" w:cs="宋体"/>
                <w:sz w:val="18"/>
                <w:szCs w:val="18"/>
              </w:rPr>
              <w:t>其他履行职责的情况</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4AA88673">
            <w:pPr>
              <w:spacing w:before="40" w:after="40" w:line="240" w:lineRule="exact"/>
              <w:jc w:val="center"/>
              <w:rPr>
                <w:rFonts w:ascii="宋体" w:hAnsi="宋体" w:eastAsia="宋体" w:cs="宋体"/>
                <w:sz w:val="18"/>
                <w:szCs w:val="18"/>
              </w:rPr>
            </w:pPr>
            <w:r>
              <w:rPr>
                <w:rFonts w:ascii="宋体" w:hAnsi="宋体" w:eastAsia="宋体" w:cs="宋体"/>
                <w:sz w:val="18"/>
                <w:szCs w:val="18"/>
              </w:rPr>
              <w:t>异议事项具体情况（如有）</w:t>
            </w:r>
          </w:p>
        </w:tc>
      </w:tr>
      <w:tr w14:paraId="63E212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7" w:type="dxa"/>
            <w:vMerge w:val="restart"/>
            <w:tcBorders>
              <w:top w:val="single" w:color="auto" w:sz="2" w:space="0"/>
              <w:left w:val="single" w:color="auto" w:sz="2" w:space="0"/>
              <w:right w:val="single" w:color="auto" w:sz="2" w:space="0"/>
            </w:tcBorders>
            <w:vAlign w:val="center"/>
          </w:tcPr>
          <w:p w14:paraId="1D6A4C27">
            <w:pPr>
              <w:spacing w:before="0" w:after="0" w:line="240" w:lineRule="exact"/>
              <w:jc w:val="center"/>
              <w:rPr>
                <w:rFonts w:ascii="宋体" w:hAnsi="宋体" w:eastAsia="宋体" w:cs="宋体"/>
                <w:sz w:val="18"/>
                <w:szCs w:val="18"/>
              </w:rPr>
            </w:pPr>
            <w:r>
              <w:rPr>
                <w:rFonts w:ascii="宋体" w:hAnsi="宋体" w:eastAsia="宋体" w:cs="宋体"/>
                <w:sz w:val="18"/>
                <w:szCs w:val="18"/>
              </w:rPr>
              <w:t>董事会审计委员会</w:t>
            </w:r>
          </w:p>
        </w:tc>
        <w:tc>
          <w:tcPr>
            <w:tcW w:w="1310" w:type="dxa"/>
            <w:vMerge w:val="restart"/>
            <w:tcBorders>
              <w:top w:val="single" w:color="auto" w:sz="2" w:space="0"/>
              <w:left w:val="single" w:color="auto" w:sz="2" w:space="0"/>
              <w:bottom w:val="single" w:color="auto" w:sz="2" w:space="0"/>
              <w:right w:val="single" w:color="auto" w:sz="2" w:space="0"/>
            </w:tcBorders>
            <w:vAlign w:val="center"/>
          </w:tcPr>
          <w:p w14:paraId="785F5B41">
            <w:pPr>
              <w:spacing w:before="0" w:after="0" w:line="240" w:lineRule="exact"/>
              <w:jc w:val="left"/>
              <w:rPr>
                <w:rFonts w:ascii="宋体" w:hAnsi="宋体" w:eastAsia="宋体" w:cs="宋体"/>
                <w:sz w:val="18"/>
                <w:szCs w:val="18"/>
              </w:rPr>
            </w:pPr>
            <w:r>
              <w:rPr>
                <w:rFonts w:ascii="宋体" w:hAnsi="宋体" w:eastAsia="宋体" w:cs="宋体"/>
                <w:sz w:val="18"/>
                <w:szCs w:val="18"/>
              </w:rPr>
              <w:t>强欣荣（主任委员）、任红、陈明宇、李国平、林晓辉</w:t>
            </w:r>
          </w:p>
        </w:tc>
        <w:tc>
          <w:tcPr>
            <w:tcW w:w="640" w:type="dxa"/>
            <w:vMerge w:val="restart"/>
            <w:tcBorders>
              <w:top w:val="single" w:color="auto" w:sz="2" w:space="0"/>
              <w:left w:val="single" w:color="auto" w:sz="2" w:space="0"/>
              <w:right w:val="single" w:color="auto" w:sz="2" w:space="0"/>
            </w:tcBorders>
            <w:vAlign w:val="center"/>
          </w:tcPr>
          <w:p w14:paraId="1B5AC281">
            <w:pPr>
              <w:spacing w:before="0" w:after="0" w:line="240" w:lineRule="exact"/>
              <w:jc w:val="right"/>
              <w:rPr>
                <w:rFonts w:ascii="宋体" w:hAnsi="宋体" w:eastAsia="宋体" w:cs="宋体"/>
                <w:sz w:val="18"/>
                <w:szCs w:val="18"/>
              </w:rPr>
            </w:pPr>
            <w:r>
              <w:rPr>
                <w:rFonts w:ascii="宋体" w:hAnsi="宋体" w:eastAsia="宋体" w:cs="宋体"/>
                <w:sz w:val="18"/>
                <w:szCs w:val="18"/>
              </w:rPr>
              <w:t>6</w:t>
            </w:r>
          </w:p>
        </w:tc>
        <w:tc>
          <w:tcPr>
            <w:tcW w:w="1170" w:type="dxa"/>
            <w:tcBorders>
              <w:top w:val="single" w:color="auto" w:sz="2" w:space="0"/>
              <w:left w:val="single" w:color="auto" w:sz="2" w:space="0"/>
              <w:bottom w:val="single" w:color="auto" w:sz="2" w:space="0"/>
              <w:right w:val="single" w:color="auto" w:sz="2" w:space="0"/>
            </w:tcBorders>
            <w:vAlign w:val="center"/>
          </w:tcPr>
          <w:p w14:paraId="4FEC13E9">
            <w:pPr>
              <w:spacing w:before="0" w:after="0" w:line="240" w:lineRule="exact"/>
              <w:jc w:val="left"/>
              <w:rPr>
                <w:rFonts w:ascii="宋体" w:hAnsi="宋体" w:eastAsia="宋体" w:cs="宋体"/>
                <w:sz w:val="18"/>
                <w:szCs w:val="18"/>
              </w:rPr>
            </w:pPr>
            <w:r>
              <w:rPr>
                <w:rFonts w:ascii="宋体" w:hAnsi="宋体" w:eastAsia="宋体" w:cs="宋体"/>
                <w:sz w:val="18"/>
                <w:szCs w:val="18"/>
              </w:rPr>
              <w:t>2024年03月29日</w:t>
            </w:r>
          </w:p>
        </w:tc>
        <w:tc>
          <w:tcPr>
            <w:tcW w:w="1650" w:type="dxa"/>
            <w:tcBorders>
              <w:top w:val="single" w:color="auto" w:sz="2" w:space="0"/>
              <w:left w:val="single" w:color="auto" w:sz="2" w:space="0"/>
              <w:bottom w:val="single" w:color="auto" w:sz="2" w:space="0"/>
              <w:right w:val="single" w:color="auto" w:sz="2" w:space="0"/>
            </w:tcBorders>
            <w:vAlign w:val="center"/>
          </w:tcPr>
          <w:p w14:paraId="626CAC2C">
            <w:pPr>
              <w:spacing w:before="0" w:after="0" w:line="240" w:lineRule="exact"/>
              <w:jc w:val="left"/>
              <w:rPr>
                <w:rFonts w:ascii="宋体" w:hAnsi="宋体" w:eastAsia="宋体" w:cs="宋体"/>
                <w:sz w:val="18"/>
                <w:szCs w:val="18"/>
              </w:rPr>
            </w:pPr>
            <w:r>
              <w:rPr>
                <w:rFonts w:ascii="宋体" w:hAnsi="宋体" w:eastAsia="宋体" w:cs="宋体"/>
                <w:sz w:val="18"/>
                <w:szCs w:val="18"/>
              </w:rPr>
              <w:t>审议会计估计变更</w:t>
            </w:r>
          </w:p>
        </w:tc>
        <w:tc>
          <w:tcPr>
            <w:tcW w:w="1623" w:type="dxa"/>
            <w:vMerge w:val="restart"/>
            <w:tcBorders>
              <w:top w:val="single" w:color="auto" w:sz="2" w:space="0"/>
              <w:left w:val="single" w:color="auto" w:sz="2" w:space="0"/>
              <w:right w:val="single" w:color="auto" w:sz="2" w:space="0"/>
            </w:tcBorders>
            <w:vAlign w:val="center"/>
          </w:tcPr>
          <w:p w14:paraId="0D048C44">
            <w:pPr>
              <w:spacing w:before="0" w:after="0" w:line="240" w:lineRule="exact"/>
              <w:jc w:val="left"/>
              <w:rPr>
                <w:rFonts w:ascii="宋体" w:hAnsi="宋体" w:eastAsia="宋体" w:cs="宋体"/>
                <w:sz w:val="18"/>
                <w:szCs w:val="18"/>
              </w:rPr>
            </w:pPr>
            <w:r>
              <w:rPr>
                <w:rFonts w:ascii="宋体" w:hAnsi="宋体" w:eastAsia="宋体" w:cs="宋体"/>
                <w:sz w:val="18"/>
                <w:szCs w:val="18"/>
              </w:rPr>
              <w:t>审计委员会严格按照相关规定开展工作，对审议事项表示一致同意。</w:t>
            </w:r>
          </w:p>
        </w:tc>
        <w:tc>
          <w:tcPr>
            <w:tcW w:w="1205" w:type="dxa"/>
            <w:vMerge w:val="restart"/>
            <w:tcBorders>
              <w:top w:val="single" w:color="auto" w:sz="2" w:space="0"/>
              <w:left w:val="single" w:color="auto" w:sz="2" w:space="0"/>
              <w:right w:val="single" w:color="auto" w:sz="2" w:space="0"/>
            </w:tcBorders>
            <w:vAlign w:val="center"/>
          </w:tcPr>
          <w:p w14:paraId="6371B4C5">
            <w:pPr>
              <w:spacing w:before="0" w:after="0" w:line="240" w:lineRule="exact"/>
              <w:jc w:val="left"/>
              <w:rPr>
                <w:rFonts w:ascii="宋体" w:hAnsi="宋体" w:eastAsia="宋体" w:cs="宋体"/>
                <w:sz w:val="18"/>
                <w:szCs w:val="18"/>
              </w:rPr>
            </w:pPr>
            <w:r>
              <w:rPr>
                <w:rFonts w:ascii="宋体" w:hAnsi="宋体" w:eastAsia="宋体" w:cs="宋体"/>
                <w:sz w:val="18"/>
                <w:szCs w:val="18"/>
              </w:rPr>
              <w:t>指导内部审计工作、监督、评估外部审计机构工作、审阅公司的财务报告。</w:t>
            </w:r>
          </w:p>
        </w:tc>
        <w:tc>
          <w:tcPr>
            <w:tcW w:w="1205" w:type="dxa"/>
            <w:tcBorders>
              <w:top w:val="single" w:color="auto" w:sz="2" w:space="0"/>
              <w:left w:val="single" w:color="auto" w:sz="2" w:space="0"/>
              <w:bottom w:val="single" w:color="auto" w:sz="2" w:space="0"/>
              <w:right w:val="single" w:color="auto" w:sz="2" w:space="0"/>
            </w:tcBorders>
            <w:vAlign w:val="center"/>
          </w:tcPr>
          <w:p w14:paraId="1AE8AB3E">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209F97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7" w:type="dxa"/>
            <w:vMerge w:val="continue"/>
            <w:tcBorders>
              <w:left w:val="single" w:color="auto" w:sz="2" w:space="0"/>
              <w:right w:val="single" w:color="auto" w:sz="2" w:space="0"/>
            </w:tcBorders>
            <w:vAlign w:val="center"/>
          </w:tcPr>
          <w:p w14:paraId="72EC05C0">
            <w:pPr>
              <w:spacing w:before="0" w:after="0" w:line="240" w:lineRule="exact"/>
              <w:jc w:val="left"/>
              <w:rPr>
                <w:rFonts w:ascii="宋体" w:hAnsi="宋体" w:eastAsia="宋体" w:cs="宋体"/>
                <w:sz w:val="18"/>
                <w:szCs w:val="18"/>
              </w:rPr>
            </w:pPr>
          </w:p>
        </w:tc>
        <w:tc>
          <w:tcPr>
            <w:tcW w:w="1310" w:type="dxa"/>
            <w:vMerge w:val="continue"/>
            <w:tcBorders>
              <w:top w:val="single" w:color="auto" w:sz="2" w:space="0"/>
              <w:left w:val="single" w:color="auto" w:sz="2" w:space="0"/>
              <w:bottom w:val="single" w:color="auto" w:sz="2" w:space="0"/>
              <w:right w:val="single" w:color="auto" w:sz="2" w:space="0"/>
            </w:tcBorders>
            <w:vAlign w:val="center"/>
          </w:tcPr>
          <w:p w14:paraId="34948E45">
            <w:pPr>
              <w:spacing w:before="0" w:after="0" w:line="240" w:lineRule="exact"/>
              <w:jc w:val="left"/>
              <w:rPr>
                <w:rFonts w:ascii="宋体" w:hAnsi="宋体" w:eastAsia="宋体" w:cs="宋体"/>
                <w:sz w:val="18"/>
                <w:szCs w:val="18"/>
              </w:rPr>
            </w:pPr>
            <w:r>
              <w:rPr>
                <w:rFonts w:ascii="宋体" w:hAnsi="宋体" w:eastAsia="宋体" w:cs="宋体"/>
                <w:sz w:val="18"/>
                <w:szCs w:val="18"/>
              </w:rPr>
              <w:t>强欣荣（主任委员）、任红、陈明宇、李国平、林晓辉</w:t>
            </w:r>
          </w:p>
        </w:tc>
        <w:tc>
          <w:tcPr>
            <w:tcW w:w="640" w:type="dxa"/>
            <w:vMerge w:val="continue"/>
            <w:tcBorders>
              <w:left w:val="single" w:color="auto" w:sz="2" w:space="0"/>
              <w:right w:val="single" w:color="auto" w:sz="2" w:space="0"/>
            </w:tcBorders>
            <w:vAlign w:val="center"/>
          </w:tcPr>
          <w:p w14:paraId="3D850231">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733F9641">
            <w:pPr>
              <w:spacing w:before="0" w:after="0" w:line="240" w:lineRule="exact"/>
              <w:jc w:val="left"/>
              <w:rPr>
                <w:rFonts w:ascii="宋体" w:hAnsi="宋体" w:eastAsia="宋体" w:cs="宋体"/>
                <w:sz w:val="18"/>
                <w:szCs w:val="18"/>
              </w:rPr>
            </w:pPr>
            <w:r>
              <w:rPr>
                <w:rFonts w:ascii="宋体" w:hAnsi="宋体" w:eastAsia="宋体" w:cs="宋体"/>
                <w:sz w:val="18"/>
                <w:szCs w:val="18"/>
              </w:rPr>
              <w:t>2024年04月07日</w:t>
            </w:r>
          </w:p>
        </w:tc>
        <w:tc>
          <w:tcPr>
            <w:tcW w:w="1650" w:type="dxa"/>
            <w:tcBorders>
              <w:top w:val="single" w:color="auto" w:sz="2" w:space="0"/>
              <w:left w:val="single" w:color="auto" w:sz="2" w:space="0"/>
              <w:bottom w:val="single" w:color="auto" w:sz="2" w:space="0"/>
              <w:right w:val="single" w:color="auto" w:sz="2" w:space="0"/>
            </w:tcBorders>
            <w:vAlign w:val="center"/>
          </w:tcPr>
          <w:p w14:paraId="7FB832A8">
            <w:pPr>
              <w:spacing w:before="0" w:after="0" w:line="240" w:lineRule="exact"/>
              <w:jc w:val="left"/>
              <w:rPr>
                <w:rFonts w:ascii="宋体" w:hAnsi="宋体" w:eastAsia="宋体" w:cs="宋体"/>
                <w:sz w:val="18"/>
                <w:szCs w:val="18"/>
              </w:rPr>
            </w:pPr>
            <w:r>
              <w:rPr>
                <w:rFonts w:ascii="宋体" w:hAnsi="宋体" w:eastAsia="宋体" w:cs="宋体"/>
                <w:sz w:val="18"/>
                <w:szCs w:val="18"/>
              </w:rPr>
              <w:t>审议2023年度审计报告及2024年第一季度报告等</w:t>
            </w:r>
          </w:p>
        </w:tc>
        <w:tc>
          <w:tcPr>
            <w:tcW w:w="1623" w:type="dxa"/>
            <w:vMerge w:val="continue"/>
            <w:tcBorders>
              <w:left w:val="single" w:color="auto" w:sz="2" w:space="0"/>
              <w:right w:val="single" w:color="auto" w:sz="2" w:space="0"/>
            </w:tcBorders>
            <w:vAlign w:val="center"/>
          </w:tcPr>
          <w:p w14:paraId="14767A5E">
            <w:pPr>
              <w:spacing w:before="0" w:after="0" w:line="240" w:lineRule="exact"/>
              <w:jc w:val="left"/>
              <w:rPr>
                <w:rFonts w:ascii="宋体" w:hAnsi="宋体" w:eastAsia="宋体" w:cs="宋体"/>
                <w:sz w:val="18"/>
                <w:szCs w:val="18"/>
              </w:rPr>
            </w:pPr>
          </w:p>
        </w:tc>
        <w:tc>
          <w:tcPr>
            <w:tcW w:w="1205" w:type="dxa"/>
            <w:vMerge w:val="continue"/>
            <w:tcBorders>
              <w:left w:val="single" w:color="auto" w:sz="2" w:space="0"/>
              <w:right w:val="single" w:color="auto" w:sz="2" w:space="0"/>
            </w:tcBorders>
            <w:vAlign w:val="center"/>
          </w:tcPr>
          <w:p w14:paraId="34728048">
            <w:pPr>
              <w:spacing w:before="0" w:after="0" w:line="240" w:lineRule="exact"/>
              <w:jc w:val="lef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C567F45">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60E709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7" w:type="dxa"/>
            <w:vMerge w:val="continue"/>
            <w:tcBorders>
              <w:left w:val="single" w:color="auto" w:sz="2" w:space="0"/>
              <w:right w:val="single" w:color="auto" w:sz="2" w:space="0"/>
            </w:tcBorders>
            <w:vAlign w:val="center"/>
          </w:tcPr>
          <w:p w14:paraId="35ABB5C8">
            <w:pPr>
              <w:spacing w:before="0" w:after="0" w:line="240" w:lineRule="exact"/>
              <w:jc w:val="left"/>
              <w:rPr>
                <w:rFonts w:ascii="宋体" w:hAnsi="宋体" w:eastAsia="宋体" w:cs="宋体"/>
                <w:sz w:val="18"/>
                <w:szCs w:val="18"/>
              </w:rPr>
            </w:pPr>
          </w:p>
        </w:tc>
        <w:tc>
          <w:tcPr>
            <w:tcW w:w="1310" w:type="dxa"/>
            <w:vMerge w:val="restart"/>
            <w:tcBorders>
              <w:top w:val="single" w:color="auto" w:sz="2" w:space="0"/>
              <w:left w:val="single" w:color="auto" w:sz="2" w:space="0"/>
              <w:bottom w:val="single" w:color="auto" w:sz="2" w:space="0"/>
              <w:right w:val="single" w:color="auto" w:sz="2" w:space="0"/>
            </w:tcBorders>
            <w:vAlign w:val="center"/>
          </w:tcPr>
          <w:p w14:paraId="3454F87F">
            <w:pPr>
              <w:spacing w:before="0" w:after="0" w:line="240" w:lineRule="exact"/>
              <w:jc w:val="left"/>
              <w:rPr>
                <w:rFonts w:ascii="宋体" w:hAnsi="宋体" w:eastAsia="宋体" w:cs="宋体"/>
                <w:sz w:val="18"/>
                <w:szCs w:val="18"/>
              </w:rPr>
            </w:pPr>
            <w:r>
              <w:rPr>
                <w:rFonts w:ascii="宋体" w:hAnsi="宋体" w:eastAsia="宋体" w:cs="宋体"/>
                <w:sz w:val="18"/>
                <w:szCs w:val="18"/>
              </w:rPr>
              <w:t>吴红军（主任委员）、鲁凤民、吴飞美、李国栋、叶理青</w:t>
            </w:r>
          </w:p>
        </w:tc>
        <w:tc>
          <w:tcPr>
            <w:tcW w:w="640" w:type="dxa"/>
            <w:vMerge w:val="continue"/>
            <w:tcBorders>
              <w:left w:val="single" w:color="auto" w:sz="2" w:space="0"/>
              <w:right w:val="single" w:color="auto" w:sz="2" w:space="0"/>
            </w:tcBorders>
            <w:vAlign w:val="center"/>
          </w:tcPr>
          <w:p w14:paraId="2F1F8A73">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724CB762">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1650" w:type="dxa"/>
            <w:tcBorders>
              <w:top w:val="single" w:color="auto" w:sz="2" w:space="0"/>
              <w:left w:val="single" w:color="auto" w:sz="2" w:space="0"/>
              <w:bottom w:val="single" w:color="auto" w:sz="2" w:space="0"/>
              <w:right w:val="single" w:color="auto" w:sz="2" w:space="0"/>
            </w:tcBorders>
            <w:vAlign w:val="center"/>
          </w:tcPr>
          <w:p w14:paraId="742EC819">
            <w:pPr>
              <w:spacing w:before="0" w:after="0" w:line="240" w:lineRule="exact"/>
              <w:jc w:val="left"/>
              <w:rPr>
                <w:rFonts w:ascii="宋体" w:hAnsi="宋体" w:eastAsia="宋体" w:cs="宋体"/>
                <w:sz w:val="18"/>
                <w:szCs w:val="18"/>
              </w:rPr>
            </w:pPr>
            <w:r>
              <w:rPr>
                <w:rFonts w:ascii="宋体" w:hAnsi="宋体" w:eastAsia="宋体" w:cs="宋体"/>
                <w:sz w:val="18"/>
                <w:szCs w:val="18"/>
              </w:rPr>
              <w:t>审议提名公司财务总监</w:t>
            </w:r>
          </w:p>
        </w:tc>
        <w:tc>
          <w:tcPr>
            <w:tcW w:w="1623" w:type="dxa"/>
            <w:vMerge w:val="continue"/>
            <w:tcBorders>
              <w:left w:val="single" w:color="auto" w:sz="2" w:space="0"/>
              <w:right w:val="single" w:color="auto" w:sz="2" w:space="0"/>
            </w:tcBorders>
            <w:vAlign w:val="center"/>
          </w:tcPr>
          <w:p w14:paraId="69DC540F">
            <w:pPr>
              <w:spacing w:before="0" w:after="0" w:line="240" w:lineRule="exact"/>
              <w:jc w:val="left"/>
              <w:rPr>
                <w:rFonts w:ascii="宋体" w:hAnsi="宋体" w:eastAsia="宋体" w:cs="宋体"/>
                <w:sz w:val="18"/>
                <w:szCs w:val="18"/>
              </w:rPr>
            </w:pPr>
          </w:p>
        </w:tc>
        <w:tc>
          <w:tcPr>
            <w:tcW w:w="1205" w:type="dxa"/>
            <w:vMerge w:val="continue"/>
            <w:tcBorders>
              <w:left w:val="single" w:color="auto" w:sz="2" w:space="0"/>
              <w:right w:val="single" w:color="auto" w:sz="2" w:space="0"/>
            </w:tcBorders>
            <w:vAlign w:val="center"/>
          </w:tcPr>
          <w:p w14:paraId="4A40456E">
            <w:pPr>
              <w:spacing w:before="0" w:after="0" w:line="240" w:lineRule="exact"/>
              <w:jc w:val="lef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5314E35">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60FBB5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7" w:type="dxa"/>
            <w:vMerge w:val="continue"/>
            <w:tcBorders>
              <w:left w:val="single" w:color="auto" w:sz="2" w:space="0"/>
              <w:right w:val="single" w:color="auto" w:sz="2" w:space="0"/>
            </w:tcBorders>
            <w:vAlign w:val="center"/>
          </w:tcPr>
          <w:p w14:paraId="31387515">
            <w:pPr>
              <w:spacing w:before="0" w:after="0" w:line="240" w:lineRule="exact"/>
              <w:jc w:val="left"/>
              <w:rPr>
                <w:rFonts w:ascii="宋体" w:hAnsi="宋体" w:eastAsia="宋体" w:cs="宋体"/>
                <w:sz w:val="18"/>
                <w:szCs w:val="18"/>
              </w:rPr>
            </w:pPr>
          </w:p>
        </w:tc>
        <w:tc>
          <w:tcPr>
            <w:tcW w:w="1310" w:type="dxa"/>
            <w:vMerge w:val="continue"/>
            <w:tcBorders>
              <w:top w:val="single" w:color="auto" w:sz="2" w:space="0"/>
              <w:left w:val="single" w:color="auto" w:sz="2" w:space="0"/>
              <w:bottom w:val="single" w:color="auto" w:sz="2" w:space="0"/>
              <w:right w:val="single" w:color="auto" w:sz="2" w:space="0"/>
            </w:tcBorders>
            <w:vAlign w:val="center"/>
          </w:tcPr>
          <w:p w14:paraId="0B793BF6">
            <w:pPr>
              <w:spacing w:before="0" w:after="0" w:line="240" w:lineRule="exact"/>
              <w:jc w:val="left"/>
              <w:rPr>
                <w:rFonts w:ascii="宋体" w:hAnsi="宋体" w:eastAsia="宋体" w:cs="宋体"/>
                <w:sz w:val="18"/>
                <w:szCs w:val="18"/>
              </w:rPr>
            </w:pPr>
            <w:r>
              <w:rPr>
                <w:rFonts w:ascii="宋体" w:hAnsi="宋体" w:eastAsia="宋体" w:cs="宋体"/>
                <w:sz w:val="18"/>
                <w:szCs w:val="18"/>
              </w:rPr>
              <w:t>吴红军（主任委员）、鲁凤民、吴飞美、李国栋、叶理青</w:t>
            </w:r>
          </w:p>
        </w:tc>
        <w:tc>
          <w:tcPr>
            <w:tcW w:w="640" w:type="dxa"/>
            <w:vMerge w:val="continue"/>
            <w:tcBorders>
              <w:left w:val="single" w:color="auto" w:sz="2" w:space="0"/>
              <w:right w:val="single" w:color="auto" w:sz="2" w:space="0"/>
            </w:tcBorders>
            <w:vAlign w:val="center"/>
          </w:tcPr>
          <w:p w14:paraId="7FC6954D">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02E1B1C5">
            <w:pPr>
              <w:spacing w:before="0" w:after="0" w:line="240" w:lineRule="exact"/>
              <w:jc w:val="left"/>
              <w:rPr>
                <w:rFonts w:ascii="宋体" w:hAnsi="宋体" w:eastAsia="宋体" w:cs="宋体"/>
                <w:sz w:val="18"/>
                <w:szCs w:val="18"/>
              </w:rPr>
            </w:pPr>
            <w:r>
              <w:rPr>
                <w:rFonts w:ascii="宋体" w:hAnsi="宋体" w:eastAsia="宋体" w:cs="宋体"/>
                <w:sz w:val="18"/>
                <w:szCs w:val="18"/>
              </w:rPr>
              <w:t>2024年08月15日</w:t>
            </w:r>
          </w:p>
        </w:tc>
        <w:tc>
          <w:tcPr>
            <w:tcW w:w="1650" w:type="dxa"/>
            <w:tcBorders>
              <w:top w:val="single" w:color="auto" w:sz="2" w:space="0"/>
              <w:left w:val="single" w:color="auto" w:sz="2" w:space="0"/>
              <w:bottom w:val="single" w:color="auto" w:sz="2" w:space="0"/>
              <w:right w:val="single" w:color="auto" w:sz="2" w:space="0"/>
            </w:tcBorders>
            <w:vAlign w:val="center"/>
          </w:tcPr>
          <w:p w14:paraId="67358C14">
            <w:pPr>
              <w:spacing w:before="0" w:after="0" w:line="240" w:lineRule="exact"/>
              <w:jc w:val="left"/>
              <w:rPr>
                <w:rFonts w:ascii="宋体" w:hAnsi="宋体" w:eastAsia="宋体" w:cs="宋体"/>
                <w:sz w:val="18"/>
                <w:szCs w:val="18"/>
              </w:rPr>
            </w:pPr>
            <w:r>
              <w:rPr>
                <w:rFonts w:ascii="宋体" w:hAnsi="宋体" w:eastAsia="宋体" w:cs="宋体"/>
                <w:sz w:val="18"/>
                <w:szCs w:val="18"/>
              </w:rPr>
              <w:t>审议2024年半年度报告等</w:t>
            </w:r>
          </w:p>
        </w:tc>
        <w:tc>
          <w:tcPr>
            <w:tcW w:w="1623" w:type="dxa"/>
            <w:vMerge w:val="continue"/>
            <w:tcBorders>
              <w:left w:val="single" w:color="auto" w:sz="2" w:space="0"/>
              <w:right w:val="single" w:color="auto" w:sz="2" w:space="0"/>
            </w:tcBorders>
            <w:vAlign w:val="center"/>
          </w:tcPr>
          <w:p w14:paraId="2B5F7A1D">
            <w:pPr>
              <w:spacing w:before="0" w:after="0" w:line="240" w:lineRule="exact"/>
              <w:jc w:val="left"/>
              <w:rPr>
                <w:rFonts w:ascii="宋体" w:hAnsi="宋体" w:eastAsia="宋体" w:cs="宋体"/>
                <w:sz w:val="18"/>
                <w:szCs w:val="18"/>
              </w:rPr>
            </w:pPr>
          </w:p>
        </w:tc>
        <w:tc>
          <w:tcPr>
            <w:tcW w:w="1205" w:type="dxa"/>
            <w:vMerge w:val="continue"/>
            <w:tcBorders>
              <w:left w:val="single" w:color="auto" w:sz="2" w:space="0"/>
              <w:right w:val="single" w:color="auto" w:sz="2" w:space="0"/>
            </w:tcBorders>
            <w:vAlign w:val="center"/>
          </w:tcPr>
          <w:p w14:paraId="4762C645">
            <w:pPr>
              <w:spacing w:before="0" w:after="0" w:line="240" w:lineRule="exact"/>
              <w:jc w:val="lef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C43D785">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7C62AF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7" w:type="dxa"/>
            <w:vMerge w:val="continue"/>
            <w:tcBorders>
              <w:left w:val="single" w:color="auto" w:sz="2" w:space="0"/>
              <w:right w:val="single" w:color="auto" w:sz="2" w:space="0"/>
            </w:tcBorders>
            <w:vAlign w:val="center"/>
          </w:tcPr>
          <w:p w14:paraId="6AA944AC">
            <w:pPr>
              <w:spacing w:before="0" w:after="0" w:line="240" w:lineRule="exact"/>
              <w:jc w:val="left"/>
              <w:rPr>
                <w:rFonts w:ascii="宋体" w:hAnsi="宋体" w:eastAsia="宋体" w:cs="宋体"/>
                <w:sz w:val="18"/>
                <w:szCs w:val="18"/>
              </w:rPr>
            </w:pPr>
          </w:p>
        </w:tc>
        <w:tc>
          <w:tcPr>
            <w:tcW w:w="1310" w:type="dxa"/>
            <w:vMerge w:val="continue"/>
            <w:tcBorders>
              <w:top w:val="single" w:color="auto" w:sz="2" w:space="0"/>
              <w:left w:val="single" w:color="auto" w:sz="2" w:space="0"/>
              <w:bottom w:val="single" w:color="auto" w:sz="2" w:space="0"/>
              <w:right w:val="single" w:color="auto" w:sz="2" w:space="0"/>
            </w:tcBorders>
            <w:vAlign w:val="center"/>
          </w:tcPr>
          <w:p w14:paraId="612EF115">
            <w:pPr>
              <w:spacing w:before="0" w:after="0" w:line="240" w:lineRule="exact"/>
              <w:jc w:val="left"/>
              <w:rPr>
                <w:rFonts w:ascii="宋体" w:hAnsi="宋体" w:eastAsia="宋体" w:cs="宋体"/>
                <w:sz w:val="18"/>
                <w:szCs w:val="18"/>
              </w:rPr>
            </w:pPr>
            <w:r>
              <w:rPr>
                <w:rFonts w:ascii="宋体" w:hAnsi="宋体" w:eastAsia="宋体" w:cs="宋体"/>
                <w:sz w:val="18"/>
                <w:szCs w:val="18"/>
              </w:rPr>
              <w:t>吴红军（主任委员）、鲁凤民、吴飞美、李国栋、叶理青</w:t>
            </w:r>
          </w:p>
        </w:tc>
        <w:tc>
          <w:tcPr>
            <w:tcW w:w="640" w:type="dxa"/>
            <w:vMerge w:val="continue"/>
            <w:tcBorders>
              <w:left w:val="single" w:color="auto" w:sz="2" w:space="0"/>
              <w:right w:val="single" w:color="auto" w:sz="2" w:space="0"/>
            </w:tcBorders>
            <w:vAlign w:val="center"/>
          </w:tcPr>
          <w:p w14:paraId="7002710B">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1F4A4FBB">
            <w:pPr>
              <w:spacing w:before="0" w:after="0" w:line="240" w:lineRule="exact"/>
              <w:jc w:val="left"/>
              <w:rPr>
                <w:rFonts w:ascii="宋体" w:hAnsi="宋体" w:eastAsia="宋体" w:cs="宋体"/>
                <w:sz w:val="18"/>
                <w:szCs w:val="18"/>
              </w:rPr>
            </w:pPr>
            <w:r>
              <w:rPr>
                <w:rFonts w:ascii="宋体" w:hAnsi="宋体" w:eastAsia="宋体" w:cs="宋体"/>
                <w:sz w:val="18"/>
                <w:szCs w:val="18"/>
              </w:rPr>
              <w:t>2024年10月21日</w:t>
            </w:r>
          </w:p>
        </w:tc>
        <w:tc>
          <w:tcPr>
            <w:tcW w:w="1650" w:type="dxa"/>
            <w:tcBorders>
              <w:top w:val="single" w:color="auto" w:sz="2" w:space="0"/>
              <w:left w:val="single" w:color="auto" w:sz="2" w:space="0"/>
              <w:bottom w:val="single" w:color="auto" w:sz="2" w:space="0"/>
              <w:right w:val="single" w:color="auto" w:sz="2" w:space="0"/>
            </w:tcBorders>
            <w:vAlign w:val="center"/>
          </w:tcPr>
          <w:p w14:paraId="3FDCDE85">
            <w:pPr>
              <w:spacing w:before="0" w:after="0" w:line="240" w:lineRule="exact"/>
              <w:jc w:val="left"/>
              <w:rPr>
                <w:rFonts w:ascii="宋体" w:hAnsi="宋体" w:eastAsia="宋体" w:cs="宋体"/>
                <w:sz w:val="18"/>
                <w:szCs w:val="18"/>
              </w:rPr>
            </w:pPr>
            <w:r>
              <w:rPr>
                <w:rFonts w:ascii="宋体" w:hAnsi="宋体" w:eastAsia="宋体" w:cs="宋体"/>
                <w:sz w:val="18"/>
                <w:szCs w:val="18"/>
              </w:rPr>
              <w:t>审计2024年第三季度报告</w:t>
            </w:r>
          </w:p>
        </w:tc>
        <w:tc>
          <w:tcPr>
            <w:tcW w:w="1623" w:type="dxa"/>
            <w:vMerge w:val="continue"/>
            <w:tcBorders>
              <w:left w:val="single" w:color="auto" w:sz="2" w:space="0"/>
              <w:right w:val="single" w:color="auto" w:sz="2" w:space="0"/>
            </w:tcBorders>
            <w:vAlign w:val="center"/>
          </w:tcPr>
          <w:p w14:paraId="2D47567C">
            <w:pPr>
              <w:spacing w:before="0" w:after="0" w:line="240" w:lineRule="exact"/>
              <w:jc w:val="left"/>
              <w:rPr>
                <w:rFonts w:ascii="宋体" w:hAnsi="宋体" w:eastAsia="宋体" w:cs="宋体"/>
                <w:sz w:val="18"/>
                <w:szCs w:val="18"/>
              </w:rPr>
            </w:pPr>
          </w:p>
        </w:tc>
        <w:tc>
          <w:tcPr>
            <w:tcW w:w="1205" w:type="dxa"/>
            <w:vMerge w:val="continue"/>
            <w:tcBorders>
              <w:left w:val="single" w:color="auto" w:sz="2" w:space="0"/>
              <w:right w:val="single" w:color="auto" w:sz="2" w:space="0"/>
            </w:tcBorders>
            <w:vAlign w:val="center"/>
          </w:tcPr>
          <w:p w14:paraId="2CB18D58">
            <w:pPr>
              <w:spacing w:before="0" w:after="0" w:line="240" w:lineRule="exact"/>
              <w:jc w:val="lef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CEC88AD">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18FD34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7" w:type="dxa"/>
            <w:vMerge w:val="continue"/>
            <w:tcBorders>
              <w:left w:val="single" w:color="auto" w:sz="2" w:space="0"/>
              <w:bottom w:val="single" w:color="auto" w:sz="2" w:space="0"/>
              <w:right w:val="single" w:color="auto" w:sz="2" w:space="0"/>
            </w:tcBorders>
            <w:vAlign w:val="center"/>
          </w:tcPr>
          <w:p w14:paraId="5D4F7438">
            <w:pPr>
              <w:spacing w:before="0" w:after="0" w:line="240" w:lineRule="exact"/>
              <w:jc w:val="left"/>
              <w:rPr>
                <w:rFonts w:ascii="宋体" w:hAnsi="宋体" w:eastAsia="宋体" w:cs="宋体"/>
                <w:sz w:val="18"/>
                <w:szCs w:val="18"/>
              </w:rPr>
            </w:pPr>
          </w:p>
        </w:tc>
        <w:tc>
          <w:tcPr>
            <w:tcW w:w="1310" w:type="dxa"/>
            <w:vMerge w:val="continue"/>
            <w:tcBorders>
              <w:top w:val="single" w:color="auto" w:sz="2" w:space="0"/>
              <w:left w:val="single" w:color="auto" w:sz="2" w:space="0"/>
              <w:bottom w:val="single" w:color="auto" w:sz="2" w:space="0"/>
              <w:right w:val="single" w:color="auto" w:sz="2" w:space="0"/>
            </w:tcBorders>
            <w:vAlign w:val="center"/>
          </w:tcPr>
          <w:p w14:paraId="4AD9AB8E">
            <w:pPr>
              <w:spacing w:before="0" w:after="0" w:line="240" w:lineRule="exact"/>
              <w:jc w:val="left"/>
              <w:rPr>
                <w:rFonts w:ascii="宋体" w:hAnsi="宋体" w:eastAsia="宋体" w:cs="宋体"/>
                <w:sz w:val="18"/>
                <w:szCs w:val="18"/>
              </w:rPr>
            </w:pPr>
            <w:r>
              <w:rPr>
                <w:rFonts w:ascii="宋体" w:hAnsi="宋体" w:eastAsia="宋体" w:cs="宋体"/>
                <w:sz w:val="18"/>
                <w:szCs w:val="18"/>
              </w:rPr>
              <w:t>吴红军（主任委员）、鲁凤民、吴飞美、李国栋、叶理青</w:t>
            </w:r>
          </w:p>
        </w:tc>
        <w:tc>
          <w:tcPr>
            <w:tcW w:w="640" w:type="dxa"/>
            <w:vMerge w:val="continue"/>
            <w:tcBorders>
              <w:left w:val="single" w:color="auto" w:sz="2" w:space="0"/>
              <w:bottom w:val="single" w:color="auto" w:sz="2" w:space="0"/>
              <w:right w:val="single" w:color="auto" w:sz="2" w:space="0"/>
            </w:tcBorders>
            <w:vAlign w:val="center"/>
          </w:tcPr>
          <w:p w14:paraId="2EC4B86D">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63BB4DCC">
            <w:pPr>
              <w:spacing w:before="0" w:after="0" w:line="240" w:lineRule="exact"/>
              <w:jc w:val="left"/>
              <w:rPr>
                <w:rFonts w:ascii="宋体" w:hAnsi="宋体" w:eastAsia="宋体" w:cs="宋体"/>
                <w:sz w:val="18"/>
                <w:szCs w:val="18"/>
              </w:rPr>
            </w:pPr>
            <w:r>
              <w:rPr>
                <w:rFonts w:ascii="宋体" w:hAnsi="宋体" w:eastAsia="宋体" w:cs="宋体"/>
                <w:sz w:val="18"/>
                <w:szCs w:val="18"/>
              </w:rPr>
              <w:t>2024年11月19日</w:t>
            </w:r>
          </w:p>
        </w:tc>
        <w:tc>
          <w:tcPr>
            <w:tcW w:w="1650" w:type="dxa"/>
            <w:tcBorders>
              <w:top w:val="single" w:color="auto" w:sz="2" w:space="0"/>
              <w:left w:val="single" w:color="auto" w:sz="2" w:space="0"/>
              <w:bottom w:val="single" w:color="auto" w:sz="2" w:space="0"/>
              <w:right w:val="single" w:color="auto" w:sz="2" w:space="0"/>
            </w:tcBorders>
            <w:vAlign w:val="center"/>
          </w:tcPr>
          <w:p w14:paraId="1C331B92">
            <w:pPr>
              <w:spacing w:before="0" w:after="0" w:line="240" w:lineRule="exact"/>
              <w:jc w:val="left"/>
              <w:rPr>
                <w:rFonts w:ascii="宋体" w:hAnsi="宋体" w:eastAsia="宋体" w:cs="宋体"/>
                <w:sz w:val="18"/>
                <w:szCs w:val="18"/>
              </w:rPr>
            </w:pPr>
            <w:r>
              <w:rPr>
                <w:rFonts w:ascii="宋体" w:hAnsi="宋体" w:eastAsia="宋体" w:cs="宋体"/>
                <w:sz w:val="18"/>
                <w:szCs w:val="18"/>
              </w:rPr>
              <w:t>审议聘任会计师事务所</w:t>
            </w:r>
          </w:p>
        </w:tc>
        <w:tc>
          <w:tcPr>
            <w:tcW w:w="1623" w:type="dxa"/>
            <w:vMerge w:val="continue"/>
            <w:tcBorders>
              <w:left w:val="single" w:color="auto" w:sz="2" w:space="0"/>
              <w:bottom w:val="single" w:color="auto" w:sz="2" w:space="0"/>
              <w:right w:val="single" w:color="auto" w:sz="2" w:space="0"/>
            </w:tcBorders>
            <w:vAlign w:val="center"/>
          </w:tcPr>
          <w:p w14:paraId="3B48B9B5">
            <w:pPr>
              <w:spacing w:before="0" w:after="0" w:line="240" w:lineRule="exact"/>
              <w:jc w:val="left"/>
              <w:rPr>
                <w:rFonts w:ascii="宋体" w:hAnsi="宋体" w:eastAsia="宋体" w:cs="宋体"/>
                <w:sz w:val="18"/>
                <w:szCs w:val="18"/>
              </w:rPr>
            </w:pPr>
          </w:p>
        </w:tc>
        <w:tc>
          <w:tcPr>
            <w:tcW w:w="1205" w:type="dxa"/>
            <w:vMerge w:val="continue"/>
            <w:tcBorders>
              <w:left w:val="single" w:color="auto" w:sz="2" w:space="0"/>
              <w:bottom w:val="single" w:color="auto" w:sz="2" w:space="0"/>
              <w:right w:val="single" w:color="auto" w:sz="2" w:space="0"/>
            </w:tcBorders>
            <w:vAlign w:val="center"/>
          </w:tcPr>
          <w:p w14:paraId="48A05E36">
            <w:pPr>
              <w:spacing w:before="0" w:after="0" w:line="240" w:lineRule="exact"/>
              <w:jc w:val="lef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F48BDE2">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30DE64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7" w:type="dxa"/>
            <w:vMerge w:val="restart"/>
            <w:tcBorders>
              <w:top w:val="single" w:color="auto" w:sz="2" w:space="0"/>
              <w:left w:val="single" w:color="auto" w:sz="2" w:space="0"/>
              <w:bottom w:val="single" w:color="auto" w:sz="2" w:space="0"/>
              <w:right w:val="single" w:color="auto" w:sz="2" w:space="0"/>
            </w:tcBorders>
            <w:vAlign w:val="center"/>
          </w:tcPr>
          <w:p w14:paraId="71F32FA5">
            <w:pPr>
              <w:spacing w:before="0" w:after="0" w:line="240" w:lineRule="exact"/>
              <w:jc w:val="left"/>
              <w:rPr>
                <w:rFonts w:ascii="宋体" w:hAnsi="宋体" w:eastAsia="宋体" w:cs="宋体"/>
                <w:sz w:val="18"/>
                <w:szCs w:val="18"/>
              </w:rPr>
            </w:pPr>
            <w:r>
              <w:rPr>
                <w:rFonts w:ascii="宋体" w:hAnsi="宋体" w:eastAsia="宋体" w:cs="宋体"/>
                <w:sz w:val="18"/>
                <w:szCs w:val="18"/>
              </w:rPr>
              <w:t>董事会提名委员会</w:t>
            </w:r>
          </w:p>
        </w:tc>
        <w:tc>
          <w:tcPr>
            <w:tcW w:w="1310" w:type="dxa"/>
            <w:tcBorders>
              <w:top w:val="single" w:color="auto" w:sz="2" w:space="0"/>
              <w:left w:val="single" w:color="auto" w:sz="2" w:space="0"/>
              <w:bottom w:val="single" w:color="auto" w:sz="2" w:space="0"/>
              <w:right w:val="single" w:color="auto" w:sz="2" w:space="0"/>
            </w:tcBorders>
            <w:vAlign w:val="center"/>
          </w:tcPr>
          <w:p w14:paraId="026CA8A5">
            <w:pPr>
              <w:spacing w:before="0" w:after="0" w:line="240" w:lineRule="exact"/>
              <w:jc w:val="left"/>
              <w:rPr>
                <w:rFonts w:ascii="宋体" w:hAnsi="宋体" w:eastAsia="宋体" w:cs="宋体"/>
                <w:sz w:val="18"/>
                <w:szCs w:val="18"/>
              </w:rPr>
            </w:pPr>
            <w:r>
              <w:rPr>
                <w:rFonts w:ascii="宋体" w:hAnsi="宋体" w:eastAsia="宋体" w:cs="宋体"/>
                <w:sz w:val="18"/>
                <w:szCs w:val="18"/>
              </w:rPr>
              <w:t>陈明宇（主任委员）、任红、李国平</w:t>
            </w:r>
          </w:p>
        </w:tc>
        <w:tc>
          <w:tcPr>
            <w:tcW w:w="640" w:type="dxa"/>
            <w:vMerge w:val="restart"/>
            <w:tcBorders>
              <w:top w:val="single" w:color="auto" w:sz="2" w:space="0"/>
              <w:left w:val="single" w:color="auto" w:sz="2" w:space="0"/>
              <w:bottom w:val="single" w:color="auto" w:sz="2" w:space="0"/>
              <w:right w:val="single" w:color="auto" w:sz="2" w:space="0"/>
            </w:tcBorders>
            <w:vAlign w:val="center"/>
          </w:tcPr>
          <w:p w14:paraId="34B6678F">
            <w:pPr>
              <w:spacing w:before="0" w:after="0" w:line="240" w:lineRule="exact"/>
              <w:jc w:val="right"/>
              <w:rPr>
                <w:rFonts w:ascii="宋体" w:hAnsi="宋体" w:eastAsia="宋体" w:cs="宋体"/>
                <w:sz w:val="18"/>
                <w:szCs w:val="18"/>
              </w:rPr>
            </w:pPr>
            <w:r>
              <w:rPr>
                <w:rFonts w:ascii="宋体" w:hAnsi="宋体" w:eastAsia="宋体" w:cs="宋体"/>
                <w:sz w:val="18"/>
                <w:szCs w:val="18"/>
              </w:rPr>
              <w:t>2</w:t>
            </w:r>
          </w:p>
        </w:tc>
        <w:tc>
          <w:tcPr>
            <w:tcW w:w="1170" w:type="dxa"/>
            <w:tcBorders>
              <w:top w:val="single" w:color="auto" w:sz="2" w:space="0"/>
              <w:left w:val="single" w:color="auto" w:sz="2" w:space="0"/>
              <w:bottom w:val="single" w:color="auto" w:sz="2" w:space="0"/>
              <w:right w:val="single" w:color="auto" w:sz="2" w:space="0"/>
            </w:tcBorders>
            <w:vAlign w:val="center"/>
          </w:tcPr>
          <w:p w14:paraId="6228033C">
            <w:pPr>
              <w:spacing w:before="0" w:after="0" w:line="240" w:lineRule="exact"/>
              <w:jc w:val="left"/>
              <w:rPr>
                <w:rFonts w:ascii="宋体" w:hAnsi="宋体" w:eastAsia="宋体" w:cs="宋体"/>
                <w:sz w:val="18"/>
                <w:szCs w:val="18"/>
              </w:rPr>
            </w:pPr>
            <w:r>
              <w:rPr>
                <w:rFonts w:ascii="宋体" w:hAnsi="宋体" w:eastAsia="宋体" w:cs="宋体"/>
                <w:sz w:val="18"/>
                <w:szCs w:val="18"/>
              </w:rPr>
              <w:t>2024年06月07日</w:t>
            </w:r>
          </w:p>
        </w:tc>
        <w:tc>
          <w:tcPr>
            <w:tcW w:w="1650" w:type="dxa"/>
            <w:tcBorders>
              <w:top w:val="single" w:color="auto" w:sz="2" w:space="0"/>
              <w:left w:val="single" w:color="auto" w:sz="2" w:space="0"/>
              <w:bottom w:val="single" w:color="auto" w:sz="2" w:space="0"/>
              <w:right w:val="single" w:color="auto" w:sz="2" w:space="0"/>
            </w:tcBorders>
            <w:vAlign w:val="center"/>
          </w:tcPr>
          <w:p w14:paraId="0C7E5088">
            <w:pPr>
              <w:spacing w:before="0" w:after="0" w:line="240" w:lineRule="exact"/>
              <w:jc w:val="left"/>
              <w:rPr>
                <w:rFonts w:ascii="宋体" w:hAnsi="宋体" w:eastAsia="宋体" w:cs="宋体"/>
                <w:sz w:val="18"/>
                <w:szCs w:val="18"/>
              </w:rPr>
            </w:pPr>
            <w:r>
              <w:rPr>
                <w:rFonts w:ascii="宋体" w:hAnsi="宋体" w:eastAsia="宋体" w:cs="宋体"/>
                <w:sz w:val="18"/>
                <w:szCs w:val="18"/>
              </w:rPr>
              <w:t>审议换届选举等</w:t>
            </w:r>
          </w:p>
        </w:tc>
        <w:tc>
          <w:tcPr>
            <w:tcW w:w="1623" w:type="dxa"/>
            <w:vMerge w:val="restart"/>
            <w:tcBorders>
              <w:top w:val="single" w:color="auto" w:sz="2" w:space="0"/>
              <w:left w:val="single" w:color="auto" w:sz="2" w:space="0"/>
              <w:right w:val="single" w:color="auto" w:sz="2" w:space="0"/>
            </w:tcBorders>
            <w:vAlign w:val="center"/>
          </w:tcPr>
          <w:p w14:paraId="234E9EB6">
            <w:pPr>
              <w:spacing w:before="0" w:after="0" w:line="240" w:lineRule="exact"/>
              <w:jc w:val="left"/>
              <w:rPr>
                <w:rFonts w:ascii="宋体" w:hAnsi="宋体" w:eastAsia="宋体" w:cs="宋体"/>
                <w:sz w:val="18"/>
                <w:szCs w:val="18"/>
              </w:rPr>
            </w:pPr>
            <w:r>
              <w:rPr>
                <w:rFonts w:ascii="宋体" w:hAnsi="宋体" w:eastAsia="宋体" w:cs="宋体"/>
                <w:sz w:val="18"/>
                <w:szCs w:val="18"/>
              </w:rPr>
              <w:t>提名委员会严格按照公司《提名委员会议事规则》开展工作，对审议事项表示一致同意。</w:t>
            </w:r>
          </w:p>
        </w:tc>
        <w:tc>
          <w:tcPr>
            <w:tcW w:w="1205" w:type="dxa"/>
            <w:vMerge w:val="restart"/>
            <w:tcBorders>
              <w:top w:val="single" w:color="auto" w:sz="2" w:space="0"/>
              <w:left w:val="single" w:color="auto" w:sz="2" w:space="0"/>
              <w:right w:val="single" w:color="auto" w:sz="2" w:space="0"/>
            </w:tcBorders>
            <w:vAlign w:val="center"/>
          </w:tcPr>
          <w:p w14:paraId="74937186">
            <w:pPr>
              <w:spacing w:before="0" w:after="0" w:line="240" w:lineRule="exact"/>
              <w:jc w:val="left"/>
              <w:rPr>
                <w:rFonts w:ascii="宋体" w:hAnsi="宋体" w:eastAsia="宋体" w:cs="宋体"/>
                <w:sz w:val="18"/>
                <w:szCs w:val="18"/>
              </w:rPr>
            </w:pPr>
            <w:r>
              <w:rPr>
                <w:rFonts w:ascii="宋体" w:hAnsi="宋体" w:eastAsia="宋体" w:cs="宋体"/>
                <w:sz w:val="18"/>
                <w:szCs w:val="18"/>
              </w:rPr>
              <w:t>提名委员会就公司中高层管理人员的提名、更换、 选任标准和程序进行研究并提出合理化建议。</w:t>
            </w:r>
          </w:p>
        </w:tc>
        <w:tc>
          <w:tcPr>
            <w:tcW w:w="1205" w:type="dxa"/>
            <w:tcBorders>
              <w:top w:val="single" w:color="auto" w:sz="2" w:space="0"/>
              <w:left w:val="single" w:color="auto" w:sz="2" w:space="0"/>
              <w:bottom w:val="single" w:color="auto" w:sz="2" w:space="0"/>
              <w:right w:val="single" w:color="auto" w:sz="2" w:space="0"/>
            </w:tcBorders>
            <w:vAlign w:val="center"/>
          </w:tcPr>
          <w:p w14:paraId="21C31044">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25A72B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7" w:type="dxa"/>
            <w:vMerge w:val="continue"/>
            <w:tcBorders>
              <w:top w:val="single" w:color="auto" w:sz="2" w:space="0"/>
              <w:left w:val="single" w:color="auto" w:sz="2" w:space="0"/>
              <w:bottom w:val="single" w:color="auto" w:sz="2" w:space="0"/>
              <w:right w:val="single" w:color="auto" w:sz="2" w:space="0"/>
            </w:tcBorders>
            <w:vAlign w:val="center"/>
          </w:tcPr>
          <w:p w14:paraId="75DC08EE">
            <w:pPr>
              <w:spacing w:before="0" w:after="0" w:line="240" w:lineRule="exact"/>
              <w:jc w:val="left"/>
              <w:rPr>
                <w:rFonts w:ascii="宋体" w:hAnsi="宋体" w:eastAsia="宋体" w:cs="宋体"/>
                <w:sz w:val="18"/>
                <w:szCs w:val="18"/>
              </w:rPr>
            </w:pPr>
            <w:r>
              <w:rPr>
                <w:rFonts w:ascii="宋体" w:hAnsi="宋体" w:eastAsia="宋体" w:cs="宋体"/>
                <w:sz w:val="18"/>
                <w:szCs w:val="18"/>
              </w:rPr>
              <w:t>董事会提名委员会</w:t>
            </w:r>
          </w:p>
        </w:tc>
        <w:tc>
          <w:tcPr>
            <w:tcW w:w="1310" w:type="dxa"/>
            <w:tcBorders>
              <w:top w:val="single" w:color="auto" w:sz="2" w:space="0"/>
              <w:left w:val="single" w:color="auto" w:sz="2" w:space="0"/>
              <w:bottom w:val="single" w:color="auto" w:sz="2" w:space="0"/>
              <w:right w:val="single" w:color="auto" w:sz="2" w:space="0"/>
            </w:tcBorders>
            <w:vAlign w:val="center"/>
          </w:tcPr>
          <w:p w14:paraId="7A85700E">
            <w:pPr>
              <w:spacing w:before="0" w:after="0" w:line="240" w:lineRule="exact"/>
              <w:jc w:val="left"/>
              <w:rPr>
                <w:rFonts w:ascii="宋体" w:hAnsi="宋体" w:eastAsia="宋体" w:cs="宋体"/>
                <w:sz w:val="18"/>
                <w:szCs w:val="18"/>
              </w:rPr>
            </w:pPr>
            <w:r>
              <w:rPr>
                <w:rFonts w:hint="eastAsia" w:ascii="宋体" w:hAnsi="宋体" w:eastAsia="宋体" w:cs="宋体"/>
                <w:sz w:val="18"/>
                <w:szCs w:val="18"/>
              </w:rPr>
              <w:t>鲁凤民（主任委员）、吴飞美、李国栋</w:t>
            </w:r>
          </w:p>
        </w:tc>
        <w:tc>
          <w:tcPr>
            <w:tcW w:w="640" w:type="dxa"/>
            <w:vMerge w:val="continue"/>
            <w:tcBorders>
              <w:top w:val="single" w:color="auto" w:sz="2" w:space="0"/>
              <w:left w:val="single" w:color="auto" w:sz="2" w:space="0"/>
              <w:bottom w:val="single" w:color="auto" w:sz="2" w:space="0"/>
              <w:right w:val="single" w:color="auto" w:sz="2" w:space="0"/>
            </w:tcBorders>
            <w:vAlign w:val="center"/>
          </w:tcPr>
          <w:p w14:paraId="0EF7E16A">
            <w:pPr>
              <w:spacing w:before="0" w:after="0" w:line="240" w:lineRule="exact"/>
              <w:jc w:val="right"/>
              <w:rPr>
                <w:rFonts w:ascii="宋体" w:hAnsi="宋体" w:eastAsia="宋体" w:cs="宋体"/>
                <w:sz w:val="18"/>
                <w:szCs w:val="18"/>
              </w:rPr>
            </w:pPr>
            <w:r>
              <w:rPr>
                <w:rFonts w:ascii="宋体" w:hAnsi="宋体" w:eastAsia="宋体" w:cs="宋体"/>
                <w:sz w:val="18"/>
                <w:szCs w:val="18"/>
              </w:rPr>
              <w:t>2</w:t>
            </w:r>
          </w:p>
        </w:tc>
        <w:tc>
          <w:tcPr>
            <w:tcW w:w="1170" w:type="dxa"/>
            <w:tcBorders>
              <w:top w:val="single" w:color="auto" w:sz="2" w:space="0"/>
              <w:left w:val="single" w:color="auto" w:sz="2" w:space="0"/>
              <w:bottom w:val="single" w:color="auto" w:sz="2" w:space="0"/>
              <w:right w:val="single" w:color="auto" w:sz="2" w:space="0"/>
            </w:tcBorders>
            <w:vAlign w:val="center"/>
          </w:tcPr>
          <w:p w14:paraId="10E3D666">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2024年06月24日</w:t>
            </w:r>
          </w:p>
        </w:tc>
        <w:tc>
          <w:tcPr>
            <w:tcW w:w="1650" w:type="dxa"/>
            <w:tcBorders>
              <w:top w:val="single" w:color="auto" w:sz="2" w:space="0"/>
              <w:left w:val="single" w:color="auto" w:sz="2" w:space="0"/>
              <w:bottom w:val="single" w:color="auto" w:sz="2" w:space="0"/>
              <w:right w:val="single" w:color="auto" w:sz="2" w:space="0"/>
            </w:tcBorders>
            <w:vAlign w:val="center"/>
          </w:tcPr>
          <w:p w14:paraId="1D476603">
            <w:pPr>
              <w:spacing w:before="0" w:after="0" w:line="240" w:lineRule="exact"/>
              <w:jc w:val="left"/>
              <w:rPr>
                <w:rFonts w:ascii="宋体" w:hAnsi="宋体" w:eastAsia="宋体" w:cs="宋体"/>
                <w:sz w:val="18"/>
                <w:szCs w:val="18"/>
              </w:rPr>
            </w:pPr>
            <w:r>
              <w:rPr>
                <w:rFonts w:ascii="宋体" w:hAnsi="宋体" w:eastAsia="宋体" w:cs="宋体"/>
                <w:sz w:val="18"/>
                <w:szCs w:val="18"/>
              </w:rPr>
              <w:t>审议换届选举等</w:t>
            </w:r>
          </w:p>
        </w:tc>
        <w:tc>
          <w:tcPr>
            <w:tcW w:w="1623" w:type="dxa"/>
            <w:vMerge w:val="continue"/>
            <w:tcBorders>
              <w:left w:val="single" w:color="auto" w:sz="2" w:space="0"/>
              <w:bottom w:val="single" w:color="auto" w:sz="2" w:space="0"/>
              <w:right w:val="single" w:color="auto" w:sz="2" w:space="0"/>
            </w:tcBorders>
            <w:vAlign w:val="center"/>
          </w:tcPr>
          <w:p w14:paraId="54FD91F3">
            <w:pPr>
              <w:spacing w:before="0" w:after="0" w:line="240" w:lineRule="exact"/>
              <w:jc w:val="left"/>
              <w:rPr>
                <w:rFonts w:ascii="宋体" w:hAnsi="宋体" w:eastAsia="宋体" w:cs="宋体"/>
                <w:sz w:val="18"/>
                <w:szCs w:val="18"/>
              </w:rPr>
            </w:pPr>
          </w:p>
        </w:tc>
        <w:tc>
          <w:tcPr>
            <w:tcW w:w="1205" w:type="dxa"/>
            <w:vMerge w:val="continue"/>
            <w:tcBorders>
              <w:left w:val="single" w:color="auto" w:sz="2" w:space="0"/>
              <w:bottom w:val="single" w:color="auto" w:sz="2" w:space="0"/>
              <w:right w:val="single" w:color="auto" w:sz="2" w:space="0"/>
            </w:tcBorders>
            <w:vAlign w:val="center"/>
          </w:tcPr>
          <w:p w14:paraId="0632FE1D">
            <w:pPr>
              <w:spacing w:before="0" w:after="0" w:line="240" w:lineRule="exact"/>
              <w:jc w:val="lef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6FF0546">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30689A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7" w:type="dxa"/>
            <w:tcBorders>
              <w:top w:val="single" w:color="auto" w:sz="2" w:space="0"/>
              <w:left w:val="single" w:color="auto" w:sz="2" w:space="0"/>
              <w:bottom w:val="single" w:color="auto" w:sz="2" w:space="0"/>
              <w:right w:val="single" w:color="auto" w:sz="2" w:space="0"/>
            </w:tcBorders>
            <w:vAlign w:val="center"/>
          </w:tcPr>
          <w:p w14:paraId="05380EC2">
            <w:pPr>
              <w:spacing w:before="0" w:after="0" w:line="240" w:lineRule="exact"/>
              <w:jc w:val="left"/>
              <w:rPr>
                <w:rFonts w:ascii="宋体" w:hAnsi="宋体" w:eastAsia="宋体" w:cs="宋体"/>
                <w:sz w:val="18"/>
                <w:szCs w:val="18"/>
              </w:rPr>
            </w:pPr>
            <w:r>
              <w:rPr>
                <w:rFonts w:ascii="宋体" w:hAnsi="宋体" w:eastAsia="宋体" w:cs="宋体"/>
                <w:sz w:val="18"/>
                <w:szCs w:val="18"/>
              </w:rPr>
              <w:t>董事会薪酬与考核委员会</w:t>
            </w:r>
          </w:p>
        </w:tc>
        <w:tc>
          <w:tcPr>
            <w:tcW w:w="1310" w:type="dxa"/>
            <w:tcBorders>
              <w:top w:val="single" w:color="auto" w:sz="2" w:space="0"/>
              <w:left w:val="single" w:color="auto" w:sz="2" w:space="0"/>
              <w:bottom w:val="single" w:color="auto" w:sz="2" w:space="0"/>
              <w:right w:val="single" w:color="auto" w:sz="2" w:space="0"/>
            </w:tcBorders>
            <w:vAlign w:val="center"/>
          </w:tcPr>
          <w:p w14:paraId="2AC31A50">
            <w:pPr>
              <w:spacing w:before="0" w:after="0" w:line="240" w:lineRule="exact"/>
              <w:jc w:val="left"/>
              <w:rPr>
                <w:rFonts w:ascii="宋体" w:hAnsi="宋体" w:eastAsia="宋体" w:cs="宋体"/>
                <w:sz w:val="18"/>
                <w:szCs w:val="18"/>
              </w:rPr>
            </w:pPr>
            <w:r>
              <w:rPr>
                <w:rFonts w:ascii="宋体" w:hAnsi="宋体" w:eastAsia="宋体" w:cs="宋体"/>
                <w:sz w:val="18"/>
                <w:szCs w:val="18"/>
              </w:rPr>
              <w:t>任红（主任委员）、陈明宇、李国栋</w:t>
            </w:r>
          </w:p>
        </w:tc>
        <w:tc>
          <w:tcPr>
            <w:tcW w:w="640" w:type="dxa"/>
            <w:tcBorders>
              <w:top w:val="single" w:color="auto" w:sz="2" w:space="0"/>
              <w:left w:val="single" w:color="auto" w:sz="2" w:space="0"/>
              <w:bottom w:val="single" w:color="auto" w:sz="2" w:space="0"/>
              <w:right w:val="single" w:color="auto" w:sz="2" w:space="0"/>
            </w:tcBorders>
            <w:vAlign w:val="center"/>
          </w:tcPr>
          <w:p w14:paraId="49E23F61">
            <w:pPr>
              <w:spacing w:before="0" w:after="0" w:line="240" w:lineRule="exact"/>
              <w:jc w:val="right"/>
              <w:rPr>
                <w:rFonts w:ascii="宋体" w:hAnsi="宋体" w:eastAsia="宋体" w:cs="宋体"/>
                <w:sz w:val="18"/>
                <w:szCs w:val="18"/>
              </w:rPr>
            </w:pPr>
            <w:r>
              <w:rPr>
                <w:rFonts w:ascii="宋体" w:hAnsi="宋体" w:eastAsia="宋体" w:cs="宋体"/>
                <w:sz w:val="18"/>
                <w:szCs w:val="18"/>
              </w:rPr>
              <w:t>1</w:t>
            </w:r>
          </w:p>
        </w:tc>
        <w:tc>
          <w:tcPr>
            <w:tcW w:w="1170" w:type="dxa"/>
            <w:tcBorders>
              <w:top w:val="single" w:color="auto" w:sz="2" w:space="0"/>
              <w:left w:val="single" w:color="auto" w:sz="2" w:space="0"/>
              <w:bottom w:val="single" w:color="auto" w:sz="2" w:space="0"/>
              <w:right w:val="single" w:color="auto" w:sz="2" w:space="0"/>
            </w:tcBorders>
            <w:vAlign w:val="center"/>
          </w:tcPr>
          <w:p w14:paraId="597DC18E">
            <w:pPr>
              <w:spacing w:before="0" w:after="0" w:line="240" w:lineRule="exact"/>
              <w:jc w:val="left"/>
              <w:rPr>
                <w:rFonts w:ascii="宋体" w:hAnsi="宋体" w:eastAsia="宋体" w:cs="宋体"/>
                <w:sz w:val="18"/>
                <w:szCs w:val="18"/>
              </w:rPr>
            </w:pPr>
            <w:r>
              <w:rPr>
                <w:rFonts w:ascii="宋体" w:hAnsi="宋体" w:eastAsia="宋体" w:cs="宋体"/>
                <w:sz w:val="18"/>
                <w:szCs w:val="18"/>
              </w:rPr>
              <w:t>2024年04月18日</w:t>
            </w:r>
          </w:p>
        </w:tc>
        <w:tc>
          <w:tcPr>
            <w:tcW w:w="1650" w:type="dxa"/>
            <w:tcBorders>
              <w:top w:val="single" w:color="auto" w:sz="2" w:space="0"/>
              <w:left w:val="single" w:color="auto" w:sz="2" w:space="0"/>
              <w:bottom w:val="single" w:color="auto" w:sz="2" w:space="0"/>
              <w:right w:val="single" w:color="auto" w:sz="2" w:space="0"/>
            </w:tcBorders>
            <w:vAlign w:val="center"/>
          </w:tcPr>
          <w:p w14:paraId="3F00B89D">
            <w:pPr>
              <w:spacing w:before="0" w:after="0" w:line="240" w:lineRule="exact"/>
              <w:jc w:val="left"/>
              <w:rPr>
                <w:rFonts w:ascii="宋体" w:hAnsi="宋体" w:eastAsia="宋体" w:cs="宋体"/>
                <w:sz w:val="18"/>
                <w:szCs w:val="18"/>
              </w:rPr>
            </w:pPr>
            <w:r>
              <w:rPr>
                <w:rFonts w:ascii="宋体" w:hAnsi="宋体" w:eastAsia="宋体" w:cs="宋体"/>
                <w:sz w:val="18"/>
                <w:szCs w:val="18"/>
              </w:rPr>
              <w:t>审议2023年度薪酬与考核委员会工作报等</w:t>
            </w:r>
          </w:p>
        </w:tc>
        <w:tc>
          <w:tcPr>
            <w:tcW w:w="1623" w:type="dxa"/>
            <w:tcBorders>
              <w:top w:val="single" w:color="auto" w:sz="2" w:space="0"/>
              <w:left w:val="single" w:color="auto" w:sz="2" w:space="0"/>
              <w:bottom w:val="single" w:color="auto" w:sz="2" w:space="0"/>
              <w:right w:val="single" w:color="auto" w:sz="2" w:space="0"/>
            </w:tcBorders>
            <w:vAlign w:val="center"/>
          </w:tcPr>
          <w:p w14:paraId="1FC60E8C">
            <w:pPr>
              <w:spacing w:before="0" w:after="0" w:line="240" w:lineRule="exact"/>
              <w:jc w:val="left"/>
              <w:rPr>
                <w:rFonts w:ascii="宋体" w:hAnsi="宋体" w:eastAsia="宋体" w:cs="宋体"/>
                <w:sz w:val="18"/>
                <w:szCs w:val="18"/>
              </w:rPr>
            </w:pPr>
            <w:r>
              <w:rPr>
                <w:rFonts w:ascii="宋体" w:hAnsi="宋体" w:eastAsia="宋体" w:cs="宋体"/>
                <w:sz w:val="18"/>
                <w:szCs w:val="18"/>
              </w:rPr>
              <w:t>薪酬与考核委员会严格按照相关规定开展工作，根据公司的实际情况，提出了相关的意见，并对审议事项表示一致同意。</w:t>
            </w:r>
          </w:p>
        </w:tc>
        <w:tc>
          <w:tcPr>
            <w:tcW w:w="1205" w:type="dxa"/>
            <w:tcBorders>
              <w:top w:val="single" w:color="auto" w:sz="2" w:space="0"/>
              <w:left w:val="single" w:color="auto" w:sz="2" w:space="0"/>
              <w:bottom w:val="single" w:color="auto" w:sz="2" w:space="0"/>
              <w:right w:val="single" w:color="auto" w:sz="2" w:space="0"/>
            </w:tcBorders>
            <w:vAlign w:val="center"/>
          </w:tcPr>
          <w:p w14:paraId="42037F92">
            <w:pPr>
              <w:spacing w:before="0" w:after="0" w:line="240" w:lineRule="exact"/>
              <w:jc w:val="left"/>
              <w:rPr>
                <w:rFonts w:ascii="宋体" w:hAnsi="宋体" w:eastAsia="宋体" w:cs="宋体"/>
                <w:sz w:val="18"/>
                <w:szCs w:val="18"/>
              </w:rPr>
            </w:pPr>
            <w:r>
              <w:rPr>
                <w:rFonts w:ascii="宋体" w:hAnsi="宋体" w:eastAsia="宋体" w:cs="宋体"/>
                <w:sz w:val="18"/>
                <w:szCs w:val="18"/>
              </w:rPr>
              <w:t>对公司人才开发等人才战略提供合理化建议，同时制定科学、有效的年度薪酬管理制度。</w:t>
            </w:r>
          </w:p>
        </w:tc>
        <w:tc>
          <w:tcPr>
            <w:tcW w:w="1205" w:type="dxa"/>
            <w:tcBorders>
              <w:top w:val="single" w:color="auto" w:sz="2" w:space="0"/>
              <w:left w:val="single" w:color="auto" w:sz="2" w:space="0"/>
              <w:bottom w:val="single" w:color="auto" w:sz="2" w:space="0"/>
              <w:right w:val="single" w:color="auto" w:sz="2" w:space="0"/>
            </w:tcBorders>
            <w:vAlign w:val="center"/>
          </w:tcPr>
          <w:p w14:paraId="5CFDCA93">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0C1254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7" w:type="dxa"/>
            <w:tcBorders>
              <w:top w:val="single" w:color="auto" w:sz="2" w:space="0"/>
              <w:left w:val="single" w:color="auto" w:sz="2" w:space="0"/>
              <w:bottom w:val="single" w:color="auto" w:sz="2" w:space="0"/>
              <w:right w:val="single" w:color="auto" w:sz="2" w:space="0"/>
            </w:tcBorders>
            <w:vAlign w:val="center"/>
          </w:tcPr>
          <w:p w14:paraId="485A9BD6">
            <w:pPr>
              <w:spacing w:before="0" w:after="0" w:line="240" w:lineRule="exact"/>
              <w:jc w:val="left"/>
              <w:rPr>
                <w:rFonts w:ascii="宋体" w:hAnsi="宋体" w:eastAsia="宋体" w:cs="宋体"/>
                <w:sz w:val="18"/>
                <w:szCs w:val="18"/>
              </w:rPr>
            </w:pPr>
            <w:r>
              <w:rPr>
                <w:rFonts w:ascii="宋体" w:hAnsi="宋体" w:eastAsia="宋体" w:cs="宋体"/>
                <w:sz w:val="18"/>
                <w:szCs w:val="18"/>
              </w:rPr>
              <w:t>董事会战略委员会</w:t>
            </w:r>
          </w:p>
        </w:tc>
        <w:tc>
          <w:tcPr>
            <w:tcW w:w="1310" w:type="dxa"/>
            <w:tcBorders>
              <w:top w:val="single" w:color="auto" w:sz="2" w:space="0"/>
              <w:left w:val="single" w:color="auto" w:sz="2" w:space="0"/>
              <w:bottom w:val="single" w:color="auto" w:sz="2" w:space="0"/>
              <w:right w:val="single" w:color="auto" w:sz="2" w:space="0"/>
            </w:tcBorders>
            <w:vAlign w:val="center"/>
          </w:tcPr>
          <w:p w14:paraId="5B9F4AC3">
            <w:pPr>
              <w:spacing w:before="0" w:after="0" w:line="240" w:lineRule="exact"/>
              <w:jc w:val="left"/>
              <w:rPr>
                <w:rFonts w:ascii="宋体" w:hAnsi="宋体" w:eastAsia="宋体" w:cs="宋体"/>
                <w:sz w:val="18"/>
                <w:szCs w:val="18"/>
              </w:rPr>
            </w:pPr>
            <w:r>
              <w:rPr>
                <w:rFonts w:ascii="宋体" w:hAnsi="宋体" w:eastAsia="宋体" w:cs="宋体"/>
                <w:sz w:val="18"/>
                <w:szCs w:val="18"/>
              </w:rPr>
              <w:t>李国平（主任委员）、李国栋、李洪明、黄伏虎</w:t>
            </w:r>
          </w:p>
        </w:tc>
        <w:tc>
          <w:tcPr>
            <w:tcW w:w="640" w:type="dxa"/>
            <w:tcBorders>
              <w:top w:val="single" w:color="auto" w:sz="2" w:space="0"/>
              <w:left w:val="single" w:color="auto" w:sz="2" w:space="0"/>
              <w:bottom w:val="single" w:color="auto" w:sz="2" w:space="0"/>
              <w:right w:val="single" w:color="auto" w:sz="2" w:space="0"/>
            </w:tcBorders>
            <w:vAlign w:val="center"/>
          </w:tcPr>
          <w:p w14:paraId="0ACBC09F">
            <w:pPr>
              <w:spacing w:before="0" w:after="0" w:line="240" w:lineRule="exact"/>
              <w:jc w:val="right"/>
              <w:rPr>
                <w:rFonts w:ascii="宋体" w:hAnsi="宋体" w:eastAsia="宋体" w:cs="宋体"/>
                <w:sz w:val="18"/>
                <w:szCs w:val="18"/>
              </w:rPr>
            </w:pPr>
            <w:r>
              <w:rPr>
                <w:rFonts w:ascii="宋体" w:hAnsi="宋体" w:eastAsia="宋体" w:cs="宋体"/>
                <w:sz w:val="18"/>
                <w:szCs w:val="18"/>
              </w:rPr>
              <w:t>1</w:t>
            </w:r>
          </w:p>
        </w:tc>
        <w:tc>
          <w:tcPr>
            <w:tcW w:w="1170" w:type="dxa"/>
            <w:tcBorders>
              <w:top w:val="single" w:color="auto" w:sz="2" w:space="0"/>
              <w:left w:val="single" w:color="auto" w:sz="2" w:space="0"/>
              <w:bottom w:val="single" w:color="auto" w:sz="2" w:space="0"/>
              <w:right w:val="single" w:color="auto" w:sz="2" w:space="0"/>
            </w:tcBorders>
            <w:vAlign w:val="center"/>
          </w:tcPr>
          <w:p w14:paraId="68EF8E01">
            <w:pPr>
              <w:spacing w:before="0" w:after="0" w:line="240" w:lineRule="exact"/>
              <w:jc w:val="left"/>
              <w:rPr>
                <w:rFonts w:ascii="宋体" w:hAnsi="宋体" w:eastAsia="宋体" w:cs="宋体"/>
                <w:sz w:val="18"/>
                <w:szCs w:val="18"/>
              </w:rPr>
            </w:pPr>
            <w:r>
              <w:rPr>
                <w:rFonts w:ascii="宋体" w:hAnsi="宋体" w:eastAsia="宋体" w:cs="宋体"/>
                <w:sz w:val="18"/>
                <w:szCs w:val="18"/>
              </w:rPr>
              <w:t>2024年04月18日</w:t>
            </w:r>
          </w:p>
        </w:tc>
        <w:tc>
          <w:tcPr>
            <w:tcW w:w="1650" w:type="dxa"/>
            <w:tcBorders>
              <w:top w:val="single" w:color="auto" w:sz="2" w:space="0"/>
              <w:left w:val="single" w:color="auto" w:sz="2" w:space="0"/>
              <w:bottom w:val="single" w:color="auto" w:sz="2" w:space="0"/>
              <w:right w:val="single" w:color="auto" w:sz="2" w:space="0"/>
            </w:tcBorders>
            <w:vAlign w:val="center"/>
          </w:tcPr>
          <w:p w14:paraId="1E20D5B7">
            <w:pPr>
              <w:spacing w:before="0" w:after="0" w:line="240" w:lineRule="exact"/>
              <w:jc w:val="left"/>
              <w:rPr>
                <w:rFonts w:ascii="宋体" w:hAnsi="宋体" w:eastAsia="宋体" w:cs="宋体"/>
                <w:sz w:val="18"/>
                <w:szCs w:val="18"/>
              </w:rPr>
            </w:pPr>
            <w:r>
              <w:rPr>
                <w:rFonts w:ascii="宋体" w:hAnsi="宋体" w:eastAsia="宋体" w:cs="宋体"/>
                <w:sz w:val="18"/>
                <w:szCs w:val="18"/>
              </w:rPr>
              <w:t>审议2023年度战略委员会工作报告等</w:t>
            </w:r>
          </w:p>
        </w:tc>
        <w:tc>
          <w:tcPr>
            <w:tcW w:w="1623" w:type="dxa"/>
            <w:tcBorders>
              <w:top w:val="single" w:color="auto" w:sz="2" w:space="0"/>
              <w:left w:val="single" w:color="auto" w:sz="2" w:space="0"/>
              <w:bottom w:val="single" w:color="auto" w:sz="2" w:space="0"/>
              <w:right w:val="single" w:color="auto" w:sz="2" w:space="0"/>
            </w:tcBorders>
            <w:vAlign w:val="center"/>
          </w:tcPr>
          <w:p w14:paraId="4189C6FF">
            <w:pPr>
              <w:spacing w:before="0" w:after="0" w:line="240" w:lineRule="exact"/>
              <w:jc w:val="left"/>
              <w:rPr>
                <w:rFonts w:ascii="宋体" w:hAnsi="宋体" w:eastAsia="宋体" w:cs="宋体"/>
                <w:sz w:val="18"/>
                <w:szCs w:val="18"/>
              </w:rPr>
            </w:pPr>
            <w:r>
              <w:rPr>
                <w:rFonts w:ascii="宋体" w:hAnsi="宋体" w:eastAsia="宋体" w:cs="宋体"/>
                <w:sz w:val="18"/>
                <w:szCs w:val="18"/>
              </w:rPr>
              <w:t>战略委员会严格按照《公司法》《公司章程》及公司的发展战略规划开展工作，勤勉尽责，对审议事项表示一致同意。</w:t>
            </w:r>
          </w:p>
        </w:tc>
        <w:tc>
          <w:tcPr>
            <w:tcW w:w="1205" w:type="dxa"/>
            <w:tcBorders>
              <w:top w:val="single" w:color="auto" w:sz="2" w:space="0"/>
              <w:left w:val="single" w:color="auto" w:sz="2" w:space="0"/>
              <w:bottom w:val="single" w:color="auto" w:sz="2" w:space="0"/>
              <w:right w:val="single" w:color="auto" w:sz="2" w:space="0"/>
            </w:tcBorders>
            <w:vAlign w:val="center"/>
          </w:tcPr>
          <w:p w14:paraId="652F0856">
            <w:pPr>
              <w:spacing w:before="0" w:after="0" w:line="240" w:lineRule="exact"/>
              <w:jc w:val="left"/>
              <w:rPr>
                <w:rFonts w:ascii="宋体" w:hAnsi="宋体" w:eastAsia="宋体" w:cs="宋体"/>
                <w:sz w:val="18"/>
                <w:szCs w:val="18"/>
              </w:rPr>
            </w:pPr>
            <w:r>
              <w:rPr>
                <w:rFonts w:ascii="宋体" w:hAnsi="宋体" w:eastAsia="宋体" w:cs="宋体"/>
                <w:sz w:val="18"/>
                <w:szCs w:val="18"/>
              </w:rPr>
              <w:t>对公司年度发展战略等重大事项进行研究并对公司未来战略发展提出建议。</w:t>
            </w:r>
          </w:p>
        </w:tc>
        <w:tc>
          <w:tcPr>
            <w:tcW w:w="1205" w:type="dxa"/>
            <w:tcBorders>
              <w:top w:val="single" w:color="auto" w:sz="2" w:space="0"/>
              <w:left w:val="single" w:color="auto" w:sz="2" w:space="0"/>
              <w:bottom w:val="single" w:color="auto" w:sz="2" w:space="0"/>
              <w:right w:val="single" w:color="auto" w:sz="2" w:space="0"/>
            </w:tcBorders>
            <w:vAlign w:val="center"/>
          </w:tcPr>
          <w:p w14:paraId="05FB3D2F">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bl>
    <w:p w14:paraId="76B157E0">
      <w:pPr>
        <w:keepNext/>
        <w:keepLines/>
        <w:spacing w:before="300" w:after="300" w:line="320" w:lineRule="exact"/>
        <w:jc w:val="left"/>
        <w:outlineLvl w:val="1"/>
        <w:rPr>
          <w:rFonts w:ascii="宋体" w:hAnsi="宋体" w:eastAsia="宋体" w:cs="宋体"/>
          <w:b/>
          <w:bCs/>
          <w:sz w:val="24"/>
          <w:szCs w:val="24"/>
        </w:rPr>
      </w:pPr>
      <w:r>
        <w:rPr>
          <w:rFonts w:ascii="宋体" w:hAnsi="宋体" w:eastAsia="宋体" w:cs="宋体"/>
          <w:b/>
          <w:bCs/>
          <w:sz w:val="24"/>
          <w:szCs w:val="24"/>
        </w:rPr>
        <w:t>十、监事会工作情况</w:t>
      </w:r>
      <w:bookmarkEnd w:id="76"/>
    </w:p>
    <w:p w14:paraId="16FECD00">
      <w:pPr>
        <w:spacing w:before="100" w:after="100" w:line="240" w:lineRule="exact"/>
        <w:jc w:val="left"/>
        <w:rPr>
          <w:rFonts w:ascii="宋体" w:hAnsi="宋体" w:eastAsia="宋体" w:cs="宋体"/>
          <w:sz w:val="18"/>
          <w:szCs w:val="18"/>
        </w:rPr>
      </w:pPr>
      <w:r>
        <w:rPr>
          <w:rFonts w:ascii="宋体" w:hAnsi="宋体" w:eastAsia="宋体" w:cs="宋体"/>
          <w:sz w:val="18"/>
          <w:szCs w:val="18"/>
        </w:rPr>
        <w:t>监事会在报告期内的监督活动中发现公司是否存在风险</w:t>
      </w:r>
    </w:p>
    <w:p w14:paraId="71FA53A7">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5E43DC8A">
      <w:pPr>
        <w:spacing w:before="100" w:after="100" w:line="240" w:lineRule="exact"/>
        <w:jc w:val="left"/>
        <w:rPr>
          <w:rFonts w:ascii="宋体" w:hAnsi="宋体" w:eastAsia="宋体" w:cs="宋体"/>
          <w:sz w:val="18"/>
          <w:szCs w:val="18"/>
        </w:rPr>
      </w:pPr>
      <w:r>
        <w:rPr>
          <w:rFonts w:ascii="宋体" w:hAnsi="宋体" w:eastAsia="宋体" w:cs="宋体"/>
          <w:sz w:val="18"/>
          <w:szCs w:val="18"/>
        </w:rPr>
        <w:t>监事会对报告期内的监督事项无异议。</w:t>
      </w:r>
    </w:p>
    <w:p w14:paraId="7F581A42">
      <w:pPr>
        <w:keepNext/>
        <w:keepLines/>
        <w:spacing w:before="300" w:after="300" w:line="320" w:lineRule="exact"/>
        <w:jc w:val="left"/>
        <w:outlineLvl w:val="1"/>
        <w:rPr>
          <w:rFonts w:ascii="宋体" w:hAnsi="宋体" w:eastAsia="宋体" w:cs="宋体"/>
          <w:b/>
          <w:bCs/>
          <w:sz w:val="24"/>
          <w:szCs w:val="24"/>
        </w:rPr>
      </w:pPr>
      <w:bookmarkStart w:id="77" w:name="_Toc988964"/>
      <w:r>
        <w:rPr>
          <w:rFonts w:ascii="宋体" w:hAnsi="宋体" w:eastAsia="宋体" w:cs="宋体"/>
          <w:b/>
          <w:bCs/>
          <w:sz w:val="24"/>
          <w:szCs w:val="24"/>
        </w:rPr>
        <w:t>十一、公司员工情况</w:t>
      </w:r>
      <w:bookmarkEnd w:id="77"/>
    </w:p>
    <w:p w14:paraId="6EFC6F2A">
      <w:pPr>
        <w:keepNext/>
        <w:keepLines/>
        <w:spacing w:before="300" w:after="300" w:line="280" w:lineRule="exact"/>
        <w:jc w:val="left"/>
        <w:outlineLvl w:val="2"/>
        <w:rPr>
          <w:rFonts w:ascii="宋体" w:hAnsi="宋体" w:eastAsia="宋体" w:cs="宋体"/>
          <w:b/>
          <w:bCs/>
          <w:sz w:val="21"/>
          <w:szCs w:val="21"/>
        </w:rPr>
      </w:pPr>
      <w:bookmarkStart w:id="78" w:name="_Toc988965"/>
      <w:r>
        <w:rPr>
          <w:rFonts w:ascii="宋体" w:hAnsi="宋体" w:eastAsia="宋体" w:cs="宋体"/>
          <w:b/>
          <w:bCs/>
          <w:sz w:val="21"/>
          <w:szCs w:val="21"/>
        </w:rPr>
        <w:t>1、员工数量、专业构成及教育程度</w:t>
      </w:r>
      <w:bookmarkEnd w:id="78"/>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51BEE9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393418A">
            <w:pPr>
              <w:spacing w:before="40" w:after="40" w:line="240" w:lineRule="exact"/>
              <w:jc w:val="left"/>
              <w:rPr>
                <w:rFonts w:ascii="宋体" w:hAnsi="宋体" w:eastAsia="宋体" w:cs="宋体"/>
                <w:sz w:val="18"/>
                <w:szCs w:val="18"/>
              </w:rPr>
            </w:pPr>
            <w:r>
              <w:rPr>
                <w:rFonts w:ascii="宋体" w:hAnsi="宋体" w:eastAsia="宋体" w:cs="宋体"/>
                <w:sz w:val="18"/>
                <w:szCs w:val="18"/>
              </w:rPr>
              <w:t>报告期末母公司在职员工的数量（人）</w:t>
            </w:r>
          </w:p>
        </w:tc>
        <w:tc>
          <w:tcPr>
            <w:tcW w:w="4820" w:type="dxa"/>
            <w:tcBorders>
              <w:top w:val="single" w:color="auto" w:sz="2" w:space="0"/>
              <w:left w:val="single" w:color="auto" w:sz="2" w:space="0"/>
              <w:bottom w:val="single" w:color="auto" w:sz="2" w:space="0"/>
              <w:right w:val="single" w:color="auto" w:sz="2" w:space="0"/>
            </w:tcBorders>
            <w:vAlign w:val="center"/>
          </w:tcPr>
          <w:p w14:paraId="1A9D1678">
            <w:pPr>
              <w:spacing w:before="0" w:after="0" w:line="240" w:lineRule="exact"/>
              <w:jc w:val="right"/>
              <w:rPr>
                <w:rFonts w:ascii="宋体" w:hAnsi="宋体" w:eastAsia="宋体" w:cs="宋体"/>
                <w:sz w:val="18"/>
                <w:szCs w:val="18"/>
              </w:rPr>
            </w:pPr>
            <w:r>
              <w:rPr>
                <w:rFonts w:ascii="宋体" w:hAnsi="宋体" w:eastAsia="宋体" w:cs="宋体"/>
                <w:sz w:val="18"/>
                <w:szCs w:val="18"/>
              </w:rPr>
              <w:t>298</w:t>
            </w:r>
          </w:p>
        </w:tc>
      </w:tr>
      <w:tr w14:paraId="544E14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12D731F">
            <w:pPr>
              <w:spacing w:before="40" w:after="40" w:line="240" w:lineRule="exact"/>
              <w:jc w:val="left"/>
              <w:rPr>
                <w:rFonts w:ascii="宋体" w:hAnsi="宋体" w:eastAsia="宋体" w:cs="宋体"/>
                <w:sz w:val="18"/>
                <w:szCs w:val="18"/>
              </w:rPr>
            </w:pPr>
            <w:r>
              <w:rPr>
                <w:rFonts w:ascii="宋体" w:hAnsi="宋体" w:eastAsia="宋体" w:cs="宋体"/>
                <w:sz w:val="18"/>
                <w:szCs w:val="18"/>
              </w:rPr>
              <w:t>报告期末主要子公司在职员工的数量（人）</w:t>
            </w:r>
          </w:p>
        </w:tc>
        <w:tc>
          <w:tcPr>
            <w:tcW w:w="4820" w:type="dxa"/>
            <w:tcBorders>
              <w:top w:val="single" w:color="auto" w:sz="2" w:space="0"/>
              <w:left w:val="single" w:color="auto" w:sz="2" w:space="0"/>
              <w:bottom w:val="single" w:color="auto" w:sz="2" w:space="0"/>
              <w:right w:val="single" w:color="auto" w:sz="2" w:space="0"/>
            </w:tcBorders>
            <w:vAlign w:val="center"/>
          </w:tcPr>
          <w:p w14:paraId="601D8C9E">
            <w:pPr>
              <w:spacing w:before="0" w:after="0" w:line="240" w:lineRule="exact"/>
              <w:jc w:val="right"/>
              <w:rPr>
                <w:rFonts w:ascii="宋体" w:hAnsi="宋体" w:eastAsia="宋体" w:cs="宋体"/>
                <w:sz w:val="18"/>
                <w:szCs w:val="18"/>
              </w:rPr>
            </w:pPr>
            <w:r>
              <w:rPr>
                <w:rFonts w:ascii="宋体" w:hAnsi="宋体" w:eastAsia="宋体" w:cs="宋体"/>
                <w:sz w:val="18"/>
                <w:szCs w:val="18"/>
              </w:rPr>
              <w:t>462</w:t>
            </w:r>
          </w:p>
        </w:tc>
      </w:tr>
      <w:tr w14:paraId="3E1B4E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34D0166">
            <w:pPr>
              <w:spacing w:before="40" w:after="40" w:line="240" w:lineRule="exact"/>
              <w:jc w:val="left"/>
              <w:rPr>
                <w:rFonts w:ascii="宋体" w:hAnsi="宋体" w:eastAsia="宋体" w:cs="宋体"/>
                <w:sz w:val="18"/>
                <w:szCs w:val="18"/>
              </w:rPr>
            </w:pPr>
            <w:r>
              <w:rPr>
                <w:rFonts w:ascii="宋体" w:hAnsi="宋体" w:eastAsia="宋体" w:cs="宋体"/>
                <w:sz w:val="18"/>
                <w:szCs w:val="18"/>
              </w:rPr>
              <w:t>报告期末在职员工的数量合计（人）</w:t>
            </w:r>
          </w:p>
        </w:tc>
        <w:tc>
          <w:tcPr>
            <w:tcW w:w="4820" w:type="dxa"/>
            <w:tcBorders>
              <w:top w:val="single" w:color="auto" w:sz="2" w:space="0"/>
              <w:left w:val="single" w:color="auto" w:sz="2" w:space="0"/>
              <w:bottom w:val="single" w:color="auto" w:sz="2" w:space="0"/>
              <w:right w:val="single" w:color="auto" w:sz="2" w:space="0"/>
            </w:tcBorders>
            <w:vAlign w:val="center"/>
          </w:tcPr>
          <w:p w14:paraId="3F32C8C1">
            <w:pPr>
              <w:spacing w:before="0" w:after="0" w:line="240" w:lineRule="exact"/>
              <w:jc w:val="right"/>
              <w:rPr>
                <w:rFonts w:ascii="宋体" w:hAnsi="宋体" w:eastAsia="宋体" w:cs="宋体"/>
                <w:sz w:val="18"/>
                <w:szCs w:val="18"/>
              </w:rPr>
            </w:pPr>
            <w:r>
              <w:rPr>
                <w:rFonts w:ascii="宋体" w:hAnsi="宋体" w:eastAsia="宋体" w:cs="宋体"/>
                <w:sz w:val="18"/>
                <w:szCs w:val="18"/>
              </w:rPr>
              <w:t>760</w:t>
            </w:r>
          </w:p>
        </w:tc>
      </w:tr>
      <w:tr w14:paraId="672368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6EC0D0EC">
            <w:pPr>
              <w:spacing w:before="40" w:after="40" w:line="240" w:lineRule="exact"/>
              <w:jc w:val="left"/>
              <w:rPr>
                <w:rFonts w:ascii="宋体" w:hAnsi="宋体" w:eastAsia="宋体" w:cs="宋体"/>
                <w:sz w:val="18"/>
                <w:szCs w:val="18"/>
              </w:rPr>
            </w:pPr>
            <w:r>
              <w:rPr>
                <w:rFonts w:ascii="宋体" w:hAnsi="宋体" w:eastAsia="宋体" w:cs="宋体"/>
                <w:sz w:val="18"/>
                <w:szCs w:val="18"/>
              </w:rPr>
              <w:t>当期领取薪酬员工总人数（人）</w:t>
            </w:r>
          </w:p>
        </w:tc>
        <w:tc>
          <w:tcPr>
            <w:tcW w:w="4820" w:type="dxa"/>
            <w:tcBorders>
              <w:top w:val="single" w:color="auto" w:sz="2" w:space="0"/>
              <w:left w:val="single" w:color="auto" w:sz="2" w:space="0"/>
              <w:bottom w:val="single" w:color="auto" w:sz="2" w:space="0"/>
              <w:right w:val="single" w:color="auto" w:sz="2" w:space="0"/>
            </w:tcBorders>
            <w:vAlign w:val="center"/>
          </w:tcPr>
          <w:p w14:paraId="6ABBA222">
            <w:pPr>
              <w:spacing w:before="0" w:after="0" w:line="240" w:lineRule="exact"/>
              <w:jc w:val="right"/>
              <w:rPr>
                <w:rFonts w:ascii="宋体" w:hAnsi="宋体" w:eastAsia="宋体" w:cs="宋体"/>
                <w:sz w:val="18"/>
                <w:szCs w:val="18"/>
              </w:rPr>
            </w:pPr>
            <w:r>
              <w:rPr>
                <w:rFonts w:ascii="宋体" w:hAnsi="宋体" w:eastAsia="宋体" w:cs="宋体"/>
                <w:sz w:val="18"/>
                <w:szCs w:val="18"/>
              </w:rPr>
              <w:t>749</w:t>
            </w:r>
          </w:p>
        </w:tc>
      </w:tr>
      <w:tr w14:paraId="6D9B5E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4EFBB08">
            <w:pPr>
              <w:spacing w:before="40" w:after="40" w:line="240" w:lineRule="exact"/>
              <w:jc w:val="left"/>
              <w:rPr>
                <w:rFonts w:ascii="宋体" w:hAnsi="宋体" w:eastAsia="宋体" w:cs="宋体"/>
                <w:sz w:val="18"/>
                <w:szCs w:val="18"/>
              </w:rPr>
            </w:pPr>
            <w:r>
              <w:rPr>
                <w:rFonts w:ascii="宋体" w:hAnsi="宋体" w:eastAsia="宋体" w:cs="宋体"/>
                <w:sz w:val="18"/>
                <w:szCs w:val="18"/>
              </w:rPr>
              <w:t>母公司及主要子公司需承担费用的离退休职工人数（人）</w:t>
            </w:r>
          </w:p>
        </w:tc>
        <w:tc>
          <w:tcPr>
            <w:tcW w:w="4820" w:type="dxa"/>
            <w:tcBorders>
              <w:top w:val="single" w:color="auto" w:sz="2" w:space="0"/>
              <w:left w:val="single" w:color="auto" w:sz="2" w:space="0"/>
              <w:bottom w:val="single" w:color="auto" w:sz="2" w:space="0"/>
              <w:right w:val="single" w:color="auto" w:sz="2" w:space="0"/>
            </w:tcBorders>
            <w:vAlign w:val="center"/>
          </w:tcPr>
          <w:p w14:paraId="3D00AF61">
            <w:pPr>
              <w:spacing w:before="0" w:after="0" w:line="240" w:lineRule="exact"/>
              <w:jc w:val="right"/>
              <w:rPr>
                <w:rFonts w:ascii="宋体" w:hAnsi="宋体" w:eastAsia="宋体" w:cs="宋体"/>
                <w:sz w:val="18"/>
                <w:szCs w:val="18"/>
              </w:rPr>
            </w:pPr>
            <w:r>
              <w:rPr>
                <w:rFonts w:ascii="宋体" w:hAnsi="宋体" w:eastAsia="宋体" w:cs="宋体"/>
                <w:sz w:val="18"/>
                <w:szCs w:val="18"/>
              </w:rPr>
              <w:t>11</w:t>
            </w:r>
          </w:p>
        </w:tc>
      </w:tr>
      <w:tr w14:paraId="479C1E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974D436">
            <w:pPr>
              <w:spacing w:before="40" w:after="40" w:line="240" w:lineRule="exact"/>
              <w:jc w:val="center"/>
              <w:rPr>
                <w:rFonts w:ascii="宋体" w:hAnsi="宋体" w:eastAsia="宋体" w:cs="宋体"/>
                <w:sz w:val="18"/>
                <w:szCs w:val="18"/>
              </w:rPr>
            </w:pPr>
            <w:r>
              <w:rPr>
                <w:rFonts w:ascii="宋体" w:hAnsi="宋体" w:eastAsia="宋体" w:cs="宋体"/>
                <w:sz w:val="18"/>
                <w:szCs w:val="18"/>
              </w:rPr>
              <w:t>专业构成</w:t>
            </w:r>
          </w:p>
        </w:tc>
      </w:tr>
      <w:tr w14:paraId="608161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B2D37A2">
            <w:pPr>
              <w:spacing w:before="40" w:after="40" w:line="240" w:lineRule="exact"/>
              <w:jc w:val="center"/>
              <w:rPr>
                <w:rFonts w:ascii="宋体" w:hAnsi="宋体" w:eastAsia="宋体" w:cs="宋体"/>
                <w:sz w:val="18"/>
                <w:szCs w:val="18"/>
              </w:rPr>
            </w:pPr>
            <w:r>
              <w:rPr>
                <w:rFonts w:ascii="宋体" w:hAnsi="宋体" w:eastAsia="宋体" w:cs="宋体"/>
                <w:sz w:val="18"/>
                <w:szCs w:val="18"/>
              </w:rPr>
              <w:t>专业构成类别</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C530BF2">
            <w:pPr>
              <w:spacing w:before="40" w:after="40" w:line="240" w:lineRule="exact"/>
              <w:jc w:val="center"/>
              <w:rPr>
                <w:rFonts w:ascii="宋体" w:hAnsi="宋体" w:eastAsia="宋体" w:cs="宋体"/>
                <w:sz w:val="18"/>
                <w:szCs w:val="18"/>
              </w:rPr>
            </w:pPr>
            <w:r>
              <w:rPr>
                <w:rFonts w:ascii="宋体" w:hAnsi="宋体" w:eastAsia="宋体" w:cs="宋体"/>
                <w:sz w:val="18"/>
                <w:szCs w:val="18"/>
              </w:rPr>
              <w:t>专业构成人数（人）</w:t>
            </w:r>
          </w:p>
        </w:tc>
      </w:tr>
      <w:tr w14:paraId="788FC6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35F6425C">
            <w:pPr>
              <w:spacing w:before="40" w:after="40" w:line="240" w:lineRule="exact"/>
              <w:jc w:val="left"/>
              <w:rPr>
                <w:rFonts w:ascii="宋体" w:hAnsi="宋体" w:eastAsia="宋体" w:cs="宋体"/>
                <w:sz w:val="18"/>
                <w:szCs w:val="18"/>
              </w:rPr>
            </w:pPr>
            <w:r>
              <w:rPr>
                <w:rFonts w:ascii="宋体" w:hAnsi="宋体" w:eastAsia="宋体" w:cs="宋体"/>
                <w:sz w:val="18"/>
                <w:szCs w:val="18"/>
              </w:rPr>
              <w:t>生产人员</w:t>
            </w:r>
          </w:p>
        </w:tc>
        <w:tc>
          <w:tcPr>
            <w:tcW w:w="4820" w:type="dxa"/>
            <w:tcBorders>
              <w:top w:val="single" w:color="auto" w:sz="2" w:space="0"/>
              <w:left w:val="single" w:color="auto" w:sz="2" w:space="0"/>
              <w:bottom w:val="single" w:color="auto" w:sz="2" w:space="0"/>
              <w:right w:val="single" w:color="auto" w:sz="2" w:space="0"/>
            </w:tcBorders>
            <w:vAlign w:val="center"/>
          </w:tcPr>
          <w:p w14:paraId="21A52FE6">
            <w:pPr>
              <w:spacing w:before="0" w:after="0" w:line="240" w:lineRule="exact"/>
              <w:jc w:val="right"/>
              <w:rPr>
                <w:rFonts w:ascii="宋体" w:hAnsi="宋体" w:eastAsia="宋体" w:cs="宋体"/>
                <w:sz w:val="18"/>
                <w:szCs w:val="18"/>
              </w:rPr>
            </w:pPr>
            <w:r>
              <w:rPr>
                <w:rFonts w:ascii="宋体" w:hAnsi="宋体" w:eastAsia="宋体" w:cs="宋体"/>
                <w:sz w:val="18"/>
                <w:szCs w:val="18"/>
              </w:rPr>
              <w:t>271</w:t>
            </w:r>
          </w:p>
        </w:tc>
      </w:tr>
      <w:tr w14:paraId="43BC14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23861F4">
            <w:pPr>
              <w:spacing w:before="40" w:after="40" w:line="240" w:lineRule="exact"/>
              <w:jc w:val="left"/>
              <w:rPr>
                <w:rFonts w:ascii="宋体" w:hAnsi="宋体" w:eastAsia="宋体" w:cs="宋体"/>
                <w:sz w:val="18"/>
                <w:szCs w:val="18"/>
              </w:rPr>
            </w:pPr>
            <w:r>
              <w:rPr>
                <w:rFonts w:ascii="宋体" w:hAnsi="宋体" w:eastAsia="宋体" w:cs="宋体"/>
                <w:sz w:val="18"/>
                <w:szCs w:val="18"/>
              </w:rPr>
              <w:t>销售人员</w:t>
            </w:r>
          </w:p>
        </w:tc>
        <w:tc>
          <w:tcPr>
            <w:tcW w:w="4820" w:type="dxa"/>
            <w:tcBorders>
              <w:top w:val="single" w:color="auto" w:sz="2" w:space="0"/>
              <w:left w:val="single" w:color="auto" w:sz="2" w:space="0"/>
              <w:bottom w:val="single" w:color="auto" w:sz="2" w:space="0"/>
              <w:right w:val="single" w:color="auto" w:sz="2" w:space="0"/>
            </w:tcBorders>
            <w:vAlign w:val="center"/>
          </w:tcPr>
          <w:p w14:paraId="32DF8124">
            <w:pPr>
              <w:spacing w:before="0" w:after="0" w:line="240" w:lineRule="exact"/>
              <w:jc w:val="right"/>
              <w:rPr>
                <w:rFonts w:ascii="宋体" w:hAnsi="宋体" w:eastAsia="宋体" w:cs="宋体"/>
                <w:sz w:val="18"/>
                <w:szCs w:val="18"/>
              </w:rPr>
            </w:pPr>
            <w:r>
              <w:rPr>
                <w:rFonts w:ascii="宋体" w:hAnsi="宋体" w:eastAsia="宋体" w:cs="宋体"/>
                <w:sz w:val="18"/>
                <w:szCs w:val="18"/>
              </w:rPr>
              <w:t>191</w:t>
            </w:r>
          </w:p>
        </w:tc>
      </w:tr>
      <w:tr w14:paraId="391E43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A166895">
            <w:pPr>
              <w:spacing w:before="40" w:after="40" w:line="240" w:lineRule="exact"/>
              <w:jc w:val="left"/>
              <w:rPr>
                <w:rFonts w:ascii="宋体" w:hAnsi="宋体" w:eastAsia="宋体" w:cs="宋体"/>
                <w:sz w:val="18"/>
                <w:szCs w:val="18"/>
              </w:rPr>
            </w:pPr>
            <w:r>
              <w:rPr>
                <w:rFonts w:ascii="宋体" w:hAnsi="宋体" w:eastAsia="宋体" w:cs="宋体"/>
                <w:sz w:val="18"/>
                <w:szCs w:val="18"/>
              </w:rPr>
              <w:t>技术人员</w:t>
            </w:r>
          </w:p>
        </w:tc>
        <w:tc>
          <w:tcPr>
            <w:tcW w:w="4820" w:type="dxa"/>
            <w:tcBorders>
              <w:top w:val="single" w:color="auto" w:sz="2" w:space="0"/>
              <w:left w:val="single" w:color="auto" w:sz="2" w:space="0"/>
              <w:bottom w:val="single" w:color="auto" w:sz="2" w:space="0"/>
              <w:right w:val="single" w:color="auto" w:sz="2" w:space="0"/>
            </w:tcBorders>
            <w:vAlign w:val="center"/>
          </w:tcPr>
          <w:p w14:paraId="342F3FC6">
            <w:pPr>
              <w:spacing w:before="0" w:after="0" w:line="240" w:lineRule="exact"/>
              <w:jc w:val="right"/>
              <w:rPr>
                <w:rFonts w:ascii="宋体" w:hAnsi="宋体" w:eastAsia="宋体" w:cs="宋体"/>
                <w:sz w:val="18"/>
                <w:szCs w:val="18"/>
              </w:rPr>
            </w:pPr>
            <w:r>
              <w:rPr>
                <w:rFonts w:ascii="宋体" w:hAnsi="宋体" w:eastAsia="宋体" w:cs="宋体"/>
                <w:sz w:val="18"/>
                <w:szCs w:val="18"/>
              </w:rPr>
              <w:t>76</w:t>
            </w:r>
          </w:p>
        </w:tc>
      </w:tr>
      <w:tr w14:paraId="23DF00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F3088C5">
            <w:pPr>
              <w:spacing w:before="40" w:after="40" w:line="240" w:lineRule="exact"/>
              <w:jc w:val="left"/>
              <w:rPr>
                <w:rFonts w:ascii="宋体" w:hAnsi="宋体" w:eastAsia="宋体" w:cs="宋体"/>
                <w:sz w:val="18"/>
                <w:szCs w:val="18"/>
              </w:rPr>
            </w:pPr>
            <w:r>
              <w:rPr>
                <w:rFonts w:ascii="宋体" w:hAnsi="宋体" w:eastAsia="宋体" w:cs="宋体"/>
                <w:sz w:val="18"/>
                <w:szCs w:val="18"/>
              </w:rPr>
              <w:t>财务人员</w:t>
            </w:r>
          </w:p>
        </w:tc>
        <w:tc>
          <w:tcPr>
            <w:tcW w:w="4820" w:type="dxa"/>
            <w:tcBorders>
              <w:top w:val="single" w:color="auto" w:sz="2" w:space="0"/>
              <w:left w:val="single" w:color="auto" w:sz="2" w:space="0"/>
              <w:bottom w:val="single" w:color="auto" w:sz="2" w:space="0"/>
              <w:right w:val="single" w:color="auto" w:sz="2" w:space="0"/>
            </w:tcBorders>
            <w:vAlign w:val="center"/>
          </w:tcPr>
          <w:p w14:paraId="62300C8C">
            <w:pPr>
              <w:spacing w:before="0" w:after="0" w:line="240" w:lineRule="exact"/>
              <w:jc w:val="right"/>
              <w:rPr>
                <w:rFonts w:ascii="宋体" w:hAnsi="宋体" w:eastAsia="宋体" w:cs="宋体"/>
                <w:sz w:val="18"/>
                <w:szCs w:val="18"/>
              </w:rPr>
            </w:pPr>
            <w:r>
              <w:rPr>
                <w:rFonts w:ascii="宋体" w:hAnsi="宋体" w:eastAsia="宋体" w:cs="宋体"/>
                <w:sz w:val="18"/>
                <w:szCs w:val="18"/>
              </w:rPr>
              <w:t>26</w:t>
            </w:r>
          </w:p>
        </w:tc>
      </w:tr>
      <w:tr w14:paraId="693D39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A79A2B3">
            <w:pPr>
              <w:spacing w:before="40" w:after="40" w:line="240" w:lineRule="exact"/>
              <w:jc w:val="left"/>
              <w:rPr>
                <w:rFonts w:ascii="宋体" w:hAnsi="宋体" w:eastAsia="宋体" w:cs="宋体"/>
                <w:sz w:val="18"/>
                <w:szCs w:val="18"/>
              </w:rPr>
            </w:pPr>
            <w:r>
              <w:rPr>
                <w:rFonts w:ascii="宋体" w:hAnsi="宋体" w:eastAsia="宋体" w:cs="宋体"/>
                <w:sz w:val="18"/>
                <w:szCs w:val="18"/>
              </w:rPr>
              <w:t>行政人员</w:t>
            </w:r>
          </w:p>
        </w:tc>
        <w:tc>
          <w:tcPr>
            <w:tcW w:w="4820" w:type="dxa"/>
            <w:tcBorders>
              <w:top w:val="single" w:color="auto" w:sz="2" w:space="0"/>
              <w:left w:val="single" w:color="auto" w:sz="2" w:space="0"/>
              <w:bottom w:val="single" w:color="auto" w:sz="2" w:space="0"/>
              <w:right w:val="single" w:color="auto" w:sz="2" w:space="0"/>
            </w:tcBorders>
            <w:vAlign w:val="center"/>
          </w:tcPr>
          <w:p w14:paraId="6F960E62">
            <w:pPr>
              <w:spacing w:before="0" w:after="0" w:line="240" w:lineRule="exact"/>
              <w:jc w:val="right"/>
              <w:rPr>
                <w:rFonts w:ascii="宋体" w:hAnsi="宋体" w:eastAsia="宋体" w:cs="宋体"/>
                <w:sz w:val="18"/>
                <w:szCs w:val="18"/>
              </w:rPr>
            </w:pPr>
            <w:r>
              <w:rPr>
                <w:rFonts w:ascii="宋体" w:hAnsi="宋体" w:eastAsia="宋体" w:cs="宋体"/>
                <w:sz w:val="18"/>
                <w:szCs w:val="18"/>
              </w:rPr>
              <w:t>196</w:t>
            </w:r>
          </w:p>
        </w:tc>
      </w:tr>
      <w:tr w14:paraId="00CBE5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F2FF92E">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4820" w:type="dxa"/>
            <w:tcBorders>
              <w:top w:val="single" w:color="auto" w:sz="2" w:space="0"/>
              <w:left w:val="single" w:color="auto" w:sz="2" w:space="0"/>
              <w:bottom w:val="single" w:color="auto" w:sz="2" w:space="0"/>
              <w:right w:val="single" w:color="auto" w:sz="2" w:space="0"/>
            </w:tcBorders>
            <w:vAlign w:val="center"/>
          </w:tcPr>
          <w:p w14:paraId="2DCD4166">
            <w:pPr>
              <w:spacing w:before="0" w:after="0" w:line="240" w:lineRule="exact"/>
              <w:jc w:val="right"/>
              <w:rPr>
                <w:rFonts w:ascii="宋体" w:hAnsi="宋体" w:eastAsia="宋体" w:cs="宋体"/>
                <w:sz w:val="18"/>
                <w:szCs w:val="18"/>
              </w:rPr>
            </w:pPr>
            <w:r>
              <w:rPr>
                <w:rFonts w:ascii="宋体" w:hAnsi="宋体" w:eastAsia="宋体" w:cs="宋体"/>
                <w:sz w:val="18"/>
                <w:szCs w:val="18"/>
              </w:rPr>
              <w:t>760</w:t>
            </w:r>
          </w:p>
        </w:tc>
      </w:tr>
      <w:tr w14:paraId="6D5344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131C67A">
            <w:pPr>
              <w:spacing w:before="40" w:after="40" w:line="240" w:lineRule="exact"/>
              <w:jc w:val="center"/>
              <w:rPr>
                <w:rFonts w:ascii="宋体" w:hAnsi="宋体" w:eastAsia="宋体" w:cs="宋体"/>
                <w:sz w:val="18"/>
                <w:szCs w:val="18"/>
              </w:rPr>
            </w:pPr>
            <w:r>
              <w:rPr>
                <w:rFonts w:ascii="宋体" w:hAnsi="宋体" w:eastAsia="宋体" w:cs="宋体"/>
                <w:sz w:val="18"/>
                <w:szCs w:val="18"/>
              </w:rPr>
              <w:t>教育程度</w:t>
            </w:r>
          </w:p>
        </w:tc>
      </w:tr>
      <w:tr w14:paraId="198DCF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5F12401">
            <w:pPr>
              <w:spacing w:before="40" w:after="40" w:line="240" w:lineRule="exact"/>
              <w:jc w:val="center"/>
              <w:rPr>
                <w:rFonts w:ascii="宋体" w:hAnsi="宋体" w:eastAsia="宋体" w:cs="宋体"/>
                <w:sz w:val="18"/>
                <w:szCs w:val="18"/>
              </w:rPr>
            </w:pPr>
            <w:r>
              <w:rPr>
                <w:rFonts w:ascii="宋体" w:hAnsi="宋体" w:eastAsia="宋体" w:cs="宋体"/>
                <w:sz w:val="18"/>
                <w:szCs w:val="18"/>
              </w:rPr>
              <w:t>教育程度类别</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8F2F13F">
            <w:pPr>
              <w:spacing w:before="40" w:after="40" w:line="240" w:lineRule="exact"/>
              <w:jc w:val="center"/>
              <w:rPr>
                <w:rFonts w:ascii="宋体" w:hAnsi="宋体" w:eastAsia="宋体" w:cs="宋体"/>
                <w:sz w:val="18"/>
                <w:szCs w:val="18"/>
              </w:rPr>
            </w:pPr>
            <w:r>
              <w:rPr>
                <w:rFonts w:ascii="宋体" w:hAnsi="宋体" w:eastAsia="宋体" w:cs="宋体"/>
                <w:sz w:val="18"/>
                <w:szCs w:val="18"/>
              </w:rPr>
              <w:t>数量（人）</w:t>
            </w:r>
          </w:p>
        </w:tc>
      </w:tr>
      <w:tr w14:paraId="5BFCA4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6A8FFF36">
            <w:pPr>
              <w:spacing w:before="0" w:after="0" w:line="240" w:lineRule="exact"/>
              <w:jc w:val="left"/>
              <w:rPr>
                <w:rFonts w:ascii="宋体" w:hAnsi="宋体" w:eastAsia="宋体" w:cs="宋体"/>
                <w:sz w:val="18"/>
                <w:szCs w:val="18"/>
              </w:rPr>
            </w:pPr>
            <w:r>
              <w:rPr>
                <w:rFonts w:ascii="宋体" w:hAnsi="宋体" w:eastAsia="宋体" w:cs="宋体"/>
                <w:sz w:val="18"/>
                <w:szCs w:val="18"/>
              </w:rPr>
              <w:t>研究生及以上</w:t>
            </w:r>
          </w:p>
        </w:tc>
        <w:tc>
          <w:tcPr>
            <w:tcW w:w="4820" w:type="dxa"/>
            <w:tcBorders>
              <w:top w:val="single" w:color="auto" w:sz="2" w:space="0"/>
              <w:left w:val="single" w:color="auto" w:sz="2" w:space="0"/>
              <w:bottom w:val="single" w:color="auto" w:sz="2" w:space="0"/>
              <w:right w:val="single" w:color="auto" w:sz="2" w:space="0"/>
            </w:tcBorders>
            <w:vAlign w:val="center"/>
          </w:tcPr>
          <w:p w14:paraId="0EB08B93">
            <w:pPr>
              <w:spacing w:before="0" w:after="0" w:line="240" w:lineRule="exact"/>
              <w:jc w:val="right"/>
              <w:rPr>
                <w:rFonts w:ascii="宋体" w:hAnsi="宋体" w:eastAsia="宋体" w:cs="宋体"/>
                <w:sz w:val="18"/>
                <w:szCs w:val="18"/>
              </w:rPr>
            </w:pPr>
            <w:r>
              <w:rPr>
                <w:rFonts w:ascii="宋体" w:hAnsi="宋体" w:eastAsia="宋体" w:cs="宋体"/>
                <w:sz w:val="18"/>
                <w:szCs w:val="18"/>
              </w:rPr>
              <w:t>38</w:t>
            </w:r>
          </w:p>
        </w:tc>
      </w:tr>
      <w:tr w14:paraId="7FECAB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236060A7">
            <w:pPr>
              <w:spacing w:before="0" w:after="0" w:line="240" w:lineRule="exact"/>
              <w:jc w:val="left"/>
              <w:rPr>
                <w:rFonts w:ascii="宋体" w:hAnsi="宋体" w:eastAsia="宋体" w:cs="宋体"/>
                <w:sz w:val="18"/>
                <w:szCs w:val="18"/>
              </w:rPr>
            </w:pPr>
            <w:r>
              <w:rPr>
                <w:rFonts w:ascii="宋体" w:hAnsi="宋体" w:eastAsia="宋体" w:cs="宋体"/>
                <w:sz w:val="18"/>
                <w:szCs w:val="18"/>
              </w:rPr>
              <w:t>本科</w:t>
            </w:r>
          </w:p>
        </w:tc>
        <w:tc>
          <w:tcPr>
            <w:tcW w:w="4820" w:type="dxa"/>
            <w:tcBorders>
              <w:top w:val="single" w:color="auto" w:sz="2" w:space="0"/>
              <w:left w:val="single" w:color="auto" w:sz="2" w:space="0"/>
              <w:bottom w:val="single" w:color="auto" w:sz="2" w:space="0"/>
              <w:right w:val="single" w:color="auto" w:sz="2" w:space="0"/>
            </w:tcBorders>
            <w:vAlign w:val="center"/>
          </w:tcPr>
          <w:p w14:paraId="5D77BD5B">
            <w:pPr>
              <w:spacing w:before="0" w:after="0" w:line="240" w:lineRule="exact"/>
              <w:jc w:val="right"/>
              <w:rPr>
                <w:rFonts w:ascii="宋体" w:hAnsi="宋体" w:eastAsia="宋体" w:cs="宋体"/>
                <w:sz w:val="18"/>
                <w:szCs w:val="18"/>
              </w:rPr>
            </w:pPr>
            <w:r>
              <w:rPr>
                <w:rFonts w:ascii="宋体" w:hAnsi="宋体" w:eastAsia="宋体" w:cs="宋体"/>
                <w:sz w:val="18"/>
                <w:szCs w:val="18"/>
              </w:rPr>
              <w:t>341</w:t>
            </w:r>
          </w:p>
        </w:tc>
      </w:tr>
      <w:tr w14:paraId="0C9F2A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232DFB5F">
            <w:pPr>
              <w:spacing w:before="0" w:after="0" w:line="240" w:lineRule="exact"/>
              <w:jc w:val="left"/>
              <w:rPr>
                <w:rFonts w:ascii="宋体" w:hAnsi="宋体" w:eastAsia="宋体" w:cs="宋体"/>
                <w:sz w:val="18"/>
                <w:szCs w:val="18"/>
              </w:rPr>
            </w:pPr>
            <w:r>
              <w:rPr>
                <w:rFonts w:ascii="宋体" w:hAnsi="宋体" w:eastAsia="宋体" w:cs="宋体"/>
                <w:sz w:val="18"/>
                <w:szCs w:val="18"/>
              </w:rPr>
              <w:t>大专</w:t>
            </w:r>
          </w:p>
        </w:tc>
        <w:tc>
          <w:tcPr>
            <w:tcW w:w="4820" w:type="dxa"/>
            <w:tcBorders>
              <w:top w:val="single" w:color="auto" w:sz="2" w:space="0"/>
              <w:left w:val="single" w:color="auto" w:sz="2" w:space="0"/>
              <w:bottom w:val="single" w:color="auto" w:sz="2" w:space="0"/>
              <w:right w:val="single" w:color="auto" w:sz="2" w:space="0"/>
            </w:tcBorders>
            <w:vAlign w:val="center"/>
          </w:tcPr>
          <w:p w14:paraId="7E38B1A8">
            <w:pPr>
              <w:spacing w:before="0" w:after="0" w:line="240" w:lineRule="exact"/>
              <w:jc w:val="right"/>
              <w:rPr>
                <w:rFonts w:ascii="宋体" w:hAnsi="宋体" w:eastAsia="宋体" w:cs="宋体"/>
                <w:sz w:val="18"/>
                <w:szCs w:val="18"/>
              </w:rPr>
            </w:pPr>
            <w:r>
              <w:rPr>
                <w:rFonts w:ascii="宋体" w:hAnsi="宋体" w:eastAsia="宋体" w:cs="宋体"/>
                <w:sz w:val="18"/>
                <w:szCs w:val="18"/>
              </w:rPr>
              <w:t>211</w:t>
            </w:r>
          </w:p>
        </w:tc>
      </w:tr>
      <w:tr w14:paraId="2B0E87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1ADCD3D4">
            <w:pPr>
              <w:spacing w:before="0" w:after="0" w:line="240" w:lineRule="exact"/>
              <w:jc w:val="left"/>
              <w:rPr>
                <w:rFonts w:ascii="宋体" w:hAnsi="宋体" w:eastAsia="宋体" w:cs="宋体"/>
                <w:sz w:val="18"/>
                <w:szCs w:val="18"/>
              </w:rPr>
            </w:pPr>
            <w:r>
              <w:rPr>
                <w:rFonts w:ascii="宋体" w:hAnsi="宋体" w:eastAsia="宋体" w:cs="宋体"/>
                <w:sz w:val="18"/>
                <w:szCs w:val="18"/>
              </w:rPr>
              <w:t>高中及以下</w:t>
            </w:r>
          </w:p>
        </w:tc>
        <w:tc>
          <w:tcPr>
            <w:tcW w:w="4820" w:type="dxa"/>
            <w:tcBorders>
              <w:top w:val="single" w:color="auto" w:sz="2" w:space="0"/>
              <w:left w:val="single" w:color="auto" w:sz="2" w:space="0"/>
              <w:bottom w:val="single" w:color="auto" w:sz="2" w:space="0"/>
              <w:right w:val="single" w:color="auto" w:sz="2" w:space="0"/>
            </w:tcBorders>
            <w:vAlign w:val="center"/>
          </w:tcPr>
          <w:p w14:paraId="6DD74881">
            <w:pPr>
              <w:spacing w:before="0" w:after="0" w:line="240" w:lineRule="exact"/>
              <w:jc w:val="right"/>
              <w:rPr>
                <w:rFonts w:ascii="宋体" w:hAnsi="宋体" w:eastAsia="宋体" w:cs="宋体"/>
                <w:sz w:val="18"/>
                <w:szCs w:val="18"/>
              </w:rPr>
            </w:pPr>
            <w:r>
              <w:rPr>
                <w:rFonts w:ascii="宋体" w:hAnsi="宋体" w:eastAsia="宋体" w:cs="宋体"/>
                <w:sz w:val="18"/>
                <w:szCs w:val="18"/>
              </w:rPr>
              <w:t>170</w:t>
            </w:r>
          </w:p>
        </w:tc>
      </w:tr>
      <w:tr w14:paraId="3890B1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092B645">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4820" w:type="dxa"/>
            <w:tcBorders>
              <w:top w:val="single" w:color="auto" w:sz="2" w:space="0"/>
              <w:left w:val="single" w:color="auto" w:sz="2" w:space="0"/>
              <w:bottom w:val="single" w:color="auto" w:sz="2" w:space="0"/>
              <w:right w:val="single" w:color="auto" w:sz="2" w:space="0"/>
            </w:tcBorders>
            <w:vAlign w:val="center"/>
          </w:tcPr>
          <w:p w14:paraId="2F08CDF4">
            <w:pPr>
              <w:spacing w:before="0" w:after="0" w:line="240" w:lineRule="exact"/>
              <w:jc w:val="right"/>
              <w:rPr>
                <w:rFonts w:ascii="宋体" w:hAnsi="宋体" w:eastAsia="宋体" w:cs="宋体"/>
                <w:sz w:val="18"/>
                <w:szCs w:val="18"/>
              </w:rPr>
            </w:pPr>
            <w:r>
              <w:rPr>
                <w:rFonts w:ascii="宋体" w:hAnsi="宋体" w:eastAsia="宋体" w:cs="宋体"/>
                <w:sz w:val="18"/>
                <w:szCs w:val="18"/>
              </w:rPr>
              <w:t>760</w:t>
            </w:r>
          </w:p>
        </w:tc>
      </w:tr>
    </w:tbl>
    <w:p w14:paraId="77336F27">
      <w:pPr>
        <w:keepNext/>
        <w:keepLines/>
        <w:spacing w:before="300" w:after="300" w:line="280" w:lineRule="exact"/>
        <w:jc w:val="left"/>
        <w:outlineLvl w:val="2"/>
        <w:rPr>
          <w:rFonts w:ascii="宋体" w:hAnsi="宋体" w:eastAsia="宋体" w:cs="宋体"/>
          <w:b/>
          <w:bCs/>
          <w:sz w:val="21"/>
          <w:szCs w:val="21"/>
        </w:rPr>
      </w:pPr>
      <w:bookmarkStart w:id="79" w:name="_Toc988966"/>
      <w:r>
        <w:rPr>
          <w:rFonts w:ascii="宋体" w:hAnsi="宋体" w:eastAsia="宋体" w:cs="宋体"/>
          <w:b/>
          <w:bCs/>
          <w:sz w:val="21"/>
          <w:szCs w:val="21"/>
        </w:rPr>
        <w:t>2、薪酬政策</w:t>
      </w:r>
      <w:bookmarkEnd w:id="79"/>
    </w:p>
    <w:p w14:paraId="64A71734">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公司始终秉持薪酬与岗位价值相匹配的核心理念，通过科学的岗位价值评估体系，构建了以岗位为根基，员工绩效与能力为导向的激励机制。针对不同岗位序列，公司制定了精细化的薪酬等级体系，并在每个岗位职级内，依据员工的工作经验、技术能力与专业水平，确定个性化的薪酬标准。</w:t>
      </w:r>
    </w:p>
    <w:p w14:paraId="6B6B05E7">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为进一步吸引和留住核心骨干人才，公司设计了多元化的员工激励制度，推动公司持续健康发展。同时，公司还为员工提供交通、餐费、通讯等补贴及节日礼金，全方位调动员工的积极性与创造性。公司致力于将个人职业追求融入企业长远发展，确保有能力、为公司创造价值的员工获得丰厚回报，促进战略目标、业绩指标与员工发展的协同实现。</w:t>
      </w:r>
    </w:p>
    <w:p w14:paraId="719EBC0E">
      <w:pPr>
        <w:keepNext/>
        <w:keepLines/>
        <w:spacing w:before="300" w:after="300" w:line="280" w:lineRule="exact"/>
        <w:jc w:val="left"/>
        <w:outlineLvl w:val="2"/>
        <w:rPr>
          <w:rFonts w:ascii="宋体" w:hAnsi="宋体" w:eastAsia="宋体" w:cs="宋体"/>
          <w:b/>
          <w:bCs/>
          <w:sz w:val="21"/>
          <w:szCs w:val="21"/>
        </w:rPr>
      </w:pPr>
      <w:bookmarkStart w:id="80" w:name="_Toc988967"/>
      <w:r>
        <w:rPr>
          <w:rFonts w:ascii="宋体" w:hAnsi="宋体" w:eastAsia="宋体" w:cs="宋体"/>
          <w:b/>
          <w:bCs/>
          <w:sz w:val="21"/>
          <w:szCs w:val="21"/>
        </w:rPr>
        <w:t>3、培训计划</w:t>
      </w:r>
      <w:bookmarkEnd w:id="80"/>
    </w:p>
    <w:p w14:paraId="14354657">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作为企业核心战略的重要实践，公司始终秉持"人力资源是企业最宝贵的财富"理念，以系统化人才培养机制为抓手，持续推进组织能力建设。本年度重点围绕战略落地、文化传承与业务赋能三大维度，构建了多层次、立体化的人才培育体系。</w:t>
      </w:r>
    </w:p>
    <w:p w14:paraId="46E4940F">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广生堂学院作为战略性人才培养平台，本年度确立"战略助推器、文化传播站、铁军锻造营"三位一体定位，重点推进了战略解码能力建设、国际化视野培育、复合型人才锻造。此外，广生堂学院推进了知识体系建设，为打造组织智慧沉淀体系，持续进行讲师队伍建设、知识产品开发及经验传承机制，为战略目标实现提供了坚实的人才培养保障。后续将持续深化学习型组织建设，重点攻坚领导力发展体系与数字化学习平台建设，推动人力资本价值持续增值。</w:t>
      </w:r>
    </w:p>
    <w:p w14:paraId="050D823E">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2024年，公司锚定发展主线，构建分层知识赋能体系，通过战略解码工作坊、高管大讲堂、领导力精研班及沉浸式业务学习路径等模块化载体，实施精准化、场景化的知识传导工程，有效驱动组织能力与业务发展同频共振。截至报告期末，公司共开展培训活动494场，同比增加140场，培训时长合计2845.54小时，共计11352人次参加培训。从培训类别来看，GMP培训51次全年培训次数达226次，其次为技能培训98次、知识培训94次、专项培训40次、安全培训44次、新员工培训19次、管理培训13次。</w:t>
      </w:r>
    </w:p>
    <w:p w14:paraId="283DBB84">
      <w:pPr>
        <w:keepNext/>
        <w:keepLines/>
        <w:spacing w:before="300" w:after="300" w:line="280" w:lineRule="exact"/>
        <w:jc w:val="left"/>
        <w:outlineLvl w:val="2"/>
        <w:rPr>
          <w:rFonts w:ascii="宋体" w:hAnsi="宋体" w:eastAsia="宋体" w:cs="宋体"/>
          <w:b/>
          <w:bCs/>
          <w:sz w:val="21"/>
          <w:szCs w:val="21"/>
        </w:rPr>
      </w:pPr>
      <w:bookmarkStart w:id="81" w:name="_Toc988968"/>
      <w:r>
        <w:rPr>
          <w:rFonts w:ascii="宋体" w:hAnsi="宋体" w:eastAsia="宋体" w:cs="宋体"/>
          <w:b/>
          <w:bCs/>
          <w:sz w:val="21"/>
          <w:szCs w:val="21"/>
        </w:rPr>
        <w:t>4、劳务外包情况</w:t>
      </w:r>
      <w:bookmarkEnd w:id="81"/>
    </w:p>
    <w:p w14:paraId="1527616C">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049D653">
      <w:pPr>
        <w:keepNext/>
        <w:keepLines/>
        <w:spacing w:before="300" w:after="300" w:line="320" w:lineRule="exact"/>
        <w:jc w:val="left"/>
        <w:outlineLvl w:val="1"/>
        <w:rPr>
          <w:rFonts w:ascii="宋体" w:hAnsi="宋体" w:eastAsia="宋体" w:cs="宋体"/>
          <w:b/>
          <w:bCs/>
          <w:sz w:val="24"/>
          <w:szCs w:val="24"/>
        </w:rPr>
      </w:pPr>
      <w:bookmarkStart w:id="82" w:name="_Toc988969"/>
      <w:r>
        <w:rPr>
          <w:rFonts w:ascii="宋体" w:hAnsi="宋体" w:eastAsia="宋体" w:cs="宋体"/>
          <w:b/>
          <w:bCs/>
          <w:sz w:val="24"/>
          <w:szCs w:val="24"/>
        </w:rPr>
        <w:t>十二、公司利润分配及资本公积金转增股本情况</w:t>
      </w:r>
      <w:bookmarkEnd w:id="82"/>
    </w:p>
    <w:p w14:paraId="7EE6700E">
      <w:pPr>
        <w:spacing w:before="100" w:after="100" w:line="240" w:lineRule="exact"/>
        <w:jc w:val="left"/>
        <w:rPr>
          <w:rFonts w:ascii="宋体" w:hAnsi="宋体" w:eastAsia="宋体" w:cs="宋体"/>
          <w:sz w:val="18"/>
          <w:szCs w:val="18"/>
        </w:rPr>
      </w:pPr>
      <w:r>
        <w:rPr>
          <w:rFonts w:ascii="宋体" w:hAnsi="宋体" w:eastAsia="宋体" w:cs="宋体"/>
          <w:sz w:val="18"/>
          <w:szCs w:val="18"/>
        </w:rPr>
        <w:t>报告期内利润分配政策，特别是现金分红政策的制定、执行或调整情况</w:t>
      </w:r>
    </w:p>
    <w:p w14:paraId="2B849685">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09FC516B">
      <w:pPr>
        <w:pStyle w:val="2"/>
        <w:widowControl/>
        <w:spacing w:beforeAutospacing="0" w:afterAutospacing="0"/>
        <w:ind w:firstLine="360"/>
        <w:jc w:val="both"/>
        <w:rPr>
          <w:rFonts w:ascii="Calibri" w:hAnsi="Calibri" w:cs="Calibri"/>
          <w:sz w:val="21"/>
          <w:szCs w:val="21"/>
        </w:rPr>
      </w:pPr>
      <w:r>
        <w:rPr>
          <w:rFonts w:hint="eastAsia" w:ascii="宋体" w:hAnsi="宋体" w:cs="宋体"/>
          <w:sz w:val="18"/>
          <w:szCs w:val="18"/>
        </w:rPr>
        <w:t>2024年5月13日，公司2023年年度股东大会审议通过《关于2023年度利润分配预案的议案》：根据《公司章程》规定，并结合公司未来发展需求、经营情况和现金流量情况，公司2023年度不派发现金红利、不送红股、不以资本公积金转增股本，未分配利润将留存公司用于支持公司经营发展。</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557"/>
        <w:gridCol w:w="3083"/>
      </w:tblGrid>
      <w:tr w14:paraId="4FA6BA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42CA7E7">
            <w:pPr>
              <w:spacing w:before="40" w:after="40" w:line="240" w:lineRule="exact"/>
              <w:jc w:val="center"/>
              <w:rPr>
                <w:rFonts w:ascii="宋体" w:hAnsi="宋体" w:eastAsia="宋体" w:cs="宋体"/>
                <w:sz w:val="18"/>
                <w:szCs w:val="18"/>
              </w:rPr>
            </w:pPr>
            <w:r>
              <w:rPr>
                <w:rFonts w:ascii="宋体" w:hAnsi="宋体" w:eastAsia="宋体" w:cs="宋体"/>
                <w:sz w:val="18"/>
                <w:szCs w:val="18"/>
              </w:rPr>
              <w:t>现金分红政策的专项说明</w:t>
            </w:r>
          </w:p>
        </w:tc>
      </w:tr>
      <w:tr w14:paraId="37908D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557" w:type="dxa"/>
            <w:tcBorders>
              <w:top w:val="single" w:color="auto" w:sz="2" w:space="0"/>
              <w:left w:val="single" w:color="auto" w:sz="2" w:space="0"/>
              <w:bottom w:val="single" w:color="auto" w:sz="2" w:space="0"/>
              <w:right w:val="single" w:color="auto" w:sz="2" w:space="0"/>
            </w:tcBorders>
            <w:shd w:val="clear" w:color="auto" w:fill="D3D3D3"/>
            <w:vAlign w:val="center"/>
          </w:tcPr>
          <w:p w14:paraId="739A82CB">
            <w:pPr>
              <w:spacing w:before="40" w:after="40" w:line="240" w:lineRule="exact"/>
              <w:jc w:val="left"/>
              <w:rPr>
                <w:rFonts w:ascii="宋体" w:hAnsi="宋体" w:eastAsia="宋体" w:cs="宋体"/>
                <w:sz w:val="18"/>
                <w:szCs w:val="18"/>
              </w:rPr>
            </w:pPr>
            <w:r>
              <w:rPr>
                <w:rFonts w:ascii="宋体" w:hAnsi="宋体" w:eastAsia="宋体" w:cs="宋体"/>
                <w:sz w:val="18"/>
                <w:szCs w:val="18"/>
              </w:rPr>
              <w:t>是否符合公司章程的规定或股东大会决议的要求：</w:t>
            </w:r>
          </w:p>
        </w:tc>
        <w:tc>
          <w:tcPr>
            <w:tcW w:w="3083" w:type="dxa"/>
            <w:tcBorders>
              <w:top w:val="single" w:color="auto" w:sz="2" w:space="0"/>
              <w:left w:val="single" w:color="auto" w:sz="2" w:space="0"/>
              <w:bottom w:val="single" w:color="auto" w:sz="2" w:space="0"/>
              <w:right w:val="single" w:color="auto" w:sz="2" w:space="0"/>
            </w:tcBorders>
            <w:vAlign w:val="center"/>
          </w:tcPr>
          <w:p w14:paraId="08213DEA">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4E05C7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557" w:type="dxa"/>
            <w:tcBorders>
              <w:top w:val="single" w:color="auto" w:sz="2" w:space="0"/>
              <w:left w:val="single" w:color="auto" w:sz="2" w:space="0"/>
              <w:bottom w:val="single" w:color="auto" w:sz="2" w:space="0"/>
              <w:right w:val="single" w:color="auto" w:sz="2" w:space="0"/>
            </w:tcBorders>
            <w:shd w:val="clear" w:color="auto" w:fill="D3D3D3"/>
            <w:vAlign w:val="center"/>
          </w:tcPr>
          <w:p w14:paraId="694AEAB9">
            <w:pPr>
              <w:spacing w:before="40" w:after="40" w:line="240" w:lineRule="exact"/>
              <w:jc w:val="left"/>
              <w:rPr>
                <w:rFonts w:ascii="宋体" w:hAnsi="宋体" w:eastAsia="宋体" w:cs="宋体"/>
                <w:sz w:val="18"/>
                <w:szCs w:val="18"/>
              </w:rPr>
            </w:pPr>
            <w:r>
              <w:rPr>
                <w:rFonts w:ascii="宋体" w:hAnsi="宋体" w:eastAsia="宋体" w:cs="宋体"/>
                <w:sz w:val="18"/>
                <w:szCs w:val="18"/>
              </w:rPr>
              <w:t>分红标准和比例是否明确和清晰：</w:t>
            </w:r>
          </w:p>
        </w:tc>
        <w:tc>
          <w:tcPr>
            <w:tcW w:w="3083" w:type="dxa"/>
            <w:tcBorders>
              <w:top w:val="single" w:color="auto" w:sz="2" w:space="0"/>
              <w:left w:val="single" w:color="auto" w:sz="2" w:space="0"/>
              <w:bottom w:val="single" w:color="auto" w:sz="2" w:space="0"/>
              <w:right w:val="single" w:color="auto" w:sz="2" w:space="0"/>
            </w:tcBorders>
            <w:vAlign w:val="center"/>
          </w:tcPr>
          <w:p w14:paraId="271B03A2">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084920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557" w:type="dxa"/>
            <w:tcBorders>
              <w:top w:val="single" w:color="auto" w:sz="2" w:space="0"/>
              <w:left w:val="single" w:color="auto" w:sz="2" w:space="0"/>
              <w:bottom w:val="single" w:color="auto" w:sz="2" w:space="0"/>
              <w:right w:val="single" w:color="auto" w:sz="2" w:space="0"/>
            </w:tcBorders>
            <w:shd w:val="clear" w:color="auto" w:fill="D3D3D3"/>
            <w:vAlign w:val="center"/>
          </w:tcPr>
          <w:p w14:paraId="6437D85F">
            <w:pPr>
              <w:spacing w:before="40" w:after="40" w:line="240" w:lineRule="exact"/>
              <w:jc w:val="left"/>
              <w:rPr>
                <w:rFonts w:ascii="宋体" w:hAnsi="宋体" w:eastAsia="宋体" w:cs="宋体"/>
                <w:sz w:val="18"/>
                <w:szCs w:val="18"/>
              </w:rPr>
            </w:pPr>
            <w:r>
              <w:rPr>
                <w:rFonts w:ascii="宋体" w:hAnsi="宋体" w:eastAsia="宋体" w:cs="宋体"/>
                <w:sz w:val="18"/>
                <w:szCs w:val="18"/>
              </w:rPr>
              <w:t>相关的决策程序和机制是否完备：</w:t>
            </w:r>
          </w:p>
        </w:tc>
        <w:tc>
          <w:tcPr>
            <w:tcW w:w="3083" w:type="dxa"/>
            <w:tcBorders>
              <w:top w:val="single" w:color="auto" w:sz="2" w:space="0"/>
              <w:left w:val="single" w:color="auto" w:sz="2" w:space="0"/>
              <w:bottom w:val="single" w:color="auto" w:sz="2" w:space="0"/>
              <w:right w:val="single" w:color="auto" w:sz="2" w:space="0"/>
            </w:tcBorders>
            <w:vAlign w:val="center"/>
          </w:tcPr>
          <w:p w14:paraId="4B527CC3">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2EB12F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557" w:type="dxa"/>
            <w:tcBorders>
              <w:top w:val="single" w:color="auto" w:sz="2" w:space="0"/>
              <w:left w:val="single" w:color="auto" w:sz="2" w:space="0"/>
              <w:bottom w:val="single" w:color="auto" w:sz="2" w:space="0"/>
              <w:right w:val="single" w:color="auto" w:sz="2" w:space="0"/>
            </w:tcBorders>
            <w:shd w:val="clear" w:color="auto" w:fill="D3D3D3"/>
            <w:vAlign w:val="center"/>
          </w:tcPr>
          <w:p w14:paraId="75B6835C">
            <w:pPr>
              <w:spacing w:before="40" w:after="40" w:line="240" w:lineRule="exact"/>
              <w:jc w:val="left"/>
              <w:rPr>
                <w:rFonts w:ascii="宋体" w:hAnsi="宋体" w:eastAsia="宋体" w:cs="宋体"/>
                <w:sz w:val="18"/>
                <w:szCs w:val="18"/>
              </w:rPr>
            </w:pPr>
            <w:r>
              <w:rPr>
                <w:rFonts w:ascii="宋体" w:hAnsi="宋体" w:eastAsia="宋体" w:cs="宋体"/>
                <w:sz w:val="18"/>
                <w:szCs w:val="18"/>
              </w:rPr>
              <w:t>独立董事是否履职尽责并发挥了应有的作用：</w:t>
            </w:r>
          </w:p>
        </w:tc>
        <w:tc>
          <w:tcPr>
            <w:tcW w:w="3083" w:type="dxa"/>
            <w:tcBorders>
              <w:top w:val="single" w:color="auto" w:sz="2" w:space="0"/>
              <w:left w:val="single" w:color="auto" w:sz="2" w:space="0"/>
              <w:bottom w:val="single" w:color="auto" w:sz="2" w:space="0"/>
              <w:right w:val="single" w:color="auto" w:sz="2" w:space="0"/>
            </w:tcBorders>
            <w:vAlign w:val="center"/>
          </w:tcPr>
          <w:p w14:paraId="09B0A67E">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594B98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557" w:type="dxa"/>
            <w:tcBorders>
              <w:top w:val="single" w:color="auto" w:sz="2" w:space="0"/>
              <w:left w:val="single" w:color="auto" w:sz="2" w:space="0"/>
              <w:bottom w:val="single" w:color="auto" w:sz="2" w:space="0"/>
              <w:right w:val="single" w:color="auto" w:sz="2" w:space="0"/>
            </w:tcBorders>
            <w:shd w:val="clear" w:color="auto" w:fill="D3D3D3"/>
            <w:vAlign w:val="center"/>
          </w:tcPr>
          <w:p w14:paraId="3186CDD3">
            <w:pPr>
              <w:spacing w:before="40" w:after="40" w:line="240" w:lineRule="exact"/>
              <w:jc w:val="left"/>
              <w:rPr>
                <w:rFonts w:ascii="宋体" w:hAnsi="宋体" w:eastAsia="宋体" w:cs="宋体"/>
                <w:sz w:val="18"/>
                <w:szCs w:val="18"/>
              </w:rPr>
            </w:pPr>
            <w:r>
              <w:rPr>
                <w:rFonts w:ascii="宋体" w:hAnsi="宋体" w:eastAsia="宋体" w:cs="宋体"/>
                <w:sz w:val="18"/>
                <w:szCs w:val="18"/>
              </w:rPr>
              <w:t>公司未进行现金分红的，应当披露具体原因，以及下一步为增强投资者回报水平拟采取的举措：</w:t>
            </w:r>
          </w:p>
        </w:tc>
        <w:tc>
          <w:tcPr>
            <w:tcW w:w="3083" w:type="dxa"/>
            <w:tcBorders>
              <w:top w:val="single" w:color="auto" w:sz="2" w:space="0"/>
              <w:left w:val="single" w:color="auto" w:sz="2" w:space="0"/>
              <w:bottom w:val="single" w:color="auto" w:sz="2" w:space="0"/>
              <w:right w:val="single" w:color="auto" w:sz="2" w:space="0"/>
            </w:tcBorders>
            <w:vAlign w:val="center"/>
          </w:tcPr>
          <w:p w14:paraId="5B0D55AD">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1C3D59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557" w:type="dxa"/>
            <w:tcBorders>
              <w:top w:val="single" w:color="auto" w:sz="2" w:space="0"/>
              <w:left w:val="single" w:color="auto" w:sz="2" w:space="0"/>
              <w:bottom w:val="single" w:color="auto" w:sz="2" w:space="0"/>
              <w:right w:val="single" w:color="auto" w:sz="2" w:space="0"/>
            </w:tcBorders>
            <w:shd w:val="clear" w:color="auto" w:fill="D3D3D3"/>
            <w:vAlign w:val="center"/>
          </w:tcPr>
          <w:p w14:paraId="1253EEBC">
            <w:pPr>
              <w:spacing w:before="40" w:after="40" w:line="240" w:lineRule="exact"/>
              <w:jc w:val="left"/>
              <w:rPr>
                <w:rFonts w:ascii="宋体" w:hAnsi="宋体" w:eastAsia="宋体" w:cs="宋体"/>
                <w:sz w:val="18"/>
                <w:szCs w:val="18"/>
              </w:rPr>
            </w:pPr>
            <w:r>
              <w:rPr>
                <w:rFonts w:ascii="宋体" w:hAnsi="宋体" w:eastAsia="宋体" w:cs="宋体"/>
                <w:sz w:val="18"/>
                <w:szCs w:val="18"/>
              </w:rPr>
              <w:t>中小股东是否有充分表达意见和诉求的机会，其合法权益是否得到了充分保护：</w:t>
            </w:r>
          </w:p>
        </w:tc>
        <w:tc>
          <w:tcPr>
            <w:tcW w:w="3083" w:type="dxa"/>
            <w:tcBorders>
              <w:top w:val="single" w:color="auto" w:sz="2" w:space="0"/>
              <w:left w:val="single" w:color="auto" w:sz="2" w:space="0"/>
              <w:bottom w:val="single" w:color="auto" w:sz="2" w:space="0"/>
              <w:right w:val="single" w:color="auto" w:sz="2" w:space="0"/>
            </w:tcBorders>
            <w:vAlign w:val="center"/>
          </w:tcPr>
          <w:p w14:paraId="4360A284">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505AD7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557" w:type="dxa"/>
            <w:tcBorders>
              <w:top w:val="single" w:color="auto" w:sz="2" w:space="0"/>
              <w:left w:val="single" w:color="auto" w:sz="2" w:space="0"/>
              <w:bottom w:val="single" w:color="auto" w:sz="2" w:space="0"/>
              <w:right w:val="single" w:color="auto" w:sz="2" w:space="0"/>
            </w:tcBorders>
            <w:shd w:val="clear" w:color="auto" w:fill="D3D3D3"/>
            <w:vAlign w:val="center"/>
          </w:tcPr>
          <w:p w14:paraId="4A5F2700">
            <w:pPr>
              <w:spacing w:before="40" w:after="40" w:line="240" w:lineRule="exact"/>
              <w:jc w:val="left"/>
              <w:rPr>
                <w:rFonts w:ascii="宋体" w:hAnsi="宋体" w:eastAsia="宋体" w:cs="宋体"/>
                <w:sz w:val="18"/>
                <w:szCs w:val="18"/>
              </w:rPr>
            </w:pPr>
            <w:r>
              <w:rPr>
                <w:rFonts w:ascii="宋体" w:hAnsi="宋体" w:eastAsia="宋体" w:cs="宋体"/>
                <w:sz w:val="18"/>
                <w:szCs w:val="18"/>
              </w:rPr>
              <w:t>现金分红政策进行调整或变更的，条件及程序是否合规、透明：</w:t>
            </w:r>
          </w:p>
        </w:tc>
        <w:tc>
          <w:tcPr>
            <w:tcW w:w="3083" w:type="dxa"/>
            <w:tcBorders>
              <w:top w:val="single" w:color="auto" w:sz="2" w:space="0"/>
              <w:left w:val="single" w:color="auto" w:sz="2" w:space="0"/>
              <w:bottom w:val="single" w:color="auto" w:sz="2" w:space="0"/>
              <w:right w:val="single" w:color="auto" w:sz="2" w:space="0"/>
            </w:tcBorders>
            <w:vAlign w:val="center"/>
          </w:tcPr>
          <w:p w14:paraId="4AC554DD">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bl>
    <w:p w14:paraId="30D73DCD">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公司报告期利润分配预案及资本公积金转增股本预案与公司章程和分红管理办法等的相关规定一致</w:t>
      </w:r>
    </w:p>
    <w:p w14:paraId="789FA383">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 □不适用</w:t>
      </w:r>
    </w:p>
    <w:p w14:paraId="2BE4096C">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公司报告期利润分配预案及资本公积金转增股本预案符合公司章程等的相关规定。</w:t>
      </w:r>
    </w:p>
    <w:p w14:paraId="1847511C">
      <w:pPr>
        <w:spacing w:before="0" w:after="0" w:line="240" w:lineRule="exact"/>
        <w:jc w:val="left"/>
        <w:rPr>
          <w:rFonts w:ascii="宋体" w:hAnsi="宋体" w:eastAsia="宋体" w:cs="宋体"/>
          <w:sz w:val="18"/>
          <w:szCs w:val="18"/>
        </w:rPr>
      </w:pPr>
      <w:r>
        <w:rPr>
          <w:rFonts w:ascii="宋体" w:hAnsi="宋体" w:eastAsia="宋体" w:cs="宋体"/>
          <w:sz w:val="18"/>
          <w:szCs w:val="18"/>
        </w:rPr>
        <w:t>本年度利润分配及资本公积金转增股本情况</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40045A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9452E3B">
            <w:pPr>
              <w:spacing w:before="40" w:after="40" w:line="240" w:lineRule="exact"/>
              <w:jc w:val="left"/>
              <w:rPr>
                <w:rFonts w:ascii="宋体" w:hAnsi="宋体" w:eastAsia="宋体" w:cs="宋体"/>
                <w:sz w:val="18"/>
                <w:szCs w:val="18"/>
              </w:rPr>
            </w:pPr>
            <w:r>
              <w:rPr>
                <w:rFonts w:ascii="宋体" w:hAnsi="宋体" w:eastAsia="宋体" w:cs="宋体"/>
                <w:sz w:val="18"/>
                <w:szCs w:val="18"/>
              </w:rPr>
              <w:t>分配预案的股本基数（股）</w:t>
            </w:r>
          </w:p>
        </w:tc>
        <w:tc>
          <w:tcPr>
            <w:tcW w:w="4820" w:type="dxa"/>
            <w:tcBorders>
              <w:top w:val="single" w:color="auto" w:sz="2" w:space="0"/>
              <w:left w:val="single" w:color="auto" w:sz="2" w:space="0"/>
              <w:bottom w:val="single" w:color="auto" w:sz="2" w:space="0"/>
              <w:right w:val="single" w:color="auto" w:sz="2" w:space="0"/>
            </w:tcBorders>
            <w:vAlign w:val="center"/>
          </w:tcPr>
          <w:p w14:paraId="02C8B7FA">
            <w:pPr>
              <w:spacing w:before="0" w:after="0" w:line="240" w:lineRule="exact"/>
              <w:jc w:val="right"/>
              <w:rPr>
                <w:rFonts w:ascii="宋体" w:hAnsi="宋体" w:eastAsia="宋体" w:cs="宋体"/>
                <w:sz w:val="18"/>
                <w:szCs w:val="18"/>
              </w:rPr>
            </w:pPr>
            <w:r>
              <w:rPr>
                <w:rFonts w:ascii="宋体" w:hAnsi="宋体" w:eastAsia="宋体" w:cs="宋体"/>
                <w:sz w:val="18"/>
                <w:szCs w:val="18"/>
              </w:rPr>
              <w:t>159,267,000</w:t>
            </w:r>
          </w:p>
        </w:tc>
      </w:tr>
      <w:tr w14:paraId="167F76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D70A3C1">
            <w:pPr>
              <w:spacing w:before="40" w:after="40" w:line="240" w:lineRule="exact"/>
              <w:jc w:val="left"/>
              <w:rPr>
                <w:rFonts w:ascii="宋体" w:hAnsi="宋体" w:eastAsia="宋体" w:cs="宋体"/>
                <w:sz w:val="18"/>
                <w:szCs w:val="18"/>
              </w:rPr>
            </w:pPr>
            <w:r>
              <w:rPr>
                <w:rFonts w:ascii="宋体" w:hAnsi="宋体" w:eastAsia="宋体" w:cs="宋体"/>
                <w:sz w:val="18"/>
                <w:szCs w:val="18"/>
              </w:rPr>
              <w:t>现金分红金额（元）（含税）</w:t>
            </w:r>
          </w:p>
        </w:tc>
        <w:tc>
          <w:tcPr>
            <w:tcW w:w="4820" w:type="dxa"/>
            <w:tcBorders>
              <w:top w:val="single" w:color="auto" w:sz="2" w:space="0"/>
              <w:left w:val="single" w:color="auto" w:sz="2" w:space="0"/>
              <w:bottom w:val="single" w:color="auto" w:sz="2" w:space="0"/>
              <w:right w:val="single" w:color="auto" w:sz="2" w:space="0"/>
            </w:tcBorders>
            <w:vAlign w:val="center"/>
          </w:tcPr>
          <w:p w14:paraId="0D9D2CBE">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r>
      <w:tr w14:paraId="41488F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3A0EE5B">
            <w:pPr>
              <w:spacing w:before="40" w:after="40" w:line="240" w:lineRule="exact"/>
              <w:jc w:val="left"/>
              <w:rPr>
                <w:rFonts w:ascii="宋体" w:hAnsi="宋体" w:eastAsia="宋体" w:cs="宋体"/>
                <w:sz w:val="18"/>
                <w:szCs w:val="18"/>
              </w:rPr>
            </w:pPr>
            <w:r>
              <w:rPr>
                <w:rFonts w:ascii="宋体" w:hAnsi="宋体" w:eastAsia="宋体" w:cs="宋体"/>
                <w:sz w:val="18"/>
                <w:szCs w:val="18"/>
              </w:rPr>
              <w:t>以其他方式（如回购股份）现金分红金额（元）</w:t>
            </w:r>
          </w:p>
        </w:tc>
        <w:tc>
          <w:tcPr>
            <w:tcW w:w="4820" w:type="dxa"/>
            <w:tcBorders>
              <w:top w:val="single" w:color="auto" w:sz="2" w:space="0"/>
              <w:left w:val="single" w:color="auto" w:sz="2" w:space="0"/>
              <w:bottom w:val="single" w:color="auto" w:sz="2" w:space="0"/>
              <w:right w:val="single" w:color="auto" w:sz="2" w:space="0"/>
            </w:tcBorders>
            <w:vAlign w:val="center"/>
          </w:tcPr>
          <w:p w14:paraId="2DF72478">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r>
      <w:tr w14:paraId="52A3EA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A2FCD14">
            <w:pPr>
              <w:spacing w:before="40" w:after="40" w:line="240" w:lineRule="exact"/>
              <w:jc w:val="left"/>
              <w:rPr>
                <w:rFonts w:ascii="宋体" w:hAnsi="宋体" w:eastAsia="宋体" w:cs="宋体"/>
                <w:sz w:val="18"/>
                <w:szCs w:val="18"/>
              </w:rPr>
            </w:pPr>
            <w:r>
              <w:rPr>
                <w:rFonts w:ascii="宋体" w:hAnsi="宋体" w:eastAsia="宋体" w:cs="宋体"/>
                <w:sz w:val="18"/>
                <w:szCs w:val="18"/>
              </w:rPr>
              <w:t>现金分红总额（含其他方式）（元）</w:t>
            </w:r>
          </w:p>
        </w:tc>
        <w:tc>
          <w:tcPr>
            <w:tcW w:w="4820" w:type="dxa"/>
            <w:tcBorders>
              <w:top w:val="single" w:color="auto" w:sz="2" w:space="0"/>
              <w:left w:val="single" w:color="auto" w:sz="2" w:space="0"/>
              <w:bottom w:val="single" w:color="auto" w:sz="2" w:space="0"/>
              <w:right w:val="single" w:color="auto" w:sz="2" w:space="0"/>
            </w:tcBorders>
            <w:vAlign w:val="center"/>
          </w:tcPr>
          <w:p w14:paraId="58F3548C">
            <w:pPr>
              <w:spacing w:before="0" w:after="0" w:line="240" w:lineRule="exact"/>
              <w:jc w:val="left"/>
              <w:rPr>
                <w:rFonts w:ascii="宋体" w:hAnsi="宋体" w:eastAsia="宋体" w:cs="宋体"/>
                <w:sz w:val="18"/>
                <w:szCs w:val="18"/>
              </w:rPr>
            </w:pPr>
            <w:r>
              <w:rPr>
                <w:rFonts w:ascii="宋体" w:hAnsi="宋体" w:eastAsia="宋体" w:cs="宋体"/>
                <w:sz w:val="18"/>
                <w:szCs w:val="18"/>
              </w:rPr>
              <w:t>0</w:t>
            </w:r>
          </w:p>
        </w:tc>
      </w:tr>
      <w:tr w14:paraId="5649A5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131D1ED">
            <w:pPr>
              <w:spacing w:before="40" w:after="40" w:line="240" w:lineRule="exact"/>
              <w:jc w:val="left"/>
              <w:rPr>
                <w:rFonts w:ascii="宋体" w:hAnsi="宋体" w:eastAsia="宋体" w:cs="宋体"/>
                <w:sz w:val="18"/>
                <w:szCs w:val="18"/>
              </w:rPr>
            </w:pPr>
            <w:r>
              <w:rPr>
                <w:rFonts w:ascii="宋体" w:hAnsi="宋体" w:eastAsia="宋体" w:cs="宋体"/>
                <w:sz w:val="18"/>
                <w:szCs w:val="18"/>
              </w:rPr>
              <w:t>可分配利润（元）</w:t>
            </w:r>
          </w:p>
        </w:tc>
        <w:tc>
          <w:tcPr>
            <w:tcW w:w="4820" w:type="dxa"/>
            <w:tcBorders>
              <w:top w:val="single" w:color="auto" w:sz="2" w:space="0"/>
              <w:left w:val="single" w:color="auto" w:sz="2" w:space="0"/>
              <w:bottom w:val="single" w:color="auto" w:sz="2" w:space="0"/>
              <w:right w:val="single" w:color="auto" w:sz="2" w:space="0"/>
            </w:tcBorders>
            <w:vAlign w:val="center"/>
          </w:tcPr>
          <w:p w14:paraId="4D93E299">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r>
      <w:tr w14:paraId="5E9292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C478138">
            <w:pPr>
              <w:spacing w:before="40" w:after="40" w:line="240" w:lineRule="exact"/>
              <w:jc w:val="left"/>
              <w:rPr>
                <w:rFonts w:ascii="宋体" w:hAnsi="宋体" w:eastAsia="宋体" w:cs="宋体"/>
                <w:sz w:val="18"/>
                <w:szCs w:val="18"/>
              </w:rPr>
            </w:pPr>
            <w:r>
              <w:rPr>
                <w:rFonts w:ascii="宋体" w:hAnsi="宋体" w:eastAsia="宋体" w:cs="宋体"/>
                <w:sz w:val="18"/>
                <w:szCs w:val="18"/>
              </w:rPr>
              <w:t>现金分红总额（含其他方式）占利润分配总额的比例</w:t>
            </w:r>
          </w:p>
        </w:tc>
        <w:tc>
          <w:tcPr>
            <w:tcW w:w="4820" w:type="dxa"/>
            <w:tcBorders>
              <w:top w:val="single" w:color="auto" w:sz="2" w:space="0"/>
              <w:left w:val="single" w:color="auto" w:sz="2" w:space="0"/>
              <w:bottom w:val="single" w:color="auto" w:sz="2" w:space="0"/>
              <w:right w:val="single" w:color="auto" w:sz="2" w:space="0"/>
            </w:tcBorders>
            <w:vAlign w:val="center"/>
          </w:tcPr>
          <w:p w14:paraId="4B75B746">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r>
      <w:tr w14:paraId="31794F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3E3F812">
            <w:pPr>
              <w:spacing w:before="40" w:after="40" w:line="240" w:lineRule="exact"/>
              <w:jc w:val="center"/>
              <w:rPr>
                <w:rFonts w:ascii="宋体" w:hAnsi="宋体" w:eastAsia="宋体" w:cs="宋体"/>
                <w:sz w:val="18"/>
                <w:szCs w:val="18"/>
              </w:rPr>
            </w:pPr>
            <w:r>
              <w:rPr>
                <w:rFonts w:ascii="宋体" w:hAnsi="宋体" w:eastAsia="宋体" w:cs="宋体"/>
                <w:sz w:val="18"/>
                <w:szCs w:val="18"/>
              </w:rPr>
              <w:t>本次现金分红情况</w:t>
            </w:r>
          </w:p>
        </w:tc>
      </w:tr>
      <w:tr w14:paraId="596233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vAlign w:val="center"/>
          </w:tcPr>
          <w:p w14:paraId="4C29D03F">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r>
      <w:tr w14:paraId="034FA5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4A8FCBF">
            <w:pPr>
              <w:spacing w:before="40" w:after="40" w:line="240" w:lineRule="exact"/>
              <w:jc w:val="center"/>
              <w:rPr>
                <w:rFonts w:ascii="宋体" w:hAnsi="宋体" w:eastAsia="宋体" w:cs="宋体"/>
                <w:sz w:val="18"/>
                <w:szCs w:val="18"/>
              </w:rPr>
            </w:pPr>
            <w:r>
              <w:rPr>
                <w:rFonts w:ascii="宋体" w:hAnsi="宋体" w:eastAsia="宋体" w:cs="宋体"/>
                <w:sz w:val="18"/>
                <w:szCs w:val="18"/>
              </w:rPr>
              <w:t>利润分配或资本公积金转增预案的详细情况说明</w:t>
            </w:r>
          </w:p>
        </w:tc>
      </w:tr>
      <w:tr w14:paraId="6783A8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vAlign w:val="center"/>
          </w:tcPr>
          <w:p w14:paraId="14B8C0ED">
            <w:pPr>
              <w:spacing w:before="0" w:after="0" w:line="240" w:lineRule="exact"/>
              <w:jc w:val="left"/>
              <w:rPr>
                <w:rFonts w:ascii="宋体" w:hAnsi="宋体" w:eastAsia="宋体" w:cs="宋体"/>
                <w:sz w:val="18"/>
                <w:szCs w:val="18"/>
              </w:rPr>
            </w:pPr>
            <w:r>
              <w:rPr>
                <w:rFonts w:ascii="宋体" w:hAnsi="宋体" w:eastAsia="宋体" w:cs="宋体"/>
                <w:sz w:val="18"/>
                <w:szCs w:val="18"/>
              </w:rPr>
              <w:t>2025年4月16日，公司第五届董事会第八次会议审议通过了《关于2024年度利润分配预案的议案》：拟定2024年度不派发现金红利、不送红股、不以资本公积金转增股本，未分配利润将留存公司用于支持公司经营发展。尚需提交2024年年度股东大会审议。</w:t>
            </w:r>
          </w:p>
        </w:tc>
      </w:tr>
    </w:tbl>
    <w:p w14:paraId="6C9C7178">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公司报告期内盈利且母公司可供股东分配利润为正但未提出现金红利分配预案</w:t>
      </w:r>
    </w:p>
    <w:p w14:paraId="407D615D">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99CF05B">
      <w:pPr>
        <w:keepNext/>
        <w:keepLines/>
        <w:spacing w:before="300" w:after="300" w:line="320" w:lineRule="exact"/>
        <w:jc w:val="left"/>
        <w:outlineLvl w:val="1"/>
        <w:rPr>
          <w:rFonts w:ascii="宋体" w:hAnsi="宋体" w:eastAsia="宋体" w:cs="宋体"/>
          <w:b/>
          <w:bCs/>
          <w:sz w:val="24"/>
          <w:szCs w:val="24"/>
        </w:rPr>
      </w:pPr>
      <w:bookmarkStart w:id="83" w:name="_Toc988970"/>
      <w:r>
        <w:rPr>
          <w:rFonts w:ascii="宋体" w:hAnsi="宋体" w:eastAsia="宋体" w:cs="宋体"/>
          <w:b/>
          <w:bCs/>
          <w:sz w:val="24"/>
          <w:szCs w:val="24"/>
        </w:rPr>
        <w:t>十三、公司股权激励计划、员工持股计划或其他员工激励措施的实施情况</w:t>
      </w:r>
      <w:bookmarkEnd w:id="83"/>
    </w:p>
    <w:p w14:paraId="4180095D">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CA43DC2">
      <w:pPr>
        <w:spacing w:before="40" w:after="40" w:line="240" w:lineRule="exact"/>
        <w:jc w:val="left"/>
        <w:rPr>
          <w:rFonts w:ascii="宋体" w:hAnsi="宋体" w:eastAsia="宋体" w:cs="宋体"/>
          <w:sz w:val="18"/>
          <w:szCs w:val="18"/>
        </w:rPr>
      </w:pPr>
      <w:r>
        <w:rPr>
          <w:rFonts w:ascii="宋体" w:hAnsi="宋体" w:eastAsia="宋体" w:cs="宋体"/>
          <w:sz w:val="18"/>
          <w:szCs w:val="18"/>
        </w:rPr>
        <w:t>公司报告期无股权激励计划、员工持股计划或其他员工激励措施及其实施情况。</w:t>
      </w:r>
    </w:p>
    <w:p w14:paraId="0752A476">
      <w:pPr>
        <w:keepNext/>
        <w:keepLines/>
        <w:spacing w:before="300" w:after="300" w:line="320" w:lineRule="exact"/>
        <w:jc w:val="left"/>
        <w:outlineLvl w:val="1"/>
        <w:rPr>
          <w:rFonts w:ascii="宋体" w:hAnsi="宋体" w:eastAsia="宋体" w:cs="宋体"/>
          <w:b/>
          <w:bCs/>
          <w:sz w:val="24"/>
          <w:szCs w:val="24"/>
        </w:rPr>
      </w:pPr>
      <w:bookmarkStart w:id="84" w:name="_Toc988971"/>
      <w:r>
        <w:rPr>
          <w:rFonts w:ascii="宋体" w:hAnsi="宋体" w:eastAsia="宋体" w:cs="宋体"/>
          <w:b/>
          <w:bCs/>
          <w:sz w:val="24"/>
          <w:szCs w:val="24"/>
        </w:rPr>
        <w:t>十四、报告期内的内部控制制度建设及实施情况</w:t>
      </w:r>
      <w:bookmarkEnd w:id="84"/>
    </w:p>
    <w:p w14:paraId="31598BBB">
      <w:pPr>
        <w:keepNext/>
        <w:keepLines/>
        <w:spacing w:before="300" w:after="300" w:line="280" w:lineRule="exact"/>
        <w:jc w:val="left"/>
        <w:outlineLvl w:val="2"/>
        <w:rPr>
          <w:rFonts w:ascii="宋体" w:hAnsi="宋体" w:eastAsia="宋体" w:cs="宋体"/>
          <w:b/>
          <w:bCs/>
          <w:sz w:val="21"/>
          <w:szCs w:val="21"/>
        </w:rPr>
      </w:pPr>
      <w:bookmarkStart w:id="85" w:name="_Toc988972"/>
      <w:r>
        <w:rPr>
          <w:rFonts w:ascii="宋体" w:hAnsi="宋体" w:eastAsia="宋体" w:cs="宋体"/>
          <w:b/>
          <w:bCs/>
          <w:sz w:val="21"/>
          <w:szCs w:val="21"/>
        </w:rPr>
        <w:t>1、内部控制建设及实施情况</w:t>
      </w:r>
      <w:bookmarkEnd w:id="85"/>
    </w:p>
    <w:p w14:paraId="13FEF214">
      <w:pPr>
        <w:pStyle w:val="2"/>
        <w:keepNext w:val="0"/>
        <w:keepLines w:val="0"/>
        <w:widowControl/>
        <w:suppressLineNumbers w:val="0"/>
        <w:spacing w:before="0" w:beforeAutospacing="0" w:after="0" w:afterAutospacing="0"/>
        <w:ind w:left="0" w:right="0" w:firstLine="360"/>
        <w:jc w:val="left"/>
        <w:rPr>
          <w:rFonts w:ascii="Calibri" w:hAnsi="Calibri" w:cs="Calibri"/>
          <w:sz w:val="21"/>
          <w:szCs w:val="21"/>
        </w:rPr>
      </w:pPr>
      <w:r>
        <w:rPr>
          <w:rFonts w:hint="eastAsia" w:ascii="宋体" w:hAnsi="宋体" w:eastAsia="宋体" w:cs="宋体"/>
          <w:sz w:val="18"/>
          <w:szCs w:val="18"/>
        </w:rPr>
        <w:t>公司根据《企业内部控制基本规范》及其配套指引和其他内部控制监管要求的规定，建立一套设计科学、简洁实用、运行有效的内部控制体系，坚持以风险导向为原则，对内部控制进行日常监督和专项监督，并根据实际情况对内部控制体系进行持续的改进及优化，以适应不断变化的外部环境及内部管理的要求。</w:t>
      </w:r>
    </w:p>
    <w:p w14:paraId="38485257">
      <w:pPr>
        <w:pStyle w:val="2"/>
        <w:keepNext w:val="0"/>
        <w:keepLines w:val="0"/>
        <w:widowControl/>
        <w:suppressLineNumbers w:val="0"/>
        <w:spacing w:before="0" w:beforeAutospacing="0" w:after="0" w:afterAutospacing="0"/>
        <w:ind w:left="0" w:right="0" w:firstLine="360"/>
        <w:jc w:val="left"/>
        <w:rPr>
          <w:rFonts w:hint="default" w:ascii="Calibri" w:hAnsi="Calibri" w:cs="Calibri"/>
          <w:sz w:val="21"/>
          <w:szCs w:val="21"/>
        </w:rPr>
      </w:pPr>
      <w:r>
        <w:rPr>
          <w:rFonts w:hint="eastAsia" w:ascii="宋体" w:hAnsi="宋体" w:eastAsia="宋体" w:cs="宋体"/>
          <w:sz w:val="18"/>
          <w:szCs w:val="18"/>
        </w:rPr>
        <w:t>公司董事会审计委员会及审计部共同组成风险内控管理组织体系。董事会审计委员会负责监督内部审计制度及其实施、检查公司内控制度。审计部负责对公司内部控制制度的建立和实施、公司财务信息的真实性和完整性等情况进行检查监督。审计部保持独立性，不置于财务部门的领导之下，不与财务部门合署办公。审计部对董事会审计委员会负责，向审计委员会报告工作。</w:t>
      </w:r>
    </w:p>
    <w:p w14:paraId="7236881E">
      <w:pPr>
        <w:pStyle w:val="2"/>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18"/>
          <w:szCs w:val="18"/>
        </w:rPr>
        <w:t>根据公司内部控制重大缺陷的认定情况，公司于2024年度在所有重大方面保持了按照《企业内部控制基本规范》及相关规定建立的与财务报表相关的有效的内部控制。</w:t>
      </w:r>
    </w:p>
    <w:p w14:paraId="256EA366">
      <w:pPr>
        <w:keepNext/>
        <w:keepLines/>
        <w:spacing w:before="300" w:after="300" w:line="280" w:lineRule="exact"/>
        <w:jc w:val="left"/>
        <w:outlineLvl w:val="2"/>
        <w:rPr>
          <w:rFonts w:ascii="宋体" w:hAnsi="宋体" w:eastAsia="宋体" w:cs="宋体"/>
          <w:b/>
          <w:bCs/>
          <w:sz w:val="21"/>
          <w:szCs w:val="21"/>
        </w:rPr>
      </w:pPr>
      <w:bookmarkStart w:id="86" w:name="_Toc988973"/>
      <w:r>
        <w:rPr>
          <w:rFonts w:ascii="宋体" w:hAnsi="宋体" w:eastAsia="宋体" w:cs="宋体"/>
          <w:b/>
          <w:bCs/>
          <w:sz w:val="21"/>
          <w:szCs w:val="21"/>
        </w:rPr>
        <w:t>2、报告期内发现的内部控制重大缺陷的具体情况</w:t>
      </w:r>
      <w:bookmarkEnd w:id="86"/>
    </w:p>
    <w:p w14:paraId="301C435F">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539F858D">
      <w:pPr>
        <w:keepNext/>
        <w:keepLines/>
        <w:spacing w:before="300" w:after="300" w:line="320" w:lineRule="exact"/>
        <w:jc w:val="left"/>
        <w:outlineLvl w:val="1"/>
        <w:rPr>
          <w:rFonts w:ascii="宋体" w:hAnsi="宋体" w:eastAsia="宋体" w:cs="宋体"/>
          <w:b/>
          <w:bCs/>
          <w:sz w:val="24"/>
          <w:szCs w:val="24"/>
        </w:rPr>
      </w:pPr>
      <w:bookmarkStart w:id="87" w:name="_Toc988974"/>
      <w:r>
        <w:rPr>
          <w:rFonts w:ascii="宋体" w:hAnsi="宋体" w:eastAsia="宋体" w:cs="宋体"/>
          <w:b/>
          <w:bCs/>
          <w:sz w:val="24"/>
          <w:szCs w:val="24"/>
        </w:rPr>
        <w:t>十五、公司报告期内对子公司的管理控制情况</w:t>
      </w:r>
      <w:bookmarkEnd w:id="87"/>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6F9A81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00AB747">
            <w:pPr>
              <w:spacing w:before="40" w:after="40" w:line="240" w:lineRule="exact"/>
              <w:jc w:val="center"/>
              <w:rPr>
                <w:rFonts w:ascii="宋体" w:hAnsi="宋体" w:eastAsia="宋体" w:cs="宋体"/>
                <w:sz w:val="18"/>
                <w:szCs w:val="18"/>
              </w:rPr>
            </w:pPr>
            <w:r>
              <w:rPr>
                <w:rFonts w:ascii="宋体" w:hAnsi="宋体" w:eastAsia="宋体" w:cs="宋体"/>
                <w:sz w:val="18"/>
                <w:szCs w:val="18"/>
              </w:rPr>
              <w:t>公司名称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41195BD">
            <w:pPr>
              <w:spacing w:before="40" w:after="40" w:line="240" w:lineRule="exact"/>
              <w:jc w:val="center"/>
              <w:rPr>
                <w:rFonts w:ascii="宋体" w:hAnsi="宋体" w:eastAsia="宋体" w:cs="宋体"/>
                <w:sz w:val="18"/>
                <w:szCs w:val="18"/>
              </w:rPr>
            </w:pPr>
            <w:r>
              <w:rPr>
                <w:rFonts w:ascii="宋体" w:hAnsi="宋体" w:eastAsia="宋体" w:cs="宋体"/>
                <w:sz w:val="18"/>
                <w:szCs w:val="18"/>
              </w:rPr>
              <w:t>整合计划</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0174925">
            <w:pPr>
              <w:spacing w:before="40" w:after="40" w:line="240" w:lineRule="exact"/>
              <w:jc w:val="center"/>
              <w:rPr>
                <w:rFonts w:ascii="宋体" w:hAnsi="宋体" w:eastAsia="宋体" w:cs="宋体"/>
                <w:sz w:val="18"/>
                <w:szCs w:val="18"/>
              </w:rPr>
            </w:pPr>
            <w:r>
              <w:rPr>
                <w:rFonts w:ascii="宋体" w:hAnsi="宋体" w:eastAsia="宋体" w:cs="宋体"/>
                <w:sz w:val="18"/>
                <w:szCs w:val="18"/>
              </w:rPr>
              <w:t>整合进展</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A538EB0">
            <w:pPr>
              <w:spacing w:before="40" w:after="40" w:line="240" w:lineRule="exact"/>
              <w:jc w:val="center"/>
              <w:rPr>
                <w:rFonts w:ascii="宋体" w:hAnsi="宋体" w:eastAsia="宋体" w:cs="宋体"/>
                <w:sz w:val="18"/>
                <w:szCs w:val="18"/>
              </w:rPr>
            </w:pPr>
            <w:r>
              <w:rPr>
                <w:rFonts w:ascii="宋体" w:hAnsi="宋体" w:eastAsia="宋体" w:cs="宋体"/>
                <w:sz w:val="18"/>
                <w:szCs w:val="18"/>
              </w:rPr>
              <w:t>整合中遇到的问题</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A12B238">
            <w:pPr>
              <w:spacing w:before="40" w:after="40" w:line="240" w:lineRule="exact"/>
              <w:jc w:val="center"/>
              <w:rPr>
                <w:rFonts w:ascii="宋体" w:hAnsi="宋体" w:eastAsia="宋体" w:cs="宋体"/>
                <w:sz w:val="18"/>
                <w:szCs w:val="18"/>
              </w:rPr>
            </w:pPr>
            <w:r>
              <w:rPr>
                <w:rFonts w:ascii="宋体" w:hAnsi="宋体" w:eastAsia="宋体" w:cs="宋体"/>
                <w:sz w:val="18"/>
                <w:szCs w:val="18"/>
              </w:rPr>
              <w:t>已采取的解决措施</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5BB1AE6">
            <w:pPr>
              <w:spacing w:before="40" w:after="40" w:line="240" w:lineRule="exact"/>
              <w:jc w:val="center"/>
              <w:rPr>
                <w:rFonts w:ascii="宋体" w:hAnsi="宋体" w:eastAsia="宋体" w:cs="宋体"/>
                <w:sz w:val="18"/>
                <w:szCs w:val="18"/>
              </w:rPr>
            </w:pPr>
            <w:r>
              <w:rPr>
                <w:rFonts w:ascii="宋体" w:hAnsi="宋体" w:eastAsia="宋体" w:cs="宋体"/>
                <w:sz w:val="18"/>
                <w:szCs w:val="18"/>
              </w:rPr>
              <w:t>解决进展</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190BF8D">
            <w:pPr>
              <w:spacing w:before="40" w:after="40" w:line="240" w:lineRule="exact"/>
              <w:jc w:val="center"/>
              <w:rPr>
                <w:rFonts w:ascii="宋体" w:hAnsi="宋体" w:eastAsia="宋体" w:cs="宋体"/>
                <w:sz w:val="18"/>
                <w:szCs w:val="18"/>
              </w:rPr>
            </w:pPr>
            <w:r>
              <w:rPr>
                <w:rFonts w:ascii="宋体" w:hAnsi="宋体" w:eastAsia="宋体" w:cs="宋体"/>
                <w:sz w:val="18"/>
                <w:szCs w:val="18"/>
              </w:rPr>
              <w:t>后续解决计划</w:t>
            </w:r>
          </w:p>
        </w:tc>
      </w:tr>
      <w:tr w14:paraId="7D9256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1A897C20">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377" w:type="dxa"/>
            <w:tcBorders>
              <w:top w:val="single" w:color="auto" w:sz="2" w:space="0"/>
              <w:left w:val="single" w:color="auto" w:sz="2" w:space="0"/>
              <w:bottom w:val="single" w:color="auto" w:sz="2" w:space="0"/>
              <w:right w:val="single" w:color="auto" w:sz="2" w:space="0"/>
            </w:tcBorders>
            <w:vAlign w:val="center"/>
          </w:tcPr>
          <w:p w14:paraId="4FE813F3">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377" w:type="dxa"/>
            <w:tcBorders>
              <w:top w:val="single" w:color="auto" w:sz="2" w:space="0"/>
              <w:left w:val="single" w:color="auto" w:sz="2" w:space="0"/>
              <w:bottom w:val="single" w:color="auto" w:sz="2" w:space="0"/>
              <w:right w:val="single" w:color="auto" w:sz="2" w:space="0"/>
            </w:tcBorders>
            <w:vAlign w:val="center"/>
          </w:tcPr>
          <w:p w14:paraId="769BFD25">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377" w:type="dxa"/>
            <w:tcBorders>
              <w:top w:val="single" w:color="auto" w:sz="2" w:space="0"/>
              <w:left w:val="single" w:color="auto" w:sz="2" w:space="0"/>
              <w:bottom w:val="single" w:color="auto" w:sz="2" w:space="0"/>
              <w:right w:val="single" w:color="auto" w:sz="2" w:space="0"/>
            </w:tcBorders>
            <w:vAlign w:val="center"/>
          </w:tcPr>
          <w:p w14:paraId="262CE8A4">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377" w:type="dxa"/>
            <w:tcBorders>
              <w:top w:val="single" w:color="auto" w:sz="2" w:space="0"/>
              <w:left w:val="single" w:color="auto" w:sz="2" w:space="0"/>
              <w:bottom w:val="single" w:color="auto" w:sz="2" w:space="0"/>
              <w:right w:val="single" w:color="auto" w:sz="2" w:space="0"/>
            </w:tcBorders>
            <w:vAlign w:val="center"/>
          </w:tcPr>
          <w:p w14:paraId="4167A798">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377" w:type="dxa"/>
            <w:tcBorders>
              <w:top w:val="single" w:color="auto" w:sz="2" w:space="0"/>
              <w:left w:val="single" w:color="auto" w:sz="2" w:space="0"/>
              <w:bottom w:val="single" w:color="auto" w:sz="2" w:space="0"/>
              <w:right w:val="single" w:color="auto" w:sz="2" w:space="0"/>
            </w:tcBorders>
            <w:vAlign w:val="center"/>
          </w:tcPr>
          <w:p w14:paraId="1B4E8973">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377" w:type="dxa"/>
            <w:tcBorders>
              <w:top w:val="single" w:color="auto" w:sz="2" w:space="0"/>
              <w:left w:val="single" w:color="auto" w:sz="2" w:space="0"/>
              <w:bottom w:val="single" w:color="auto" w:sz="2" w:space="0"/>
              <w:right w:val="single" w:color="auto" w:sz="2" w:space="0"/>
            </w:tcBorders>
            <w:vAlign w:val="center"/>
          </w:tcPr>
          <w:p w14:paraId="17E50082">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bl>
    <w:p w14:paraId="436F07B5">
      <w:pPr>
        <w:keepNext/>
        <w:keepLines/>
        <w:spacing w:before="300" w:after="300" w:line="320" w:lineRule="exact"/>
        <w:jc w:val="left"/>
        <w:outlineLvl w:val="1"/>
        <w:rPr>
          <w:rFonts w:ascii="宋体" w:hAnsi="宋体" w:eastAsia="宋体" w:cs="宋体"/>
          <w:b/>
          <w:bCs/>
          <w:sz w:val="24"/>
          <w:szCs w:val="24"/>
        </w:rPr>
      </w:pPr>
      <w:bookmarkStart w:id="88" w:name="_Toc988975"/>
      <w:r>
        <w:rPr>
          <w:rFonts w:ascii="宋体" w:hAnsi="宋体" w:eastAsia="宋体" w:cs="宋体"/>
          <w:b/>
          <w:bCs/>
          <w:sz w:val="24"/>
          <w:szCs w:val="24"/>
        </w:rPr>
        <w:t>十六、内部控制评价报告及内部控制审计报告</w:t>
      </w:r>
      <w:bookmarkEnd w:id="88"/>
    </w:p>
    <w:p w14:paraId="4206E5D7">
      <w:pPr>
        <w:keepNext/>
        <w:keepLines/>
        <w:spacing w:before="300" w:after="300" w:line="280" w:lineRule="exact"/>
        <w:jc w:val="left"/>
        <w:outlineLvl w:val="2"/>
        <w:rPr>
          <w:rFonts w:ascii="宋体" w:hAnsi="宋体" w:eastAsia="宋体" w:cs="宋体"/>
          <w:b/>
          <w:bCs/>
          <w:sz w:val="21"/>
          <w:szCs w:val="21"/>
        </w:rPr>
      </w:pPr>
      <w:bookmarkStart w:id="89" w:name="_Toc988976"/>
      <w:r>
        <w:rPr>
          <w:rFonts w:ascii="宋体" w:hAnsi="宋体" w:eastAsia="宋体" w:cs="宋体"/>
          <w:b/>
          <w:bCs/>
          <w:sz w:val="21"/>
          <w:szCs w:val="21"/>
        </w:rPr>
        <w:t>1、内控评价报告</w:t>
      </w:r>
      <w:bookmarkEnd w:id="89"/>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56FBB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7E56A8">
            <w:pPr>
              <w:spacing w:before="40" w:after="40" w:line="240" w:lineRule="exact"/>
              <w:jc w:val="left"/>
              <w:rPr>
                <w:rFonts w:ascii="宋体" w:hAnsi="宋体" w:eastAsia="宋体" w:cs="宋体"/>
                <w:sz w:val="18"/>
                <w:szCs w:val="18"/>
              </w:rPr>
            </w:pPr>
            <w:r>
              <w:rPr>
                <w:rFonts w:ascii="宋体" w:hAnsi="宋体" w:eastAsia="宋体" w:cs="宋体"/>
                <w:sz w:val="18"/>
                <w:szCs w:val="18"/>
              </w:rPr>
              <w:t>内部控制评价报告全文披露日期</w:t>
            </w:r>
          </w:p>
        </w:tc>
        <w:tc>
          <w:tcPr>
            <w:tcW w:w="6426" w:type="dxa"/>
            <w:gridSpan w:val="2"/>
            <w:tcBorders>
              <w:top w:val="single" w:color="auto" w:sz="2" w:space="0"/>
              <w:left w:val="single" w:color="auto" w:sz="2" w:space="0"/>
              <w:bottom w:val="single" w:color="auto" w:sz="2" w:space="0"/>
              <w:right w:val="single" w:color="auto" w:sz="2" w:space="0"/>
            </w:tcBorders>
            <w:vAlign w:val="center"/>
          </w:tcPr>
          <w:p w14:paraId="324A9797">
            <w:pPr>
              <w:spacing w:before="0" w:after="0" w:line="240" w:lineRule="exact"/>
              <w:jc w:val="left"/>
              <w:rPr>
                <w:rFonts w:ascii="宋体" w:hAnsi="宋体" w:eastAsia="宋体" w:cs="宋体"/>
                <w:sz w:val="18"/>
                <w:szCs w:val="18"/>
              </w:rPr>
            </w:pPr>
            <w:r>
              <w:rPr>
                <w:rFonts w:ascii="宋体" w:hAnsi="宋体" w:eastAsia="宋体" w:cs="宋体"/>
                <w:sz w:val="18"/>
                <w:szCs w:val="18"/>
              </w:rPr>
              <w:t>2025年04月18日</w:t>
            </w:r>
          </w:p>
        </w:tc>
      </w:tr>
      <w:tr w14:paraId="73F077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18891CF">
            <w:pPr>
              <w:spacing w:before="40" w:after="40" w:line="240" w:lineRule="exact"/>
              <w:jc w:val="left"/>
              <w:rPr>
                <w:rFonts w:ascii="宋体" w:hAnsi="宋体" w:eastAsia="宋体" w:cs="宋体"/>
                <w:sz w:val="18"/>
                <w:szCs w:val="18"/>
              </w:rPr>
            </w:pPr>
            <w:r>
              <w:rPr>
                <w:rFonts w:ascii="宋体" w:hAnsi="宋体" w:eastAsia="宋体" w:cs="宋体"/>
                <w:sz w:val="18"/>
                <w:szCs w:val="18"/>
              </w:rPr>
              <w:t>内部控制评价报告全文披露索引</w:t>
            </w:r>
          </w:p>
        </w:tc>
        <w:tc>
          <w:tcPr>
            <w:tcW w:w="6426" w:type="dxa"/>
            <w:gridSpan w:val="2"/>
            <w:tcBorders>
              <w:top w:val="single" w:color="auto" w:sz="2" w:space="0"/>
              <w:left w:val="single" w:color="auto" w:sz="2" w:space="0"/>
              <w:bottom w:val="single" w:color="auto" w:sz="2" w:space="0"/>
              <w:right w:val="single" w:color="auto" w:sz="2" w:space="0"/>
            </w:tcBorders>
            <w:vAlign w:val="center"/>
          </w:tcPr>
          <w:p w14:paraId="12B93500">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w:t>
            </w:r>
          </w:p>
        </w:tc>
      </w:tr>
      <w:tr w14:paraId="161D1C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682061C">
            <w:pPr>
              <w:spacing w:before="40" w:after="40" w:line="240" w:lineRule="exact"/>
              <w:jc w:val="left"/>
              <w:rPr>
                <w:rFonts w:ascii="宋体" w:hAnsi="宋体" w:eastAsia="宋体" w:cs="宋体"/>
                <w:sz w:val="18"/>
                <w:szCs w:val="18"/>
              </w:rPr>
            </w:pPr>
            <w:r>
              <w:rPr>
                <w:rFonts w:ascii="宋体" w:hAnsi="宋体" w:eastAsia="宋体" w:cs="宋体"/>
                <w:sz w:val="18"/>
                <w:szCs w:val="18"/>
              </w:rPr>
              <w:t>纳入评价范围单位资产总额占公司合并财务报表资产总额的比例</w:t>
            </w:r>
          </w:p>
        </w:tc>
        <w:tc>
          <w:tcPr>
            <w:tcW w:w="6426" w:type="dxa"/>
            <w:gridSpan w:val="2"/>
            <w:tcBorders>
              <w:top w:val="single" w:color="auto" w:sz="2" w:space="0"/>
              <w:left w:val="single" w:color="auto" w:sz="2" w:space="0"/>
              <w:bottom w:val="single" w:color="auto" w:sz="2" w:space="0"/>
              <w:right w:val="single" w:color="auto" w:sz="2" w:space="0"/>
            </w:tcBorders>
            <w:vAlign w:val="center"/>
          </w:tcPr>
          <w:p w14:paraId="651A37C8">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r>
      <w:tr w14:paraId="43C5A5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97696CE">
            <w:pPr>
              <w:spacing w:before="40" w:after="40" w:line="240" w:lineRule="exact"/>
              <w:jc w:val="left"/>
              <w:rPr>
                <w:rFonts w:ascii="宋体" w:hAnsi="宋体" w:eastAsia="宋体" w:cs="宋体"/>
                <w:sz w:val="18"/>
                <w:szCs w:val="18"/>
              </w:rPr>
            </w:pPr>
            <w:r>
              <w:rPr>
                <w:rFonts w:ascii="宋体" w:hAnsi="宋体" w:eastAsia="宋体" w:cs="宋体"/>
                <w:sz w:val="18"/>
                <w:szCs w:val="18"/>
              </w:rPr>
              <w:t>纳入评价范围单位营业收入占公司合并财务报表营业收入的比例</w:t>
            </w:r>
          </w:p>
        </w:tc>
        <w:tc>
          <w:tcPr>
            <w:tcW w:w="6426" w:type="dxa"/>
            <w:gridSpan w:val="2"/>
            <w:tcBorders>
              <w:top w:val="single" w:color="auto" w:sz="2" w:space="0"/>
              <w:left w:val="single" w:color="auto" w:sz="2" w:space="0"/>
              <w:bottom w:val="single" w:color="auto" w:sz="2" w:space="0"/>
              <w:right w:val="single" w:color="auto" w:sz="2" w:space="0"/>
            </w:tcBorders>
            <w:vAlign w:val="center"/>
          </w:tcPr>
          <w:p w14:paraId="7C4555E5">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r>
      <w:tr w14:paraId="2CE98F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1D163CD4">
            <w:pPr>
              <w:spacing w:before="40" w:after="40" w:line="240" w:lineRule="exact"/>
              <w:jc w:val="center"/>
              <w:rPr>
                <w:rFonts w:ascii="宋体" w:hAnsi="宋体" w:eastAsia="宋体" w:cs="宋体"/>
                <w:sz w:val="18"/>
                <w:szCs w:val="18"/>
              </w:rPr>
            </w:pPr>
            <w:r>
              <w:rPr>
                <w:rFonts w:ascii="宋体" w:hAnsi="宋体" w:eastAsia="宋体" w:cs="宋体"/>
                <w:sz w:val="18"/>
                <w:szCs w:val="18"/>
              </w:rPr>
              <w:t>缺陷认定标准</w:t>
            </w:r>
          </w:p>
        </w:tc>
      </w:tr>
      <w:tr w14:paraId="2E32B2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C2C0D4C">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0DEA1B">
            <w:pPr>
              <w:spacing w:before="40" w:after="40" w:line="240" w:lineRule="exact"/>
              <w:jc w:val="center"/>
              <w:rPr>
                <w:rFonts w:ascii="宋体" w:hAnsi="宋体" w:eastAsia="宋体" w:cs="宋体"/>
                <w:sz w:val="18"/>
                <w:szCs w:val="18"/>
              </w:rPr>
            </w:pPr>
            <w:r>
              <w:rPr>
                <w:rFonts w:ascii="宋体" w:hAnsi="宋体" w:eastAsia="宋体" w:cs="宋体"/>
                <w:sz w:val="18"/>
                <w:szCs w:val="18"/>
              </w:rPr>
              <w:t>财务报告</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760A82A">
            <w:pPr>
              <w:spacing w:before="40" w:after="40" w:line="240" w:lineRule="exact"/>
              <w:jc w:val="center"/>
              <w:rPr>
                <w:rFonts w:ascii="宋体" w:hAnsi="宋体" w:eastAsia="宋体" w:cs="宋体"/>
                <w:sz w:val="18"/>
                <w:szCs w:val="18"/>
              </w:rPr>
            </w:pPr>
            <w:r>
              <w:rPr>
                <w:rFonts w:ascii="宋体" w:hAnsi="宋体" w:eastAsia="宋体" w:cs="宋体"/>
                <w:sz w:val="18"/>
                <w:szCs w:val="18"/>
              </w:rPr>
              <w:t>非财务报告</w:t>
            </w:r>
          </w:p>
        </w:tc>
      </w:tr>
      <w:tr w14:paraId="24183B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0049E30">
            <w:pPr>
              <w:spacing w:before="40" w:after="40" w:line="240" w:lineRule="exact"/>
              <w:jc w:val="left"/>
              <w:rPr>
                <w:rFonts w:ascii="宋体" w:hAnsi="宋体" w:eastAsia="宋体" w:cs="宋体"/>
                <w:sz w:val="18"/>
                <w:szCs w:val="18"/>
              </w:rPr>
            </w:pPr>
            <w:r>
              <w:rPr>
                <w:rFonts w:ascii="宋体" w:hAnsi="宋体" w:eastAsia="宋体" w:cs="宋体"/>
                <w:sz w:val="18"/>
                <w:szCs w:val="18"/>
              </w:rPr>
              <w:t>定性标准</w:t>
            </w:r>
          </w:p>
        </w:tc>
        <w:tc>
          <w:tcPr>
            <w:tcW w:w="3213" w:type="dxa"/>
            <w:tcBorders>
              <w:top w:val="single" w:color="auto" w:sz="2" w:space="0"/>
              <w:left w:val="single" w:color="auto" w:sz="2" w:space="0"/>
              <w:bottom w:val="single" w:color="auto" w:sz="2" w:space="0"/>
              <w:right w:val="single" w:color="auto" w:sz="2" w:space="0"/>
            </w:tcBorders>
            <w:vAlign w:val="center"/>
          </w:tcPr>
          <w:p w14:paraId="529FCCA8">
            <w:pPr>
              <w:spacing w:before="0" w:after="0" w:line="240" w:lineRule="exact"/>
              <w:jc w:val="left"/>
              <w:rPr>
                <w:rFonts w:ascii="宋体" w:hAnsi="宋体" w:eastAsia="宋体" w:cs="宋体"/>
                <w:sz w:val="18"/>
                <w:szCs w:val="18"/>
              </w:rPr>
            </w:pPr>
            <w:r>
              <w:rPr>
                <w:rFonts w:ascii="宋体" w:hAnsi="宋体" w:eastAsia="宋体" w:cs="宋体"/>
                <w:sz w:val="18"/>
                <w:szCs w:val="18"/>
              </w:rPr>
              <w:t>（1）重大缺陷：董事、监事、和高级管理人员舞弊；内部控制环境失效；对已签发公告的财务报告进行错报更正；注册会计师发现的但未被内部控制识别的当期财务报告中的重大错报；审计委员会以及内部审计部门对财务报告内部控制监督无效；会计差错金额直接影响盈亏性质；监管部门责令公司对以前年度财务报告存在的差错进行改正。</w:t>
            </w:r>
          </w:p>
          <w:p w14:paraId="407E6403">
            <w:pPr>
              <w:spacing w:before="0" w:after="0" w:line="240" w:lineRule="exact"/>
              <w:jc w:val="left"/>
              <w:rPr>
                <w:rFonts w:ascii="宋体" w:hAnsi="宋体" w:eastAsia="宋体" w:cs="宋体"/>
                <w:sz w:val="18"/>
                <w:szCs w:val="18"/>
              </w:rPr>
            </w:pPr>
            <w:r>
              <w:rPr>
                <w:rFonts w:ascii="宋体" w:hAnsi="宋体" w:eastAsia="宋体" w:cs="宋体"/>
                <w:sz w:val="18"/>
                <w:szCs w:val="18"/>
              </w:rPr>
              <w:t>（2）重要缺陷：未依照公认会计准则选择和应用会计政策；未建立反舞弊程序和控制措施；对于非常规或特殊交易的账务处理没有建立相应的控制机制或没有实施且没有相应的补偿性控制；对于期末财务报告过程的控制存在一项或多项缺陷且不能合理保证编制的财务报表达到真实、准确、完整的目标。</w:t>
            </w:r>
          </w:p>
          <w:p w14:paraId="4655381F">
            <w:pPr>
              <w:spacing w:before="0" w:after="0" w:line="240" w:lineRule="exact"/>
              <w:jc w:val="left"/>
              <w:rPr>
                <w:rFonts w:ascii="宋体" w:hAnsi="宋体" w:eastAsia="宋体" w:cs="宋体"/>
                <w:sz w:val="18"/>
                <w:szCs w:val="18"/>
              </w:rPr>
            </w:pPr>
            <w:r>
              <w:rPr>
                <w:rFonts w:ascii="宋体" w:hAnsi="宋体" w:eastAsia="宋体" w:cs="宋体"/>
                <w:sz w:val="18"/>
                <w:szCs w:val="18"/>
              </w:rPr>
              <w:t>（3）一般缺陷：除重大缺陷、重要缺陷外的其他不会对公司产生重大、重要影响的局部性普通缺陷。</w:t>
            </w:r>
          </w:p>
        </w:tc>
        <w:tc>
          <w:tcPr>
            <w:tcW w:w="3213" w:type="dxa"/>
            <w:tcBorders>
              <w:top w:val="single" w:color="auto" w:sz="2" w:space="0"/>
              <w:left w:val="single" w:color="auto" w:sz="2" w:space="0"/>
              <w:bottom w:val="single" w:color="auto" w:sz="2" w:space="0"/>
              <w:right w:val="single" w:color="auto" w:sz="2" w:space="0"/>
            </w:tcBorders>
            <w:vAlign w:val="center"/>
          </w:tcPr>
          <w:p w14:paraId="4142A86E">
            <w:pPr>
              <w:spacing w:before="0" w:after="0" w:line="240" w:lineRule="exact"/>
              <w:jc w:val="left"/>
              <w:rPr>
                <w:rFonts w:ascii="宋体" w:hAnsi="宋体" w:eastAsia="宋体" w:cs="宋体"/>
                <w:sz w:val="18"/>
                <w:szCs w:val="18"/>
              </w:rPr>
            </w:pPr>
            <w:r>
              <w:rPr>
                <w:rFonts w:ascii="宋体" w:hAnsi="宋体" w:eastAsia="宋体" w:cs="宋体"/>
                <w:sz w:val="18"/>
                <w:szCs w:val="18"/>
              </w:rPr>
              <w:t>（1）重大缺陷：决策程序导致重大失误；重要业务缺乏制度控制或系统性失效，且缺乏有效的补偿机制；中高级管理人员和高级技术人员流失严重；内部控制重大缺陷未及时有效整改；其他可能对公司产生重大负面影响的缺陷。</w:t>
            </w:r>
          </w:p>
          <w:p w14:paraId="159701BA">
            <w:pPr>
              <w:spacing w:before="0" w:after="0" w:line="240" w:lineRule="exact"/>
              <w:jc w:val="left"/>
              <w:rPr>
                <w:rFonts w:ascii="宋体" w:hAnsi="宋体" w:eastAsia="宋体" w:cs="宋体"/>
                <w:sz w:val="18"/>
                <w:szCs w:val="18"/>
              </w:rPr>
            </w:pPr>
            <w:r>
              <w:rPr>
                <w:rFonts w:ascii="宋体" w:hAnsi="宋体" w:eastAsia="宋体" w:cs="宋体"/>
                <w:sz w:val="18"/>
                <w:szCs w:val="18"/>
              </w:rPr>
              <w:t>（2）重要缺陷：决策程序导致一般失误；重要业务控制制度存在缺陷；关键岗位业务人员流失严重；内部控制重要缺陷未及时有效整改；其他可能对公司产生较大负面影响的缺陷。</w:t>
            </w:r>
          </w:p>
          <w:p w14:paraId="63403BE6">
            <w:pPr>
              <w:spacing w:before="0" w:after="0" w:line="240" w:lineRule="exact"/>
              <w:jc w:val="left"/>
              <w:rPr>
                <w:rFonts w:ascii="宋体" w:hAnsi="宋体" w:eastAsia="宋体" w:cs="宋体"/>
                <w:sz w:val="18"/>
                <w:szCs w:val="18"/>
              </w:rPr>
            </w:pPr>
            <w:r>
              <w:rPr>
                <w:rFonts w:ascii="宋体" w:hAnsi="宋体" w:eastAsia="宋体" w:cs="宋体"/>
                <w:sz w:val="18"/>
                <w:szCs w:val="18"/>
              </w:rPr>
              <w:t>（3）一般缺陷：决策程序效率不高；一般业务制度控制存在缺陷；一般岗位人员流失严重；内部控制一般缺陷未及时有效整改。</w:t>
            </w:r>
          </w:p>
        </w:tc>
      </w:tr>
      <w:tr w14:paraId="063118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200004">
            <w:pPr>
              <w:spacing w:before="40" w:after="40" w:line="240" w:lineRule="exact"/>
              <w:jc w:val="left"/>
              <w:rPr>
                <w:rFonts w:ascii="宋体" w:hAnsi="宋体" w:eastAsia="宋体" w:cs="宋体"/>
                <w:sz w:val="18"/>
                <w:szCs w:val="18"/>
              </w:rPr>
            </w:pPr>
            <w:r>
              <w:rPr>
                <w:rFonts w:ascii="宋体" w:hAnsi="宋体" w:eastAsia="宋体" w:cs="宋体"/>
                <w:sz w:val="18"/>
                <w:szCs w:val="18"/>
              </w:rPr>
              <w:t>定量标准</w:t>
            </w:r>
          </w:p>
        </w:tc>
        <w:tc>
          <w:tcPr>
            <w:tcW w:w="3213" w:type="dxa"/>
            <w:tcBorders>
              <w:top w:val="single" w:color="auto" w:sz="2" w:space="0"/>
              <w:left w:val="single" w:color="auto" w:sz="2" w:space="0"/>
              <w:bottom w:val="single" w:color="auto" w:sz="2" w:space="0"/>
              <w:right w:val="single" w:color="auto" w:sz="2" w:space="0"/>
            </w:tcBorders>
            <w:vAlign w:val="center"/>
          </w:tcPr>
          <w:p w14:paraId="19C99475">
            <w:pPr>
              <w:spacing w:before="0" w:after="0" w:line="240" w:lineRule="exact"/>
              <w:jc w:val="left"/>
              <w:rPr>
                <w:rFonts w:ascii="宋体" w:hAnsi="宋体" w:eastAsia="宋体" w:cs="宋体"/>
                <w:sz w:val="18"/>
                <w:szCs w:val="18"/>
              </w:rPr>
            </w:pPr>
            <w:r>
              <w:rPr>
                <w:rFonts w:ascii="宋体" w:hAnsi="宋体" w:eastAsia="宋体" w:cs="宋体"/>
                <w:sz w:val="18"/>
                <w:szCs w:val="18"/>
              </w:rPr>
              <w:t>公司以来自经常性业务的税前利润为判断财务报告错报（含漏报）重要性定量标准，具体如下：</w:t>
            </w:r>
          </w:p>
          <w:p w14:paraId="68D2C18F">
            <w:pPr>
              <w:spacing w:before="0" w:after="0" w:line="240" w:lineRule="exact"/>
              <w:jc w:val="left"/>
              <w:rPr>
                <w:rFonts w:ascii="宋体" w:hAnsi="宋体" w:eastAsia="宋体" w:cs="宋体"/>
                <w:sz w:val="18"/>
                <w:szCs w:val="18"/>
              </w:rPr>
            </w:pPr>
            <w:r>
              <w:rPr>
                <w:rFonts w:ascii="宋体" w:hAnsi="宋体" w:eastAsia="宋体" w:cs="宋体"/>
                <w:sz w:val="18"/>
                <w:szCs w:val="18"/>
              </w:rPr>
              <w:t>重大缺陷：错报≥税前利润5%。</w:t>
            </w:r>
          </w:p>
          <w:p w14:paraId="704C7366">
            <w:pPr>
              <w:spacing w:before="0" w:after="0" w:line="240" w:lineRule="exact"/>
              <w:jc w:val="left"/>
              <w:rPr>
                <w:rFonts w:ascii="宋体" w:hAnsi="宋体" w:eastAsia="宋体" w:cs="宋体"/>
                <w:sz w:val="18"/>
                <w:szCs w:val="18"/>
              </w:rPr>
            </w:pPr>
            <w:r>
              <w:rPr>
                <w:rFonts w:ascii="宋体" w:hAnsi="宋体" w:eastAsia="宋体" w:cs="宋体"/>
                <w:sz w:val="18"/>
                <w:szCs w:val="18"/>
              </w:rPr>
              <w:t>重要缺陷：税前利润2%≤错报＜税前利润5%。</w:t>
            </w:r>
          </w:p>
          <w:p w14:paraId="59A7076D">
            <w:pPr>
              <w:spacing w:before="0" w:after="0" w:line="240" w:lineRule="exact"/>
              <w:jc w:val="left"/>
              <w:rPr>
                <w:rFonts w:ascii="宋体" w:hAnsi="宋体" w:eastAsia="宋体" w:cs="宋体"/>
                <w:sz w:val="18"/>
                <w:szCs w:val="18"/>
              </w:rPr>
            </w:pPr>
            <w:r>
              <w:rPr>
                <w:rFonts w:ascii="宋体" w:hAnsi="宋体" w:eastAsia="宋体" w:cs="宋体"/>
                <w:sz w:val="18"/>
                <w:szCs w:val="18"/>
              </w:rPr>
              <w:t>一般缺陷：错报＜税前利润2%。</w:t>
            </w:r>
          </w:p>
        </w:tc>
        <w:tc>
          <w:tcPr>
            <w:tcW w:w="3213" w:type="dxa"/>
            <w:tcBorders>
              <w:top w:val="single" w:color="auto" w:sz="2" w:space="0"/>
              <w:left w:val="single" w:color="auto" w:sz="2" w:space="0"/>
              <w:bottom w:val="single" w:color="auto" w:sz="2" w:space="0"/>
              <w:right w:val="single" w:color="auto" w:sz="2" w:space="0"/>
            </w:tcBorders>
            <w:vAlign w:val="center"/>
          </w:tcPr>
          <w:p w14:paraId="22402283">
            <w:pPr>
              <w:spacing w:before="0" w:after="0" w:line="240" w:lineRule="exact"/>
              <w:jc w:val="left"/>
              <w:rPr>
                <w:rFonts w:ascii="宋体" w:hAnsi="宋体" w:eastAsia="宋体" w:cs="宋体"/>
                <w:sz w:val="18"/>
                <w:szCs w:val="18"/>
              </w:rPr>
            </w:pPr>
            <w:r>
              <w:rPr>
                <w:rFonts w:ascii="宋体" w:hAnsi="宋体" w:eastAsia="宋体" w:cs="宋体"/>
                <w:sz w:val="18"/>
                <w:szCs w:val="18"/>
              </w:rPr>
              <w:t>公司根据缺陷可能造成直接财产损失的绝对金额确定重要性标准，具体如下：</w:t>
            </w:r>
          </w:p>
          <w:p w14:paraId="299B9A17">
            <w:pPr>
              <w:spacing w:before="0" w:after="0" w:line="240" w:lineRule="exact"/>
              <w:jc w:val="left"/>
              <w:rPr>
                <w:rFonts w:ascii="宋体" w:hAnsi="宋体" w:eastAsia="宋体" w:cs="宋体"/>
                <w:sz w:val="18"/>
                <w:szCs w:val="18"/>
              </w:rPr>
            </w:pPr>
            <w:r>
              <w:rPr>
                <w:rFonts w:ascii="宋体" w:hAnsi="宋体" w:eastAsia="宋体" w:cs="宋体"/>
                <w:sz w:val="18"/>
                <w:szCs w:val="18"/>
              </w:rPr>
              <w:t>重大缺陷：损失≥税前利润5%。</w:t>
            </w:r>
          </w:p>
          <w:p w14:paraId="72B49ADC">
            <w:pPr>
              <w:spacing w:before="0" w:after="0" w:line="240" w:lineRule="exact"/>
              <w:jc w:val="left"/>
              <w:rPr>
                <w:rFonts w:ascii="宋体" w:hAnsi="宋体" w:eastAsia="宋体" w:cs="宋体"/>
                <w:sz w:val="18"/>
                <w:szCs w:val="18"/>
              </w:rPr>
            </w:pPr>
            <w:r>
              <w:rPr>
                <w:rFonts w:ascii="宋体" w:hAnsi="宋体" w:eastAsia="宋体" w:cs="宋体"/>
                <w:sz w:val="18"/>
                <w:szCs w:val="18"/>
              </w:rPr>
              <w:t>重要缺陷：税前利润2%≤损失＜税前利润5%。</w:t>
            </w:r>
          </w:p>
          <w:p w14:paraId="545089E3">
            <w:pPr>
              <w:spacing w:before="0" w:after="0" w:line="240" w:lineRule="exact"/>
              <w:jc w:val="left"/>
              <w:rPr>
                <w:rFonts w:ascii="宋体" w:hAnsi="宋体" w:eastAsia="宋体" w:cs="宋体"/>
                <w:sz w:val="18"/>
                <w:szCs w:val="18"/>
              </w:rPr>
            </w:pPr>
            <w:r>
              <w:rPr>
                <w:rFonts w:ascii="宋体" w:hAnsi="宋体" w:eastAsia="宋体" w:cs="宋体"/>
                <w:sz w:val="18"/>
                <w:szCs w:val="18"/>
              </w:rPr>
              <w:t>一般缺陷：损失＜税前利润2%。</w:t>
            </w:r>
          </w:p>
        </w:tc>
      </w:tr>
      <w:tr w14:paraId="3DD9ED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258E1A">
            <w:pPr>
              <w:spacing w:before="40" w:after="40" w:line="240" w:lineRule="exact"/>
              <w:jc w:val="left"/>
              <w:rPr>
                <w:rFonts w:ascii="宋体" w:hAnsi="宋体" w:eastAsia="宋体" w:cs="宋体"/>
                <w:sz w:val="18"/>
                <w:szCs w:val="18"/>
              </w:rPr>
            </w:pPr>
            <w:r>
              <w:rPr>
                <w:rFonts w:ascii="宋体" w:hAnsi="宋体" w:eastAsia="宋体" w:cs="宋体"/>
                <w:sz w:val="18"/>
                <w:szCs w:val="18"/>
              </w:rPr>
              <w:t>财务报告重大缺陷数量（个）</w:t>
            </w:r>
          </w:p>
        </w:tc>
        <w:tc>
          <w:tcPr>
            <w:tcW w:w="6426" w:type="dxa"/>
            <w:gridSpan w:val="2"/>
            <w:tcBorders>
              <w:top w:val="single" w:color="auto" w:sz="2" w:space="0"/>
              <w:left w:val="single" w:color="auto" w:sz="2" w:space="0"/>
              <w:bottom w:val="single" w:color="auto" w:sz="2" w:space="0"/>
              <w:right w:val="single" w:color="auto" w:sz="2" w:space="0"/>
            </w:tcBorders>
            <w:vAlign w:val="center"/>
          </w:tcPr>
          <w:p w14:paraId="20A0986F">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758000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2B0D74D">
            <w:pPr>
              <w:spacing w:before="40" w:after="40" w:line="240" w:lineRule="exact"/>
              <w:jc w:val="left"/>
              <w:rPr>
                <w:rFonts w:ascii="宋体" w:hAnsi="宋体" w:eastAsia="宋体" w:cs="宋体"/>
                <w:sz w:val="18"/>
                <w:szCs w:val="18"/>
              </w:rPr>
            </w:pPr>
            <w:r>
              <w:rPr>
                <w:rFonts w:ascii="宋体" w:hAnsi="宋体" w:eastAsia="宋体" w:cs="宋体"/>
                <w:sz w:val="18"/>
                <w:szCs w:val="18"/>
              </w:rPr>
              <w:t>非财务报告重大缺陷数量（个）</w:t>
            </w:r>
          </w:p>
        </w:tc>
        <w:tc>
          <w:tcPr>
            <w:tcW w:w="6426" w:type="dxa"/>
            <w:gridSpan w:val="2"/>
            <w:tcBorders>
              <w:top w:val="single" w:color="auto" w:sz="2" w:space="0"/>
              <w:left w:val="single" w:color="auto" w:sz="2" w:space="0"/>
              <w:bottom w:val="single" w:color="auto" w:sz="2" w:space="0"/>
              <w:right w:val="single" w:color="auto" w:sz="2" w:space="0"/>
            </w:tcBorders>
            <w:vAlign w:val="center"/>
          </w:tcPr>
          <w:p w14:paraId="7A1D5E0D">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6265AF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87A65AD">
            <w:pPr>
              <w:spacing w:before="40" w:after="40" w:line="240" w:lineRule="exact"/>
              <w:jc w:val="left"/>
              <w:rPr>
                <w:rFonts w:ascii="宋体" w:hAnsi="宋体" w:eastAsia="宋体" w:cs="宋体"/>
                <w:sz w:val="18"/>
                <w:szCs w:val="18"/>
              </w:rPr>
            </w:pPr>
            <w:r>
              <w:rPr>
                <w:rFonts w:ascii="宋体" w:hAnsi="宋体" w:eastAsia="宋体" w:cs="宋体"/>
                <w:sz w:val="18"/>
                <w:szCs w:val="18"/>
              </w:rPr>
              <w:t>财务报告重要缺陷数量（个）</w:t>
            </w:r>
          </w:p>
        </w:tc>
        <w:tc>
          <w:tcPr>
            <w:tcW w:w="6426" w:type="dxa"/>
            <w:gridSpan w:val="2"/>
            <w:tcBorders>
              <w:top w:val="single" w:color="auto" w:sz="2" w:space="0"/>
              <w:left w:val="single" w:color="auto" w:sz="2" w:space="0"/>
              <w:bottom w:val="single" w:color="auto" w:sz="2" w:space="0"/>
              <w:right w:val="single" w:color="auto" w:sz="2" w:space="0"/>
            </w:tcBorders>
            <w:vAlign w:val="center"/>
          </w:tcPr>
          <w:p w14:paraId="27F9A515">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56C234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B95EDA1">
            <w:pPr>
              <w:spacing w:before="40" w:after="40" w:line="240" w:lineRule="exact"/>
              <w:jc w:val="left"/>
              <w:rPr>
                <w:rFonts w:ascii="宋体" w:hAnsi="宋体" w:eastAsia="宋体" w:cs="宋体"/>
                <w:sz w:val="18"/>
                <w:szCs w:val="18"/>
              </w:rPr>
            </w:pPr>
            <w:r>
              <w:rPr>
                <w:rFonts w:ascii="宋体" w:hAnsi="宋体" w:eastAsia="宋体" w:cs="宋体"/>
                <w:sz w:val="18"/>
                <w:szCs w:val="18"/>
              </w:rPr>
              <w:t>非财务报告重要缺陷数量（个）</w:t>
            </w:r>
          </w:p>
        </w:tc>
        <w:tc>
          <w:tcPr>
            <w:tcW w:w="6426" w:type="dxa"/>
            <w:gridSpan w:val="2"/>
            <w:tcBorders>
              <w:top w:val="single" w:color="auto" w:sz="2" w:space="0"/>
              <w:left w:val="single" w:color="auto" w:sz="2" w:space="0"/>
              <w:bottom w:val="single" w:color="auto" w:sz="2" w:space="0"/>
              <w:right w:val="single" w:color="auto" w:sz="2" w:space="0"/>
            </w:tcBorders>
            <w:vAlign w:val="center"/>
          </w:tcPr>
          <w:p w14:paraId="61AE96BB">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bl>
    <w:p w14:paraId="2474CC7C">
      <w:pPr>
        <w:keepNext/>
        <w:keepLines/>
        <w:spacing w:before="300" w:after="300" w:line="280" w:lineRule="exact"/>
        <w:jc w:val="left"/>
        <w:outlineLvl w:val="2"/>
        <w:rPr>
          <w:rFonts w:ascii="宋体" w:hAnsi="宋体" w:eastAsia="宋体" w:cs="宋体"/>
          <w:b/>
          <w:bCs/>
          <w:sz w:val="21"/>
          <w:szCs w:val="21"/>
        </w:rPr>
      </w:pPr>
      <w:bookmarkStart w:id="90" w:name="_Toc988977"/>
      <w:r>
        <w:rPr>
          <w:rFonts w:ascii="宋体" w:hAnsi="宋体" w:eastAsia="宋体" w:cs="宋体"/>
          <w:b/>
          <w:bCs/>
          <w:sz w:val="21"/>
          <w:szCs w:val="21"/>
        </w:rPr>
        <w:t>2、内部控制审计报告</w:t>
      </w:r>
      <w:bookmarkEnd w:id="90"/>
    </w:p>
    <w:p w14:paraId="7C45C8F1">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454E22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0064824">
            <w:pPr>
              <w:spacing w:before="40" w:after="40" w:line="240" w:lineRule="exact"/>
              <w:jc w:val="center"/>
              <w:rPr>
                <w:rFonts w:ascii="宋体" w:hAnsi="宋体" w:eastAsia="宋体" w:cs="宋体"/>
                <w:sz w:val="18"/>
                <w:szCs w:val="18"/>
              </w:rPr>
            </w:pPr>
            <w:r>
              <w:rPr>
                <w:rFonts w:ascii="宋体" w:hAnsi="宋体" w:eastAsia="宋体" w:cs="宋体"/>
                <w:sz w:val="18"/>
                <w:szCs w:val="18"/>
              </w:rPr>
              <w:t>内部控制审计报告中的审议意见段</w:t>
            </w:r>
          </w:p>
        </w:tc>
      </w:tr>
      <w:tr w14:paraId="3645EE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vAlign w:val="center"/>
          </w:tcPr>
          <w:p w14:paraId="5404D437">
            <w:pPr>
              <w:spacing w:before="0" w:after="0" w:line="240" w:lineRule="exact"/>
              <w:jc w:val="left"/>
              <w:rPr>
                <w:rFonts w:ascii="宋体" w:hAnsi="宋体" w:eastAsia="宋体" w:cs="宋体"/>
                <w:sz w:val="18"/>
                <w:szCs w:val="18"/>
              </w:rPr>
            </w:pPr>
            <w:r>
              <w:rPr>
                <w:rFonts w:ascii="宋体" w:hAnsi="宋体" w:eastAsia="宋体" w:cs="宋体"/>
                <w:sz w:val="18"/>
                <w:szCs w:val="18"/>
              </w:rPr>
              <w:t>我们认为，广生堂于2024年12月31日按照《企业内部控制基本规范》和相关规定在所有重大方面保持了有效的财务报告内部控制。</w:t>
            </w:r>
          </w:p>
        </w:tc>
      </w:tr>
      <w:tr w14:paraId="1D54AC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4B9272E">
            <w:pPr>
              <w:spacing w:before="40" w:after="40" w:line="240" w:lineRule="exact"/>
              <w:jc w:val="left"/>
              <w:rPr>
                <w:rFonts w:ascii="宋体" w:hAnsi="宋体" w:eastAsia="宋体" w:cs="宋体"/>
                <w:sz w:val="18"/>
                <w:szCs w:val="18"/>
              </w:rPr>
            </w:pPr>
            <w:r>
              <w:rPr>
                <w:rFonts w:ascii="宋体" w:hAnsi="宋体" w:eastAsia="宋体" w:cs="宋体"/>
                <w:sz w:val="18"/>
                <w:szCs w:val="18"/>
              </w:rPr>
              <w:t>内控审计报告披露情况</w:t>
            </w:r>
          </w:p>
        </w:tc>
        <w:tc>
          <w:tcPr>
            <w:tcW w:w="4820" w:type="dxa"/>
            <w:tcBorders>
              <w:top w:val="single" w:color="auto" w:sz="2" w:space="0"/>
              <w:left w:val="single" w:color="auto" w:sz="2" w:space="0"/>
              <w:bottom w:val="single" w:color="auto" w:sz="2" w:space="0"/>
              <w:right w:val="single" w:color="auto" w:sz="2" w:space="0"/>
            </w:tcBorders>
            <w:vAlign w:val="center"/>
          </w:tcPr>
          <w:p w14:paraId="5AE5395E">
            <w:pPr>
              <w:spacing w:before="0" w:after="0" w:line="240" w:lineRule="exact"/>
              <w:jc w:val="left"/>
              <w:rPr>
                <w:rFonts w:ascii="宋体" w:hAnsi="宋体" w:eastAsia="宋体" w:cs="宋体"/>
                <w:sz w:val="18"/>
                <w:szCs w:val="18"/>
              </w:rPr>
            </w:pPr>
            <w:r>
              <w:rPr>
                <w:rFonts w:ascii="宋体" w:hAnsi="宋体" w:eastAsia="宋体" w:cs="宋体"/>
                <w:sz w:val="18"/>
                <w:szCs w:val="18"/>
              </w:rPr>
              <w:t>披露</w:t>
            </w:r>
          </w:p>
        </w:tc>
      </w:tr>
      <w:tr w14:paraId="468DEE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1138AEC">
            <w:pPr>
              <w:spacing w:before="40" w:after="40" w:line="240" w:lineRule="exact"/>
              <w:jc w:val="left"/>
              <w:rPr>
                <w:rFonts w:ascii="宋体" w:hAnsi="宋体" w:eastAsia="宋体" w:cs="宋体"/>
                <w:sz w:val="18"/>
                <w:szCs w:val="18"/>
              </w:rPr>
            </w:pPr>
            <w:r>
              <w:rPr>
                <w:rFonts w:ascii="宋体" w:hAnsi="宋体" w:eastAsia="宋体" w:cs="宋体"/>
                <w:sz w:val="18"/>
                <w:szCs w:val="18"/>
              </w:rPr>
              <w:t>内部控制审计报告全文披露日期</w:t>
            </w:r>
          </w:p>
        </w:tc>
        <w:tc>
          <w:tcPr>
            <w:tcW w:w="4820" w:type="dxa"/>
            <w:tcBorders>
              <w:top w:val="single" w:color="auto" w:sz="2" w:space="0"/>
              <w:left w:val="single" w:color="auto" w:sz="2" w:space="0"/>
              <w:bottom w:val="single" w:color="auto" w:sz="2" w:space="0"/>
              <w:right w:val="single" w:color="auto" w:sz="2" w:space="0"/>
            </w:tcBorders>
            <w:vAlign w:val="center"/>
          </w:tcPr>
          <w:p w14:paraId="3C1926EC">
            <w:pPr>
              <w:spacing w:before="0" w:after="0" w:line="240" w:lineRule="exact"/>
              <w:jc w:val="left"/>
              <w:rPr>
                <w:rFonts w:ascii="宋体" w:hAnsi="宋体" w:eastAsia="宋体" w:cs="宋体"/>
                <w:sz w:val="18"/>
                <w:szCs w:val="18"/>
              </w:rPr>
            </w:pPr>
            <w:r>
              <w:rPr>
                <w:rFonts w:ascii="宋体" w:hAnsi="宋体" w:eastAsia="宋体" w:cs="宋体"/>
                <w:sz w:val="18"/>
                <w:szCs w:val="18"/>
              </w:rPr>
              <w:t>2025年04月18日</w:t>
            </w:r>
          </w:p>
        </w:tc>
      </w:tr>
      <w:tr w14:paraId="00F878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99C76F2">
            <w:pPr>
              <w:spacing w:before="40" w:after="40" w:line="240" w:lineRule="exact"/>
              <w:jc w:val="left"/>
              <w:rPr>
                <w:rFonts w:ascii="宋体" w:hAnsi="宋体" w:eastAsia="宋体" w:cs="宋体"/>
                <w:sz w:val="18"/>
                <w:szCs w:val="18"/>
              </w:rPr>
            </w:pPr>
            <w:r>
              <w:rPr>
                <w:rFonts w:ascii="宋体" w:hAnsi="宋体" w:eastAsia="宋体" w:cs="宋体"/>
                <w:sz w:val="18"/>
                <w:szCs w:val="18"/>
              </w:rPr>
              <w:t>内部控制审计报告全文披露索引</w:t>
            </w:r>
          </w:p>
        </w:tc>
        <w:tc>
          <w:tcPr>
            <w:tcW w:w="4820" w:type="dxa"/>
            <w:tcBorders>
              <w:top w:val="single" w:color="auto" w:sz="2" w:space="0"/>
              <w:left w:val="single" w:color="auto" w:sz="2" w:space="0"/>
              <w:bottom w:val="single" w:color="auto" w:sz="2" w:space="0"/>
              <w:right w:val="single" w:color="auto" w:sz="2" w:space="0"/>
            </w:tcBorders>
            <w:vAlign w:val="center"/>
          </w:tcPr>
          <w:p w14:paraId="18618E08">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w:t>
            </w:r>
          </w:p>
        </w:tc>
      </w:tr>
      <w:tr w14:paraId="6BE309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E1532F7">
            <w:pPr>
              <w:spacing w:before="40" w:after="40" w:line="240" w:lineRule="exact"/>
              <w:jc w:val="left"/>
              <w:rPr>
                <w:rFonts w:ascii="宋体" w:hAnsi="宋体" w:eastAsia="宋体" w:cs="宋体"/>
                <w:sz w:val="18"/>
                <w:szCs w:val="18"/>
              </w:rPr>
            </w:pPr>
            <w:r>
              <w:rPr>
                <w:rFonts w:ascii="宋体" w:hAnsi="宋体" w:eastAsia="宋体" w:cs="宋体"/>
                <w:sz w:val="18"/>
                <w:szCs w:val="18"/>
              </w:rPr>
              <w:t>内控审计报告意见类型</w:t>
            </w:r>
          </w:p>
        </w:tc>
        <w:tc>
          <w:tcPr>
            <w:tcW w:w="4820" w:type="dxa"/>
            <w:tcBorders>
              <w:top w:val="single" w:color="auto" w:sz="2" w:space="0"/>
              <w:left w:val="single" w:color="auto" w:sz="2" w:space="0"/>
              <w:bottom w:val="single" w:color="auto" w:sz="2" w:space="0"/>
              <w:right w:val="single" w:color="auto" w:sz="2" w:space="0"/>
            </w:tcBorders>
            <w:vAlign w:val="center"/>
          </w:tcPr>
          <w:p w14:paraId="5B90FD9E">
            <w:pPr>
              <w:spacing w:before="0" w:after="0" w:line="240" w:lineRule="exact"/>
              <w:jc w:val="left"/>
              <w:rPr>
                <w:rFonts w:ascii="宋体" w:hAnsi="宋体" w:eastAsia="宋体" w:cs="宋体"/>
                <w:sz w:val="18"/>
                <w:szCs w:val="18"/>
              </w:rPr>
            </w:pPr>
            <w:r>
              <w:rPr>
                <w:rFonts w:ascii="宋体" w:hAnsi="宋体" w:eastAsia="宋体" w:cs="宋体"/>
                <w:sz w:val="18"/>
                <w:szCs w:val="18"/>
              </w:rPr>
              <w:t>标准无保留意见</w:t>
            </w:r>
          </w:p>
        </w:tc>
      </w:tr>
      <w:tr w14:paraId="55D713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6312CC23">
            <w:pPr>
              <w:spacing w:before="40" w:after="40" w:line="240" w:lineRule="exact"/>
              <w:jc w:val="left"/>
              <w:rPr>
                <w:rFonts w:ascii="宋体" w:hAnsi="宋体" w:eastAsia="宋体" w:cs="宋体"/>
                <w:sz w:val="18"/>
                <w:szCs w:val="18"/>
              </w:rPr>
            </w:pPr>
            <w:r>
              <w:rPr>
                <w:rFonts w:ascii="宋体" w:hAnsi="宋体" w:eastAsia="宋体" w:cs="宋体"/>
                <w:sz w:val="18"/>
                <w:szCs w:val="18"/>
              </w:rPr>
              <w:t>非财务报告是否存在重大缺陷</w:t>
            </w:r>
          </w:p>
        </w:tc>
        <w:tc>
          <w:tcPr>
            <w:tcW w:w="4820" w:type="dxa"/>
            <w:tcBorders>
              <w:top w:val="single" w:color="auto" w:sz="2" w:space="0"/>
              <w:left w:val="single" w:color="auto" w:sz="2" w:space="0"/>
              <w:bottom w:val="single" w:color="auto" w:sz="2" w:space="0"/>
              <w:right w:val="single" w:color="auto" w:sz="2" w:space="0"/>
            </w:tcBorders>
            <w:vAlign w:val="center"/>
          </w:tcPr>
          <w:p w14:paraId="0994E2B0">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bl>
    <w:p w14:paraId="1AF90F72">
      <w:pPr>
        <w:spacing w:before="100" w:after="100" w:line="240" w:lineRule="exact"/>
        <w:jc w:val="left"/>
        <w:rPr>
          <w:rFonts w:ascii="宋体" w:hAnsi="宋体" w:eastAsia="宋体" w:cs="宋体"/>
          <w:sz w:val="18"/>
          <w:szCs w:val="18"/>
        </w:rPr>
      </w:pPr>
      <w:r>
        <w:rPr>
          <w:rFonts w:ascii="宋体" w:hAnsi="宋体" w:eastAsia="宋体" w:cs="宋体"/>
          <w:sz w:val="18"/>
          <w:szCs w:val="18"/>
        </w:rPr>
        <w:t>会计师事务所是否出具非标准意见的内部控制审计报告</w:t>
      </w:r>
    </w:p>
    <w:p w14:paraId="5CFC72A1">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2655307D">
      <w:pPr>
        <w:spacing w:before="100" w:after="100" w:line="240" w:lineRule="exact"/>
        <w:jc w:val="left"/>
        <w:rPr>
          <w:rFonts w:ascii="宋体" w:hAnsi="宋体" w:eastAsia="宋体" w:cs="宋体"/>
          <w:sz w:val="18"/>
          <w:szCs w:val="18"/>
        </w:rPr>
      </w:pPr>
      <w:r>
        <w:rPr>
          <w:rFonts w:ascii="宋体" w:hAnsi="宋体" w:eastAsia="宋体" w:cs="宋体"/>
          <w:sz w:val="18"/>
          <w:szCs w:val="18"/>
        </w:rPr>
        <w:t>会计师事务所出具的内部控制审计报告与董事会的自我评价报告意见是否一致</w:t>
      </w:r>
    </w:p>
    <w:p w14:paraId="29245447">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w:t>
      </w:r>
    </w:p>
    <w:p w14:paraId="26C2A26B">
      <w:pPr>
        <w:keepNext/>
        <w:keepLines/>
        <w:spacing w:before="300" w:after="300" w:line="320" w:lineRule="exact"/>
        <w:jc w:val="left"/>
        <w:outlineLvl w:val="1"/>
        <w:rPr>
          <w:rFonts w:ascii="宋体" w:hAnsi="宋体" w:eastAsia="宋体" w:cs="宋体"/>
          <w:b/>
          <w:bCs/>
          <w:sz w:val="24"/>
          <w:szCs w:val="24"/>
        </w:rPr>
      </w:pPr>
      <w:bookmarkStart w:id="91" w:name="_Toc988978"/>
      <w:r>
        <w:rPr>
          <w:rFonts w:ascii="宋体" w:hAnsi="宋体" w:eastAsia="宋体" w:cs="宋体"/>
          <w:b/>
          <w:bCs/>
          <w:sz w:val="24"/>
          <w:szCs w:val="24"/>
        </w:rPr>
        <w:t>十七、上市公司治理专项行动自查问题整改情况</w:t>
      </w:r>
      <w:bookmarkEnd w:id="91"/>
    </w:p>
    <w:p w14:paraId="40455ECA">
      <w:pPr>
        <w:pStyle w:val="2"/>
        <w:keepNext w:val="0"/>
        <w:keepLines w:val="0"/>
        <w:widowControl/>
        <w:suppressLineNumbers w:val="0"/>
        <w:spacing w:before="0" w:beforeAutospacing="0" w:after="0" w:afterAutospacing="0"/>
        <w:ind w:left="0" w:right="0" w:firstLine="360"/>
        <w:jc w:val="left"/>
        <w:rPr>
          <w:rFonts w:ascii="Calibri" w:hAnsi="Calibri" w:cs="Calibri"/>
          <w:sz w:val="21"/>
          <w:szCs w:val="21"/>
        </w:rPr>
      </w:pPr>
      <w:r>
        <w:rPr>
          <w:rFonts w:hint="eastAsia" w:ascii="宋体" w:hAnsi="宋体" w:eastAsia="宋体" w:cs="宋体"/>
          <w:sz w:val="18"/>
          <w:szCs w:val="18"/>
        </w:rPr>
        <w:t>不适用。</w:t>
      </w:r>
    </w:p>
    <w:p w14:paraId="13CC80C4">
      <w:r>
        <w:br w:type="page"/>
      </w:r>
    </w:p>
    <w:p w14:paraId="101D56F4">
      <w:pPr>
        <w:keepNext/>
        <w:keepLines/>
        <w:spacing w:before="340" w:after="330" w:line="773" w:lineRule="exact"/>
        <w:jc w:val="center"/>
        <w:outlineLvl w:val="0"/>
        <w:rPr>
          <w:rFonts w:ascii="宋体" w:hAnsi="宋体" w:eastAsia="宋体" w:cs="宋体"/>
          <w:b/>
          <w:bCs/>
          <w:sz w:val="32"/>
          <w:szCs w:val="32"/>
        </w:rPr>
      </w:pPr>
      <w:bookmarkStart w:id="92" w:name="_Toc988979"/>
      <w:r>
        <w:rPr>
          <w:rFonts w:ascii="宋体" w:hAnsi="宋体" w:eastAsia="宋体" w:cs="宋体"/>
          <w:b/>
          <w:bCs/>
          <w:sz w:val="32"/>
          <w:szCs w:val="32"/>
        </w:rPr>
        <w:t>第五节 环境和社会责任</w:t>
      </w:r>
      <w:bookmarkEnd w:id="92"/>
    </w:p>
    <w:p w14:paraId="3B039F1D">
      <w:pPr>
        <w:keepNext/>
        <w:keepLines/>
        <w:spacing w:before="300" w:after="300" w:line="320" w:lineRule="exact"/>
        <w:jc w:val="left"/>
        <w:outlineLvl w:val="1"/>
        <w:rPr>
          <w:rFonts w:ascii="宋体" w:hAnsi="宋体" w:eastAsia="宋体" w:cs="宋体"/>
          <w:b/>
          <w:bCs/>
          <w:sz w:val="24"/>
          <w:szCs w:val="24"/>
        </w:rPr>
      </w:pPr>
      <w:bookmarkStart w:id="93" w:name="_Toc988980"/>
      <w:r>
        <w:rPr>
          <w:rFonts w:ascii="宋体" w:hAnsi="宋体" w:eastAsia="宋体" w:cs="宋体"/>
          <w:b/>
          <w:bCs/>
          <w:sz w:val="24"/>
          <w:szCs w:val="24"/>
        </w:rPr>
        <w:t>一、重大环保问题</w:t>
      </w:r>
      <w:bookmarkEnd w:id="93"/>
    </w:p>
    <w:p w14:paraId="70B060DB">
      <w:pPr>
        <w:spacing w:before="100" w:after="100" w:line="240" w:lineRule="exact"/>
        <w:jc w:val="left"/>
        <w:rPr>
          <w:rFonts w:ascii="宋体" w:hAnsi="宋体" w:eastAsia="宋体" w:cs="宋体"/>
          <w:sz w:val="18"/>
          <w:szCs w:val="18"/>
        </w:rPr>
      </w:pPr>
      <w:r>
        <w:rPr>
          <w:rFonts w:ascii="宋体" w:hAnsi="宋体" w:eastAsia="宋体" w:cs="宋体"/>
          <w:sz w:val="18"/>
          <w:szCs w:val="18"/>
        </w:rPr>
        <w:t>上市公司及其子公司是否属于环境保护部门公布的重点排污单位</w:t>
      </w:r>
    </w:p>
    <w:p w14:paraId="1CB8F922">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w:t>
      </w:r>
    </w:p>
    <w:p w14:paraId="1E4F0857">
      <w:pPr>
        <w:spacing w:before="100" w:after="100" w:line="240" w:lineRule="exact"/>
        <w:jc w:val="left"/>
        <w:rPr>
          <w:rFonts w:ascii="宋体" w:hAnsi="宋体" w:eastAsia="宋体" w:cs="宋体"/>
          <w:sz w:val="18"/>
          <w:szCs w:val="18"/>
        </w:rPr>
      </w:pPr>
      <w:r>
        <w:rPr>
          <w:rFonts w:ascii="宋体" w:hAnsi="宋体" w:eastAsia="宋体" w:cs="宋体"/>
          <w:sz w:val="18"/>
          <w:szCs w:val="18"/>
        </w:rPr>
        <w:t>环境保护相关政策和行业标准</w:t>
      </w:r>
    </w:p>
    <w:tbl>
      <w:tblPr>
        <w:tblStyle w:val="3"/>
        <w:tblW w:w="9717"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1"/>
        <w:gridCol w:w="940"/>
        <w:gridCol w:w="7946"/>
      </w:tblGrid>
      <w:tr w14:paraId="7C4B67B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c>
          <w:tcPr>
            <w:tcW w:w="831" w:type="dxa"/>
            <w:tcBorders>
              <w:top w:val="single" w:color="auto" w:sz="8" w:space="0"/>
              <w:left w:val="single" w:color="auto" w:sz="8" w:space="0"/>
              <w:bottom w:val="single" w:color="auto" w:sz="8" w:space="0"/>
              <w:right w:val="single" w:color="auto" w:sz="8" w:space="0"/>
            </w:tcBorders>
            <w:shd w:val="clear" w:color="auto" w:fill="A4A4A4"/>
            <w:tcMar>
              <w:top w:w="0" w:type="dxa"/>
              <w:left w:w="108" w:type="dxa"/>
              <w:bottom w:w="0" w:type="dxa"/>
              <w:right w:w="108" w:type="dxa"/>
            </w:tcMar>
            <w:vAlign w:val="center"/>
          </w:tcPr>
          <w:p w14:paraId="77F88A07">
            <w:pPr>
              <w:pStyle w:val="2"/>
              <w:keepNext w:val="0"/>
              <w:keepLines w:val="0"/>
              <w:widowControl/>
              <w:suppressLineNumbers w:val="0"/>
              <w:spacing w:before="0" w:beforeAutospacing="0" w:after="0" w:afterAutospacing="0"/>
              <w:ind w:left="0" w:right="0"/>
              <w:jc w:val="center"/>
              <w:rPr>
                <w:rFonts w:ascii="Calibri" w:hAnsi="Calibri" w:cs="Calibri"/>
                <w:sz w:val="21"/>
                <w:szCs w:val="21"/>
              </w:rPr>
            </w:pPr>
            <w:r>
              <w:rPr>
                <w:rStyle w:val="6"/>
                <w:rFonts w:hint="eastAsia" w:ascii="宋体" w:hAnsi="宋体" w:eastAsia="宋体" w:cs="宋体"/>
                <w:b/>
                <w:bCs/>
                <w:color w:val="000000"/>
                <w:sz w:val="18"/>
                <w:szCs w:val="18"/>
              </w:rPr>
              <w:t>公司名称</w:t>
            </w:r>
          </w:p>
        </w:tc>
        <w:tc>
          <w:tcPr>
            <w:tcW w:w="940" w:type="dxa"/>
            <w:tcBorders>
              <w:top w:val="single" w:color="auto" w:sz="8" w:space="0"/>
              <w:left w:val="nil"/>
              <w:bottom w:val="single" w:color="auto" w:sz="8" w:space="0"/>
              <w:right w:val="single" w:color="auto" w:sz="8" w:space="0"/>
            </w:tcBorders>
            <w:shd w:val="clear" w:color="auto" w:fill="A4A4A4"/>
            <w:tcMar>
              <w:top w:w="0" w:type="dxa"/>
              <w:left w:w="108" w:type="dxa"/>
              <w:bottom w:w="0" w:type="dxa"/>
              <w:right w:w="108" w:type="dxa"/>
            </w:tcMar>
            <w:vAlign w:val="center"/>
          </w:tcPr>
          <w:p w14:paraId="48CF191F">
            <w:pPr>
              <w:pStyle w:val="2"/>
              <w:keepNext w:val="0"/>
              <w:keepLines w:val="0"/>
              <w:widowControl/>
              <w:suppressLineNumbers w:val="0"/>
              <w:spacing w:before="0" w:beforeAutospacing="0" w:after="0" w:afterAutospacing="0"/>
              <w:ind w:left="0" w:right="0"/>
              <w:jc w:val="center"/>
              <w:rPr>
                <w:rFonts w:hint="default" w:ascii="Calibri" w:hAnsi="Calibri" w:cs="Calibri"/>
                <w:sz w:val="21"/>
                <w:szCs w:val="21"/>
              </w:rPr>
            </w:pPr>
            <w:r>
              <w:rPr>
                <w:rStyle w:val="6"/>
                <w:rFonts w:hint="eastAsia" w:ascii="宋体" w:hAnsi="宋体" w:eastAsia="宋体" w:cs="宋体"/>
                <w:b/>
                <w:bCs/>
                <w:color w:val="000000"/>
                <w:sz w:val="18"/>
                <w:szCs w:val="18"/>
              </w:rPr>
              <w:t>主要污染物类型</w:t>
            </w:r>
          </w:p>
        </w:tc>
        <w:tc>
          <w:tcPr>
            <w:tcW w:w="7946" w:type="dxa"/>
            <w:tcBorders>
              <w:top w:val="single" w:color="auto" w:sz="8" w:space="0"/>
              <w:left w:val="nil"/>
              <w:bottom w:val="single" w:color="auto" w:sz="8" w:space="0"/>
              <w:right w:val="single" w:color="auto" w:sz="8" w:space="0"/>
            </w:tcBorders>
            <w:shd w:val="clear" w:color="auto" w:fill="A4A4A4"/>
            <w:tcMar>
              <w:top w:w="0" w:type="dxa"/>
              <w:left w:w="108" w:type="dxa"/>
              <w:bottom w:w="0" w:type="dxa"/>
              <w:right w:w="108" w:type="dxa"/>
            </w:tcMar>
            <w:vAlign w:val="center"/>
          </w:tcPr>
          <w:p w14:paraId="41992028">
            <w:pPr>
              <w:pStyle w:val="2"/>
              <w:keepNext w:val="0"/>
              <w:keepLines w:val="0"/>
              <w:widowControl/>
              <w:suppressLineNumbers w:val="0"/>
              <w:spacing w:before="0" w:beforeAutospacing="0" w:after="0" w:afterAutospacing="0"/>
              <w:ind w:left="0" w:right="0"/>
              <w:jc w:val="center"/>
              <w:rPr>
                <w:rFonts w:hint="default" w:ascii="Calibri" w:hAnsi="Calibri" w:cs="Calibri"/>
                <w:sz w:val="21"/>
                <w:szCs w:val="21"/>
              </w:rPr>
            </w:pPr>
            <w:r>
              <w:rPr>
                <w:rStyle w:val="6"/>
                <w:rFonts w:hint="eastAsia" w:ascii="宋体" w:hAnsi="宋体" w:eastAsia="宋体" w:cs="宋体"/>
                <w:b/>
                <w:bCs/>
                <w:color w:val="000000"/>
                <w:sz w:val="18"/>
                <w:szCs w:val="18"/>
              </w:rPr>
              <w:t>执行标准</w:t>
            </w:r>
          </w:p>
        </w:tc>
      </w:tr>
      <w:tr w14:paraId="3DAE82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06" w:hRule="atLeast"/>
        </w:trPr>
        <w:tc>
          <w:tcPr>
            <w:tcW w:w="831"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130449FB">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广生堂药业一期厂区</w:t>
            </w:r>
          </w:p>
        </w:tc>
        <w:tc>
          <w:tcPr>
            <w:tcW w:w="94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7AD529A1">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废水</w:t>
            </w:r>
          </w:p>
        </w:tc>
        <w:tc>
          <w:tcPr>
            <w:tcW w:w="794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7811B968">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废水排放执行柘荣县第二污水处理厂纳管标准限值，其中二氯甲烷、挥发酚、急性毒性排放执行《化学合成类制药工业水污染物排放标准》(GB21904-2008)表2中同时生产化学合成类原料药和混装制剂企业的排放标准限值。</w:t>
            </w:r>
          </w:p>
        </w:tc>
      </w:tr>
      <w:tr w14:paraId="002BD0E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831"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0D33DC3D">
            <w:pPr>
              <w:rPr>
                <w:rFonts w:hint="default" w:ascii="Times New Roman" w:hAnsi="Times New Roman" w:cs="Times New Roman"/>
                <w:sz w:val="20"/>
                <w:szCs w:val="20"/>
              </w:rPr>
            </w:pPr>
          </w:p>
        </w:tc>
        <w:tc>
          <w:tcPr>
            <w:tcW w:w="94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66470AD0">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废气</w:t>
            </w:r>
          </w:p>
        </w:tc>
        <w:tc>
          <w:tcPr>
            <w:tcW w:w="794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1E457830">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废气排放执行《制药工业大气污染物排放标准》(GB37823-2019)表1中的排放限值；挥发性有机物执行《工业企业挥发性有机物排放标准》(DB35/1782-2018)表1、表2、表3的有关规定；二氯甲烷、甲醇和丙酮有组织排放参照《石油化学工业污染物排放标准》(GB31571-2015)表6中限值；DMF废气排放参照《合成革与人造革工业污染物排放标准》(GB21902-2008)表5和表6的限值；恶臭污染物无组织排放执行《恶臭污染物排放标准》(GB14554-93)表1的排放限值；锅炉废气执行锅炉大气污染物排放标准》GB13271-2014中表2浓度限值。</w:t>
            </w:r>
          </w:p>
        </w:tc>
      </w:tr>
      <w:tr w14:paraId="5320E6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831"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094485ED">
            <w:pPr>
              <w:rPr>
                <w:rFonts w:hint="default" w:ascii="Times New Roman" w:hAnsi="Times New Roman" w:cs="Times New Roman"/>
                <w:sz w:val="20"/>
                <w:szCs w:val="20"/>
              </w:rPr>
            </w:pPr>
          </w:p>
        </w:tc>
        <w:tc>
          <w:tcPr>
            <w:tcW w:w="94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FAE8BC7">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噪声</w:t>
            </w:r>
          </w:p>
        </w:tc>
        <w:tc>
          <w:tcPr>
            <w:tcW w:w="794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552F4FC9">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执行《工业企业厂界环境噪声排放标准》(GB12348-2008)的3类标准要求。</w:t>
            </w:r>
          </w:p>
        </w:tc>
      </w:tr>
      <w:tr w14:paraId="630A42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831"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55932871">
            <w:pPr>
              <w:rPr>
                <w:rFonts w:hint="default" w:ascii="Times New Roman" w:hAnsi="Times New Roman" w:cs="Times New Roman"/>
                <w:sz w:val="20"/>
                <w:szCs w:val="20"/>
              </w:rPr>
            </w:pPr>
          </w:p>
        </w:tc>
        <w:tc>
          <w:tcPr>
            <w:tcW w:w="94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2E3FC08F">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固体废物</w:t>
            </w:r>
          </w:p>
        </w:tc>
        <w:tc>
          <w:tcPr>
            <w:tcW w:w="794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0C0302B9">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一般工业固体废物贮存执行《一般工业固体废物贮存和填埋污染控制标准》(GB18599-2020)；危险废物贮存、处置执行《危险废物贮存污染控制标准》(GB18597-2023)。</w:t>
            </w:r>
          </w:p>
        </w:tc>
      </w:tr>
      <w:tr w14:paraId="2692481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831"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74D1A97">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广生堂药业二期厂区</w:t>
            </w:r>
          </w:p>
        </w:tc>
        <w:tc>
          <w:tcPr>
            <w:tcW w:w="94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361E1367">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废水</w:t>
            </w:r>
          </w:p>
        </w:tc>
        <w:tc>
          <w:tcPr>
            <w:tcW w:w="794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444CF66B">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执行《污水综合排放标准》(GB8978-1996)表4三级标准(其中氨氮、总氮、总磷参照《污水排入城镇下水道水质标准》(GB/T31962-2015)表1的B等级标准）。</w:t>
            </w:r>
          </w:p>
        </w:tc>
      </w:tr>
      <w:tr w14:paraId="5473C3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831"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25987DDB">
            <w:pPr>
              <w:rPr>
                <w:rFonts w:hint="default" w:ascii="Times New Roman" w:hAnsi="Times New Roman" w:cs="Times New Roman"/>
                <w:sz w:val="20"/>
                <w:szCs w:val="20"/>
              </w:rPr>
            </w:pPr>
          </w:p>
        </w:tc>
        <w:tc>
          <w:tcPr>
            <w:tcW w:w="94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0C0CBB98">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废气</w:t>
            </w:r>
          </w:p>
        </w:tc>
        <w:tc>
          <w:tcPr>
            <w:tcW w:w="794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27509762">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锅炉废气执行《锅炉大气污染物排放标准》GB13271-2014中表2浓度限值。车间颗粒物执行《大气污染物综合排放标准》(GB16297-1996)中表2二级标准。</w:t>
            </w:r>
          </w:p>
        </w:tc>
      </w:tr>
      <w:tr w14:paraId="174408F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831"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1E3E6F66">
            <w:pPr>
              <w:rPr>
                <w:rFonts w:hint="default" w:ascii="Times New Roman" w:hAnsi="Times New Roman" w:cs="Times New Roman"/>
                <w:sz w:val="20"/>
                <w:szCs w:val="20"/>
              </w:rPr>
            </w:pPr>
          </w:p>
        </w:tc>
        <w:tc>
          <w:tcPr>
            <w:tcW w:w="94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6B605DF">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噪声</w:t>
            </w:r>
          </w:p>
        </w:tc>
        <w:tc>
          <w:tcPr>
            <w:tcW w:w="794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47529764">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执行《工业企业厂界环境噪声排放标准》(GB12348-2008)的3类标准要求。</w:t>
            </w:r>
          </w:p>
        </w:tc>
      </w:tr>
      <w:tr w14:paraId="46803CB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831"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628CADEC">
            <w:pPr>
              <w:rPr>
                <w:rFonts w:hint="default" w:ascii="Times New Roman" w:hAnsi="Times New Roman" w:cs="Times New Roman"/>
                <w:sz w:val="20"/>
                <w:szCs w:val="20"/>
              </w:rPr>
            </w:pPr>
          </w:p>
        </w:tc>
        <w:tc>
          <w:tcPr>
            <w:tcW w:w="94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9B27C28">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固体废物</w:t>
            </w:r>
          </w:p>
        </w:tc>
        <w:tc>
          <w:tcPr>
            <w:tcW w:w="794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13F00863">
            <w:pPr>
              <w:pStyle w:val="2"/>
              <w:keepNext w:val="0"/>
              <w:keepLines w:val="0"/>
              <w:widowControl/>
              <w:suppressLineNumbers w:val="0"/>
              <w:spacing w:before="0" w:beforeAutospacing="0" w:after="0" w:afterAutospacing="0"/>
              <w:ind w:left="0" w:right="0"/>
              <w:rPr>
                <w:rFonts w:hint="default" w:ascii="Calibri" w:hAnsi="Calibri" w:cs="Calibri"/>
                <w:sz w:val="21"/>
                <w:szCs w:val="21"/>
              </w:rPr>
            </w:pPr>
            <w:r>
              <w:rPr>
                <w:rFonts w:hint="eastAsia" w:ascii="宋体" w:hAnsi="宋体" w:eastAsia="宋体" w:cs="宋体"/>
                <w:color w:val="000000"/>
                <w:sz w:val="18"/>
                <w:szCs w:val="18"/>
              </w:rPr>
              <w:t>一般工业固体废物贮存执行《一般工业固体废物贮存和填埋污染控制标准》(GB18599-2020)；危险废物贮存、处置执行《危险废物贮存污染控制标准》(GB18597-2023)。</w:t>
            </w:r>
          </w:p>
        </w:tc>
      </w:tr>
    </w:tbl>
    <w:p w14:paraId="6992B57B">
      <w:pPr>
        <w:spacing w:before="100" w:after="100" w:line="240" w:lineRule="exact"/>
        <w:jc w:val="left"/>
        <w:rPr>
          <w:rFonts w:ascii="宋体" w:hAnsi="宋体" w:eastAsia="宋体" w:cs="宋体"/>
          <w:sz w:val="18"/>
          <w:szCs w:val="18"/>
        </w:rPr>
      </w:pPr>
      <w:r>
        <w:rPr>
          <w:rFonts w:ascii="宋体" w:hAnsi="宋体" w:eastAsia="宋体" w:cs="宋体"/>
          <w:sz w:val="18"/>
          <w:szCs w:val="18"/>
        </w:rPr>
        <w:t>环境保护行政许可情况</w:t>
      </w:r>
    </w:p>
    <w:p w14:paraId="2EE05AF4">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2024年10月根据宁德市柘荣生态环境局以及《关于开展工业噪声排污许可管理工作的通知环办环评〔2023〕14号》的要求，新增工业噪声排污许可管理，办理排污许可证重新申报并通过环保部门的审批，并于2024年11月22日取得排污许可证。排污许可证有效期2024年11月22日至2029年11月21日止。</w:t>
      </w:r>
    </w:p>
    <w:p w14:paraId="7DA1266D">
      <w:pPr>
        <w:spacing w:before="100" w:after="100" w:line="240" w:lineRule="exact"/>
        <w:jc w:val="left"/>
        <w:rPr>
          <w:rFonts w:ascii="宋体" w:hAnsi="宋体" w:eastAsia="宋体" w:cs="宋体"/>
          <w:sz w:val="18"/>
          <w:szCs w:val="18"/>
        </w:rPr>
      </w:pPr>
      <w:r>
        <w:rPr>
          <w:rFonts w:ascii="宋体" w:hAnsi="宋体" w:eastAsia="宋体" w:cs="宋体"/>
          <w:sz w:val="18"/>
          <w:szCs w:val="18"/>
        </w:rPr>
        <w:t>行业排放标准及生产经营活动中涉及的污染物排放的具体情况</w:t>
      </w:r>
    </w:p>
    <w:p w14:paraId="02D14982">
      <w:pPr>
        <w:spacing w:before="0" w:after="0" w:line="0" w:lineRule="exact"/>
        <w:jc w:val="left"/>
      </w:pPr>
    </w:p>
    <w:tbl>
      <w:tblPr>
        <w:tblStyle w:val="3"/>
        <w:tblW w:w="963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05"/>
        <w:gridCol w:w="947"/>
        <w:gridCol w:w="643"/>
        <w:gridCol w:w="1109"/>
        <w:gridCol w:w="876"/>
        <w:gridCol w:w="876"/>
        <w:gridCol w:w="876"/>
        <w:gridCol w:w="876"/>
        <w:gridCol w:w="876"/>
      </w:tblGrid>
      <w:tr w14:paraId="315146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0404FEE">
            <w:pPr>
              <w:spacing w:before="40" w:after="40" w:line="240" w:lineRule="exact"/>
              <w:jc w:val="center"/>
              <w:rPr>
                <w:rFonts w:ascii="宋体" w:hAnsi="宋体" w:eastAsia="宋体" w:cs="宋体"/>
                <w:sz w:val="18"/>
                <w:szCs w:val="18"/>
              </w:rPr>
            </w:pPr>
            <w:r>
              <w:rPr>
                <w:rFonts w:ascii="宋体" w:hAnsi="宋体" w:eastAsia="宋体" w:cs="宋体"/>
                <w:sz w:val="18"/>
                <w:szCs w:val="18"/>
              </w:rPr>
              <w:t>公司或子公司名称</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73194B4">
            <w:pPr>
              <w:spacing w:before="40" w:after="40" w:line="240" w:lineRule="exact"/>
              <w:jc w:val="center"/>
              <w:rPr>
                <w:rFonts w:ascii="宋体" w:hAnsi="宋体" w:eastAsia="宋体" w:cs="宋体"/>
                <w:sz w:val="18"/>
                <w:szCs w:val="18"/>
              </w:rPr>
            </w:pPr>
            <w:r>
              <w:rPr>
                <w:rFonts w:ascii="宋体" w:hAnsi="宋体" w:eastAsia="宋体" w:cs="宋体"/>
                <w:sz w:val="18"/>
                <w:szCs w:val="18"/>
              </w:rPr>
              <w:t>主要污染物及特征污染物的种类</w:t>
            </w:r>
          </w:p>
        </w:tc>
        <w:tc>
          <w:tcPr>
            <w:tcW w:w="805" w:type="dxa"/>
            <w:tcBorders>
              <w:top w:val="single" w:color="auto" w:sz="2" w:space="0"/>
              <w:left w:val="single" w:color="auto" w:sz="2" w:space="0"/>
              <w:bottom w:val="single" w:color="auto" w:sz="2" w:space="0"/>
              <w:right w:val="single" w:color="auto" w:sz="2" w:space="0"/>
            </w:tcBorders>
            <w:shd w:val="clear" w:color="auto" w:fill="D3D3D3"/>
            <w:vAlign w:val="center"/>
          </w:tcPr>
          <w:p w14:paraId="1DC0F543">
            <w:pPr>
              <w:spacing w:before="40" w:after="40" w:line="240" w:lineRule="exact"/>
              <w:jc w:val="center"/>
              <w:rPr>
                <w:rFonts w:ascii="宋体" w:hAnsi="宋体" w:eastAsia="宋体" w:cs="宋体"/>
                <w:sz w:val="18"/>
                <w:szCs w:val="18"/>
              </w:rPr>
            </w:pPr>
            <w:r>
              <w:rPr>
                <w:rFonts w:ascii="宋体" w:hAnsi="宋体" w:eastAsia="宋体" w:cs="宋体"/>
                <w:sz w:val="18"/>
                <w:szCs w:val="18"/>
              </w:rPr>
              <w:t>主要污染物及特征污染物的名称</w:t>
            </w:r>
          </w:p>
        </w:tc>
        <w:tc>
          <w:tcPr>
            <w:tcW w:w="947" w:type="dxa"/>
            <w:tcBorders>
              <w:top w:val="single" w:color="auto" w:sz="2" w:space="0"/>
              <w:left w:val="single" w:color="auto" w:sz="2" w:space="0"/>
              <w:bottom w:val="single" w:color="auto" w:sz="2" w:space="0"/>
              <w:right w:val="single" w:color="auto" w:sz="2" w:space="0"/>
            </w:tcBorders>
            <w:shd w:val="clear" w:color="auto" w:fill="D3D3D3"/>
            <w:vAlign w:val="center"/>
          </w:tcPr>
          <w:p w14:paraId="7C84159D">
            <w:pPr>
              <w:spacing w:before="40" w:after="40" w:line="240" w:lineRule="exact"/>
              <w:jc w:val="center"/>
              <w:rPr>
                <w:rFonts w:ascii="宋体" w:hAnsi="宋体" w:eastAsia="宋体" w:cs="宋体"/>
                <w:sz w:val="18"/>
                <w:szCs w:val="18"/>
              </w:rPr>
            </w:pPr>
            <w:r>
              <w:rPr>
                <w:rFonts w:ascii="宋体" w:hAnsi="宋体" w:eastAsia="宋体" w:cs="宋体"/>
                <w:sz w:val="18"/>
                <w:szCs w:val="18"/>
              </w:rPr>
              <w:t>排放方式</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14:paraId="5CE9B582">
            <w:pPr>
              <w:spacing w:before="40" w:after="40" w:line="240" w:lineRule="exact"/>
              <w:jc w:val="center"/>
              <w:rPr>
                <w:rFonts w:ascii="宋体" w:hAnsi="宋体" w:eastAsia="宋体" w:cs="宋体"/>
                <w:sz w:val="18"/>
                <w:szCs w:val="18"/>
              </w:rPr>
            </w:pPr>
            <w:r>
              <w:rPr>
                <w:rFonts w:ascii="宋体" w:hAnsi="宋体" w:eastAsia="宋体" w:cs="宋体"/>
                <w:sz w:val="18"/>
                <w:szCs w:val="18"/>
              </w:rPr>
              <w:t>排放口数量</w:t>
            </w:r>
          </w:p>
        </w:tc>
        <w:tc>
          <w:tcPr>
            <w:tcW w:w="1109" w:type="dxa"/>
            <w:tcBorders>
              <w:top w:val="single" w:color="auto" w:sz="2" w:space="0"/>
              <w:left w:val="single" w:color="auto" w:sz="2" w:space="0"/>
              <w:bottom w:val="single" w:color="auto" w:sz="2" w:space="0"/>
              <w:right w:val="single" w:color="auto" w:sz="2" w:space="0"/>
            </w:tcBorders>
            <w:shd w:val="clear" w:color="auto" w:fill="D3D3D3"/>
            <w:vAlign w:val="center"/>
          </w:tcPr>
          <w:p w14:paraId="1A0D18EE">
            <w:pPr>
              <w:spacing w:before="40" w:after="40" w:line="240" w:lineRule="exact"/>
              <w:jc w:val="center"/>
              <w:rPr>
                <w:rFonts w:ascii="宋体" w:hAnsi="宋体" w:eastAsia="宋体" w:cs="宋体"/>
                <w:sz w:val="18"/>
                <w:szCs w:val="18"/>
              </w:rPr>
            </w:pPr>
            <w:r>
              <w:rPr>
                <w:rFonts w:ascii="宋体" w:hAnsi="宋体" w:eastAsia="宋体" w:cs="宋体"/>
                <w:sz w:val="18"/>
                <w:szCs w:val="18"/>
              </w:rPr>
              <w:t>排放口分布情况</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E88E5C9">
            <w:pPr>
              <w:spacing w:before="40" w:after="40" w:line="240" w:lineRule="exact"/>
              <w:jc w:val="center"/>
              <w:rPr>
                <w:rFonts w:ascii="宋体" w:hAnsi="宋体" w:eastAsia="宋体" w:cs="宋体"/>
                <w:sz w:val="18"/>
                <w:szCs w:val="18"/>
              </w:rPr>
            </w:pPr>
            <w:r>
              <w:rPr>
                <w:rFonts w:ascii="宋体" w:hAnsi="宋体" w:eastAsia="宋体" w:cs="宋体"/>
                <w:sz w:val="18"/>
                <w:szCs w:val="18"/>
              </w:rPr>
              <w:t>排放浓度/强度</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D86B4B8">
            <w:pPr>
              <w:spacing w:before="40" w:after="40" w:line="240" w:lineRule="exact"/>
              <w:jc w:val="center"/>
              <w:rPr>
                <w:rFonts w:ascii="宋体" w:hAnsi="宋体" w:eastAsia="宋体" w:cs="宋体"/>
                <w:sz w:val="18"/>
                <w:szCs w:val="18"/>
              </w:rPr>
            </w:pPr>
            <w:r>
              <w:rPr>
                <w:rFonts w:ascii="宋体" w:hAnsi="宋体" w:eastAsia="宋体" w:cs="宋体"/>
                <w:sz w:val="18"/>
                <w:szCs w:val="18"/>
              </w:rPr>
              <w:t>执行的污染物排放标准</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70C7351">
            <w:pPr>
              <w:spacing w:before="40" w:after="40" w:line="240" w:lineRule="exact"/>
              <w:jc w:val="center"/>
              <w:rPr>
                <w:rFonts w:ascii="宋体" w:hAnsi="宋体" w:eastAsia="宋体" w:cs="宋体"/>
                <w:sz w:val="18"/>
                <w:szCs w:val="18"/>
              </w:rPr>
            </w:pPr>
            <w:r>
              <w:rPr>
                <w:rFonts w:ascii="宋体" w:hAnsi="宋体" w:eastAsia="宋体" w:cs="宋体"/>
                <w:sz w:val="18"/>
                <w:szCs w:val="18"/>
              </w:rPr>
              <w:t>排放总量</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17A1662">
            <w:pPr>
              <w:spacing w:before="40" w:after="40" w:line="240" w:lineRule="exact"/>
              <w:jc w:val="center"/>
              <w:rPr>
                <w:rFonts w:ascii="宋体" w:hAnsi="宋体" w:eastAsia="宋体" w:cs="宋体"/>
                <w:sz w:val="18"/>
                <w:szCs w:val="18"/>
              </w:rPr>
            </w:pPr>
            <w:r>
              <w:rPr>
                <w:rFonts w:ascii="宋体" w:hAnsi="宋体" w:eastAsia="宋体" w:cs="宋体"/>
                <w:sz w:val="18"/>
                <w:szCs w:val="18"/>
              </w:rPr>
              <w:t>核定的排放总量</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9C9805A">
            <w:pPr>
              <w:spacing w:before="40" w:after="40" w:line="240" w:lineRule="exact"/>
              <w:jc w:val="center"/>
              <w:rPr>
                <w:rFonts w:ascii="宋体" w:hAnsi="宋体" w:eastAsia="宋体" w:cs="宋体"/>
                <w:sz w:val="18"/>
                <w:szCs w:val="18"/>
              </w:rPr>
            </w:pPr>
            <w:r>
              <w:rPr>
                <w:rFonts w:ascii="宋体" w:hAnsi="宋体" w:eastAsia="宋体" w:cs="宋体"/>
                <w:sz w:val="18"/>
                <w:szCs w:val="18"/>
              </w:rPr>
              <w:t>超标排放情况</w:t>
            </w:r>
          </w:p>
        </w:tc>
      </w:tr>
      <w:tr w14:paraId="5086D4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4BB81511">
            <w:pPr>
              <w:spacing w:before="0" w:after="0" w:line="240" w:lineRule="exact"/>
              <w:jc w:val="left"/>
              <w:rPr>
                <w:rFonts w:ascii="宋体" w:hAnsi="宋体" w:eastAsia="宋体" w:cs="宋体"/>
                <w:sz w:val="18"/>
                <w:szCs w:val="18"/>
              </w:rPr>
            </w:pPr>
            <w:r>
              <w:rPr>
                <w:rFonts w:ascii="宋体" w:hAnsi="宋体" w:eastAsia="宋体" w:cs="宋体"/>
                <w:sz w:val="18"/>
                <w:szCs w:val="18"/>
              </w:rPr>
              <w:t>广生堂</w:t>
            </w:r>
          </w:p>
        </w:tc>
        <w:tc>
          <w:tcPr>
            <w:tcW w:w="876" w:type="dxa"/>
            <w:tcBorders>
              <w:top w:val="single" w:color="auto" w:sz="2" w:space="0"/>
              <w:left w:val="single" w:color="auto" w:sz="2" w:space="0"/>
              <w:bottom w:val="single" w:color="auto" w:sz="2" w:space="0"/>
              <w:right w:val="single" w:color="auto" w:sz="2" w:space="0"/>
            </w:tcBorders>
            <w:vAlign w:val="center"/>
          </w:tcPr>
          <w:p w14:paraId="761F928B">
            <w:pPr>
              <w:spacing w:before="0" w:after="0" w:line="240" w:lineRule="exact"/>
              <w:jc w:val="left"/>
              <w:rPr>
                <w:rFonts w:ascii="宋体" w:hAnsi="宋体" w:eastAsia="宋体" w:cs="宋体"/>
                <w:sz w:val="18"/>
                <w:szCs w:val="18"/>
              </w:rPr>
            </w:pPr>
            <w:r>
              <w:rPr>
                <w:rFonts w:ascii="宋体" w:hAnsi="宋体" w:eastAsia="宋体" w:cs="宋体"/>
                <w:sz w:val="18"/>
                <w:szCs w:val="18"/>
              </w:rPr>
              <w:t>废水</w:t>
            </w:r>
          </w:p>
        </w:tc>
        <w:tc>
          <w:tcPr>
            <w:tcW w:w="805" w:type="dxa"/>
            <w:tcBorders>
              <w:top w:val="single" w:color="auto" w:sz="2" w:space="0"/>
              <w:left w:val="single" w:color="auto" w:sz="2" w:space="0"/>
              <w:bottom w:val="single" w:color="auto" w:sz="2" w:space="0"/>
              <w:right w:val="single" w:color="auto" w:sz="2" w:space="0"/>
            </w:tcBorders>
            <w:vAlign w:val="center"/>
          </w:tcPr>
          <w:p w14:paraId="5E5FF939">
            <w:pPr>
              <w:spacing w:before="0" w:after="0" w:line="240" w:lineRule="exact"/>
              <w:jc w:val="left"/>
              <w:rPr>
                <w:rFonts w:ascii="宋体" w:hAnsi="宋体" w:eastAsia="宋体" w:cs="宋体"/>
                <w:sz w:val="18"/>
                <w:szCs w:val="18"/>
              </w:rPr>
            </w:pPr>
            <w:r>
              <w:rPr>
                <w:rFonts w:ascii="宋体" w:hAnsi="宋体" w:eastAsia="宋体" w:cs="宋体"/>
                <w:sz w:val="18"/>
                <w:szCs w:val="18"/>
              </w:rPr>
              <w:t>COD</w:t>
            </w:r>
          </w:p>
        </w:tc>
        <w:tc>
          <w:tcPr>
            <w:tcW w:w="947" w:type="dxa"/>
            <w:tcBorders>
              <w:top w:val="single" w:color="auto" w:sz="2" w:space="0"/>
              <w:left w:val="single" w:color="auto" w:sz="2" w:space="0"/>
              <w:bottom w:val="single" w:color="auto" w:sz="2" w:space="0"/>
              <w:right w:val="single" w:color="auto" w:sz="2" w:space="0"/>
            </w:tcBorders>
            <w:vAlign w:val="center"/>
          </w:tcPr>
          <w:p w14:paraId="22D10B8F">
            <w:pPr>
              <w:spacing w:before="0" w:after="0" w:line="240" w:lineRule="exact"/>
              <w:jc w:val="left"/>
              <w:rPr>
                <w:rFonts w:ascii="宋体" w:hAnsi="宋体" w:eastAsia="宋体" w:cs="宋体"/>
                <w:sz w:val="18"/>
                <w:szCs w:val="18"/>
              </w:rPr>
            </w:pPr>
            <w:r>
              <w:rPr>
                <w:rFonts w:ascii="宋体" w:hAnsi="宋体" w:eastAsia="宋体" w:cs="宋体"/>
                <w:sz w:val="18"/>
                <w:szCs w:val="18"/>
              </w:rPr>
              <w:t>处理后达标排放</w:t>
            </w:r>
          </w:p>
        </w:tc>
        <w:tc>
          <w:tcPr>
            <w:tcW w:w="643" w:type="dxa"/>
            <w:tcBorders>
              <w:top w:val="single" w:color="auto" w:sz="2" w:space="0"/>
              <w:left w:val="single" w:color="auto" w:sz="2" w:space="0"/>
              <w:bottom w:val="single" w:color="auto" w:sz="2" w:space="0"/>
              <w:right w:val="single" w:color="auto" w:sz="2" w:space="0"/>
            </w:tcBorders>
            <w:vAlign w:val="center"/>
          </w:tcPr>
          <w:p w14:paraId="13A06F1B">
            <w:pPr>
              <w:spacing w:before="0" w:after="0" w:line="240" w:lineRule="exact"/>
              <w:jc w:val="left"/>
              <w:rPr>
                <w:rFonts w:ascii="宋体" w:hAnsi="宋体" w:eastAsia="宋体" w:cs="宋体"/>
                <w:sz w:val="18"/>
                <w:szCs w:val="18"/>
              </w:rPr>
            </w:pPr>
            <w:r>
              <w:rPr>
                <w:rFonts w:ascii="宋体" w:hAnsi="宋体" w:eastAsia="宋体" w:cs="宋体"/>
                <w:sz w:val="18"/>
                <w:szCs w:val="18"/>
              </w:rPr>
              <w:t>2</w:t>
            </w:r>
          </w:p>
        </w:tc>
        <w:tc>
          <w:tcPr>
            <w:tcW w:w="1109" w:type="dxa"/>
            <w:tcBorders>
              <w:top w:val="single" w:color="auto" w:sz="2" w:space="0"/>
              <w:left w:val="single" w:color="auto" w:sz="2" w:space="0"/>
              <w:bottom w:val="single" w:color="auto" w:sz="2" w:space="0"/>
              <w:right w:val="single" w:color="auto" w:sz="2" w:space="0"/>
            </w:tcBorders>
            <w:vAlign w:val="center"/>
          </w:tcPr>
          <w:p w14:paraId="0AC09648">
            <w:pPr>
              <w:spacing w:before="0" w:after="0" w:line="240" w:lineRule="exact"/>
              <w:jc w:val="left"/>
              <w:rPr>
                <w:rFonts w:ascii="宋体" w:hAnsi="宋体" w:eastAsia="宋体" w:cs="宋体"/>
                <w:sz w:val="18"/>
                <w:szCs w:val="18"/>
              </w:rPr>
            </w:pPr>
            <w:r>
              <w:rPr>
                <w:rFonts w:ascii="宋体" w:hAnsi="宋体" w:eastAsia="宋体" w:cs="宋体"/>
                <w:sz w:val="18"/>
                <w:szCs w:val="18"/>
              </w:rPr>
              <w:t>排放口位于污水处理站旁</w:t>
            </w:r>
          </w:p>
        </w:tc>
        <w:tc>
          <w:tcPr>
            <w:tcW w:w="876" w:type="dxa"/>
            <w:tcBorders>
              <w:top w:val="single" w:color="auto" w:sz="2" w:space="0"/>
              <w:left w:val="single" w:color="auto" w:sz="2" w:space="0"/>
              <w:bottom w:val="single" w:color="auto" w:sz="2" w:space="0"/>
              <w:right w:val="single" w:color="auto" w:sz="2" w:space="0"/>
            </w:tcBorders>
            <w:vAlign w:val="center"/>
          </w:tcPr>
          <w:p w14:paraId="586746DD">
            <w:pPr>
              <w:spacing w:before="0" w:after="0" w:line="240" w:lineRule="exact"/>
              <w:jc w:val="left"/>
              <w:rPr>
                <w:rFonts w:ascii="宋体" w:hAnsi="宋体" w:eastAsia="宋体" w:cs="宋体"/>
                <w:sz w:val="18"/>
                <w:szCs w:val="18"/>
              </w:rPr>
            </w:pPr>
            <w:r>
              <w:rPr>
                <w:rFonts w:ascii="宋体" w:hAnsi="宋体" w:eastAsia="宋体" w:cs="宋体"/>
                <w:sz w:val="18"/>
                <w:szCs w:val="18"/>
              </w:rPr>
              <w:t>18.494mg/L</w:t>
            </w:r>
          </w:p>
        </w:tc>
        <w:tc>
          <w:tcPr>
            <w:tcW w:w="876" w:type="dxa"/>
            <w:tcBorders>
              <w:top w:val="single" w:color="auto" w:sz="2" w:space="0"/>
              <w:left w:val="single" w:color="auto" w:sz="2" w:space="0"/>
              <w:bottom w:val="single" w:color="auto" w:sz="2" w:space="0"/>
              <w:right w:val="single" w:color="auto" w:sz="2" w:space="0"/>
            </w:tcBorders>
            <w:vAlign w:val="center"/>
          </w:tcPr>
          <w:p w14:paraId="781A4ACA">
            <w:pPr>
              <w:spacing w:before="0" w:after="0" w:line="240" w:lineRule="exact"/>
              <w:jc w:val="left"/>
              <w:rPr>
                <w:rFonts w:ascii="宋体" w:hAnsi="宋体" w:eastAsia="宋体" w:cs="宋体"/>
                <w:sz w:val="18"/>
                <w:szCs w:val="18"/>
              </w:rPr>
            </w:pPr>
            <w:r>
              <w:rPr>
                <w:rFonts w:ascii="宋体" w:hAnsi="宋体" w:eastAsia="宋体" w:cs="宋体"/>
                <w:sz w:val="18"/>
                <w:szCs w:val="18"/>
              </w:rPr>
              <w:t>400mg/L</w:t>
            </w:r>
          </w:p>
        </w:tc>
        <w:tc>
          <w:tcPr>
            <w:tcW w:w="876" w:type="dxa"/>
            <w:tcBorders>
              <w:top w:val="single" w:color="auto" w:sz="2" w:space="0"/>
              <w:left w:val="single" w:color="auto" w:sz="2" w:space="0"/>
              <w:bottom w:val="single" w:color="auto" w:sz="2" w:space="0"/>
              <w:right w:val="single" w:color="auto" w:sz="2" w:space="0"/>
            </w:tcBorders>
            <w:vAlign w:val="center"/>
          </w:tcPr>
          <w:p w14:paraId="05E30E81">
            <w:pPr>
              <w:spacing w:before="0" w:after="0" w:line="240" w:lineRule="exact"/>
              <w:jc w:val="left"/>
              <w:rPr>
                <w:rFonts w:ascii="宋体" w:hAnsi="宋体" w:eastAsia="宋体" w:cs="宋体"/>
                <w:sz w:val="18"/>
                <w:szCs w:val="18"/>
              </w:rPr>
            </w:pPr>
            <w:r>
              <w:rPr>
                <w:rFonts w:ascii="宋体" w:hAnsi="宋体" w:eastAsia="宋体" w:cs="宋体"/>
                <w:sz w:val="18"/>
                <w:szCs w:val="18"/>
              </w:rPr>
              <w:t>0.248337t</w:t>
            </w:r>
          </w:p>
        </w:tc>
        <w:tc>
          <w:tcPr>
            <w:tcW w:w="876" w:type="dxa"/>
            <w:tcBorders>
              <w:top w:val="single" w:color="auto" w:sz="2" w:space="0"/>
              <w:left w:val="single" w:color="auto" w:sz="2" w:space="0"/>
              <w:bottom w:val="single" w:color="auto" w:sz="2" w:space="0"/>
              <w:right w:val="single" w:color="auto" w:sz="2" w:space="0"/>
            </w:tcBorders>
            <w:vAlign w:val="center"/>
          </w:tcPr>
          <w:p w14:paraId="1ADF1C2F">
            <w:pPr>
              <w:spacing w:before="0" w:after="0" w:line="240" w:lineRule="exact"/>
              <w:jc w:val="left"/>
              <w:rPr>
                <w:rFonts w:ascii="宋体" w:hAnsi="宋体" w:eastAsia="宋体" w:cs="宋体"/>
                <w:sz w:val="18"/>
                <w:szCs w:val="18"/>
              </w:rPr>
            </w:pPr>
            <w:r>
              <w:rPr>
                <w:rFonts w:ascii="宋体" w:hAnsi="宋体" w:eastAsia="宋体" w:cs="宋体"/>
                <w:sz w:val="18"/>
                <w:szCs w:val="18"/>
              </w:rPr>
              <w:t>4.961t</w:t>
            </w:r>
          </w:p>
        </w:tc>
        <w:tc>
          <w:tcPr>
            <w:tcW w:w="876" w:type="dxa"/>
            <w:tcBorders>
              <w:top w:val="single" w:color="auto" w:sz="2" w:space="0"/>
              <w:left w:val="single" w:color="auto" w:sz="2" w:space="0"/>
              <w:bottom w:val="single" w:color="auto" w:sz="2" w:space="0"/>
              <w:right w:val="single" w:color="auto" w:sz="2" w:space="0"/>
            </w:tcBorders>
            <w:vAlign w:val="center"/>
          </w:tcPr>
          <w:p w14:paraId="2CD2E242">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r w14:paraId="0A67AE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735255E3">
            <w:pPr>
              <w:spacing w:before="0" w:after="0" w:line="240" w:lineRule="exact"/>
              <w:jc w:val="left"/>
              <w:rPr>
                <w:rFonts w:ascii="宋体" w:hAnsi="宋体" w:eastAsia="宋体" w:cs="宋体"/>
                <w:sz w:val="18"/>
                <w:szCs w:val="18"/>
              </w:rPr>
            </w:pPr>
            <w:r>
              <w:rPr>
                <w:rFonts w:ascii="宋体" w:hAnsi="宋体" w:eastAsia="宋体" w:cs="宋体"/>
                <w:sz w:val="18"/>
                <w:szCs w:val="18"/>
              </w:rPr>
              <w:t>广生堂</w:t>
            </w:r>
          </w:p>
        </w:tc>
        <w:tc>
          <w:tcPr>
            <w:tcW w:w="876" w:type="dxa"/>
            <w:tcBorders>
              <w:top w:val="single" w:color="auto" w:sz="2" w:space="0"/>
              <w:left w:val="single" w:color="auto" w:sz="2" w:space="0"/>
              <w:bottom w:val="single" w:color="auto" w:sz="2" w:space="0"/>
              <w:right w:val="single" w:color="auto" w:sz="2" w:space="0"/>
            </w:tcBorders>
            <w:vAlign w:val="center"/>
          </w:tcPr>
          <w:p w14:paraId="2A73165A">
            <w:pPr>
              <w:spacing w:before="0" w:after="0" w:line="240" w:lineRule="exact"/>
              <w:jc w:val="left"/>
              <w:rPr>
                <w:rFonts w:ascii="宋体" w:hAnsi="宋体" w:eastAsia="宋体" w:cs="宋体"/>
                <w:sz w:val="18"/>
                <w:szCs w:val="18"/>
              </w:rPr>
            </w:pPr>
            <w:r>
              <w:rPr>
                <w:rFonts w:ascii="宋体" w:hAnsi="宋体" w:eastAsia="宋体" w:cs="宋体"/>
                <w:sz w:val="18"/>
                <w:szCs w:val="18"/>
              </w:rPr>
              <w:t>废水</w:t>
            </w:r>
          </w:p>
        </w:tc>
        <w:tc>
          <w:tcPr>
            <w:tcW w:w="805" w:type="dxa"/>
            <w:tcBorders>
              <w:top w:val="single" w:color="auto" w:sz="2" w:space="0"/>
              <w:left w:val="single" w:color="auto" w:sz="2" w:space="0"/>
              <w:bottom w:val="single" w:color="auto" w:sz="2" w:space="0"/>
              <w:right w:val="single" w:color="auto" w:sz="2" w:space="0"/>
            </w:tcBorders>
            <w:vAlign w:val="center"/>
          </w:tcPr>
          <w:p w14:paraId="28DD05B2">
            <w:pPr>
              <w:spacing w:before="0" w:after="0" w:line="240" w:lineRule="exact"/>
              <w:jc w:val="left"/>
              <w:rPr>
                <w:rFonts w:ascii="宋体" w:hAnsi="宋体" w:eastAsia="宋体" w:cs="宋体"/>
                <w:sz w:val="18"/>
                <w:szCs w:val="18"/>
              </w:rPr>
            </w:pPr>
            <w:r>
              <w:rPr>
                <w:rFonts w:ascii="宋体" w:hAnsi="宋体" w:eastAsia="宋体" w:cs="宋体"/>
                <w:sz w:val="18"/>
                <w:szCs w:val="18"/>
              </w:rPr>
              <w:t>氨氮</w:t>
            </w:r>
          </w:p>
        </w:tc>
        <w:tc>
          <w:tcPr>
            <w:tcW w:w="947" w:type="dxa"/>
            <w:tcBorders>
              <w:top w:val="single" w:color="auto" w:sz="2" w:space="0"/>
              <w:left w:val="single" w:color="auto" w:sz="2" w:space="0"/>
              <w:bottom w:val="single" w:color="auto" w:sz="2" w:space="0"/>
              <w:right w:val="single" w:color="auto" w:sz="2" w:space="0"/>
            </w:tcBorders>
            <w:vAlign w:val="center"/>
          </w:tcPr>
          <w:p w14:paraId="4F47F2C5">
            <w:pPr>
              <w:spacing w:before="0" w:after="0" w:line="240" w:lineRule="exact"/>
              <w:jc w:val="left"/>
              <w:rPr>
                <w:rFonts w:ascii="宋体" w:hAnsi="宋体" w:eastAsia="宋体" w:cs="宋体"/>
                <w:sz w:val="18"/>
                <w:szCs w:val="18"/>
              </w:rPr>
            </w:pPr>
            <w:r>
              <w:rPr>
                <w:rFonts w:ascii="宋体" w:hAnsi="宋体" w:eastAsia="宋体" w:cs="宋体"/>
                <w:sz w:val="18"/>
                <w:szCs w:val="18"/>
              </w:rPr>
              <w:t>处理后达标排放</w:t>
            </w:r>
          </w:p>
        </w:tc>
        <w:tc>
          <w:tcPr>
            <w:tcW w:w="643" w:type="dxa"/>
            <w:tcBorders>
              <w:top w:val="single" w:color="auto" w:sz="2" w:space="0"/>
              <w:left w:val="single" w:color="auto" w:sz="2" w:space="0"/>
              <w:bottom w:val="single" w:color="auto" w:sz="2" w:space="0"/>
              <w:right w:val="single" w:color="auto" w:sz="2" w:space="0"/>
            </w:tcBorders>
            <w:vAlign w:val="center"/>
          </w:tcPr>
          <w:p w14:paraId="0AEC04FB">
            <w:pPr>
              <w:spacing w:before="0" w:after="0" w:line="240" w:lineRule="exact"/>
              <w:jc w:val="left"/>
              <w:rPr>
                <w:rFonts w:ascii="宋体" w:hAnsi="宋体" w:eastAsia="宋体" w:cs="宋体"/>
                <w:sz w:val="18"/>
                <w:szCs w:val="18"/>
              </w:rPr>
            </w:pPr>
            <w:r>
              <w:rPr>
                <w:rFonts w:ascii="宋体" w:hAnsi="宋体" w:eastAsia="宋体" w:cs="宋体"/>
                <w:sz w:val="18"/>
                <w:szCs w:val="18"/>
              </w:rPr>
              <w:t>2</w:t>
            </w:r>
          </w:p>
        </w:tc>
        <w:tc>
          <w:tcPr>
            <w:tcW w:w="1109" w:type="dxa"/>
            <w:tcBorders>
              <w:top w:val="single" w:color="auto" w:sz="2" w:space="0"/>
              <w:left w:val="single" w:color="auto" w:sz="2" w:space="0"/>
              <w:bottom w:val="single" w:color="auto" w:sz="2" w:space="0"/>
              <w:right w:val="single" w:color="auto" w:sz="2" w:space="0"/>
            </w:tcBorders>
            <w:vAlign w:val="center"/>
          </w:tcPr>
          <w:p w14:paraId="286E4697">
            <w:pPr>
              <w:spacing w:before="0" w:after="0" w:line="240" w:lineRule="exact"/>
              <w:jc w:val="left"/>
              <w:rPr>
                <w:rFonts w:ascii="宋体" w:hAnsi="宋体" w:eastAsia="宋体" w:cs="宋体"/>
                <w:sz w:val="18"/>
                <w:szCs w:val="18"/>
              </w:rPr>
            </w:pPr>
            <w:r>
              <w:rPr>
                <w:rFonts w:ascii="宋体" w:hAnsi="宋体" w:eastAsia="宋体" w:cs="宋体"/>
                <w:sz w:val="18"/>
                <w:szCs w:val="18"/>
              </w:rPr>
              <w:t>排放口位于污水处理站旁</w:t>
            </w:r>
          </w:p>
        </w:tc>
        <w:tc>
          <w:tcPr>
            <w:tcW w:w="876" w:type="dxa"/>
            <w:tcBorders>
              <w:top w:val="single" w:color="auto" w:sz="2" w:space="0"/>
              <w:left w:val="single" w:color="auto" w:sz="2" w:space="0"/>
              <w:bottom w:val="single" w:color="auto" w:sz="2" w:space="0"/>
              <w:right w:val="single" w:color="auto" w:sz="2" w:space="0"/>
            </w:tcBorders>
            <w:vAlign w:val="center"/>
          </w:tcPr>
          <w:p w14:paraId="3A5C19FC">
            <w:pPr>
              <w:spacing w:before="0" w:after="0" w:line="240" w:lineRule="exact"/>
              <w:jc w:val="left"/>
              <w:rPr>
                <w:rFonts w:ascii="宋体" w:hAnsi="宋体" w:eastAsia="宋体" w:cs="宋体"/>
                <w:sz w:val="18"/>
                <w:szCs w:val="18"/>
              </w:rPr>
            </w:pPr>
            <w:r>
              <w:rPr>
                <w:rFonts w:ascii="宋体" w:hAnsi="宋体" w:eastAsia="宋体" w:cs="宋体"/>
                <w:sz w:val="18"/>
                <w:szCs w:val="18"/>
              </w:rPr>
              <w:t>4.387mg/L</w:t>
            </w:r>
          </w:p>
        </w:tc>
        <w:tc>
          <w:tcPr>
            <w:tcW w:w="876" w:type="dxa"/>
            <w:tcBorders>
              <w:top w:val="single" w:color="auto" w:sz="2" w:space="0"/>
              <w:left w:val="single" w:color="auto" w:sz="2" w:space="0"/>
              <w:bottom w:val="single" w:color="auto" w:sz="2" w:space="0"/>
              <w:right w:val="single" w:color="auto" w:sz="2" w:space="0"/>
            </w:tcBorders>
            <w:vAlign w:val="center"/>
          </w:tcPr>
          <w:p w14:paraId="3C6B1B41">
            <w:pPr>
              <w:spacing w:before="0" w:after="0" w:line="240" w:lineRule="exact"/>
              <w:jc w:val="left"/>
              <w:rPr>
                <w:rFonts w:ascii="宋体" w:hAnsi="宋体" w:eastAsia="宋体" w:cs="宋体"/>
                <w:sz w:val="18"/>
                <w:szCs w:val="18"/>
              </w:rPr>
            </w:pPr>
            <w:r>
              <w:rPr>
                <w:rFonts w:ascii="宋体" w:hAnsi="宋体" w:eastAsia="宋体" w:cs="宋体"/>
                <w:sz w:val="18"/>
                <w:szCs w:val="18"/>
              </w:rPr>
              <w:t>40mg/L</w:t>
            </w:r>
          </w:p>
        </w:tc>
        <w:tc>
          <w:tcPr>
            <w:tcW w:w="876" w:type="dxa"/>
            <w:tcBorders>
              <w:top w:val="single" w:color="auto" w:sz="2" w:space="0"/>
              <w:left w:val="single" w:color="auto" w:sz="2" w:space="0"/>
              <w:bottom w:val="single" w:color="auto" w:sz="2" w:space="0"/>
              <w:right w:val="single" w:color="auto" w:sz="2" w:space="0"/>
            </w:tcBorders>
            <w:vAlign w:val="center"/>
          </w:tcPr>
          <w:p w14:paraId="374D4ED7">
            <w:pPr>
              <w:spacing w:before="0" w:after="0" w:line="240" w:lineRule="exact"/>
              <w:jc w:val="left"/>
              <w:rPr>
                <w:rFonts w:ascii="宋体" w:hAnsi="宋体" w:eastAsia="宋体" w:cs="宋体"/>
                <w:sz w:val="18"/>
                <w:szCs w:val="18"/>
              </w:rPr>
            </w:pPr>
            <w:r>
              <w:rPr>
                <w:rFonts w:ascii="宋体" w:hAnsi="宋体" w:eastAsia="宋体" w:cs="宋体"/>
                <w:sz w:val="18"/>
                <w:szCs w:val="18"/>
              </w:rPr>
              <w:t>0.037721t</w:t>
            </w:r>
          </w:p>
        </w:tc>
        <w:tc>
          <w:tcPr>
            <w:tcW w:w="876" w:type="dxa"/>
            <w:tcBorders>
              <w:top w:val="single" w:color="auto" w:sz="2" w:space="0"/>
              <w:left w:val="single" w:color="auto" w:sz="2" w:space="0"/>
              <w:bottom w:val="single" w:color="auto" w:sz="2" w:space="0"/>
              <w:right w:val="single" w:color="auto" w:sz="2" w:space="0"/>
            </w:tcBorders>
            <w:vAlign w:val="center"/>
          </w:tcPr>
          <w:p w14:paraId="2CD41992">
            <w:pPr>
              <w:spacing w:before="0" w:after="0" w:line="240" w:lineRule="exact"/>
              <w:jc w:val="left"/>
              <w:rPr>
                <w:rFonts w:ascii="宋体" w:hAnsi="宋体" w:eastAsia="宋体" w:cs="宋体"/>
                <w:sz w:val="18"/>
                <w:szCs w:val="18"/>
              </w:rPr>
            </w:pPr>
            <w:r>
              <w:rPr>
                <w:rFonts w:ascii="宋体" w:hAnsi="宋体" w:eastAsia="宋体" w:cs="宋体"/>
                <w:sz w:val="18"/>
                <w:szCs w:val="18"/>
              </w:rPr>
              <w:t>0.69t</w:t>
            </w:r>
          </w:p>
        </w:tc>
        <w:tc>
          <w:tcPr>
            <w:tcW w:w="876" w:type="dxa"/>
            <w:tcBorders>
              <w:top w:val="single" w:color="auto" w:sz="2" w:space="0"/>
              <w:left w:val="single" w:color="auto" w:sz="2" w:space="0"/>
              <w:bottom w:val="single" w:color="auto" w:sz="2" w:space="0"/>
              <w:right w:val="single" w:color="auto" w:sz="2" w:space="0"/>
            </w:tcBorders>
            <w:vAlign w:val="center"/>
          </w:tcPr>
          <w:p w14:paraId="4D0A138D">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r w14:paraId="07F8CF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3D5045B3">
            <w:pPr>
              <w:spacing w:before="0" w:after="0" w:line="240" w:lineRule="exact"/>
              <w:jc w:val="left"/>
              <w:rPr>
                <w:rFonts w:ascii="宋体" w:hAnsi="宋体" w:eastAsia="宋体" w:cs="宋体"/>
                <w:sz w:val="18"/>
                <w:szCs w:val="18"/>
              </w:rPr>
            </w:pPr>
            <w:r>
              <w:rPr>
                <w:rFonts w:ascii="宋体" w:hAnsi="宋体" w:eastAsia="宋体" w:cs="宋体"/>
                <w:sz w:val="18"/>
                <w:szCs w:val="18"/>
              </w:rPr>
              <w:t>广生堂</w:t>
            </w:r>
          </w:p>
        </w:tc>
        <w:tc>
          <w:tcPr>
            <w:tcW w:w="876" w:type="dxa"/>
            <w:tcBorders>
              <w:top w:val="single" w:color="auto" w:sz="2" w:space="0"/>
              <w:left w:val="single" w:color="auto" w:sz="2" w:space="0"/>
              <w:bottom w:val="single" w:color="auto" w:sz="2" w:space="0"/>
              <w:right w:val="single" w:color="auto" w:sz="2" w:space="0"/>
            </w:tcBorders>
            <w:vAlign w:val="center"/>
          </w:tcPr>
          <w:p w14:paraId="3F5094B6">
            <w:pPr>
              <w:spacing w:before="0" w:after="0" w:line="240" w:lineRule="exact"/>
              <w:jc w:val="left"/>
              <w:rPr>
                <w:rFonts w:ascii="宋体" w:hAnsi="宋体" w:eastAsia="宋体" w:cs="宋体"/>
                <w:sz w:val="18"/>
                <w:szCs w:val="18"/>
              </w:rPr>
            </w:pPr>
            <w:r>
              <w:rPr>
                <w:rFonts w:ascii="宋体" w:hAnsi="宋体" w:eastAsia="宋体" w:cs="宋体"/>
                <w:sz w:val="18"/>
                <w:szCs w:val="18"/>
              </w:rPr>
              <w:t>废水</w:t>
            </w:r>
          </w:p>
        </w:tc>
        <w:tc>
          <w:tcPr>
            <w:tcW w:w="805" w:type="dxa"/>
            <w:tcBorders>
              <w:top w:val="single" w:color="auto" w:sz="2" w:space="0"/>
              <w:left w:val="single" w:color="auto" w:sz="2" w:space="0"/>
              <w:bottom w:val="single" w:color="auto" w:sz="2" w:space="0"/>
              <w:right w:val="single" w:color="auto" w:sz="2" w:space="0"/>
            </w:tcBorders>
            <w:vAlign w:val="center"/>
          </w:tcPr>
          <w:p w14:paraId="2A5663DD">
            <w:pPr>
              <w:spacing w:before="0" w:after="0" w:line="240" w:lineRule="exact"/>
              <w:jc w:val="left"/>
              <w:rPr>
                <w:rFonts w:ascii="宋体" w:hAnsi="宋体" w:eastAsia="宋体" w:cs="宋体"/>
                <w:sz w:val="18"/>
                <w:szCs w:val="18"/>
              </w:rPr>
            </w:pPr>
            <w:r>
              <w:rPr>
                <w:rFonts w:ascii="宋体" w:hAnsi="宋体" w:eastAsia="宋体" w:cs="宋体"/>
                <w:sz w:val="18"/>
                <w:szCs w:val="18"/>
              </w:rPr>
              <w:t>总氮</w:t>
            </w:r>
          </w:p>
        </w:tc>
        <w:tc>
          <w:tcPr>
            <w:tcW w:w="947" w:type="dxa"/>
            <w:tcBorders>
              <w:top w:val="single" w:color="auto" w:sz="2" w:space="0"/>
              <w:left w:val="single" w:color="auto" w:sz="2" w:space="0"/>
              <w:bottom w:val="single" w:color="auto" w:sz="2" w:space="0"/>
              <w:right w:val="single" w:color="auto" w:sz="2" w:space="0"/>
            </w:tcBorders>
            <w:vAlign w:val="center"/>
          </w:tcPr>
          <w:p w14:paraId="1B06FFE9">
            <w:pPr>
              <w:spacing w:before="0" w:after="0" w:line="240" w:lineRule="exact"/>
              <w:jc w:val="left"/>
              <w:rPr>
                <w:rFonts w:ascii="宋体" w:hAnsi="宋体" w:eastAsia="宋体" w:cs="宋体"/>
                <w:sz w:val="18"/>
                <w:szCs w:val="18"/>
              </w:rPr>
            </w:pPr>
            <w:r>
              <w:rPr>
                <w:rFonts w:ascii="宋体" w:hAnsi="宋体" w:eastAsia="宋体" w:cs="宋体"/>
                <w:sz w:val="18"/>
                <w:szCs w:val="18"/>
              </w:rPr>
              <w:t>处理后达标排放</w:t>
            </w:r>
          </w:p>
        </w:tc>
        <w:tc>
          <w:tcPr>
            <w:tcW w:w="643" w:type="dxa"/>
            <w:tcBorders>
              <w:top w:val="single" w:color="auto" w:sz="2" w:space="0"/>
              <w:left w:val="single" w:color="auto" w:sz="2" w:space="0"/>
              <w:bottom w:val="single" w:color="auto" w:sz="2" w:space="0"/>
              <w:right w:val="single" w:color="auto" w:sz="2" w:space="0"/>
            </w:tcBorders>
            <w:vAlign w:val="center"/>
          </w:tcPr>
          <w:p w14:paraId="0B029B34">
            <w:pPr>
              <w:spacing w:before="0" w:after="0" w:line="240" w:lineRule="exact"/>
              <w:jc w:val="left"/>
              <w:rPr>
                <w:rFonts w:ascii="宋体" w:hAnsi="宋体" w:eastAsia="宋体" w:cs="宋体"/>
                <w:sz w:val="18"/>
                <w:szCs w:val="18"/>
              </w:rPr>
            </w:pPr>
            <w:r>
              <w:rPr>
                <w:rFonts w:ascii="宋体" w:hAnsi="宋体" w:eastAsia="宋体" w:cs="宋体"/>
                <w:sz w:val="18"/>
                <w:szCs w:val="18"/>
              </w:rPr>
              <w:t>2</w:t>
            </w:r>
          </w:p>
        </w:tc>
        <w:tc>
          <w:tcPr>
            <w:tcW w:w="1109" w:type="dxa"/>
            <w:tcBorders>
              <w:top w:val="single" w:color="auto" w:sz="2" w:space="0"/>
              <w:left w:val="single" w:color="auto" w:sz="2" w:space="0"/>
              <w:bottom w:val="single" w:color="auto" w:sz="2" w:space="0"/>
              <w:right w:val="single" w:color="auto" w:sz="2" w:space="0"/>
            </w:tcBorders>
            <w:vAlign w:val="center"/>
          </w:tcPr>
          <w:p w14:paraId="114EC786">
            <w:pPr>
              <w:spacing w:before="0" w:after="0" w:line="240" w:lineRule="exact"/>
              <w:jc w:val="left"/>
              <w:rPr>
                <w:rFonts w:ascii="宋体" w:hAnsi="宋体" w:eastAsia="宋体" w:cs="宋体"/>
                <w:sz w:val="18"/>
                <w:szCs w:val="18"/>
              </w:rPr>
            </w:pPr>
            <w:r>
              <w:rPr>
                <w:rFonts w:ascii="宋体" w:hAnsi="宋体" w:eastAsia="宋体" w:cs="宋体"/>
                <w:sz w:val="18"/>
                <w:szCs w:val="18"/>
              </w:rPr>
              <w:t>排放口位于污水处理站旁</w:t>
            </w:r>
          </w:p>
        </w:tc>
        <w:tc>
          <w:tcPr>
            <w:tcW w:w="876" w:type="dxa"/>
            <w:tcBorders>
              <w:top w:val="single" w:color="auto" w:sz="2" w:space="0"/>
              <w:left w:val="single" w:color="auto" w:sz="2" w:space="0"/>
              <w:bottom w:val="single" w:color="auto" w:sz="2" w:space="0"/>
              <w:right w:val="single" w:color="auto" w:sz="2" w:space="0"/>
            </w:tcBorders>
            <w:vAlign w:val="center"/>
          </w:tcPr>
          <w:p w14:paraId="4A12717C">
            <w:pPr>
              <w:spacing w:before="0" w:after="0" w:line="240" w:lineRule="exact"/>
              <w:jc w:val="left"/>
              <w:rPr>
                <w:rFonts w:ascii="宋体" w:hAnsi="宋体" w:eastAsia="宋体" w:cs="宋体"/>
                <w:sz w:val="18"/>
                <w:szCs w:val="18"/>
              </w:rPr>
            </w:pPr>
            <w:r>
              <w:rPr>
                <w:rFonts w:ascii="宋体" w:hAnsi="宋体" w:eastAsia="宋体" w:cs="宋体"/>
                <w:sz w:val="18"/>
                <w:szCs w:val="18"/>
              </w:rPr>
              <w:t>22.675mg/L</w:t>
            </w:r>
          </w:p>
        </w:tc>
        <w:tc>
          <w:tcPr>
            <w:tcW w:w="876" w:type="dxa"/>
            <w:tcBorders>
              <w:top w:val="single" w:color="auto" w:sz="2" w:space="0"/>
              <w:left w:val="single" w:color="auto" w:sz="2" w:space="0"/>
              <w:bottom w:val="single" w:color="auto" w:sz="2" w:space="0"/>
              <w:right w:val="single" w:color="auto" w:sz="2" w:space="0"/>
            </w:tcBorders>
            <w:vAlign w:val="center"/>
          </w:tcPr>
          <w:p w14:paraId="50E71BEC">
            <w:pPr>
              <w:spacing w:before="0" w:after="0" w:line="240" w:lineRule="exact"/>
              <w:jc w:val="left"/>
              <w:rPr>
                <w:rFonts w:ascii="宋体" w:hAnsi="宋体" w:eastAsia="宋体" w:cs="宋体"/>
                <w:sz w:val="18"/>
                <w:szCs w:val="18"/>
              </w:rPr>
            </w:pPr>
            <w:r>
              <w:rPr>
                <w:rFonts w:ascii="宋体" w:hAnsi="宋体" w:eastAsia="宋体" w:cs="宋体"/>
                <w:sz w:val="18"/>
                <w:szCs w:val="18"/>
              </w:rPr>
              <w:t>45mg/L</w:t>
            </w:r>
          </w:p>
        </w:tc>
        <w:tc>
          <w:tcPr>
            <w:tcW w:w="876" w:type="dxa"/>
            <w:tcBorders>
              <w:top w:val="single" w:color="auto" w:sz="2" w:space="0"/>
              <w:left w:val="single" w:color="auto" w:sz="2" w:space="0"/>
              <w:bottom w:val="single" w:color="auto" w:sz="2" w:space="0"/>
              <w:right w:val="single" w:color="auto" w:sz="2" w:space="0"/>
            </w:tcBorders>
            <w:vAlign w:val="center"/>
          </w:tcPr>
          <w:p w14:paraId="7DD5A8F4">
            <w:pPr>
              <w:spacing w:before="0" w:after="0" w:line="240" w:lineRule="exact"/>
              <w:jc w:val="left"/>
              <w:rPr>
                <w:rFonts w:ascii="宋体" w:hAnsi="宋体" w:eastAsia="宋体" w:cs="宋体"/>
                <w:sz w:val="18"/>
                <w:szCs w:val="18"/>
              </w:rPr>
            </w:pPr>
            <w:r>
              <w:rPr>
                <w:rFonts w:ascii="宋体" w:hAnsi="宋体" w:eastAsia="宋体" w:cs="宋体"/>
                <w:sz w:val="18"/>
                <w:szCs w:val="18"/>
              </w:rPr>
              <w:t>0.063294t</w:t>
            </w:r>
          </w:p>
        </w:tc>
        <w:tc>
          <w:tcPr>
            <w:tcW w:w="876" w:type="dxa"/>
            <w:tcBorders>
              <w:top w:val="single" w:color="auto" w:sz="2" w:space="0"/>
              <w:left w:val="single" w:color="auto" w:sz="2" w:space="0"/>
              <w:bottom w:val="single" w:color="auto" w:sz="2" w:space="0"/>
              <w:right w:val="single" w:color="auto" w:sz="2" w:space="0"/>
            </w:tcBorders>
            <w:vAlign w:val="center"/>
          </w:tcPr>
          <w:p w14:paraId="4E92B2FA">
            <w:pPr>
              <w:spacing w:before="0" w:after="0" w:line="240" w:lineRule="exact"/>
              <w:jc w:val="left"/>
              <w:rPr>
                <w:rFonts w:ascii="宋体" w:hAnsi="宋体" w:eastAsia="宋体" w:cs="宋体"/>
                <w:sz w:val="18"/>
                <w:szCs w:val="18"/>
              </w:rPr>
            </w:pPr>
            <w:r>
              <w:rPr>
                <w:rFonts w:ascii="宋体" w:hAnsi="宋体" w:eastAsia="宋体" w:cs="宋体"/>
                <w:sz w:val="18"/>
                <w:szCs w:val="18"/>
              </w:rPr>
              <w:t>/</w:t>
            </w:r>
          </w:p>
        </w:tc>
        <w:tc>
          <w:tcPr>
            <w:tcW w:w="876" w:type="dxa"/>
            <w:tcBorders>
              <w:top w:val="single" w:color="auto" w:sz="2" w:space="0"/>
              <w:left w:val="single" w:color="auto" w:sz="2" w:space="0"/>
              <w:bottom w:val="single" w:color="auto" w:sz="2" w:space="0"/>
              <w:right w:val="single" w:color="auto" w:sz="2" w:space="0"/>
            </w:tcBorders>
            <w:vAlign w:val="center"/>
          </w:tcPr>
          <w:p w14:paraId="3CFF820C">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r w14:paraId="41E187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01CABCEB">
            <w:pPr>
              <w:spacing w:before="0" w:after="0" w:line="240" w:lineRule="exact"/>
              <w:jc w:val="left"/>
              <w:rPr>
                <w:rFonts w:ascii="宋体" w:hAnsi="宋体" w:eastAsia="宋体" w:cs="宋体"/>
                <w:sz w:val="18"/>
                <w:szCs w:val="18"/>
              </w:rPr>
            </w:pPr>
            <w:r>
              <w:rPr>
                <w:rFonts w:ascii="宋体" w:hAnsi="宋体" w:eastAsia="宋体" w:cs="宋体"/>
                <w:sz w:val="18"/>
                <w:szCs w:val="18"/>
              </w:rPr>
              <w:t>广生堂</w:t>
            </w:r>
          </w:p>
        </w:tc>
        <w:tc>
          <w:tcPr>
            <w:tcW w:w="876" w:type="dxa"/>
            <w:tcBorders>
              <w:top w:val="single" w:color="auto" w:sz="2" w:space="0"/>
              <w:left w:val="single" w:color="auto" w:sz="2" w:space="0"/>
              <w:bottom w:val="single" w:color="auto" w:sz="2" w:space="0"/>
              <w:right w:val="single" w:color="auto" w:sz="2" w:space="0"/>
            </w:tcBorders>
            <w:vAlign w:val="center"/>
          </w:tcPr>
          <w:p w14:paraId="76CDDD65">
            <w:pPr>
              <w:spacing w:before="0" w:after="0" w:line="240" w:lineRule="exact"/>
              <w:jc w:val="left"/>
              <w:rPr>
                <w:rFonts w:ascii="宋体" w:hAnsi="宋体" w:eastAsia="宋体" w:cs="宋体"/>
                <w:sz w:val="18"/>
                <w:szCs w:val="18"/>
              </w:rPr>
            </w:pPr>
            <w:r>
              <w:rPr>
                <w:rFonts w:ascii="宋体" w:hAnsi="宋体" w:eastAsia="宋体" w:cs="宋体"/>
                <w:sz w:val="18"/>
                <w:szCs w:val="18"/>
              </w:rPr>
              <w:t>废水</w:t>
            </w:r>
          </w:p>
        </w:tc>
        <w:tc>
          <w:tcPr>
            <w:tcW w:w="805" w:type="dxa"/>
            <w:tcBorders>
              <w:top w:val="single" w:color="auto" w:sz="2" w:space="0"/>
              <w:left w:val="single" w:color="auto" w:sz="2" w:space="0"/>
              <w:bottom w:val="single" w:color="auto" w:sz="2" w:space="0"/>
              <w:right w:val="single" w:color="auto" w:sz="2" w:space="0"/>
            </w:tcBorders>
            <w:vAlign w:val="center"/>
          </w:tcPr>
          <w:p w14:paraId="1613B8C2">
            <w:pPr>
              <w:spacing w:before="0" w:after="0" w:line="240" w:lineRule="exact"/>
              <w:jc w:val="left"/>
              <w:rPr>
                <w:rFonts w:ascii="宋体" w:hAnsi="宋体" w:eastAsia="宋体" w:cs="宋体"/>
                <w:sz w:val="18"/>
                <w:szCs w:val="18"/>
              </w:rPr>
            </w:pPr>
            <w:r>
              <w:rPr>
                <w:rFonts w:ascii="宋体" w:hAnsi="宋体" w:eastAsia="宋体" w:cs="宋体"/>
                <w:sz w:val="18"/>
                <w:szCs w:val="18"/>
              </w:rPr>
              <w:t>二氯甲烷</w:t>
            </w:r>
          </w:p>
        </w:tc>
        <w:tc>
          <w:tcPr>
            <w:tcW w:w="947" w:type="dxa"/>
            <w:tcBorders>
              <w:top w:val="single" w:color="auto" w:sz="2" w:space="0"/>
              <w:left w:val="single" w:color="auto" w:sz="2" w:space="0"/>
              <w:bottom w:val="single" w:color="auto" w:sz="2" w:space="0"/>
              <w:right w:val="single" w:color="auto" w:sz="2" w:space="0"/>
            </w:tcBorders>
            <w:vAlign w:val="center"/>
          </w:tcPr>
          <w:p w14:paraId="35491C5C">
            <w:pPr>
              <w:spacing w:before="0" w:after="0" w:line="240" w:lineRule="exact"/>
              <w:jc w:val="left"/>
              <w:rPr>
                <w:rFonts w:ascii="宋体" w:hAnsi="宋体" w:eastAsia="宋体" w:cs="宋体"/>
                <w:sz w:val="18"/>
                <w:szCs w:val="18"/>
              </w:rPr>
            </w:pPr>
            <w:r>
              <w:rPr>
                <w:rFonts w:ascii="宋体" w:hAnsi="宋体" w:eastAsia="宋体" w:cs="宋体"/>
                <w:sz w:val="18"/>
                <w:szCs w:val="18"/>
              </w:rPr>
              <w:t>处理后达标排放</w:t>
            </w:r>
          </w:p>
        </w:tc>
        <w:tc>
          <w:tcPr>
            <w:tcW w:w="643" w:type="dxa"/>
            <w:tcBorders>
              <w:top w:val="single" w:color="auto" w:sz="2" w:space="0"/>
              <w:left w:val="single" w:color="auto" w:sz="2" w:space="0"/>
              <w:bottom w:val="single" w:color="auto" w:sz="2" w:space="0"/>
              <w:right w:val="single" w:color="auto" w:sz="2" w:space="0"/>
            </w:tcBorders>
            <w:vAlign w:val="center"/>
          </w:tcPr>
          <w:p w14:paraId="1531C71B">
            <w:pPr>
              <w:spacing w:before="0" w:after="0" w:line="240" w:lineRule="exact"/>
              <w:jc w:val="left"/>
              <w:rPr>
                <w:rFonts w:ascii="宋体" w:hAnsi="宋体" w:eastAsia="宋体" w:cs="宋体"/>
                <w:sz w:val="18"/>
                <w:szCs w:val="18"/>
              </w:rPr>
            </w:pPr>
            <w:r>
              <w:rPr>
                <w:rFonts w:ascii="宋体" w:hAnsi="宋体" w:eastAsia="宋体" w:cs="宋体"/>
                <w:sz w:val="18"/>
                <w:szCs w:val="18"/>
              </w:rPr>
              <w:t>2</w:t>
            </w:r>
          </w:p>
        </w:tc>
        <w:tc>
          <w:tcPr>
            <w:tcW w:w="1109" w:type="dxa"/>
            <w:tcBorders>
              <w:top w:val="single" w:color="auto" w:sz="2" w:space="0"/>
              <w:left w:val="single" w:color="auto" w:sz="2" w:space="0"/>
              <w:bottom w:val="single" w:color="auto" w:sz="2" w:space="0"/>
              <w:right w:val="single" w:color="auto" w:sz="2" w:space="0"/>
            </w:tcBorders>
            <w:vAlign w:val="center"/>
          </w:tcPr>
          <w:p w14:paraId="4217082F">
            <w:pPr>
              <w:spacing w:before="0" w:after="0" w:line="240" w:lineRule="exact"/>
              <w:jc w:val="left"/>
              <w:rPr>
                <w:rFonts w:ascii="宋体" w:hAnsi="宋体" w:eastAsia="宋体" w:cs="宋体"/>
                <w:sz w:val="18"/>
                <w:szCs w:val="18"/>
              </w:rPr>
            </w:pPr>
            <w:r>
              <w:rPr>
                <w:rFonts w:ascii="宋体" w:hAnsi="宋体" w:eastAsia="宋体" w:cs="宋体"/>
                <w:sz w:val="18"/>
                <w:szCs w:val="18"/>
              </w:rPr>
              <w:t>排放口位于污水处理站旁</w:t>
            </w:r>
          </w:p>
        </w:tc>
        <w:tc>
          <w:tcPr>
            <w:tcW w:w="876" w:type="dxa"/>
            <w:tcBorders>
              <w:top w:val="single" w:color="auto" w:sz="2" w:space="0"/>
              <w:left w:val="single" w:color="auto" w:sz="2" w:space="0"/>
              <w:bottom w:val="single" w:color="auto" w:sz="2" w:space="0"/>
              <w:right w:val="single" w:color="auto" w:sz="2" w:space="0"/>
            </w:tcBorders>
            <w:vAlign w:val="center"/>
          </w:tcPr>
          <w:p w14:paraId="34C1DAD3">
            <w:pPr>
              <w:spacing w:before="0" w:after="0" w:line="240" w:lineRule="exact"/>
              <w:jc w:val="left"/>
              <w:rPr>
                <w:rFonts w:ascii="宋体" w:hAnsi="宋体" w:eastAsia="宋体" w:cs="宋体"/>
                <w:sz w:val="18"/>
                <w:szCs w:val="18"/>
              </w:rPr>
            </w:pPr>
            <w:r>
              <w:rPr>
                <w:rFonts w:ascii="宋体" w:hAnsi="宋体" w:eastAsia="宋体" w:cs="宋体"/>
                <w:sz w:val="18"/>
                <w:szCs w:val="18"/>
              </w:rPr>
              <w:t>0mg/L</w:t>
            </w:r>
          </w:p>
        </w:tc>
        <w:tc>
          <w:tcPr>
            <w:tcW w:w="876" w:type="dxa"/>
            <w:tcBorders>
              <w:top w:val="single" w:color="auto" w:sz="2" w:space="0"/>
              <w:left w:val="single" w:color="auto" w:sz="2" w:space="0"/>
              <w:bottom w:val="single" w:color="auto" w:sz="2" w:space="0"/>
              <w:right w:val="single" w:color="auto" w:sz="2" w:space="0"/>
            </w:tcBorders>
            <w:vAlign w:val="center"/>
          </w:tcPr>
          <w:p w14:paraId="03A9AC7B">
            <w:pPr>
              <w:spacing w:before="0" w:after="0" w:line="240" w:lineRule="exact"/>
              <w:jc w:val="left"/>
              <w:rPr>
                <w:rFonts w:ascii="宋体" w:hAnsi="宋体" w:eastAsia="宋体" w:cs="宋体"/>
                <w:sz w:val="18"/>
                <w:szCs w:val="18"/>
              </w:rPr>
            </w:pPr>
            <w:r>
              <w:rPr>
                <w:rFonts w:ascii="宋体" w:hAnsi="宋体" w:eastAsia="宋体" w:cs="宋体"/>
                <w:sz w:val="18"/>
                <w:szCs w:val="18"/>
              </w:rPr>
              <w:t>0.3mg/L</w:t>
            </w:r>
          </w:p>
        </w:tc>
        <w:tc>
          <w:tcPr>
            <w:tcW w:w="876" w:type="dxa"/>
            <w:tcBorders>
              <w:top w:val="single" w:color="auto" w:sz="2" w:space="0"/>
              <w:left w:val="single" w:color="auto" w:sz="2" w:space="0"/>
              <w:bottom w:val="single" w:color="auto" w:sz="2" w:space="0"/>
              <w:right w:val="single" w:color="auto" w:sz="2" w:space="0"/>
            </w:tcBorders>
            <w:vAlign w:val="center"/>
          </w:tcPr>
          <w:p w14:paraId="72F9AB14">
            <w:pPr>
              <w:spacing w:before="0" w:after="0" w:line="240" w:lineRule="exact"/>
              <w:jc w:val="left"/>
              <w:rPr>
                <w:rFonts w:ascii="宋体" w:hAnsi="宋体" w:eastAsia="宋体" w:cs="宋体"/>
                <w:sz w:val="18"/>
                <w:szCs w:val="18"/>
              </w:rPr>
            </w:pPr>
            <w:r>
              <w:rPr>
                <w:rFonts w:ascii="宋体" w:hAnsi="宋体" w:eastAsia="宋体" w:cs="宋体"/>
                <w:sz w:val="18"/>
                <w:szCs w:val="18"/>
              </w:rPr>
              <w:t>0t</w:t>
            </w:r>
          </w:p>
        </w:tc>
        <w:tc>
          <w:tcPr>
            <w:tcW w:w="876" w:type="dxa"/>
            <w:tcBorders>
              <w:top w:val="single" w:color="auto" w:sz="2" w:space="0"/>
              <w:left w:val="single" w:color="auto" w:sz="2" w:space="0"/>
              <w:bottom w:val="single" w:color="auto" w:sz="2" w:space="0"/>
              <w:right w:val="single" w:color="auto" w:sz="2" w:space="0"/>
            </w:tcBorders>
            <w:vAlign w:val="center"/>
          </w:tcPr>
          <w:p w14:paraId="0E53DB37">
            <w:pPr>
              <w:spacing w:before="0" w:after="0" w:line="240" w:lineRule="exact"/>
              <w:jc w:val="left"/>
              <w:rPr>
                <w:rFonts w:ascii="宋体" w:hAnsi="宋体" w:eastAsia="宋体" w:cs="宋体"/>
                <w:sz w:val="18"/>
                <w:szCs w:val="18"/>
              </w:rPr>
            </w:pPr>
            <w:r>
              <w:rPr>
                <w:rFonts w:ascii="宋体" w:hAnsi="宋体" w:eastAsia="宋体" w:cs="宋体"/>
                <w:sz w:val="18"/>
                <w:szCs w:val="18"/>
              </w:rPr>
              <w:t>/</w:t>
            </w:r>
          </w:p>
        </w:tc>
        <w:tc>
          <w:tcPr>
            <w:tcW w:w="876" w:type="dxa"/>
            <w:tcBorders>
              <w:top w:val="single" w:color="auto" w:sz="2" w:space="0"/>
              <w:left w:val="single" w:color="auto" w:sz="2" w:space="0"/>
              <w:bottom w:val="single" w:color="auto" w:sz="2" w:space="0"/>
              <w:right w:val="single" w:color="auto" w:sz="2" w:space="0"/>
            </w:tcBorders>
            <w:vAlign w:val="center"/>
          </w:tcPr>
          <w:p w14:paraId="3B259C8A">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r w14:paraId="0CA3FB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0121CEA3">
            <w:pPr>
              <w:spacing w:before="0" w:after="0" w:line="240" w:lineRule="exact"/>
              <w:jc w:val="left"/>
              <w:rPr>
                <w:rFonts w:ascii="宋体" w:hAnsi="宋体" w:eastAsia="宋体" w:cs="宋体"/>
                <w:sz w:val="18"/>
                <w:szCs w:val="18"/>
              </w:rPr>
            </w:pPr>
            <w:r>
              <w:rPr>
                <w:rFonts w:ascii="宋体" w:hAnsi="宋体" w:eastAsia="宋体" w:cs="宋体"/>
                <w:sz w:val="18"/>
                <w:szCs w:val="18"/>
              </w:rPr>
              <w:t>广生堂</w:t>
            </w:r>
          </w:p>
        </w:tc>
        <w:tc>
          <w:tcPr>
            <w:tcW w:w="876" w:type="dxa"/>
            <w:tcBorders>
              <w:top w:val="single" w:color="auto" w:sz="2" w:space="0"/>
              <w:left w:val="single" w:color="auto" w:sz="2" w:space="0"/>
              <w:bottom w:val="single" w:color="auto" w:sz="2" w:space="0"/>
              <w:right w:val="single" w:color="auto" w:sz="2" w:space="0"/>
            </w:tcBorders>
            <w:vAlign w:val="center"/>
          </w:tcPr>
          <w:p w14:paraId="01024F56">
            <w:pPr>
              <w:spacing w:before="0" w:after="0" w:line="240" w:lineRule="exact"/>
              <w:jc w:val="left"/>
              <w:rPr>
                <w:rFonts w:ascii="宋体" w:hAnsi="宋体" w:eastAsia="宋体" w:cs="宋体"/>
                <w:sz w:val="18"/>
                <w:szCs w:val="18"/>
              </w:rPr>
            </w:pPr>
            <w:r>
              <w:rPr>
                <w:rFonts w:ascii="宋体" w:hAnsi="宋体" w:eastAsia="宋体" w:cs="宋体"/>
                <w:sz w:val="18"/>
                <w:szCs w:val="18"/>
              </w:rPr>
              <w:t>废气</w:t>
            </w:r>
          </w:p>
        </w:tc>
        <w:tc>
          <w:tcPr>
            <w:tcW w:w="805" w:type="dxa"/>
            <w:tcBorders>
              <w:top w:val="single" w:color="auto" w:sz="2" w:space="0"/>
              <w:left w:val="single" w:color="auto" w:sz="2" w:space="0"/>
              <w:bottom w:val="single" w:color="auto" w:sz="2" w:space="0"/>
              <w:right w:val="single" w:color="auto" w:sz="2" w:space="0"/>
            </w:tcBorders>
            <w:vAlign w:val="center"/>
          </w:tcPr>
          <w:p w14:paraId="18E8D850">
            <w:pPr>
              <w:spacing w:before="0" w:after="0" w:line="240" w:lineRule="exact"/>
              <w:jc w:val="left"/>
              <w:rPr>
                <w:rFonts w:ascii="宋体" w:hAnsi="宋体" w:eastAsia="宋体" w:cs="宋体"/>
                <w:sz w:val="18"/>
                <w:szCs w:val="18"/>
              </w:rPr>
            </w:pPr>
            <w:r>
              <w:rPr>
                <w:rFonts w:ascii="宋体" w:hAnsi="宋体" w:eastAsia="宋体" w:cs="宋体"/>
                <w:sz w:val="18"/>
                <w:szCs w:val="18"/>
              </w:rPr>
              <w:t>非甲烷总烃</w:t>
            </w:r>
          </w:p>
        </w:tc>
        <w:tc>
          <w:tcPr>
            <w:tcW w:w="947" w:type="dxa"/>
            <w:tcBorders>
              <w:top w:val="single" w:color="auto" w:sz="2" w:space="0"/>
              <w:left w:val="single" w:color="auto" w:sz="2" w:space="0"/>
              <w:bottom w:val="single" w:color="auto" w:sz="2" w:space="0"/>
              <w:right w:val="single" w:color="auto" w:sz="2" w:space="0"/>
            </w:tcBorders>
            <w:vAlign w:val="center"/>
          </w:tcPr>
          <w:p w14:paraId="0C6DA432">
            <w:pPr>
              <w:spacing w:before="0" w:after="0" w:line="240" w:lineRule="exact"/>
              <w:jc w:val="left"/>
              <w:rPr>
                <w:rFonts w:ascii="宋体" w:hAnsi="宋体" w:eastAsia="宋体" w:cs="宋体"/>
                <w:sz w:val="18"/>
                <w:szCs w:val="18"/>
              </w:rPr>
            </w:pPr>
            <w:r>
              <w:rPr>
                <w:rFonts w:ascii="宋体" w:hAnsi="宋体" w:eastAsia="宋体" w:cs="宋体"/>
                <w:sz w:val="18"/>
                <w:szCs w:val="18"/>
              </w:rPr>
              <w:t>处理后达标排放</w:t>
            </w:r>
          </w:p>
        </w:tc>
        <w:tc>
          <w:tcPr>
            <w:tcW w:w="643" w:type="dxa"/>
            <w:tcBorders>
              <w:top w:val="single" w:color="auto" w:sz="2" w:space="0"/>
              <w:left w:val="single" w:color="auto" w:sz="2" w:space="0"/>
              <w:bottom w:val="single" w:color="auto" w:sz="2" w:space="0"/>
              <w:right w:val="single" w:color="auto" w:sz="2" w:space="0"/>
            </w:tcBorders>
            <w:vAlign w:val="center"/>
          </w:tcPr>
          <w:p w14:paraId="3C04BFD7">
            <w:pPr>
              <w:spacing w:before="0" w:after="0" w:line="240" w:lineRule="exact"/>
              <w:jc w:val="left"/>
              <w:rPr>
                <w:rFonts w:ascii="宋体" w:hAnsi="宋体" w:eastAsia="宋体" w:cs="宋体"/>
                <w:sz w:val="18"/>
                <w:szCs w:val="18"/>
              </w:rPr>
            </w:pPr>
            <w:r>
              <w:rPr>
                <w:rFonts w:ascii="宋体" w:hAnsi="宋体" w:eastAsia="宋体" w:cs="宋体"/>
                <w:sz w:val="18"/>
                <w:szCs w:val="18"/>
              </w:rPr>
              <w:t>2</w:t>
            </w:r>
          </w:p>
        </w:tc>
        <w:tc>
          <w:tcPr>
            <w:tcW w:w="1109" w:type="dxa"/>
            <w:tcBorders>
              <w:top w:val="single" w:color="auto" w:sz="2" w:space="0"/>
              <w:left w:val="single" w:color="auto" w:sz="2" w:space="0"/>
              <w:bottom w:val="single" w:color="auto" w:sz="2" w:space="0"/>
              <w:right w:val="single" w:color="auto" w:sz="2" w:space="0"/>
            </w:tcBorders>
            <w:vAlign w:val="center"/>
          </w:tcPr>
          <w:p w14:paraId="7CBC46FA">
            <w:pPr>
              <w:spacing w:before="0" w:after="0" w:line="240" w:lineRule="exact"/>
              <w:jc w:val="left"/>
              <w:rPr>
                <w:rFonts w:ascii="宋体" w:hAnsi="宋体" w:eastAsia="宋体" w:cs="宋体"/>
                <w:sz w:val="18"/>
                <w:szCs w:val="18"/>
              </w:rPr>
            </w:pPr>
            <w:r>
              <w:rPr>
                <w:rFonts w:ascii="宋体" w:hAnsi="宋体" w:eastAsia="宋体" w:cs="宋体"/>
                <w:sz w:val="18"/>
                <w:szCs w:val="18"/>
              </w:rPr>
              <w:t>排放口位于合成车间旁</w:t>
            </w:r>
          </w:p>
        </w:tc>
        <w:tc>
          <w:tcPr>
            <w:tcW w:w="876" w:type="dxa"/>
            <w:tcBorders>
              <w:top w:val="single" w:color="auto" w:sz="2" w:space="0"/>
              <w:left w:val="single" w:color="auto" w:sz="2" w:space="0"/>
              <w:bottom w:val="single" w:color="auto" w:sz="2" w:space="0"/>
              <w:right w:val="single" w:color="auto" w:sz="2" w:space="0"/>
            </w:tcBorders>
            <w:vAlign w:val="center"/>
          </w:tcPr>
          <w:p w14:paraId="31AA7588">
            <w:pPr>
              <w:spacing w:before="0" w:after="0" w:line="240" w:lineRule="exact"/>
              <w:jc w:val="left"/>
              <w:rPr>
                <w:rFonts w:ascii="宋体" w:hAnsi="宋体" w:eastAsia="宋体" w:cs="宋体"/>
                <w:sz w:val="18"/>
                <w:szCs w:val="18"/>
              </w:rPr>
            </w:pPr>
            <w:r>
              <w:rPr>
                <w:rFonts w:ascii="宋体" w:hAnsi="宋体" w:eastAsia="宋体" w:cs="宋体"/>
                <w:sz w:val="18"/>
                <w:szCs w:val="18"/>
              </w:rPr>
              <w:t>6.377mg/m3</w:t>
            </w:r>
          </w:p>
        </w:tc>
        <w:tc>
          <w:tcPr>
            <w:tcW w:w="876" w:type="dxa"/>
            <w:tcBorders>
              <w:top w:val="single" w:color="auto" w:sz="2" w:space="0"/>
              <w:left w:val="single" w:color="auto" w:sz="2" w:space="0"/>
              <w:bottom w:val="single" w:color="auto" w:sz="2" w:space="0"/>
              <w:right w:val="single" w:color="auto" w:sz="2" w:space="0"/>
            </w:tcBorders>
            <w:vAlign w:val="center"/>
          </w:tcPr>
          <w:p w14:paraId="16C5A5FC">
            <w:pPr>
              <w:spacing w:before="0" w:after="0" w:line="240" w:lineRule="exact"/>
              <w:jc w:val="left"/>
              <w:rPr>
                <w:rFonts w:ascii="宋体" w:hAnsi="宋体" w:eastAsia="宋体" w:cs="宋体"/>
                <w:sz w:val="18"/>
                <w:szCs w:val="18"/>
              </w:rPr>
            </w:pPr>
            <w:r>
              <w:rPr>
                <w:rFonts w:ascii="宋体" w:hAnsi="宋体" w:eastAsia="宋体" w:cs="宋体"/>
                <w:sz w:val="18"/>
                <w:szCs w:val="18"/>
              </w:rPr>
              <w:t>80mg/m3</w:t>
            </w:r>
          </w:p>
        </w:tc>
        <w:tc>
          <w:tcPr>
            <w:tcW w:w="876" w:type="dxa"/>
            <w:tcBorders>
              <w:top w:val="single" w:color="auto" w:sz="2" w:space="0"/>
              <w:left w:val="single" w:color="auto" w:sz="2" w:space="0"/>
              <w:bottom w:val="single" w:color="auto" w:sz="2" w:space="0"/>
              <w:right w:val="single" w:color="auto" w:sz="2" w:space="0"/>
            </w:tcBorders>
            <w:vAlign w:val="center"/>
          </w:tcPr>
          <w:p w14:paraId="0F34BD7F">
            <w:pPr>
              <w:spacing w:before="0" w:after="0" w:line="240" w:lineRule="exact"/>
              <w:jc w:val="left"/>
              <w:rPr>
                <w:rFonts w:ascii="宋体" w:hAnsi="宋体" w:eastAsia="宋体" w:cs="宋体"/>
                <w:sz w:val="18"/>
                <w:szCs w:val="18"/>
              </w:rPr>
            </w:pPr>
            <w:r>
              <w:rPr>
                <w:rFonts w:ascii="宋体" w:hAnsi="宋体" w:eastAsia="宋体" w:cs="宋体"/>
                <w:sz w:val="18"/>
                <w:szCs w:val="18"/>
              </w:rPr>
              <w:t>0.062658t</w:t>
            </w:r>
          </w:p>
        </w:tc>
        <w:tc>
          <w:tcPr>
            <w:tcW w:w="876" w:type="dxa"/>
            <w:tcBorders>
              <w:top w:val="single" w:color="auto" w:sz="2" w:space="0"/>
              <w:left w:val="single" w:color="auto" w:sz="2" w:space="0"/>
              <w:bottom w:val="single" w:color="auto" w:sz="2" w:space="0"/>
              <w:right w:val="single" w:color="auto" w:sz="2" w:space="0"/>
            </w:tcBorders>
            <w:vAlign w:val="center"/>
          </w:tcPr>
          <w:p w14:paraId="1E48E5F6">
            <w:pPr>
              <w:spacing w:before="0" w:after="0" w:line="240" w:lineRule="exact"/>
              <w:jc w:val="left"/>
              <w:rPr>
                <w:rFonts w:ascii="宋体" w:hAnsi="宋体" w:eastAsia="宋体" w:cs="宋体"/>
                <w:sz w:val="18"/>
                <w:szCs w:val="18"/>
              </w:rPr>
            </w:pPr>
            <w:r>
              <w:rPr>
                <w:rFonts w:ascii="宋体" w:hAnsi="宋体" w:eastAsia="宋体" w:cs="宋体"/>
                <w:sz w:val="18"/>
                <w:szCs w:val="18"/>
              </w:rPr>
              <w:t>8.4225t</w:t>
            </w:r>
          </w:p>
        </w:tc>
        <w:tc>
          <w:tcPr>
            <w:tcW w:w="876" w:type="dxa"/>
            <w:tcBorders>
              <w:top w:val="single" w:color="auto" w:sz="2" w:space="0"/>
              <w:left w:val="single" w:color="auto" w:sz="2" w:space="0"/>
              <w:bottom w:val="single" w:color="auto" w:sz="2" w:space="0"/>
              <w:right w:val="single" w:color="auto" w:sz="2" w:space="0"/>
            </w:tcBorders>
            <w:vAlign w:val="center"/>
          </w:tcPr>
          <w:p w14:paraId="653CAFD9">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r w14:paraId="1B2E37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2EBAF5B4">
            <w:pPr>
              <w:spacing w:before="0" w:after="0" w:line="240" w:lineRule="exact"/>
              <w:jc w:val="left"/>
              <w:rPr>
                <w:rFonts w:ascii="宋体" w:hAnsi="宋体" w:eastAsia="宋体" w:cs="宋体"/>
                <w:sz w:val="18"/>
                <w:szCs w:val="18"/>
              </w:rPr>
            </w:pPr>
            <w:r>
              <w:rPr>
                <w:rFonts w:ascii="宋体" w:hAnsi="宋体" w:eastAsia="宋体" w:cs="宋体"/>
                <w:sz w:val="18"/>
                <w:szCs w:val="18"/>
              </w:rPr>
              <w:t>广生堂</w:t>
            </w:r>
          </w:p>
        </w:tc>
        <w:tc>
          <w:tcPr>
            <w:tcW w:w="876" w:type="dxa"/>
            <w:tcBorders>
              <w:top w:val="single" w:color="auto" w:sz="2" w:space="0"/>
              <w:left w:val="single" w:color="auto" w:sz="2" w:space="0"/>
              <w:bottom w:val="single" w:color="auto" w:sz="2" w:space="0"/>
              <w:right w:val="single" w:color="auto" w:sz="2" w:space="0"/>
            </w:tcBorders>
            <w:vAlign w:val="center"/>
          </w:tcPr>
          <w:p w14:paraId="536152FC">
            <w:pPr>
              <w:spacing w:before="0" w:after="0" w:line="240" w:lineRule="exact"/>
              <w:jc w:val="left"/>
              <w:rPr>
                <w:rFonts w:ascii="宋体" w:hAnsi="宋体" w:eastAsia="宋体" w:cs="宋体"/>
                <w:sz w:val="18"/>
                <w:szCs w:val="18"/>
              </w:rPr>
            </w:pPr>
            <w:r>
              <w:rPr>
                <w:rFonts w:ascii="宋体" w:hAnsi="宋体" w:eastAsia="宋体" w:cs="宋体"/>
                <w:sz w:val="18"/>
                <w:szCs w:val="18"/>
              </w:rPr>
              <w:t>废气</w:t>
            </w:r>
          </w:p>
        </w:tc>
        <w:tc>
          <w:tcPr>
            <w:tcW w:w="805" w:type="dxa"/>
            <w:tcBorders>
              <w:top w:val="single" w:color="auto" w:sz="2" w:space="0"/>
              <w:left w:val="single" w:color="auto" w:sz="2" w:space="0"/>
              <w:bottom w:val="single" w:color="auto" w:sz="2" w:space="0"/>
              <w:right w:val="single" w:color="auto" w:sz="2" w:space="0"/>
            </w:tcBorders>
            <w:vAlign w:val="center"/>
          </w:tcPr>
          <w:p w14:paraId="0D35E6EE">
            <w:pPr>
              <w:spacing w:before="0" w:after="0" w:line="240" w:lineRule="exact"/>
              <w:jc w:val="left"/>
              <w:rPr>
                <w:rFonts w:ascii="宋体" w:hAnsi="宋体" w:eastAsia="宋体" w:cs="宋体"/>
                <w:sz w:val="18"/>
                <w:szCs w:val="18"/>
              </w:rPr>
            </w:pPr>
            <w:r>
              <w:rPr>
                <w:rFonts w:ascii="宋体" w:hAnsi="宋体" w:eastAsia="宋体" w:cs="宋体"/>
                <w:sz w:val="18"/>
                <w:szCs w:val="18"/>
              </w:rPr>
              <w:t>二氧化硫</w:t>
            </w:r>
          </w:p>
        </w:tc>
        <w:tc>
          <w:tcPr>
            <w:tcW w:w="947" w:type="dxa"/>
            <w:tcBorders>
              <w:top w:val="single" w:color="auto" w:sz="2" w:space="0"/>
              <w:left w:val="single" w:color="auto" w:sz="2" w:space="0"/>
              <w:bottom w:val="single" w:color="auto" w:sz="2" w:space="0"/>
              <w:right w:val="single" w:color="auto" w:sz="2" w:space="0"/>
            </w:tcBorders>
            <w:vAlign w:val="center"/>
          </w:tcPr>
          <w:p w14:paraId="37B3C288">
            <w:pPr>
              <w:spacing w:before="0" w:after="0" w:line="240" w:lineRule="exact"/>
              <w:jc w:val="left"/>
              <w:rPr>
                <w:rFonts w:ascii="宋体" w:hAnsi="宋体" w:eastAsia="宋体" w:cs="宋体"/>
                <w:sz w:val="18"/>
                <w:szCs w:val="18"/>
              </w:rPr>
            </w:pPr>
            <w:r>
              <w:rPr>
                <w:rFonts w:ascii="宋体" w:hAnsi="宋体" w:eastAsia="宋体" w:cs="宋体"/>
                <w:sz w:val="18"/>
                <w:szCs w:val="18"/>
              </w:rPr>
              <w:t>处理后达标排放</w:t>
            </w:r>
          </w:p>
        </w:tc>
        <w:tc>
          <w:tcPr>
            <w:tcW w:w="643" w:type="dxa"/>
            <w:tcBorders>
              <w:top w:val="single" w:color="auto" w:sz="2" w:space="0"/>
              <w:left w:val="single" w:color="auto" w:sz="2" w:space="0"/>
              <w:bottom w:val="single" w:color="auto" w:sz="2" w:space="0"/>
              <w:right w:val="single" w:color="auto" w:sz="2" w:space="0"/>
            </w:tcBorders>
            <w:vAlign w:val="center"/>
          </w:tcPr>
          <w:p w14:paraId="6640B2E7">
            <w:pPr>
              <w:spacing w:before="0" w:after="0" w:line="240" w:lineRule="exact"/>
              <w:jc w:val="left"/>
              <w:rPr>
                <w:rFonts w:ascii="宋体" w:hAnsi="宋体" w:eastAsia="宋体" w:cs="宋体"/>
                <w:sz w:val="18"/>
                <w:szCs w:val="18"/>
              </w:rPr>
            </w:pPr>
            <w:r>
              <w:rPr>
                <w:rFonts w:ascii="宋体" w:hAnsi="宋体" w:eastAsia="宋体" w:cs="宋体"/>
                <w:sz w:val="18"/>
                <w:szCs w:val="18"/>
              </w:rPr>
              <w:t>2</w:t>
            </w:r>
          </w:p>
        </w:tc>
        <w:tc>
          <w:tcPr>
            <w:tcW w:w="1109" w:type="dxa"/>
            <w:tcBorders>
              <w:top w:val="single" w:color="auto" w:sz="2" w:space="0"/>
              <w:left w:val="single" w:color="auto" w:sz="2" w:space="0"/>
              <w:bottom w:val="single" w:color="auto" w:sz="2" w:space="0"/>
              <w:right w:val="single" w:color="auto" w:sz="2" w:space="0"/>
            </w:tcBorders>
            <w:vAlign w:val="center"/>
          </w:tcPr>
          <w:p w14:paraId="76C36E98">
            <w:pPr>
              <w:spacing w:before="0" w:after="0" w:line="240" w:lineRule="exact"/>
              <w:jc w:val="left"/>
              <w:rPr>
                <w:rFonts w:ascii="宋体" w:hAnsi="宋体" w:eastAsia="宋体" w:cs="宋体"/>
                <w:sz w:val="18"/>
                <w:szCs w:val="18"/>
              </w:rPr>
            </w:pPr>
            <w:r>
              <w:rPr>
                <w:rFonts w:ascii="宋体" w:hAnsi="宋体" w:eastAsia="宋体" w:cs="宋体"/>
                <w:sz w:val="18"/>
                <w:szCs w:val="18"/>
              </w:rPr>
              <w:t>排放口位于锅炉房屋顶</w:t>
            </w:r>
          </w:p>
        </w:tc>
        <w:tc>
          <w:tcPr>
            <w:tcW w:w="876" w:type="dxa"/>
            <w:tcBorders>
              <w:top w:val="single" w:color="auto" w:sz="2" w:space="0"/>
              <w:left w:val="single" w:color="auto" w:sz="2" w:space="0"/>
              <w:bottom w:val="single" w:color="auto" w:sz="2" w:space="0"/>
              <w:right w:val="single" w:color="auto" w:sz="2" w:space="0"/>
            </w:tcBorders>
            <w:vAlign w:val="center"/>
          </w:tcPr>
          <w:p w14:paraId="6483CCD6">
            <w:pPr>
              <w:spacing w:before="0" w:after="0" w:line="240" w:lineRule="exact"/>
              <w:jc w:val="left"/>
              <w:rPr>
                <w:rFonts w:ascii="宋体" w:hAnsi="宋体" w:eastAsia="宋体" w:cs="宋体"/>
                <w:sz w:val="18"/>
                <w:szCs w:val="18"/>
              </w:rPr>
            </w:pPr>
            <w:r>
              <w:rPr>
                <w:rFonts w:ascii="宋体" w:hAnsi="宋体" w:eastAsia="宋体" w:cs="宋体"/>
                <w:sz w:val="18"/>
                <w:szCs w:val="18"/>
              </w:rPr>
              <w:t>3mg/m3</w:t>
            </w:r>
          </w:p>
        </w:tc>
        <w:tc>
          <w:tcPr>
            <w:tcW w:w="876" w:type="dxa"/>
            <w:tcBorders>
              <w:top w:val="single" w:color="auto" w:sz="2" w:space="0"/>
              <w:left w:val="single" w:color="auto" w:sz="2" w:space="0"/>
              <w:bottom w:val="single" w:color="auto" w:sz="2" w:space="0"/>
              <w:right w:val="single" w:color="auto" w:sz="2" w:space="0"/>
            </w:tcBorders>
            <w:vAlign w:val="center"/>
          </w:tcPr>
          <w:p w14:paraId="3F49671D">
            <w:pPr>
              <w:spacing w:before="0" w:after="0" w:line="240" w:lineRule="exact"/>
              <w:jc w:val="left"/>
              <w:rPr>
                <w:rFonts w:ascii="宋体" w:hAnsi="宋体" w:eastAsia="宋体" w:cs="宋体"/>
                <w:sz w:val="18"/>
                <w:szCs w:val="18"/>
              </w:rPr>
            </w:pPr>
            <w:r>
              <w:rPr>
                <w:rFonts w:ascii="宋体" w:hAnsi="宋体" w:eastAsia="宋体" w:cs="宋体"/>
                <w:sz w:val="18"/>
                <w:szCs w:val="18"/>
              </w:rPr>
              <w:t>200mg/m3</w:t>
            </w:r>
          </w:p>
        </w:tc>
        <w:tc>
          <w:tcPr>
            <w:tcW w:w="876" w:type="dxa"/>
            <w:tcBorders>
              <w:top w:val="single" w:color="auto" w:sz="2" w:space="0"/>
              <w:left w:val="single" w:color="auto" w:sz="2" w:space="0"/>
              <w:bottom w:val="single" w:color="auto" w:sz="2" w:space="0"/>
              <w:right w:val="single" w:color="auto" w:sz="2" w:space="0"/>
            </w:tcBorders>
            <w:vAlign w:val="center"/>
          </w:tcPr>
          <w:p w14:paraId="0DD7C37F">
            <w:pPr>
              <w:spacing w:before="0" w:after="0" w:line="240" w:lineRule="exact"/>
              <w:jc w:val="left"/>
              <w:rPr>
                <w:rFonts w:ascii="宋体" w:hAnsi="宋体" w:eastAsia="宋体" w:cs="宋体"/>
                <w:sz w:val="18"/>
                <w:szCs w:val="18"/>
              </w:rPr>
            </w:pPr>
            <w:r>
              <w:rPr>
                <w:rFonts w:ascii="宋体" w:hAnsi="宋体" w:eastAsia="宋体" w:cs="宋体"/>
                <w:sz w:val="18"/>
                <w:szCs w:val="18"/>
              </w:rPr>
              <w:t>0.016467t</w:t>
            </w:r>
          </w:p>
        </w:tc>
        <w:tc>
          <w:tcPr>
            <w:tcW w:w="876" w:type="dxa"/>
            <w:tcBorders>
              <w:top w:val="single" w:color="auto" w:sz="2" w:space="0"/>
              <w:left w:val="single" w:color="auto" w:sz="2" w:space="0"/>
              <w:bottom w:val="single" w:color="auto" w:sz="2" w:space="0"/>
              <w:right w:val="single" w:color="auto" w:sz="2" w:space="0"/>
            </w:tcBorders>
            <w:vAlign w:val="center"/>
          </w:tcPr>
          <w:p w14:paraId="049D4E6A">
            <w:pPr>
              <w:spacing w:before="0" w:after="0" w:line="240" w:lineRule="exact"/>
              <w:jc w:val="left"/>
              <w:rPr>
                <w:rFonts w:ascii="宋体" w:hAnsi="宋体" w:eastAsia="宋体" w:cs="宋体"/>
                <w:sz w:val="18"/>
                <w:szCs w:val="18"/>
              </w:rPr>
            </w:pPr>
            <w:r>
              <w:rPr>
                <w:rFonts w:ascii="宋体" w:hAnsi="宋体" w:eastAsia="宋体" w:cs="宋体"/>
                <w:sz w:val="18"/>
                <w:szCs w:val="18"/>
              </w:rPr>
              <w:t>/</w:t>
            </w:r>
          </w:p>
        </w:tc>
        <w:tc>
          <w:tcPr>
            <w:tcW w:w="876" w:type="dxa"/>
            <w:tcBorders>
              <w:top w:val="single" w:color="auto" w:sz="2" w:space="0"/>
              <w:left w:val="single" w:color="auto" w:sz="2" w:space="0"/>
              <w:bottom w:val="single" w:color="auto" w:sz="2" w:space="0"/>
              <w:right w:val="single" w:color="auto" w:sz="2" w:space="0"/>
            </w:tcBorders>
            <w:vAlign w:val="center"/>
          </w:tcPr>
          <w:p w14:paraId="1292B0F8">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r w14:paraId="4D0A4D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5D188834">
            <w:pPr>
              <w:spacing w:before="0" w:after="0" w:line="240" w:lineRule="exact"/>
              <w:jc w:val="left"/>
              <w:rPr>
                <w:rFonts w:ascii="宋体" w:hAnsi="宋体" w:eastAsia="宋体" w:cs="宋体"/>
                <w:sz w:val="18"/>
                <w:szCs w:val="18"/>
              </w:rPr>
            </w:pPr>
            <w:r>
              <w:rPr>
                <w:rFonts w:ascii="宋体" w:hAnsi="宋体" w:eastAsia="宋体" w:cs="宋体"/>
                <w:sz w:val="18"/>
                <w:szCs w:val="18"/>
              </w:rPr>
              <w:t>广生堂</w:t>
            </w:r>
          </w:p>
        </w:tc>
        <w:tc>
          <w:tcPr>
            <w:tcW w:w="876" w:type="dxa"/>
            <w:tcBorders>
              <w:top w:val="single" w:color="auto" w:sz="2" w:space="0"/>
              <w:left w:val="single" w:color="auto" w:sz="2" w:space="0"/>
              <w:bottom w:val="single" w:color="auto" w:sz="2" w:space="0"/>
              <w:right w:val="single" w:color="auto" w:sz="2" w:space="0"/>
            </w:tcBorders>
            <w:vAlign w:val="center"/>
          </w:tcPr>
          <w:p w14:paraId="0C3D9FA1">
            <w:pPr>
              <w:spacing w:before="0" w:after="0" w:line="240" w:lineRule="exact"/>
              <w:jc w:val="left"/>
              <w:rPr>
                <w:rFonts w:ascii="宋体" w:hAnsi="宋体" w:eastAsia="宋体" w:cs="宋体"/>
                <w:sz w:val="18"/>
                <w:szCs w:val="18"/>
              </w:rPr>
            </w:pPr>
            <w:r>
              <w:rPr>
                <w:rFonts w:ascii="宋体" w:hAnsi="宋体" w:eastAsia="宋体" w:cs="宋体"/>
                <w:sz w:val="18"/>
                <w:szCs w:val="18"/>
              </w:rPr>
              <w:t>废气</w:t>
            </w:r>
          </w:p>
        </w:tc>
        <w:tc>
          <w:tcPr>
            <w:tcW w:w="805" w:type="dxa"/>
            <w:tcBorders>
              <w:top w:val="single" w:color="auto" w:sz="2" w:space="0"/>
              <w:left w:val="single" w:color="auto" w:sz="2" w:space="0"/>
              <w:bottom w:val="single" w:color="auto" w:sz="2" w:space="0"/>
              <w:right w:val="single" w:color="auto" w:sz="2" w:space="0"/>
            </w:tcBorders>
            <w:vAlign w:val="center"/>
          </w:tcPr>
          <w:p w14:paraId="34077F28">
            <w:pPr>
              <w:spacing w:before="0" w:after="0" w:line="240" w:lineRule="exact"/>
              <w:jc w:val="left"/>
              <w:rPr>
                <w:rFonts w:ascii="宋体" w:hAnsi="宋体" w:eastAsia="宋体" w:cs="宋体"/>
                <w:sz w:val="18"/>
                <w:szCs w:val="18"/>
              </w:rPr>
            </w:pPr>
            <w:r>
              <w:rPr>
                <w:rFonts w:ascii="宋体" w:hAnsi="宋体" w:eastAsia="宋体" w:cs="宋体"/>
                <w:sz w:val="18"/>
                <w:szCs w:val="18"/>
              </w:rPr>
              <w:t>氮氧化物</w:t>
            </w:r>
          </w:p>
        </w:tc>
        <w:tc>
          <w:tcPr>
            <w:tcW w:w="947" w:type="dxa"/>
            <w:tcBorders>
              <w:top w:val="single" w:color="auto" w:sz="2" w:space="0"/>
              <w:left w:val="single" w:color="auto" w:sz="2" w:space="0"/>
              <w:bottom w:val="single" w:color="auto" w:sz="2" w:space="0"/>
              <w:right w:val="single" w:color="auto" w:sz="2" w:space="0"/>
            </w:tcBorders>
            <w:vAlign w:val="center"/>
          </w:tcPr>
          <w:p w14:paraId="168FE297">
            <w:pPr>
              <w:spacing w:before="0" w:after="0" w:line="240" w:lineRule="exact"/>
              <w:jc w:val="left"/>
              <w:rPr>
                <w:rFonts w:ascii="宋体" w:hAnsi="宋体" w:eastAsia="宋体" w:cs="宋体"/>
                <w:sz w:val="18"/>
                <w:szCs w:val="18"/>
              </w:rPr>
            </w:pPr>
            <w:r>
              <w:rPr>
                <w:rFonts w:ascii="宋体" w:hAnsi="宋体" w:eastAsia="宋体" w:cs="宋体"/>
                <w:sz w:val="18"/>
                <w:szCs w:val="18"/>
              </w:rPr>
              <w:t>处理后达标排放</w:t>
            </w:r>
          </w:p>
        </w:tc>
        <w:tc>
          <w:tcPr>
            <w:tcW w:w="643" w:type="dxa"/>
            <w:tcBorders>
              <w:top w:val="single" w:color="auto" w:sz="2" w:space="0"/>
              <w:left w:val="single" w:color="auto" w:sz="2" w:space="0"/>
              <w:bottom w:val="single" w:color="auto" w:sz="2" w:space="0"/>
              <w:right w:val="single" w:color="auto" w:sz="2" w:space="0"/>
            </w:tcBorders>
            <w:vAlign w:val="center"/>
          </w:tcPr>
          <w:p w14:paraId="0F2BF5B1">
            <w:pPr>
              <w:spacing w:before="0" w:after="0" w:line="240" w:lineRule="exact"/>
              <w:jc w:val="left"/>
              <w:rPr>
                <w:rFonts w:ascii="宋体" w:hAnsi="宋体" w:eastAsia="宋体" w:cs="宋体"/>
                <w:sz w:val="18"/>
                <w:szCs w:val="18"/>
              </w:rPr>
            </w:pPr>
            <w:r>
              <w:rPr>
                <w:rFonts w:ascii="宋体" w:hAnsi="宋体" w:eastAsia="宋体" w:cs="宋体"/>
                <w:sz w:val="18"/>
                <w:szCs w:val="18"/>
              </w:rPr>
              <w:t>2</w:t>
            </w:r>
          </w:p>
        </w:tc>
        <w:tc>
          <w:tcPr>
            <w:tcW w:w="1109" w:type="dxa"/>
            <w:tcBorders>
              <w:top w:val="single" w:color="auto" w:sz="2" w:space="0"/>
              <w:left w:val="single" w:color="auto" w:sz="2" w:space="0"/>
              <w:bottom w:val="single" w:color="auto" w:sz="2" w:space="0"/>
              <w:right w:val="single" w:color="auto" w:sz="2" w:space="0"/>
            </w:tcBorders>
            <w:vAlign w:val="center"/>
          </w:tcPr>
          <w:p w14:paraId="4AE7ABC5">
            <w:pPr>
              <w:spacing w:before="0" w:after="0" w:line="240" w:lineRule="exact"/>
              <w:jc w:val="left"/>
              <w:rPr>
                <w:rFonts w:ascii="宋体" w:hAnsi="宋体" w:eastAsia="宋体" w:cs="宋体"/>
                <w:sz w:val="18"/>
                <w:szCs w:val="18"/>
              </w:rPr>
            </w:pPr>
            <w:r>
              <w:rPr>
                <w:rFonts w:ascii="宋体" w:hAnsi="宋体" w:eastAsia="宋体" w:cs="宋体"/>
                <w:sz w:val="18"/>
                <w:szCs w:val="18"/>
              </w:rPr>
              <w:t>排放口位于锅炉房屋顶</w:t>
            </w:r>
          </w:p>
        </w:tc>
        <w:tc>
          <w:tcPr>
            <w:tcW w:w="876" w:type="dxa"/>
            <w:tcBorders>
              <w:top w:val="single" w:color="auto" w:sz="2" w:space="0"/>
              <w:left w:val="single" w:color="auto" w:sz="2" w:space="0"/>
              <w:bottom w:val="single" w:color="auto" w:sz="2" w:space="0"/>
              <w:right w:val="single" w:color="auto" w:sz="2" w:space="0"/>
            </w:tcBorders>
            <w:vAlign w:val="center"/>
          </w:tcPr>
          <w:p w14:paraId="2B98CCF6">
            <w:pPr>
              <w:spacing w:before="0" w:after="0" w:line="240" w:lineRule="exact"/>
              <w:jc w:val="left"/>
              <w:rPr>
                <w:rFonts w:ascii="宋体" w:hAnsi="宋体" w:eastAsia="宋体" w:cs="宋体"/>
                <w:sz w:val="18"/>
                <w:szCs w:val="18"/>
              </w:rPr>
            </w:pPr>
            <w:r>
              <w:rPr>
                <w:rFonts w:ascii="宋体" w:hAnsi="宋体" w:eastAsia="宋体" w:cs="宋体"/>
                <w:sz w:val="18"/>
                <w:szCs w:val="18"/>
              </w:rPr>
              <w:t>120.42mg/m3</w:t>
            </w:r>
          </w:p>
        </w:tc>
        <w:tc>
          <w:tcPr>
            <w:tcW w:w="876" w:type="dxa"/>
            <w:tcBorders>
              <w:top w:val="single" w:color="auto" w:sz="2" w:space="0"/>
              <w:left w:val="single" w:color="auto" w:sz="2" w:space="0"/>
              <w:bottom w:val="single" w:color="auto" w:sz="2" w:space="0"/>
              <w:right w:val="single" w:color="auto" w:sz="2" w:space="0"/>
            </w:tcBorders>
            <w:vAlign w:val="center"/>
          </w:tcPr>
          <w:p w14:paraId="3D67BBC4">
            <w:pPr>
              <w:spacing w:before="0" w:after="0" w:line="240" w:lineRule="exact"/>
              <w:jc w:val="left"/>
              <w:rPr>
                <w:rFonts w:ascii="宋体" w:hAnsi="宋体" w:eastAsia="宋体" w:cs="宋体"/>
                <w:sz w:val="18"/>
                <w:szCs w:val="18"/>
              </w:rPr>
            </w:pPr>
            <w:r>
              <w:rPr>
                <w:rFonts w:ascii="宋体" w:hAnsi="宋体" w:eastAsia="宋体" w:cs="宋体"/>
                <w:sz w:val="18"/>
                <w:szCs w:val="18"/>
              </w:rPr>
              <w:t>250mg/m3</w:t>
            </w:r>
          </w:p>
        </w:tc>
        <w:tc>
          <w:tcPr>
            <w:tcW w:w="876" w:type="dxa"/>
            <w:tcBorders>
              <w:top w:val="single" w:color="auto" w:sz="2" w:space="0"/>
              <w:left w:val="single" w:color="auto" w:sz="2" w:space="0"/>
              <w:bottom w:val="single" w:color="auto" w:sz="2" w:space="0"/>
              <w:right w:val="single" w:color="auto" w:sz="2" w:space="0"/>
            </w:tcBorders>
            <w:vAlign w:val="center"/>
          </w:tcPr>
          <w:p w14:paraId="0F1B5F12">
            <w:pPr>
              <w:spacing w:before="0" w:after="0" w:line="240" w:lineRule="exact"/>
              <w:jc w:val="left"/>
              <w:rPr>
                <w:rFonts w:ascii="宋体" w:hAnsi="宋体" w:eastAsia="宋体" w:cs="宋体"/>
                <w:sz w:val="18"/>
                <w:szCs w:val="18"/>
              </w:rPr>
            </w:pPr>
            <w:r>
              <w:rPr>
                <w:rFonts w:ascii="宋体" w:hAnsi="宋体" w:eastAsia="宋体" w:cs="宋体"/>
                <w:sz w:val="18"/>
                <w:szCs w:val="18"/>
              </w:rPr>
              <w:t>0.841553t</w:t>
            </w:r>
          </w:p>
        </w:tc>
        <w:tc>
          <w:tcPr>
            <w:tcW w:w="876" w:type="dxa"/>
            <w:tcBorders>
              <w:top w:val="single" w:color="auto" w:sz="2" w:space="0"/>
              <w:left w:val="single" w:color="auto" w:sz="2" w:space="0"/>
              <w:bottom w:val="single" w:color="auto" w:sz="2" w:space="0"/>
              <w:right w:val="single" w:color="auto" w:sz="2" w:space="0"/>
            </w:tcBorders>
            <w:vAlign w:val="center"/>
          </w:tcPr>
          <w:p w14:paraId="40B168B5">
            <w:pPr>
              <w:spacing w:before="0" w:after="0" w:line="240" w:lineRule="exact"/>
              <w:jc w:val="left"/>
              <w:rPr>
                <w:rFonts w:ascii="宋体" w:hAnsi="宋体" w:eastAsia="宋体" w:cs="宋体"/>
                <w:sz w:val="18"/>
                <w:szCs w:val="18"/>
              </w:rPr>
            </w:pPr>
            <w:r>
              <w:rPr>
                <w:rFonts w:ascii="宋体" w:hAnsi="宋体" w:eastAsia="宋体" w:cs="宋体"/>
                <w:sz w:val="18"/>
                <w:szCs w:val="18"/>
              </w:rPr>
              <w:t>/</w:t>
            </w:r>
          </w:p>
        </w:tc>
        <w:tc>
          <w:tcPr>
            <w:tcW w:w="876" w:type="dxa"/>
            <w:tcBorders>
              <w:top w:val="single" w:color="auto" w:sz="2" w:space="0"/>
              <w:left w:val="single" w:color="auto" w:sz="2" w:space="0"/>
              <w:bottom w:val="single" w:color="auto" w:sz="2" w:space="0"/>
              <w:right w:val="single" w:color="auto" w:sz="2" w:space="0"/>
            </w:tcBorders>
            <w:vAlign w:val="center"/>
          </w:tcPr>
          <w:p w14:paraId="08936E34">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r w14:paraId="788456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48E081BB">
            <w:pPr>
              <w:spacing w:before="0" w:after="0" w:line="240" w:lineRule="exact"/>
              <w:jc w:val="left"/>
              <w:rPr>
                <w:rFonts w:ascii="宋体" w:hAnsi="宋体" w:eastAsia="宋体" w:cs="宋体"/>
                <w:sz w:val="18"/>
                <w:szCs w:val="18"/>
              </w:rPr>
            </w:pPr>
            <w:r>
              <w:rPr>
                <w:rFonts w:ascii="宋体" w:hAnsi="宋体" w:eastAsia="宋体" w:cs="宋体"/>
                <w:sz w:val="18"/>
                <w:szCs w:val="18"/>
              </w:rPr>
              <w:t>广生堂</w:t>
            </w:r>
          </w:p>
        </w:tc>
        <w:tc>
          <w:tcPr>
            <w:tcW w:w="876" w:type="dxa"/>
            <w:tcBorders>
              <w:top w:val="single" w:color="auto" w:sz="2" w:space="0"/>
              <w:left w:val="single" w:color="auto" w:sz="2" w:space="0"/>
              <w:bottom w:val="single" w:color="auto" w:sz="2" w:space="0"/>
              <w:right w:val="single" w:color="auto" w:sz="2" w:space="0"/>
            </w:tcBorders>
            <w:vAlign w:val="center"/>
          </w:tcPr>
          <w:p w14:paraId="73EF025C">
            <w:pPr>
              <w:spacing w:before="0" w:after="0" w:line="240" w:lineRule="exact"/>
              <w:jc w:val="left"/>
              <w:rPr>
                <w:rFonts w:ascii="宋体" w:hAnsi="宋体" w:eastAsia="宋体" w:cs="宋体"/>
                <w:sz w:val="18"/>
                <w:szCs w:val="18"/>
              </w:rPr>
            </w:pPr>
            <w:r>
              <w:rPr>
                <w:rFonts w:ascii="宋体" w:hAnsi="宋体" w:eastAsia="宋体" w:cs="宋体"/>
                <w:sz w:val="18"/>
                <w:szCs w:val="18"/>
              </w:rPr>
              <w:t>废气</w:t>
            </w:r>
          </w:p>
        </w:tc>
        <w:tc>
          <w:tcPr>
            <w:tcW w:w="805" w:type="dxa"/>
            <w:tcBorders>
              <w:top w:val="single" w:color="auto" w:sz="2" w:space="0"/>
              <w:left w:val="single" w:color="auto" w:sz="2" w:space="0"/>
              <w:bottom w:val="single" w:color="auto" w:sz="2" w:space="0"/>
              <w:right w:val="single" w:color="auto" w:sz="2" w:space="0"/>
            </w:tcBorders>
            <w:vAlign w:val="center"/>
          </w:tcPr>
          <w:p w14:paraId="1A818318">
            <w:pPr>
              <w:spacing w:before="0" w:after="0" w:line="240" w:lineRule="exact"/>
              <w:jc w:val="left"/>
              <w:rPr>
                <w:rFonts w:ascii="宋体" w:hAnsi="宋体" w:eastAsia="宋体" w:cs="宋体"/>
                <w:sz w:val="18"/>
                <w:szCs w:val="18"/>
              </w:rPr>
            </w:pPr>
            <w:r>
              <w:rPr>
                <w:rFonts w:ascii="宋体" w:hAnsi="宋体" w:eastAsia="宋体" w:cs="宋体"/>
                <w:sz w:val="18"/>
                <w:szCs w:val="18"/>
              </w:rPr>
              <w:t>颗粒物</w:t>
            </w:r>
          </w:p>
        </w:tc>
        <w:tc>
          <w:tcPr>
            <w:tcW w:w="947" w:type="dxa"/>
            <w:tcBorders>
              <w:top w:val="single" w:color="auto" w:sz="2" w:space="0"/>
              <w:left w:val="single" w:color="auto" w:sz="2" w:space="0"/>
              <w:bottom w:val="single" w:color="auto" w:sz="2" w:space="0"/>
              <w:right w:val="single" w:color="auto" w:sz="2" w:space="0"/>
            </w:tcBorders>
            <w:vAlign w:val="center"/>
          </w:tcPr>
          <w:p w14:paraId="131FD3D2">
            <w:pPr>
              <w:spacing w:before="0" w:after="0" w:line="240" w:lineRule="exact"/>
              <w:jc w:val="left"/>
              <w:rPr>
                <w:rFonts w:ascii="宋体" w:hAnsi="宋体" w:eastAsia="宋体" w:cs="宋体"/>
                <w:sz w:val="18"/>
                <w:szCs w:val="18"/>
              </w:rPr>
            </w:pPr>
            <w:r>
              <w:rPr>
                <w:rFonts w:ascii="宋体" w:hAnsi="宋体" w:eastAsia="宋体" w:cs="宋体"/>
                <w:sz w:val="18"/>
                <w:szCs w:val="18"/>
              </w:rPr>
              <w:t>处理后达标排放</w:t>
            </w:r>
          </w:p>
        </w:tc>
        <w:tc>
          <w:tcPr>
            <w:tcW w:w="643" w:type="dxa"/>
            <w:tcBorders>
              <w:top w:val="single" w:color="auto" w:sz="2" w:space="0"/>
              <w:left w:val="single" w:color="auto" w:sz="2" w:space="0"/>
              <w:bottom w:val="single" w:color="auto" w:sz="2" w:space="0"/>
              <w:right w:val="single" w:color="auto" w:sz="2" w:space="0"/>
            </w:tcBorders>
            <w:vAlign w:val="center"/>
          </w:tcPr>
          <w:p w14:paraId="66C5D509">
            <w:pPr>
              <w:spacing w:before="0" w:after="0" w:line="240" w:lineRule="exact"/>
              <w:jc w:val="left"/>
              <w:rPr>
                <w:rFonts w:ascii="宋体" w:hAnsi="宋体" w:eastAsia="宋体" w:cs="宋体"/>
                <w:sz w:val="18"/>
                <w:szCs w:val="18"/>
              </w:rPr>
            </w:pPr>
            <w:r>
              <w:rPr>
                <w:rFonts w:ascii="宋体" w:hAnsi="宋体" w:eastAsia="宋体" w:cs="宋体"/>
                <w:sz w:val="18"/>
                <w:szCs w:val="18"/>
              </w:rPr>
              <w:t>2</w:t>
            </w:r>
          </w:p>
        </w:tc>
        <w:tc>
          <w:tcPr>
            <w:tcW w:w="1109" w:type="dxa"/>
            <w:tcBorders>
              <w:top w:val="single" w:color="auto" w:sz="2" w:space="0"/>
              <w:left w:val="single" w:color="auto" w:sz="2" w:space="0"/>
              <w:bottom w:val="single" w:color="auto" w:sz="2" w:space="0"/>
              <w:right w:val="single" w:color="auto" w:sz="2" w:space="0"/>
            </w:tcBorders>
            <w:vAlign w:val="center"/>
          </w:tcPr>
          <w:p w14:paraId="47221517">
            <w:pPr>
              <w:spacing w:before="0" w:after="0" w:line="240" w:lineRule="exact"/>
              <w:jc w:val="left"/>
              <w:rPr>
                <w:rFonts w:ascii="宋体" w:hAnsi="宋体" w:eastAsia="宋体" w:cs="宋体"/>
                <w:sz w:val="18"/>
                <w:szCs w:val="18"/>
              </w:rPr>
            </w:pPr>
            <w:r>
              <w:rPr>
                <w:rFonts w:ascii="宋体" w:hAnsi="宋体" w:eastAsia="宋体" w:cs="宋体"/>
                <w:sz w:val="18"/>
                <w:szCs w:val="18"/>
              </w:rPr>
              <w:t>排放口位于锅炉房屋顶</w:t>
            </w:r>
          </w:p>
        </w:tc>
        <w:tc>
          <w:tcPr>
            <w:tcW w:w="876" w:type="dxa"/>
            <w:tcBorders>
              <w:top w:val="single" w:color="auto" w:sz="2" w:space="0"/>
              <w:left w:val="single" w:color="auto" w:sz="2" w:space="0"/>
              <w:bottom w:val="single" w:color="auto" w:sz="2" w:space="0"/>
              <w:right w:val="single" w:color="auto" w:sz="2" w:space="0"/>
            </w:tcBorders>
            <w:vAlign w:val="center"/>
          </w:tcPr>
          <w:p w14:paraId="3118BAD2">
            <w:pPr>
              <w:spacing w:before="0" w:after="0" w:line="240" w:lineRule="exact"/>
              <w:jc w:val="left"/>
              <w:rPr>
                <w:rFonts w:ascii="宋体" w:hAnsi="宋体" w:eastAsia="宋体" w:cs="宋体"/>
                <w:sz w:val="18"/>
                <w:szCs w:val="18"/>
              </w:rPr>
            </w:pPr>
            <w:r>
              <w:rPr>
                <w:rFonts w:ascii="宋体" w:hAnsi="宋体" w:eastAsia="宋体" w:cs="宋体"/>
                <w:sz w:val="18"/>
                <w:szCs w:val="18"/>
              </w:rPr>
              <w:t>6.13mg/m3</w:t>
            </w:r>
          </w:p>
        </w:tc>
        <w:tc>
          <w:tcPr>
            <w:tcW w:w="876" w:type="dxa"/>
            <w:tcBorders>
              <w:top w:val="single" w:color="auto" w:sz="2" w:space="0"/>
              <w:left w:val="single" w:color="auto" w:sz="2" w:space="0"/>
              <w:bottom w:val="single" w:color="auto" w:sz="2" w:space="0"/>
              <w:right w:val="single" w:color="auto" w:sz="2" w:space="0"/>
            </w:tcBorders>
            <w:vAlign w:val="center"/>
          </w:tcPr>
          <w:p w14:paraId="37FA48BC">
            <w:pPr>
              <w:spacing w:before="0" w:after="0" w:line="240" w:lineRule="exact"/>
              <w:jc w:val="left"/>
              <w:rPr>
                <w:rFonts w:ascii="宋体" w:hAnsi="宋体" w:eastAsia="宋体" w:cs="宋体"/>
                <w:sz w:val="18"/>
                <w:szCs w:val="18"/>
              </w:rPr>
            </w:pPr>
            <w:r>
              <w:rPr>
                <w:rFonts w:ascii="宋体" w:hAnsi="宋体" w:eastAsia="宋体" w:cs="宋体"/>
                <w:sz w:val="18"/>
                <w:szCs w:val="18"/>
              </w:rPr>
              <w:t>30mg/m3</w:t>
            </w:r>
          </w:p>
        </w:tc>
        <w:tc>
          <w:tcPr>
            <w:tcW w:w="876" w:type="dxa"/>
            <w:tcBorders>
              <w:top w:val="single" w:color="auto" w:sz="2" w:space="0"/>
              <w:left w:val="single" w:color="auto" w:sz="2" w:space="0"/>
              <w:bottom w:val="single" w:color="auto" w:sz="2" w:space="0"/>
              <w:right w:val="single" w:color="auto" w:sz="2" w:space="0"/>
            </w:tcBorders>
            <w:vAlign w:val="center"/>
          </w:tcPr>
          <w:p w14:paraId="2ECFFCA2">
            <w:pPr>
              <w:spacing w:before="0" w:after="0" w:line="240" w:lineRule="exact"/>
              <w:jc w:val="left"/>
              <w:rPr>
                <w:rFonts w:ascii="宋体" w:hAnsi="宋体" w:eastAsia="宋体" w:cs="宋体"/>
                <w:sz w:val="18"/>
                <w:szCs w:val="18"/>
              </w:rPr>
            </w:pPr>
            <w:r>
              <w:rPr>
                <w:rFonts w:ascii="宋体" w:hAnsi="宋体" w:eastAsia="宋体" w:cs="宋体"/>
                <w:sz w:val="18"/>
                <w:szCs w:val="18"/>
              </w:rPr>
              <w:t>0.155386t</w:t>
            </w:r>
          </w:p>
        </w:tc>
        <w:tc>
          <w:tcPr>
            <w:tcW w:w="876" w:type="dxa"/>
            <w:tcBorders>
              <w:top w:val="single" w:color="auto" w:sz="2" w:space="0"/>
              <w:left w:val="single" w:color="auto" w:sz="2" w:space="0"/>
              <w:bottom w:val="single" w:color="auto" w:sz="2" w:space="0"/>
              <w:right w:val="single" w:color="auto" w:sz="2" w:space="0"/>
            </w:tcBorders>
            <w:vAlign w:val="center"/>
          </w:tcPr>
          <w:p w14:paraId="47CDA6B0">
            <w:pPr>
              <w:spacing w:before="0" w:after="0" w:line="240" w:lineRule="exact"/>
              <w:jc w:val="left"/>
              <w:rPr>
                <w:rFonts w:ascii="宋体" w:hAnsi="宋体" w:eastAsia="宋体" w:cs="宋体"/>
                <w:sz w:val="18"/>
                <w:szCs w:val="18"/>
              </w:rPr>
            </w:pPr>
            <w:r>
              <w:rPr>
                <w:rFonts w:ascii="宋体" w:hAnsi="宋体" w:eastAsia="宋体" w:cs="宋体"/>
                <w:sz w:val="18"/>
                <w:szCs w:val="18"/>
              </w:rPr>
              <w:t>/</w:t>
            </w:r>
          </w:p>
        </w:tc>
        <w:tc>
          <w:tcPr>
            <w:tcW w:w="876" w:type="dxa"/>
            <w:tcBorders>
              <w:top w:val="single" w:color="auto" w:sz="2" w:space="0"/>
              <w:left w:val="single" w:color="auto" w:sz="2" w:space="0"/>
              <w:bottom w:val="single" w:color="auto" w:sz="2" w:space="0"/>
              <w:right w:val="single" w:color="auto" w:sz="2" w:space="0"/>
            </w:tcBorders>
            <w:vAlign w:val="center"/>
          </w:tcPr>
          <w:p w14:paraId="7ED41CAE">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bl>
    <w:p w14:paraId="0FFE4086">
      <w:pPr>
        <w:spacing w:before="100" w:after="100" w:line="240" w:lineRule="exact"/>
        <w:jc w:val="left"/>
        <w:rPr>
          <w:rFonts w:ascii="宋体" w:hAnsi="宋体" w:eastAsia="宋体" w:cs="宋体"/>
          <w:sz w:val="18"/>
          <w:szCs w:val="18"/>
        </w:rPr>
      </w:pPr>
      <w:r>
        <w:rPr>
          <w:rFonts w:ascii="宋体" w:hAnsi="宋体" w:eastAsia="宋体" w:cs="宋体"/>
          <w:sz w:val="18"/>
          <w:szCs w:val="18"/>
        </w:rPr>
        <w:t>对污染物的处理</w:t>
      </w:r>
    </w:p>
    <w:p w14:paraId="6F284D59">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一直以来公司高度重视对污染物的处理。具体情况如下：</w:t>
      </w:r>
    </w:p>
    <w:p w14:paraId="4A4FA32F">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一期厂区污染物处理情况：危险废物贮存、处置严格执行《危险废物贮存污染物控制标准》（GB18597-2001），危险废物委托有资质的单位转移、处置；各生产车间废水经收集池收集通过桥架泵入污水处理站（双A/O+芬顿试剂处理工艺）处理达标后排放并通过在线监测系统实时监测（在线监测与省生态环境厅联网）；车间生产装置尾气经收集，由废气处置设施（喷淋+活性炭吸附）处理后达标排放并通过在线废气VOCs监测系统实时监测（在线监测与省生态环境厅联网）。</w:t>
      </w:r>
    </w:p>
    <w:p w14:paraId="11217CEE">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公司二期厂区污染物处理情况:生产车间废水经污水管网流入污水处理站调节池，再由调节池泵入污水处理站（双A/O处理工艺）处理达标后排放；车间生产装置废气经收集，由布袋除尘设施处理后达标排放。</w:t>
      </w:r>
    </w:p>
    <w:p w14:paraId="589614C2">
      <w:pPr>
        <w:pStyle w:val="2"/>
        <w:keepNext w:val="0"/>
        <w:keepLines w:val="0"/>
        <w:widowControl/>
        <w:suppressLineNumbers w:val="0"/>
        <w:spacing w:before="0" w:beforeAutospacing="0" w:after="0" w:afterAutospacing="0"/>
        <w:ind w:left="0" w:right="0" w:firstLine="360"/>
        <w:jc w:val="both"/>
        <w:rPr>
          <w:rFonts w:hint="default" w:ascii="Calibri" w:hAnsi="Calibri" w:cs="Calibri"/>
          <w:sz w:val="21"/>
          <w:szCs w:val="21"/>
        </w:rPr>
      </w:pPr>
      <w:r>
        <w:rPr>
          <w:rFonts w:hint="eastAsia" w:ascii="宋体" w:hAnsi="宋体" w:eastAsia="宋体" w:cs="宋体"/>
          <w:sz w:val="18"/>
          <w:szCs w:val="18"/>
        </w:rPr>
        <w:t>公司一、二期厂区环保设施运转正常。截止2024年12月底，公司未发生环境违法事件，亦未发生环境事故；同时，公司建立了有效的环境风险管理体系，严格执行环境影响评价及相关制度，不断加强环保监督管理及对环保设施的持续改造，确保环保设施正常运行，各污染物达标排放。</w:t>
      </w:r>
    </w:p>
    <w:p w14:paraId="1A8ED215">
      <w:pPr>
        <w:spacing w:before="100" w:after="100" w:line="240" w:lineRule="exact"/>
        <w:jc w:val="left"/>
        <w:rPr>
          <w:rFonts w:ascii="宋体" w:hAnsi="宋体" w:eastAsia="宋体" w:cs="宋体"/>
          <w:sz w:val="18"/>
          <w:szCs w:val="18"/>
        </w:rPr>
      </w:pPr>
      <w:r>
        <w:rPr>
          <w:rFonts w:ascii="宋体" w:hAnsi="宋体" w:eastAsia="宋体" w:cs="宋体"/>
          <w:sz w:val="18"/>
          <w:szCs w:val="18"/>
        </w:rPr>
        <w:t>突发环境事件应急预案</w:t>
      </w:r>
    </w:p>
    <w:p w14:paraId="3B646079">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公司2012年编制了突发环境事件应急预案并通过专家评审，于2012年2月1日通过柘荣县环境保护局的备案（备案编号：72012001）。2016年，公司重新修订了突发环境事件应急预案并通过专家评审，于2016年11月18日通过柘荣县环境保护局的备案（备案编号：350926-2016-04-L）。2022年，公司根据《企业事业单位突发环境事件应急预案备案管理办法》等文件相关的要求进行回顾性评估并通过专家评审，于2022年09月26日通过宁德市柘荣县生态环境局备案（一期厂区备案编号：350926-2022-013-M；二期厂区备案编号：350926-2022-012-L）。</w:t>
      </w:r>
    </w:p>
    <w:p w14:paraId="538A80D3">
      <w:pPr>
        <w:spacing w:before="100" w:after="100" w:line="240" w:lineRule="exact"/>
        <w:jc w:val="left"/>
        <w:rPr>
          <w:rFonts w:ascii="宋体" w:hAnsi="宋体" w:eastAsia="宋体" w:cs="宋体"/>
          <w:sz w:val="18"/>
          <w:szCs w:val="18"/>
        </w:rPr>
      </w:pPr>
      <w:r>
        <w:rPr>
          <w:rFonts w:ascii="宋体" w:hAnsi="宋体" w:eastAsia="宋体" w:cs="宋体"/>
          <w:sz w:val="18"/>
          <w:szCs w:val="18"/>
        </w:rPr>
        <w:t>环境自行监测方案</w:t>
      </w:r>
    </w:p>
    <w:p w14:paraId="5A740B64">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本公司根据排污许可证要求，制定2024年度自行监测方案（包括一期、二期厂区）并通过环保部门审批。根据自行监测方案的检测指标、执行标准及其限值、监测频次、质量保证与质量控制等要求，委托有资质的第三方检测单位定期对污染源进行检测并出具检测报告。</w:t>
      </w:r>
    </w:p>
    <w:p w14:paraId="28348917">
      <w:pPr>
        <w:spacing w:before="100" w:after="100" w:line="240" w:lineRule="exact"/>
        <w:jc w:val="left"/>
        <w:rPr>
          <w:rFonts w:ascii="宋体" w:hAnsi="宋体" w:eastAsia="宋体" w:cs="宋体"/>
          <w:sz w:val="18"/>
          <w:szCs w:val="18"/>
        </w:rPr>
      </w:pPr>
      <w:r>
        <w:rPr>
          <w:rFonts w:ascii="宋体" w:hAnsi="宋体" w:eastAsia="宋体" w:cs="宋体"/>
          <w:sz w:val="18"/>
          <w:szCs w:val="18"/>
        </w:rPr>
        <w:t>环境治理和保护的投入及缴纳环境保护税的相关情况</w:t>
      </w:r>
    </w:p>
    <w:p w14:paraId="1E83B6B6">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2024年，公司环境治理和保护的投入约为92万元（包含一、二期厂区土壤自行监测、污染源自行监测、环保报告编制费用、危险废物转移处置、废水、废气在线新增设施和运维费用、污染防治设施维护等费用），缴纳环境保护税为1450.83元。</w:t>
      </w:r>
    </w:p>
    <w:p w14:paraId="1F15B109">
      <w:pPr>
        <w:spacing w:before="100" w:after="100" w:line="240" w:lineRule="exact"/>
        <w:jc w:val="left"/>
        <w:rPr>
          <w:rFonts w:ascii="宋体" w:hAnsi="宋体" w:eastAsia="宋体" w:cs="宋体"/>
          <w:sz w:val="18"/>
          <w:szCs w:val="18"/>
        </w:rPr>
      </w:pPr>
      <w:r>
        <w:rPr>
          <w:rFonts w:ascii="宋体" w:hAnsi="宋体" w:eastAsia="宋体" w:cs="宋体"/>
          <w:sz w:val="18"/>
          <w:szCs w:val="18"/>
        </w:rPr>
        <w:t>在报告期内为减少其碳排放所采取的措施及效果</w:t>
      </w:r>
    </w:p>
    <w:p w14:paraId="7284C783">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133800F">
      <w:pPr>
        <w:spacing w:before="100" w:after="100" w:line="240" w:lineRule="exact"/>
        <w:jc w:val="left"/>
        <w:rPr>
          <w:rFonts w:ascii="宋体" w:hAnsi="宋体" w:eastAsia="宋体" w:cs="宋体"/>
          <w:sz w:val="18"/>
          <w:szCs w:val="18"/>
        </w:rPr>
      </w:pPr>
      <w:r>
        <w:rPr>
          <w:rFonts w:ascii="宋体" w:hAnsi="宋体" w:eastAsia="宋体" w:cs="宋体"/>
          <w:sz w:val="18"/>
          <w:szCs w:val="18"/>
        </w:rPr>
        <w:t>报告期内因环境问题受到行政处罚的情况</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749879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048A0CF">
            <w:pPr>
              <w:spacing w:before="40" w:after="40" w:line="240" w:lineRule="exact"/>
              <w:jc w:val="center"/>
              <w:rPr>
                <w:rFonts w:ascii="宋体" w:hAnsi="宋体" w:eastAsia="宋体" w:cs="宋体"/>
                <w:sz w:val="18"/>
                <w:szCs w:val="18"/>
              </w:rPr>
            </w:pPr>
            <w:r>
              <w:rPr>
                <w:rFonts w:ascii="宋体" w:hAnsi="宋体" w:eastAsia="宋体" w:cs="宋体"/>
                <w:sz w:val="18"/>
                <w:szCs w:val="18"/>
              </w:rPr>
              <w:t>公司或子公司名称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06A05A2">
            <w:pPr>
              <w:spacing w:before="40" w:after="40" w:line="240" w:lineRule="exact"/>
              <w:jc w:val="center"/>
              <w:rPr>
                <w:rFonts w:ascii="宋体" w:hAnsi="宋体" w:eastAsia="宋体" w:cs="宋体"/>
                <w:sz w:val="18"/>
                <w:szCs w:val="18"/>
              </w:rPr>
            </w:pPr>
            <w:r>
              <w:rPr>
                <w:rFonts w:ascii="宋体" w:hAnsi="宋体" w:eastAsia="宋体" w:cs="宋体"/>
                <w:sz w:val="18"/>
                <w:szCs w:val="18"/>
              </w:rPr>
              <w:t>处罚原因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82B89E3">
            <w:pPr>
              <w:spacing w:before="40" w:after="40" w:line="240" w:lineRule="exact"/>
              <w:jc w:val="center"/>
              <w:rPr>
                <w:rFonts w:ascii="宋体" w:hAnsi="宋体" w:eastAsia="宋体" w:cs="宋体"/>
                <w:sz w:val="18"/>
                <w:szCs w:val="18"/>
              </w:rPr>
            </w:pPr>
            <w:r>
              <w:rPr>
                <w:rFonts w:ascii="宋体" w:hAnsi="宋体" w:eastAsia="宋体" w:cs="宋体"/>
                <w:sz w:val="18"/>
                <w:szCs w:val="18"/>
              </w:rPr>
              <w:t>违规情形</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0AC7DE1">
            <w:pPr>
              <w:spacing w:before="40" w:after="40" w:line="240" w:lineRule="exact"/>
              <w:jc w:val="center"/>
              <w:rPr>
                <w:rFonts w:ascii="宋体" w:hAnsi="宋体" w:eastAsia="宋体" w:cs="宋体"/>
                <w:sz w:val="18"/>
                <w:szCs w:val="18"/>
              </w:rPr>
            </w:pPr>
            <w:r>
              <w:rPr>
                <w:rFonts w:ascii="宋体" w:hAnsi="宋体" w:eastAsia="宋体" w:cs="宋体"/>
                <w:sz w:val="18"/>
                <w:szCs w:val="18"/>
              </w:rPr>
              <w:t>处罚结果</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15EBF68">
            <w:pPr>
              <w:spacing w:before="40" w:after="40" w:line="240" w:lineRule="exact"/>
              <w:jc w:val="center"/>
              <w:rPr>
                <w:rFonts w:ascii="宋体" w:hAnsi="宋体" w:eastAsia="宋体" w:cs="宋体"/>
                <w:sz w:val="18"/>
                <w:szCs w:val="18"/>
              </w:rPr>
            </w:pPr>
            <w:r>
              <w:rPr>
                <w:rFonts w:ascii="宋体" w:hAnsi="宋体" w:eastAsia="宋体" w:cs="宋体"/>
                <w:sz w:val="18"/>
                <w:szCs w:val="18"/>
              </w:rPr>
              <w:t>对上市公司生产经营的影响</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241F296">
            <w:pPr>
              <w:spacing w:before="40" w:after="40" w:line="240" w:lineRule="exact"/>
              <w:jc w:val="center"/>
              <w:rPr>
                <w:rFonts w:ascii="宋体" w:hAnsi="宋体" w:eastAsia="宋体" w:cs="宋体"/>
                <w:sz w:val="18"/>
                <w:szCs w:val="18"/>
              </w:rPr>
            </w:pPr>
            <w:r>
              <w:rPr>
                <w:rFonts w:ascii="宋体" w:hAnsi="宋体" w:eastAsia="宋体" w:cs="宋体"/>
                <w:sz w:val="18"/>
                <w:szCs w:val="18"/>
              </w:rPr>
              <w:t>公司的整改措施</w:t>
            </w:r>
          </w:p>
        </w:tc>
      </w:tr>
      <w:tr w14:paraId="3EA7BC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AC4912C">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606" w:type="dxa"/>
            <w:tcBorders>
              <w:top w:val="single" w:color="auto" w:sz="2" w:space="0"/>
              <w:left w:val="single" w:color="auto" w:sz="2" w:space="0"/>
              <w:bottom w:val="single" w:color="auto" w:sz="2" w:space="0"/>
              <w:right w:val="single" w:color="auto" w:sz="2" w:space="0"/>
            </w:tcBorders>
            <w:vAlign w:val="center"/>
          </w:tcPr>
          <w:p w14:paraId="2A522085">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606" w:type="dxa"/>
            <w:tcBorders>
              <w:top w:val="single" w:color="auto" w:sz="2" w:space="0"/>
              <w:left w:val="single" w:color="auto" w:sz="2" w:space="0"/>
              <w:bottom w:val="single" w:color="auto" w:sz="2" w:space="0"/>
              <w:right w:val="single" w:color="auto" w:sz="2" w:space="0"/>
            </w:tcBorders>
            <w:vAlign w:val="center"/>
          </w:tcPr>
          <w:p w14:paraId="0DC169B2">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606" w:type="dxa"/>
            <w:tcBorders>
              <w:top w:val="single" w:color="auto" w:sz="2" w:space="0"/>
              <w:left w:val="single" w:color="auto" w:sz="2" w:space="0"/>
              <w:bottom w:val="single" w:color="auto" w:sz="2" w:space="0"/>
              <w:right w:val="single" w:color="auto" w:sz="2" w:space="0"/>
            </w:tcBorders>
            <w:vAlign w:val="center"/>
          </w:tcPr>
          <w:p w14:paraId="36C73699">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606" w:type="dxa"/>
            <w:tcBorders>
              <w:top w:val="single" w:color="auto" w:sz="2" w:space="0"/>
              <w:left w:val="single" w:color="auto" w:sz="2" w:space="0"/>
              <w:bottom w:val="single" w:color="auto" w:sz="2" w:space="0"/>
              <w:right w:val="single" w:color="auto" w:sz="2" w:space="0"/>
            </w:tcBorders>
            <w:vAlign w:val="center"/>
          </w:tcPr>
          <w:p w14:paraId="2B163B45">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606" w:type="dxa"/>
            <w:tcBorders>
              <w:top w:val="single" w:color="auto" w:sz="2" w:space="0"/>
              <w:left w:val="single" w:color="auto" w:sz="2" w:space="0"/>
              <w:bottom w:val="single" w:color="auto" w:sz="2" w:space="0"/>
              <w:right w:val="single" w:color="auto" w:sz="2" w:space="0"/>
            </w:tcBorders>
            <w:vAlign w:val="center"/>
          </w:tcPr>
          <w:p w14:paraId="515B304B">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bl>
    <w:p w14:paraId="2D2593A2">
      <w:pPr>
        <w:spacing w:before="100" w:after="100" w:line="240" w:lineRule="exact"/>
        <w:jc w:val="left"/>
        <w:rPr>
          <w:rFonts w:ascii="宋体" w:hAnsi="宋体" w:eastAsia="宋体" w:cs="宋体"/>
          <w:sz w:val="18"/>
          <w:szCs w:val="18"/>
        </w:rPr>
      </w:pPr>
      <w:r>
        <w:rPr>
          <w:rFonts w:ascii="宋体" w:hAnsi="宋体" w:eastAsia="宋体" w:cs="宋体"/>
          <w:sz w:val="18"/>
          <w:szCs w:val="18"/>
        </w:rPr>
        <w:t>其他应当公开的环境信息</w:t>
      </w:r>
    </w:p>
    <w:p w14:paraId="12A6EAA9">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不适用。</w:t>
      </w:r>
    </w:p>
    <w:p w14:paraId="2E0E2F18">
      <w:pPr>
        <w:spacing w:before="100" w:after="100" w:line="240" w:lineRule="exact"/>
        <w:jc w:val="left"/>
        <w:rPr>
          <w:rFonts w:ascii="宋体" w:hAnsi="宋体" w:eastAsia="宋体" w:cs="宋体"/>
          <w:sz w:val="18"/>
          <w:szCs w:val="18"/>
        </w:rPr>
      </w:pPr>
      <w:r>
        <w:rPr>
          <w:rFonts w:ascii="宋体" w:hAnsi="宋体" w:eastAsia="宋体" w:cs="宋体"/>
          <w:sz w:val="18"/>
          <w:szCs w:val="18"/>
        </w:rPr>
        <w:t>其他环保相关信息</w:t>
      </w:r>
    </w:p>
    <w:p w14:paraId="41A14789">
      <w:pPr>
        <w:pStyle w:val="2"/>
        <w:keepNext w:val="0"/>
        <w:keepLines w:val="0"/>
        <w:widowControl/>
        <w:suppressLineNumbers w:val="0"/>
        <w:spacing w:before="0" w:beforeAutospacing="0" w:after="0" w:afterAutospacing="0"/>
        <w:ind w:left="0" w:right="0" w:firstLine="360"/>
        <w:jc w:val="both"/>
        <w:rPr>
          <w:rFonts w:ascii="Calibri" w:hAnsi="Calibri" w:cs="Calibri"/>
          <w:sz w:val="21"/>
          <w:szCs w:val="21"/>
        </w:rPr>
      </w:pPr>
      <w:r>
        <w:rPr>
          <w:rFonts w:hint="eastAsia" w:ascii="宋体" w:hAnsi="宋体" w:eastAsia="宋体" w:cs="宋体"/>
          <w:sz w:val="18"/>
          <w:szCs w:val="18"/>
        </w:rPr>
        <w:t>不适用。</w:t>
      </w:r>
    </w:p>
    <w:p w14:paraId="2BCF72F1">
      <w:pPr>
        <w:keepNext/>
        <w:keepLines/>
        <w:spacing w:before="300" w:after="300" w:line="320" w:lineRule="exact"/>
        <w:jc w:val="left"/>
        <w:outlineLvl w:val="1"/>
        <w:rPr>
          <w:rFonts w:ascii="宋体" w:hAnsi="宋体" w:eastAsia="宋体" w:cs="宋体"/>
          <w:b/>
          <w:bCs/>
          <w:sz w:val="24"/>
          <w:szCs w:val="24"/>
        </w:rPr>
      </w:pPr>
      <w:bookmarkStart w:id="94" w:name="_Toc988981"/>
      <w:r>
        <w:rPr>
          <w:rFonts w:ascii="宋体" w:hAnsi="宋体" w:eastAsia="宋体" w:cs="宋体"/>
          <w:b/>
          <w:bCs/>
          <w:sz w:val="24"/>
          <w:szCs w:val="24"/>
        </w:rPr>
        <w:t>二、社会责任情况</w:t>
      </w:r>
      <w:bookmarkEnd w:id="94"/>
    </w:p>
    <w:p w14:paraId="4C660D68">
      <w:pPr>
        <w:pStyle w:val="2"/>
        <w:keepNext w:val="0"/>
        <w:keepLines w:val="0"/>
        <w:widowControl/>
        <w:suppressLineNumbers w:val="0"/>
        <w:spacing w:before="0" w:beforeAutospacing="0" w:after="0" w:afterAutospacing="0"/>
        <w:ind w:left="0" w:right="0" w:firstLine="360"/>
        <w:jc w:val="left"/>
        <w:rPr>
          <w:rFonts w:ascii="Calibri" w:hAnsi="Calibri" w:cs="Calibri"/>
          <w:sz w:val="21"/>
          <w:szCs w:val="21"/>
        </w:rPr>
      </w:pPr>
      <w:r>
        <w:rPr>
          <w:rFonts w:hint="eastAsia" w:ascii="宋体" w:hAnsi="宋体" w:eastAsia="宋体" w:cs="宋体"/>
          <w:sz w:val="18"/>
          <w:szCs w:val="18"/>
        </w:rPr>
        <w:t>具体详见公司同日刊登于巨潮资讯网（http://www.cninfo.com.cn）上的《2024年度社会责任报告》。</w:t>
      </w:r>
    </w:p>
    <w:p w14:paraId="427FA1A6">
      <w:pPr>
        <w:keepNext/>
        <w:keepLines/>
        <w:spacing w:before="300" w:after="300" w:line="320" w:lineRule="exact"/>
        <w:jc w:val="left"/>
        <w:outlineLvl w:val="1"/>
        <w:rPr>
          <w:rFonts w:ascii="宋体" w:hAnsi="宋体" w:eastAsia="宋体" w:cs="宋体"/>
          <w:b/>
          <w:bCs/>
          <w:sz w:val="24"/>
          <w:szCs w:val="24"/>
        </w:rPr>
      </w:pPr>
      <w:bookmarkStart w:id="95" w:name="_Toc988982"/>
      <w:r>
        <w:rPr>
          <w:rFonts w:ascii="宋体" w:hAnsi="宋体" w:eastAsia="宋体" w:cs="宋体"/>
          <w:b/>
          <w:bCs/>
          <w:sz w:val="24"/>
          <w:szCs w:val="24"/>
        </w:rPr>
        <w:t>三、巩固拓展脱贫攻坚成果、乡村振兴的情况</w:t>
      </w:r>
      <w:bookmarkEnd w:id="95"/>
    </w:p>
    <w:p w14:paraId="3A7C2A5B">
      <w:pPr>
        <w:pStyle w:val="2"/>
        <w:keepNext w:val="0"/>
        <w:keepLines w:val="0"/>
        <w:widowControl/>
        <w:suppressLineNumbers w:val="0"/>
        <w:spacing w:before="0" w:beforeAutospacing="0" w:after="0" w:afterAutospacing="0"/>
        <w:ind w:left="0" w:right="0" w:firstLine="360"/>
        <w:jc w:val="left"/>
        <w:rPr>
          <w:rFonts w:ascii="Calibri" w:hAnsi="Calibri" w:cs="Calibri"/>
          <w:sz w:val="21"/>
          <w:szCs w:val="21"/>
        </w:rPr>
      </w:pPr>
      <w:r>
        <w:rPr>
          <w:rFonts w:hint="eastAsia" w:ascii="宋体" w:hAnsi="宋体" w:eastAsia="宋体" w:cs="宋体"/>
          <w:sz w:val="18"/>
          <w:szCs w:val="18"/>
        </w:rPr>
        <w:t>具体详见公司同日刊登于巨潮资讯网（http://www.cninfo.com.cn）上的《2024年度社会责任报告》。</w:t>
      </w:r>
    </w:p>
    <w:p w14:paraId="54D3F22E">
      <w:r>
        <w:br w:type="page"/>
      </w:r>
    </w:p>
    <w:p w14:paraId="47772499">
      <w:pPr>
        <w:keepNext/>
        <w:keepLines/>
        <w:spacing w:before="340" w:after="330" w:line="773" w:lineRule="exact"/>
        <w:jc w:val="center"/>
        <w:outlineLvl w:val="0"/>
        <w:rPr>
          <w:rFonts w:ascii="宋体" w:hAnsi="宋体" w:eastAsia="宋体" w:cs="宋体"/>
          <w:b/>
          <w:bCs/>
          <w:sz w:val="32"/>
          <w:szCs w:val="32"/>
        </w:rPr>
      </w:pPr>
      <w:bookmarkStart w:id="96" w:name="_Toc988983"/>
      <w:r>
        <w:rPr>
          <w:rFonts w:ascii="宋体" w:hAnsi="宋体" w:eastAsia="宋体" w:cs="宋体"/>
          <w:b/>
          <w:bCs/>
          <w:sz w:val="32"/>
          <w:szCs w:val="32"/>
        </w:rPr>
        <w:t>第六节 重要事项</w:t>
      </w:r>
      <w:bookmarkEnd w:id="96"/>
    </w:p>
    <w:p w14:paraId="3DCE99EE">
      <w:pPr>
        <w:keepNext/>
        <w:keepLines/>
        <w:spacing w:before="300" w:after="300" w:line="320" w:lineRule="exact"/>
        <w:jc w:val="left"/>
        <w:outlineLvl w:val="1"/>
        <w:rPr>
          <w:rFonts w:ascii="宋体" w:hAnsi="宋体" w:eastAsia="宋体" w:cs="宋体"/>
          <w:b/>
          <w:bCs/>
          <w:sz w:val="24"/>
          <w:szCs w:val="24"/>
        </w:rPr>
      </w:pPr>
      <w:bookmarkStart w:id="97" w:name="_Toc988984"/>
      <w:r>
        <w:rPr>
          <w:rFonts w:ascii="宋体" w:hAnsi="宋体" w:eastAsia="宋体" w:cs="宋体"/>
          <w:b/>
          <w:bCs/>
          <w:sz w:val="24"/>
          <w:szCs w:val="24"/>
        </w:rPr>
        <w:t>一、承诺事项履行情况</w:t>
      </w:r>
      <w:bookmarkEnd w:id="97"/>
    </w:p>
    <w:p w14:paraId="10293626">
      <w:pPr>
        <w:keepNext/>
        <w:keepLines/>
        <w:spacing w:before="300" w:after="300" w:line="280" w:lineRule="exact"/>
        <w:jc w:val="left"/>
        <w:outlineLvl w:val="2"/>
        <w:rPr>
          <w:rFonts w:ascii="宋体" w:hAnsi="宋体" w:eastAsia="宋体" w:cs="宋体"/>
          <w:b/>
          <w:bCs/>
          <w:sz w:val="21"/>
          <w:szCs w:val="21"/>
        </w:rPr>
      </w:pPr>
      <w:bookmarkStart w:id="98" w:name="_Toc988985"/>
      <w:r>
        <w:rPr>
          <w:rFonts w:ascii="宋体" w:hAnsi="宋体" w:eastAsia="宋体" w:cs="宋体"/>
          <w:b/>
          <w:bCs/>
          <w:sz w:val="21"/>
          <w:szCs w:val="21"/>
        </w:rPr>
        <w:t>1、公司实际控制人、股东、关联方、收购人以及公司等承诺相关方在报告期内履行完毕及截至报告期末尚未履行完毕的承诺事项</w:t>
      </w:r>
      <w:bookmarkEnd w:id="98"/>
    </w:p>
    <w:p w14:paraId="0DB378FA">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050"/>
        <w:gridCol w:w="1050"/>
        <w:gridCol w:w="2970"/>
        <w:gridCol w:w="1120"/>
        <w:gridCol w:w="1020"/>
        <w:gridCol w:w="1052"/>
      </w:tblGrid>
      <w:tr w14:paraId="7F24BC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E4E6180">
            <w:pPr>
              <w:spacing w:before="40" w:after="40" w:line="240" w:lineRule="exact"/>
              <w:jc w:val="center"/>
              <w:rPr>
                <w:rFonts w:ascii="宋体" w:hAnsi="宋体" w:eastAsia="宋体" w:cs="宋体"/>
                <w:sz w:val="18"/>
                <w:szCs w:val="18"/>
              </w:rPr>
            </w:pPr>
            <w:r>
              <w:rPr>
                <w:rFonts w:ascii="宋体" w:hAnsi="宋体" w:eastAsia="宋体" w:cs="宋体"/>
                <w:sz w:val="18"/>
                <w:szCs w:val="18"/>
              </w:rPr>
              <w:t>承诺事由</w:t>
            </w:r>
          </w:p>
        </w:tc>
        <w:tc>
          <w:tcPr>
            <w:tcW w:w="1050" w:type="dxa"/>
            <w:tcBorders>
              <w:top w:val="single" w:color="auto" w:sz="2" w:space="0"/>
              <w:left w:val="single" w:color="auto" w:sz="2" w:space="0"/>
              <w:bottom w:val="single" w:color="auto" w:sz="2" w:space="0"/>
              <w:right w:val="single" w:color="auto" w:sz="2" w:space="0"/>
            </w:tcBorders>
            <w:shd w:val="clear" w:color="auto" w:fill="D3D3D3"/>
            <w:vAlign w:val="center"/>
          </w:tcPr>
          <w:p w14:paraId="0A0D0C99">
            <w:pPr>
              <w:spacing w:before="40" w:after="40" w:line="240" w:lineRule="exact"/>
              <w:jc w:val="center"/>
              <w:rPr>
                <w:rFonts w:ascii="宋体" w:hAnsi="宋体" w:eastAsia="宋体" w:cs="宋体"/>
                <w:sz w:val="18"/>
                <w:szCs w:val="18"/>
              </w:rPr>
            </w:pPr>
            <w:r>
              <w:rPr>
                <w:rFonts w:ascii="宋体" w:hAnsi="宋体" w:eastAsia="宋体" w:cs="宋体"/>
                <w:sz w:val="18"/>
                <w:szCs w:val="18"/>
              </w:rPr>
              <w:t>承诺方</w:t>
            </w:r>
          </w:p>
        </w:tc>
        <w:tc>
          <w:tcPr>
            <w:tcW w:w="1050" w:type="dxa"/>
            <w:tcBorders>
              <w:top w:val="single" w:color="auto" w:sz="2" w:space="0"/>
              <w:left w:val="single" w:color="auto" w:sz="2" w:space="0"/>
              <w:bottom w:val="single" w:color="auto" w:sz="2" w:space="0"/>
              <w:right w:val="single" w:color="auto" w:sz="2" w:space="0"/>
            </w:tcBorders>
            <w:shd w:val="clear" w:color="auto" w:fill="D3D3D3"/>
            <w:vAlign w:val="center"/>
          </w:tcPr>
          <w:p w14:paraId="0B4F354C">
            <w:pPr>
              <w:spacing w:before="40" w:after="40" w:line="240" w:lineRule="exact"/>
              <w:jc w:val="center"/>
              <w:rPr>
                <w:rFonts w:ascii="宋体" w:hAnsi="宋体" w:eastAsia="宋体" w:cs="宋体"/>
                <w:sz w:val="18"/>
                <w:szCs w:val="18"/>
              </w:rPr>
            </w:pPr>
            <w:r>
              <w:rPr>
                <w:rFonts w:ascii="宋体" w:hAnsi="宋体" w:eastAsia="宋体" w:cs="宋体"/>
                <w:sz w:val="18"/>
                <w:szCs w:val="18"/>
              </w:rPr>
              <w:t>承诺类型</w:t>
            </w:r>
          </w:p>
        </w:tc>
        <w:tc>
          <w:tcPr>
            <w:tcW w:w="2970" w:type="dxa"/>
            <w:tcBorders>
              <w:top w:val="single" w:color="auto" w:sz="2" w:space="0"/>
              <w:left w:val="single" w:color="auto" w:sz="2" w:space="0"/>
              <w:bottom w:val="single" w:color="auto" w:sz="2" w:space="0"/>
              <w:right w:val="single" w:color="auto" w:sz="2" w:space="0"/>
            </w:tcBorders>
            <w:shd w:val="clear" w:color="auto" w:fill="D3D3D3"/>
            <w:vAlign w:val="center"/>
          </w:tcPr>
          <w:p w14:paraId="069B2844">
            <w:pPr>
              <w:spacing w:before="40" w:after="40" w:line="240" w:lineRule="exact"/>
              <w:jc w:val="center"/>
              <w:rPr>
                <w:rFonts w:ascii="宋体" w:hAnsi="宋体" w:eastAsia="宋体" w:cs="宋体"/>
                <w:sz w:val="18"/>
                <w:szCs w:val="18"/>
              </w:rPr>
            </w:pPr>
            <w:r>
              <w:rPr>
                <w:rFonts w:ascii="宋体" w:hAnsi="宋体" w:eastAsia="宋体" w:cs="宋体"/>
                <w:sz w:val="18"/>
                <w:szCs w:val="18"/>
              </w:rPr>
              <w:t>承诺内容</w:t>
            </w:r>
          </w:p>
        </w:tc>
        <w:tc>
          <w:tcPr>
            <w:tcW w:w="1120" w:type="dxa"/>
            <w:tcBorders>
              <w:top w:val="single" w:color="auto" w:sz="2" w:space="0"/>
              <w:left w:val="single" w:color="auto" w:sz="2" w:space="0"/>
              <w:bottom w:val="single" w:color="auto" w:sz="2" w:space="0"/>
              <w:right w:val="single" w:color="auto" w:sz="2" w:space="0"/>
            </w:tcBorders>
            <w:shd w:val="clear" w:color="auto" w:fill="D3D3D3"/>
            <w:vAlign w:val="center"/>
          </w:tcPr>
          <w:p w14:paraId="35C3B692">
            <w:pPr>
              <w:spacing w:before="40" w:after="40" w:line="240" w:lineRule="exact"/>
              <w:jc w:val="center"/>
              <w:rPr>
                <w:rFonts w:ascii="宋体" w:hAnsi="宋体" w:eastAsia="宋体" w:cs="宋体"/>
                <w:sz w:val="18"/>
                <w:szCs w:val="18"/>
              </w:rPr>
            </w:pPr>
            <w:r>
              <w:rPr>
                <w:rFonts w:ascii="宋体" w:hAnsi="宋体" w:eastAsia="宋体" w:cs="宋体"/>
                <w:sz w:val="18"/>
                <w:szCs w:val="18"/>
              </w:rPr>
              <w:t>承诺时间</w:t>
            </w:r>
          </w:p>
        </w:tc>
        <w:tc>
          <w:tcPr>
            <w:tcW w:w="1020" w:type="dxa"/>
            <w:tcBorders>
              <w:top w:val="single" w:color="auto" w:sz="2" w:space="0"/>
              <w:left w:val="single" w:color="auto" w:sz="2" w:space="0"/>
              <w:bottom w:val="single" w:color="auto" w:sz="2" w:space="0"/>
              <w:right w:val="single" w:color="auto" w:sz="2" w:space="0"/>
            </w:tcBorders>
            <w:shd w:val="clear" w:color="auto" w:fill="D3D3D3"/>
            <w:vAlign w:val="center"/>
          </w:tcPr>
          <w:p w14:paraId="1E521557">
            <w:pPr>
              <w:spacing w:before="40" w:after="40" w:line="240" w:lineRule="exact"/>
              <w:jc w:val="center"/>
              <w:rPr>
                <w:rFonts w:ascii="宋体" w:hAnsi="宋体" w:eastAsia="宋体" w:cs="宋体"/>
                <w:sz w:val="18"/>
                <w:szCs w:val="18"/>
              </w:rPr>
            </w:pPr>
            <w:r>
              <w:rPr>
                <w:rFonts w:ascii="宋体" w:hAnsi="宋体" w:eastAsia="宋体" w:cs="宋体"/>
                <w:sz w:val="18"/>
                <w:szCs w:val="18"/>
              </w:rPr>
              <w:t>承诺期限</w:t>
            </w:r>
          </w:p>
        </w:tc>
        <w:tc>
          <w:tcPr>
            <w:tcW w:w="1052" w:type="dxa"/>
            <w:tcBorders>
              <w:top w:val="single" w:color="auto" w:sz="2" w:space="0"/>
              <w:left w:val="single" w:color="auto" w:sz="2" w:space="0"/>
              <w:bottom w:val="single" w:color="auto" w:sz="2" w:space="0"/>
              <w:right w:val="single" w:color="auto" w:sz="2" w:space="0"/>
            </w:tcBorders>
            <w:shd w:val="clear" w:color="auto" w:fill="D3D3D3"/>
            <w:vAlign w:val="center"/>
          </w:tcPr>
          <w:p w14:paraId="07E9240A">
            <w:pPr>
              <w:spacing w:before="40" w:after="40" w:line="240" w:lineRule="exact"/>
              <w:jc w:val="center"/>
              <w:rPr>
                <w:rFonts w:ascii="宋体" w:hAnsi="宋体" w:eastAsia="宋体" w:cs="宋体"/>
                <w:sz w:val="18"/>
                <w:szCs w:val="18"/>
              </w:rPr>
            </w:pPr>
            <w:r>
              <w:rPr>
                <w:rFonts w:ascii="宋体" w:hAnsi="宋体" w:eastAsia="宋体" w:cs="宋体"/>
                <w:sz w:val="18"/>
                <w:szCs w:val="18"/>
              </w:rPr>
              <w:t>履行情况</w:t>
            </w:r>
          </w:p>
        </w:tc>
      </w:tr>
      <w:tr w14:paraId="36D168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F01C9E4">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07B49124">
            <w:pPr>
              <w:spacing w:before="0" w:after="0" w:line="240" w:lineRule="exact"/>
              <w:jc w:val="left"/>
              <w:rPr>
                <w:rFonts w:ascii="宋体" w:hAnsi="宋体" w:eastAsia="宋体" w:cs="宋体"/>
                <w:sz w:val="18"/>
                <w:szCs w:val="18"/>
              </w:rPr>
            </w:pPr>
            <w:r>
              <w:rPr>
                <w:rFonts w:ascii="宋体" w:hAnsi="宋体" w:eastAsia="宋体" w:cs="宋体"/>
                <w:sz w:val="18"/>
                <w:szCs w:val="18"/>
              </w:rPr>
              <w:t>福建奥华集团有限公司</w:t>
            </w:r>
          </w:p>
        </w:tc>
        <w:tc>
          <w:tcPr>
            <w:tcW w:w="1050" w:type="dxa"/>
            <w:tcBorders>
              <w:top w:val="single" w:color="auto" w:sz="2" w:space="0"/>
              <w:left w:val="single" w:color="auto" w:sz="2" w:space="0"/>
              <w:bottom w:val="single" w:color="auto" w:sz="2" w:space="0"/>
              <w:right w:val="single" w:color="auto" w:sz="2" w:space="0"/>
            </w:tcBorders>
            <w:vAlign w:val="center"/>
          </w:tcPr>
          <w:p w14:paraId="2C79387C">
            <w:pPr>
              <w:spacing w:before="0" w:after="0" w:line="240" w:lineRule="exact"/>
              <w:jc w:val="left"/>
              <w:rPr>
                <w:rFonts w:ascii="宋体" w:hAnsi="宋体" w:eastAsia="宋体" w:cs="宋体"/>
                <w:sz w:val="18"/>
                <w:szCs w:val="18"/>
              </w:rPr>
            </w:pPr>
            <w:r>
              <w:rPr>
                <w:rFonts w:ascii="宋体" w:hAnsi="宋体" w:eastAsia="宋体" w:cs="宋体"/>
                <w:sz w:val="18"/>
                <w:szCs w:val="18"/>
              </w:rPr>
              <w:t>股份减持承诺</w:t>
            </w:r>
          </w:p>
        </w:tc>
        <w:tc>
          <w:tcPr>
            <w:tcW w:w="2970" w:type="dxa"/>
            <w:tcBorders>
              <w:top w:val="single" w:color="auto" w:sz="2" w:space="0"/>
              <w:left w:val="single" w:color="auto" w:sz="2" w:space="0"/>
              <w:bottom w:val="single" w:color="auto" w:sz="2" w:space="0"/>
              <w:right w:val="single" w:color="auto" w:sz="2" w:space="0"/>
            </w:tcBorders>
            <w:vAlign w:val="center"/>
          </w:tcPr>
          <w:p w14:paraId="32B41CC1">
            <w:pPr>
              <w:spacing w:before="0" w:after="0" w:line="240" w:lineRule="exact"/>
              <w:jc w:val="left"/>
              <w:rPr>
                <w:rFonts w:ascii="宋体" w:hAnsi="宋体" w:eastAsia="宋体" w:cs="宋体"/>
                <w:sz w:val="18"/>
                <w:szCs w:val="18"/>
              </w:rPr>
            </w:pPr>
            <w:r>
              <w:rPr>
                <w:rFonts w:ascii="宋体" w:hAnsi="宋体" w:eastAsia="宋体" w:cs="宋体"/>
                <w:sz w:val="18"/>
                <w:szCs w:val="18"/>
              </w:rPr>
              <w:t>承诺所持广生堂股票在锁定期满后两年内无减持意向；如超过上述期限拟减持广生堂股份的，将提前三个交易日通知广生堂并予以公告，并承诺将按照《公司法》、《证券法》、中国证监会及深圳证券交易所相关规定办理。</w:t>
            </w:r>
          </w:p>
        </w:tc>
        <w:tc>
          <w:tcPr>
            <w:tcW w:w="1120" w:type="dxa"/>
            <w:tcBorders>
              <w:top w:val="single" w:color="auto" w:sz="2" w:space="0"/>
              <w:left w:val="single" w:color="auto" w:sz="2" w:space="0"/>
              <w:bottom w:val="single" w:color="auto" w:sz="2" w:space="0"/>
              <w:right w:val="single" w:color="auto" w:sz="2" w:space="0"/>
            </w:tcBorders>
            <w:vAlign w:val="center"/>
          </w:tcPr>
          <w:p w14:paraId="097D0A6C">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3C376C5E">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0B358AEB">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3E698D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54DEB88">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11CC5F5F">
            <w:pPr>
              <w:spacing w:before="0" w:after="0" w:line="240" w:lineRule="exact"/>
              <w:jc w:val="left"/>
              <w:rPr>
                <w:rFonts w:ascii="宋体" w:hAnsi="宋体" w:eastAsia="宋体" w:cs="宋体"/>
                <w:sz w:val="18"/>
                <w:szCs w:val="18"/>
              </w:rPr>
            </w:pPr>
            <w:r>
              <w:rPr>
                <w:rFonts w:ascii="宋体" w:hAnsi="宋体" w:eastAsia="宋体" w:cs="宋体"/>
                <w:sz w:val="18"/>
                <w:szCs w:val="18"/>
              </w:rPr>
              <w:t>福建奥华集团有限公司</w:t>
            </w:r>
          </w:p>
        </w:tc>
        <w:tc>
          <w:tcPr>
            <w:tcW w:w="1050" w:type="dxa"/>
            <w:tcBorders>
              <w:top w:val="single" w:color="auto" w:sz="2" w:space="0"/>
              <w:left w:val="single" w:color="auto" w:sz="2" w:space="0"/>
              <w:bottom w:val="single" w:color="auto" w:sz="2" w:space="0"/>
              <w:right w:val="single" w:color="auto" w:sz="2" w:space="0"/>
            </w:tcBorders>
            <w:vAlign w:val="center"/>
          </w:tcPr>
          <w:p w14:paraId="720AE4B2">
            <w:pPr>
              <w:spacing w:before="0" w:after="0" w:line="240" w:lineRule="exact"/>
              <w:jc w:val="left"/>
              <w:rPr>
                <w:rFonts w:ascii="宋体" w:hAnsi="宋体" w:eastAsia="宋体" w:cs="宋体"/>
                <w:sz w:val="18"/>
                <w:szCs w:val="18"/>
              </w:rPr>
            </w:pPr>
            <w:r>
              <w:rPr>
                <w:rFonts w:ascii="宋体" w:hAnsi="宋体" w:eastAsia="宋体" w:cs="宋体"/>
                <w:sz w:val="18"/>
                <w:szCs w:val="18"/>
              </w:rPr>
              <w:t>其他承诺</w:t>
            </w:r>
          </w:p>
        </w:tc>
        <w:tc>
          <w:tcPr>
            <w:tcW w:w="2970" w:type="dxa"/>
            <w:tcBorders>
              <w:top w:val="single" w:color="auto" w:sz="2" w:space="0"/>
              <w:left w:val="single" w:color="auto" w:sz="2" w:space="0"/>
              <w:bottom w:val="single" w:color="auto" w:sz="2" w:space="0"/>
              <w:right w:val="single" w:color="auto" w:sz="2" w:space="0"/>
            </w:tcBorders>
            <w:vAlign w:val="center"/>
          </w:tcPr>
          <w:p w14:paraId="7FAD39B1">
            <w:pPr>
              <w:spacing w:before="0" w:after="0" w:line="240" w:lineRule="exact"/>
              <w:jc w:val="left"/>
              <w:rPr>
                <w:rFonts w:ascii="宋体" w:hAnsi="宋体" w:eastAsia="宋体" w:cs="宋体"/>
                <w:sz w:val="18"/>
                <w:szCs w:val="18"/>
              </w:rPr>
            </w:pPr>
            <w:r>
              <w:rPr>
                <w:rFonts w:ascii="宋体" w:hAnsi="宋体" w:eastAsia="宋体" w:cs="宋体"/>
                <w:sz w:val="18"/>
                <w:szCs w:val="18"/>
              </w:rPr>
              <w:t>承诺广生堂招股说明书有虚假记载、误导性陈述或者重大遗漏，对判断广生堂是否符合法律规定的发行条件构成重大、实质影响的，承诺人将利用广生堂的控股股东地位促成广生堂被有权部门认定违法事实后启动依法回购广生堂首次公开发行的全部新股工作，并依法启动购回广生堂已转让的原限售股份工作。承诺人将按照二级市场价格回购或购回本广生堂股票。承诺人承诺招股说明书有虚假记载、误导性陈述或者重大遗漏，致使投资者在证券交易中遭受损失的，将依法赔偿投资者损失。</w:t>
            </w:r>
          </w:p>
        </w:tc>
        <w:tc>
          <w:tcPr>
            <w:tcW w:w="1120" w:type="dxa"/>
            <w:tcBorders>
              <w:top w:val="single" w:color="auto" w:sz="2" w:space="0"/>
              <w:left w:val="single" w:color="auto" w:sz="2" w:space="0"/>
              <w:bottom w:val="single" w:color="auto" w:sz="2" w:space="0"/>
              <w:right w:val="single" w:color="auto" w:sz="2" w:space="0"/>
            </w:tcBorders>
            <w:vAlign w:val="center"/>
          </w:tcPr>
          <w:p w14:paraId="444804CA">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6D4EDC4A">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5D0FDF15">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4F16B3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9FFF60A">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5FE8FD93">
            <w:pPr>
              <w:spacing w:before="0" w:after="0" w:line="240" w:lineRule="exact"/>
              <w:jc w:val="left"/>
              <w:rPr>
                <w:rFonts w:ascii="宋体" w:hAnsi="宋体" w:eastAsia="宋体" w:cs="宋体"/>
                <w:sz w:val="18"/>
                <w:szCs w:val="18"/>
              </w:rPr>
            </w:pPr>
            <w:r>
              <w:rPr>
                <w:rFonts w:ascii="宋体" w:hAnsi="宋体" w:eastAsia="宋体" w:cs="宋体"/>
                <w:sz w:val="18"/>
                <w:szCs w:val="18"/>
              </w:rPr>
              <w:t>福建奥华集团有限公司</w:t>
            </w:r>
          </w:p>
        </w:tc>
        <w:tc>
          <w:tcPr>
            <w:tcW w:w="1050" w:type="dxa"/>
            <w:tcBorders>
              <w:top w:val="single" w:color="auto" w:sz="2" w:space="0"/>
              <w:left w:val="single" w:color="auto" w:sz="2" w:space="0"/>
              <w:bottom w:val="single" w:color="auto" w:sz="2" w:space="0"/>
              <w:right w:val="single" w:color="auto" w:sz="2" w:space="0"/>
            </w:tcBorders>
            <w:vAlign w:val="center"/>
          </w:tcPr>
          <w:p w14:paraId="2AD3FE72">
            <w:pPr>
              <w:spacing w:before="0" w:after="0" w:line="240" w:lineRule="exact"/>
              <w:jc w:val="left"/>
              <w:rPr>
                <w:rFonts w:ascii="宋体" w:hAnsi="宋体" w:eastAsia="宋体" w:cs="宋体"/>
                <w:sz w:val="18"/>
                <w:szCs w:val="18"/>
              </w:rPr>
            </w:pPr>
            <w:r>
              <w:rPr>
                <w:rFonts w:ascii="宋体" w:hAnsi="宋体" w:eastAsia="宋体" w:cs="宋体"/>
                <w:sz w:val="18"/>
                <w:szCs w:val="18"/>
              </w:rPr>
              <w:t>避免同业竞争承诺</w:t>
            </w:r>
          </w:p>
        </w:tc>
        <w:tc>
          <w:tcPr>
            <w:tcW w:w="2970" w:type="dxa"/>
            <w:tcBorders>
              <w:top w:val="single" w:color="auto" w:sz="2" w:space="0"/>
              <w:left w:val="single" w:color="auto" w:sz="2" w:space="0"/>
              <w:bottom w:val="single" w:color="auto" w:sz="2" w:space="0"/>
              <w:right w:val="single" w:color="auto" w:sz="2" w:space="0"/>
            </w:tcBorders>
            <w:vAlign w:val="center"/>
          </w:tcPr>
          <w:p w14:paraId="7034872D">
            <w:pPr>
              <w:spacing w:before="0" w:after="0" w:line="240" w:lineRule="exact"/>
              <w:jc w:val="left"/>
              <w:rPr>
                <w:rFonts w:ascii="宋体" w:hAnsi="宋体" w:eastAsia="宋体" w:cs="宋体"/>
                <w:sz w:val="18"/>
                <w:szCs w:val="18"/>
              </w:rPr>
            </w:pPr>
            <w:r>
              <w:rPr>
                <w:rFonts w:ascii="宋体" w:hAnsi="宋体" w:eastAsia="宋体" w:cs="宋体"/>
                <w:sz w:val="18"/>
                <w:szCs w:val="18"/>
              </w:rPr>
              <w:t>承诺：1、截至本承诺函出具之日，承诺人没有、将来也不会以任何方式在境内外直接或间接参与任何导致或可能导致与广生堂竞争的业务或活动，亦不生产任何与广生堂产品相同或相似的产品。2、若广生堂认为承诺人从事了对广生堂的业务构成竞争的业务，承诺人将及时转让或者终止该等业务。若广生堂提出受让请求，承诺人将无条件按公允价格和法定程序将该等业务优先转让给广生堂。3、如果承诺人将来可能获得任何与广生堂产生直接或者间接竞争的业务机会，承诺人将立即通知广生堂并尽力促成该等业务机会按照广生堂能够接受的合理条款和条件首先提供给广生堂。4、承诺人将保证合法、合理地运用股东权利，不采取任何限制或影响广生堂正常经营的行为。5、承诺人保证在为广生堂直接或间接股东期间上述承诺持续有效且不可撤销。6、如有任何违反上述承诺的事项发生，承诺人承担因此给广生堂造成的一切损失（含直接损失和间接损失），并且广生堂及其他股东有权根据承诺人出具的承诺函依据中国相关法律申请强制履行上述承诺，同时本人因违反上述承诺所取得的利益归广生堂所有。</w:t>
            </w:r>
          </w:p>
        </w:tc>
        <w:tc>
          <w:tcPr>
            <w:tcW w:w="1120" w:type="dxa"/>
            <w:tcBorders>
              <w:top w:val="single" w:color="auto" w:sz="2" w:space="0"/>
              <w:left w:val="single" w:color="auto" w:sz="2" w:space="0"/>
              <w:bottom w:val="single" w:color="auto" w:sz="2" w:space="0"/>
              <w:right w:val="single" w:color="auto" w:sz="2" w:space="0"/>
            </w:tcBorders>
            <w:vAlign w:val="center"/>
          </w:tcPr>
          <w:p w14:paraId="3DDFCFC3">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7FD3731C">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244884DE">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731745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BD8C1A3">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114F33F7">
            <w:pPr>
              <w:spacing w:before="0" w:after="0" w:line="240" w:lineRule="exact"/>
              <w:jc w:val="left"/>
              <w:rPr>
                <w:rFonts w:ascii="宋体" w:hAnsi="宋体" w:eastAsia="宋体" w:cs="宋体"/>
                <w:sz w:val="18"/>
                <w:szCs w:val="18"/>
              </w:rPr>
            </w:pPr>
            <w:r>
              <w:rPr>
                <w:rFonts w:ascii="宋体" w:hAnsi="宋体" w:eastAsia="宋体" w:cs="宋体"/>
                <w:sz w:val="18"/>
                <w:szCs w:val="18"/>
              </w:rPr>
              <w:t>福建奥华集团有限公司</w:t>
            </w:r>
          </w:p>
        </w:tc>
        <w:tc>
          <w:tcPr>
            <w:tcW w:w="1050" w:type="dxa"/>
            <w:tcBorders>
              <w:top w:val="single" w:color="auto" w:sz="2" w:space="0"/>
              <w:left w:val="single" w:color="auto" w:sz="2" w:space="0"/>
              <w:bottom w:val="single" w:color="auto" w:sz="2" w:space="0"/>
              <w:right w:val="single" w:color="auto" w:sz="2" w:space="0"/>
            </w:tcBorders>
            <w:vAlign w:val="center"/>
          </w:tcPr>
          <w:p w14:paraId="3F9B68D3">
            <w:pPr>
              <w:spacing w:before="0" w:after="0" w:line="240" w:lineRule="exact"/>
              <w:jc w:val="left"/>
              <w:rPr>
                <w:rFonts w:ascii="宋体" w:hAnsi="宋体" w:eastAsia="宋体" w:cs="宋体"/>
                <w:sz w:val="18"/>
                <w:szCs w:val="18"/>
              </w:rPr>
            </w:pPr>
            <w:r>
              <w:rPr>
                <w:rFonts w:ascii="宋体" w:hAnsi="宋体" w:eastAsia="宋体" w:cs="宋体"/>
                <w:sz w:val="18"/>
                <w:szCs w:val="18"/>
              </w:rPr>
              <w:t>规范交易承诺</w:t>
            </w:r>
          </w:p>
        </w:tc>
        <w:tc>
          <w:tcPr>
            <w:tcW w:w="2970" w:type="dxa"/>
            <w:tcBorders>
              <w:top w:val="single" w:color="auto" w:sz="2" w:space="0"/>
              <w:left w:val="single" w:color="auto" w:sz="2" w:space="0"/>
              <w:bottom w:val="single" w:color="auto" w:sz="2" w:space="0"/>
              <w:right w:val="single" w:color="auto" w:sz="2" w:space="0"/>
            </w:tcBorders>
            <w:vAlign w:val="center"/>
          </w:tcPr>
          <w:p w14:paraId="46EB12F7">
            <w:pPr>
              <w:spacing w:before="0" w:after="0" w:line="240" w:lineRule="exact"/>
              <w:jc w:val="left"/>
              <w:rPr>
                <w:rFonts w:ascii="宋体" w:hAnsi="宋体" w:eastAsia="宋体" w:cs="宋体"/>
                <w:sz w:val="18"/>
                <w:szCs w:val="18"/>
              </w:rPr>
            </w:pPr>
            <w:r>
              <w:rPr>
                <w:rFonts w:ascii="宋体" w:hAnsi="宋体" w:eastAsia="宋体" w:cs="宋体"/>
                <w:sz w:val="18"/>
                <w:szCs w:val="18"/>
              </w:rPr>
              <w:t>《关于规范关联交易的承诺函》，承诺： 1、广生堂股东大会审议与承诺人有关的关联交易事项时，将不参与投票表决，所代表的有表决权的股份数不计入有效表决总数。广生堂董事会会议审议与承诺人有关的关联交易事项时，承诺人委派的董事将对该项决议回避表决权，也不委托其他董事代理行使表决权。2、承诺人将尽可能避免承诺人及控制或参股的其他企业与广生堂发生关联交易，以确保广生堂及非关联股东的利益得到有效的保护。3、对于无法避免或者因合理原因发生的关联交易，承诺人将严格遵守《公司法》等有关法律、法规、规范性文件及《广生堂公司章程》的规定，遵循等价、有偿、公平交易的原则，履行合法程序并订立相关协议或合同，及时进行信息披露，保证关联交易的公允性；承诺人承诺将不会通过非公允的关联交易损害广生堂及其他股东的合法权益。4、承诺人保证在为广生堂直接或间接股东期间上述承诺持续有效且不可撤销。"</w:t>
            </w:r>
          </w:p>
        </w:tc>
        <w:tc>
          <w:tcPr>
            <w:tcW w:w="1120" w:type="dxa"/>
            <w:tcBorders>
              <w:top w:val="single" w:color="auto" w:sz="2" w:space="0"/>
              <w:left w:val="single" w:color="auto" w:sz="2" w:space="0"/>
              <w:bottom w:val="single" w:color="auto" w:sz="2" w:space="0"/>
              <w:right w:val="single" w:color="auto" w:sz="2" w:space="0"/>
            </w:tcBorders>
            <w:vAlign w:val="center"/>
          </w:tcPr>
          <w:p w14:paraId="754BD654">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1F21A8E1">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2849B3AD">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403934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6FBD198">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489741CB">
            <w:pPr>
              <w:spacing w:before="0" w:after="0" w:line="240" w:lineRule="exact"/>
              <w:jc w:val="left"/>
              <w:rPr>
                <w:rFonts w:ascii="宋体" w:hAnsi="宋体" w:eastAsia="宋体" w:cs="宋体"/>
                <w:sz w:val="18"/>
                <w:szCs w:val="18"/>
              </w:rPr>
            </w:pPr>
            <w:r>
              <w:rPr>
                <w:rFonts w:ascii="宋体" w:hAnsi="宋体" w:eastAsia="宋体" w:cs="宋体"/>
                <w:sz w:val="18"/>
                <w:szCs w:val="18"/>
              </w:rPr>
              <w:t>福建奥华集团有限公司</w:t>
            </w:r>
          </w:p>
        </w:tc>
        <w:tc>
          <w:tcPr>
            <w:tcW w:w="1050" w:type="dxa"/>
            <w:tcBorders>
              <w:top w:val="single" w:color="auto" w:sz="2" w:space="0"/>
              <w:left w:val="single" w:color="auto" w:sz="2" w:space="0"/>
              <w:bottom w:val="single" w:color="auto" w:sz="2" w:space="0"/>
              <w:right w:val="single" w:color="auto" w:sz="2" w:space="0"/>
            </w:tcBorders>
            <w:vAlign w:val="center"/>
          </w:tcPr>
          <w:p w14:paraId="70D891D9">
            <w:pPr>
              <w:spacing w:before="0" w:after="0" w:line="240" w:lineRule="exact"/>
              <w:jc w:val="left"/>
              <w:rPr>
                <w:rFonts w:ascii="宋体" w:hAnsi="宋体" w:eastAsia="宋体" w:cs="宋体"/>
                <w:sz w:val="18"/>
                <w:szCs w:val="18"/>
              </w:rPr>
            </w:pPr>
            <w:r>
              <w:rPr>
                <w:rFonts w:ascii="宋体" w:hAnsi="宋体" w:eastAsia="宋体" w:cs="宋体"/>
                <w:sz w:val="18"/>
                <w:szCs w:val="18"/>
              </w:rPr>
              <w:t>避免资金占用承诺</w:t>
            </w:r>
          </w:p>
        </w:tc>
        <w:tc>
          <w:tcPr>
            <w:tcW w:w="2970" w:type="dxa"/>
            <w:tcBorders>
              <w:top w:val="single" w:color="auto" w:sz="2" w:space="0"/>
              <w:left w:val="single" w:color="auto" w:sz="2" w:space="0"/>
              <w:bottom w:val="single" w:color="auto" w:sz="2" w:space="0"/>
              <w:right w:val="single" w:color="auto" w:sz="2" w:space="0"/>
            </w:tcBorders>
            <w:vAlign w:val="center"/>
          </w:tcPr>
          <w:p w14:paraId="0F14A26C">
            <w:pPr>
              <w:spacing w:before="0" w:after="0" w:line="240" w:lineRule="exact"/>
              <w:jc w:val="left"/>
              <w:rPr>
                <w:rFonts w:ascii="宋体" w:hAnsi="宋体" w:eastAsia="宋体" w:cs="宋体"/>
                <w:sz w:val="18"/>
                <w:szCs w:val="18"/>
              </w:rPr>
            </w:pPr>
            <w:r>
              <w:rPr>
                <w:rFonts w:ascii="宋体" w:hAnsi="宋体" w:eastAsia="宋体" w:cs="宋体"/>
                <w:sz w:val="18"/>
                <w:szCs w:val="18"/>
              </w:rPr>
              <w:t>承诺未来不以任何方式占用广生堂资金，并且保证在为广生堂直接或间接股东期间上述承诺持续有效且不可撤销。</w:t>
            </w:r>
          </w:p>
        </w:tc>
        <w:tc>
          <w:tcPr>
            <w:tcW w:w="1120" w:type="dxa"/>
            <w:tcBorders>
              <w:top w:val="single" w:color="auto" w:sz="2" w:space="0"/>
              <w:left w:val="single" w:color="auto" w:sz="2" w:space="0"/>
              <w:bottom w:val="single" w:color="auto" w:sz="2" w:space="0"/>
              <w:right w:val="single" w:color="auto" w:sz="2" w:space="0"/>
            </w:tcBorders>
            <w:vAlign w:val="center"/>
          </w:tcPr>
          <w:p w14:paraId="1C1E482A">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65F78042">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57091C2C">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7A85D4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B16C9B4">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17DAAE58">
            <w:pPr>
              <w:spacing w:before="0" w:after="0" w:line="240" w:lineRule="exact"/>
              <w:jc w:val="left"/>
              <w:rPr>
                <w:rFonts w:ascii="宋体" w:hAnsi="宋体" w:eastAsia="宋体" w:cs="宋体"/>
                <w:sz w:val="18"/>
                <w:szCs w:val="18"/>
              </w:rPr>
            </w:pPr>
            <w:r>
              <w:rPr>
                <w:rFonts w:ascii="宋体" w:hAnsi="宋体" w:eastAsia="宋体" w:cs="宋体"/>
                <w:sz w:val="18"/>
                <w:szCs w:val="18"/>
              </w:rPr>
              <w:t>福建平潭奥泰科技投资中心（有限合伙）</w:t>
            </w:r>
          </w:p>
        </w:tc>
        <w:tc>
          <w:tcPr>
            <w:tcW w:w="1050" w:type="dxa"/>
            <w:tcBorders>
              <w:top w:val="single" w:color="auto" w:sz="2" w:space="0"/>
              <w:left w:val="single" w:color="auto" w:sz="2" w:space="0"/>
              <w:bottom w:val="single" w:color="auto" w:sz="2" w:space="0"/>
              <w:right w:val="single" w:color="auto" w:sz="2" w:space="0"/>
            </w:tcBorders>
            <w:vAlign w:val="center"/>
          </w:tcPr>
          <w:p w14:paraId="2F95E4E1">
            <w:pPr>
              <w:spacing w:before="0" w:after="0" w:line="240" w:lineRule="exact"/>
              <w:jc w:val="left"/>
              <w:rPr>
                <w:rFonts w:ascii="宋体" w:hAnsi="宋体" w:eastAsia="宋体" w:cs="宋体"/>
                <w:sz w:val="18"/>
                <w:szCs w:val="18"/>
              </w:rPr>
            </w:pPr>
            <w:r>
              <w:rPr>
                <w:rFonts w:ascii="宋体" w:hAnsi="宋体" w:eastAsia="宋体" w:cs="宋体"/>
                <w:sz w:val="18"/>
                <w:szCs w:val="18"/>
              </w:rPr>
              <w:t>规范关联交易的承诺</w:t>
            </w:r>
          </w:p>
        </w:tc>
        <w:tc>
          <w:tcPr>
            <w:tcW w:w="2970" w:type="dxa"/>
            <w:tcBorders>
              <w:top w:val="single" w:color="auto" w:sz="2" w:space="0"/>
              <w:left w:val="single" w:color="auto" w:sz="2" w:space="0"/>
              <w:bottom w:val="single" w:color="auto" w:sz="2" w:space="0"/>
              <w:right w:val="single" w:color="auto" w:sz="2" w:space="0"/>
            </w:tcBorders>
            <w:vAlign w:val="center"/>
          </w:tcPr>
          <w:p w14:paraId="0631F27D">
            <w:pPr>
              <w:spacing w:before="0" w:after="0" w:line="240" w:lineRule="exact"/>
              <w:jc w:val="left"/>
              <w:rPr>
                <w:rFonts w:ascii="宋体" w:hAnsi="宋体" w:eastAsia="宋体" w:cs="宋体"/>
                <w:sz w:val="18"/>
                <w:szCs w:val="18"/>
              </w:rPr>
            </w:pPr>
            <w:r>
              <w:rPr>
                <w:rFonts w:ascii="宋体" w:hAnsi="宋体" w:eastAsia="宋体" w:cs="宋体"/>
                <w:sz w:val="18"/>
                <w:szCs w:val="18"/>
              </w:rPr>
              <w:t>承诺：1、广生堂股东大会审议与承诺人有关的关联交易事项时，将不参与投票表决，所代表的有表决权的股份数不计入有效表决总数。广生堂董事会会议审议与承诺人有关的关联交易事项时，承诺人委派的董事将对该项决议回避表决权，也不委托其他董事代理行使表决权。2、承诺人将尽可能避免承诺人及控制或参股的其他企业与广生堂发生关联交易，以确保广生堂及非关联股东的利益得到有效的保护。3、对于无法避免或者因合理原因发生的关联交易，承诺人将严格遵守《公司法》等有关法律、法规、规范性文件及《广生堂公司章程》的规定，遵循等价、有偿、公平交易的原则，履行合法程序并订立相关协议或合同，及时进行信息披露，保证关联交易的公允性；承诺人承诺将不会通过非公允的关联交易损害广生堂及其他股东的合法权益。4、承诺人保证在为广生堂直接或间接股东期间上述承诺持续有效且不可撤销。</w:t>
            </w:r>
          </w:p>
        </w:tc>
        <w:tc>
          <w:tcPr>
            <w:tcW w:w="1120" w:type="dxa"/>
            <w:tcBorders>
              <w:top w:val="single" w:color="auto" w:sz="2" w:space="0"/>
              <w:left w:val="single" w:color="auto" w:sz="2" w:space="0"/>
              <w:bottom w:val="single" w:color="auto" w:sz="2" w:space="0"/>
              <w:right w:val="single" w:color="auto" w:sz="2" w:space="0"/>
            </w:tcBorders>
            <w:vAlign w:val="center"/>
          </w:tcPr>
          <w:p w14:paraId="449DCF6B">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7193E4E2">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751C94A0">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21B31A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AF8C969">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2DC7BD89">
            <w:pPr>
              <w:spacing w:before="0" w:after="0" w:line="240" w:lineRule="exact"/>
              <w:jc w:val="left"/>
              <w:rPr>
                <w:rFonts w:ascii="宋体" w:hAnsi="宋体" w:eastAsia="宋体" w:cs="宋体"/>
                <w:sz w:val="18"/>
                <w:szCs w:val="18"/>
              </w:rPr>
            </w:pPr>
            <w:r>
              <w:rPr>
                <w:rFonts w:ascii="宋体" w:hAnsi="宋体" w:eastAsia="宋体" w:cs="宋体"/>
                <w:sz w:val="18"/>
                <w:szCs w:val="18"/>
              </w:rPr>
              <w:t>福建平潭奥泰科技投资中心（有限合伙）</w:t>
            </w:r>
          </w:p>
        </w:tc>
        <w:tc>
          <w:tcPr>
            <w:tcW w:w="1050" w:type="dxa"/>
            <w:tcBorders>
              <w:top w:val="single" w:color="auto" w:sz="2" w:space="0"/>
              <w:left w:val="single" w:color="auto" w:sz="2" w:space="0"/>
              <w:bottom w:val="single" w:color="auto" w:sz="2" w:space="0"/>
              <w:right w:val="single" w:color="auto" w:sz="2" w:space="0"/>
            </w:tcBorders>
            <w:vAlign w:val="center"/>
          </w:tcPr>
          <w:p w14:paraId="1A9098BF">
            <w:pPr>
              <w:spacing w:before="0" w:after="0" w:line="240" w:lineRule="exact"/>
              <w:jc w:val="left"/>
              <w:rPr>
                <w:rFonts w:ascii="宋体" w:hAnsi="宋体" w:eastAsia="宋体" w:cs="宋体"/>
                <w:sz w:val="18"/>
                <w:szCs w:val="18"/>
              </w:rPr>
            </w:pPr>
            <w:r>
              <w:rPr>
                <w:rFonts w:ascii="宋体" w:hAnsi="宋体" w:eastAsia="宋体" w:cs="宋体"/>
                <w:sz w:val="18"/>
                <w:szCs w:val="18"/>
              </w:rPr>
              <w:t>避免同业竞争承诺</w:t>
            </w:r>
          </w:p>
        </w:tc>
        <w:tc>
          <w:tcPr>
            <w:tcW w:w="2970" w:type="dxa"/>
            <w:tcBorders>
              <w:top w:val="single" w:color="auto" w:sz="2" w:space="0"/>
              <w:left w:val="single" w:color="auto" w:sz="2" w:space="0"/>
              <w:bottom w:val="single" w:color="auto" w:sz="2" w:space="0"/>
              <w:right w:val="single" w:color="auto" w:sz="2" w:space="0"/>
            </w:tcBorders>
            <w:vAlign w:val="center"/>
          </w:tcPr>
          <w:p w14:paraId="7CE7EBDA">
            <w:pPr>
              <w:spacing w:before="0" w:after="0" w:line="240" w:lineRule="exact"/>
              <w:jc w:val="left"/>
              <w:rPr>
                <w:rFonts w:ascii="宋体" w:hAnsi="宋体" w:eastAsia="宋体" w:cs="宋体"/>
                <w:sz w:val="18"/>
                <w:szCs w:val="18"/>
              </w:rPr>
            </w:pPr>
            <w:r>
              <w:rPr>
                <w:rFonts w:ascii="宋体" w:hAnsi="宋体" w:eastAsia="宋体" w:cs="宋体"/>
                <w:sz w:val="18"/>
                <w:szCs w:val="18"/>
              </w:rPr>
              <w:t>承诺：1、截至本承诺函出具之日，承诺人没有、将来也不会以任何方式在境内外直接或间接参与任何导致或可能导致与广生堂竞争的业务或活动，亦不生产任何与广生堂产品相同或相似的产品。2、若广生堂认为承诺人从事了对广生堂的业务构成竞争的业务，承诺人将及时转让或者终止该等业务。若广生堂提出受让请求，承诺人将无条件按公允价格和法定程序将该等业务优先转让给广生堂。3、如果承诺人将来可能获得任何与广生堂产生直接或者间接竞争的业务机会，承诺人将立即通知广生堂并尽力促成该等业务机会按照广生堂能够接受的合理条款和条件首先提供给广生堂。4、承诺人将保证合法、合理地运用股东权利，不采取任何限制或影响广生堂正常经营的行为。5、承诺人保证在为广生堂直接或间接股东期间上述承诺持续有效且不可撤销。6、如有任何违反上述承诺的事项发生，承诺人承担因此给广生堂造成的一切损失（含直接损失和间接损失），并且广生堂及其他股东有权根据承诺人出具的承诺函依据中国相关法律申请强制履行上述承诺，同时本人因违反上述承诺所取得的利益归广生堂所有。</w:t>
            </w:r>
          </w:p>
        </w:tc>
        <w:tc>
          <w:tcPr>
            <w:tcW w:w="1120" w:type="dxa"/>
            <w:tcBorders>
              <w:top w:val="single" w:color="auto" w:sz="2" w:space="0"/>
              <w:left w:val="single" w:color="auto" w:sz="2" w:space="0"/>
              <w:bottom w:val="single" w:color="auto" w:sz="2" w:space="0"/>
              <w:right w:val="single" w:color="auto" w:sz="2" w:space="0"/>
            </w:tcBorders>
            <w:vAlign w:val="center"/>
          </w:tcPr>
          <w:p w14:paraId="0A1E84A0">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2E7426F0">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3656DDAB">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6E7DD0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90855DB">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1C166B92">
            <w:pPr>
              <w:spacing w:before="0" w:after="0" w:line="240" w:lineRule="exact"/>
              <w:jc w:val="left"/>
              <w:rPr>
                <w:rFonts w:ascii="宋体" w:hAnsi="宋体" w:eastAsia="宋体" w:cs="宋体"/>
                <w:sz w:val="18"/>
                <w:szCs w:val="18"/>
              </w:rPr>
            </w:pPr>
            <w:r>
              <w:rPr>
                <w:rFonts w:ascii="宋体" w:hAnsi="宋体" w:eastAsia="宋体" w:cs="宋体"/>
                <w:sz w:val="18"/>
                <w:szCs w:val="18"/>
              </w:rPr>
              <w:t>福建平潭奥泰科技投资中心（有限合伙）</w:t>
            </w:r>
          </w:p>
        </w:tc>
        <w:tc>
          <w:tcPr>
            <w:tcW w:w="1050" w:type="dxa"/>
            <w:tcBorders>
              <w:top w:val="single" w:color="auto" w:sz="2" w:space="0"/>
              <w:left w:val="single" w:color="auto" w:sz="2" w:space="0"/>
              <w:bottom w:val="single" w:color="auto" w:sz="2" w:space="0"/>
              <w:right w:val="single" w:color="auto" w:sz="2" w:space="0"/>
            </w:tcBorders>
            <w:vAlign w:val="center"/>
          </w:tcPr>
          <w:p w14:paraId="6834BD9B">
            <w:pPr>
              <w:spacing w:before="0" w:after="0" w:line="240" w:lineRule="exact"/>
              <w:jc w:val="left"/>
              <w:rPr>
                <w:rFonts w:ascii="宋体" w:hAnsi="宋体" w:eastAsia="宋体" w:cs="宋体"/>
                <w:sz w:val="18"/>
                <w:szCs w:val="18"/>
              </w:rPr>
            </w:pPr>
            <w:r>
              <w:rPr>
                <w:rFonts w:ascii="宋体" w:hAnsi="宋体" w:eastAsia="宋体" w:cs="宋体"/>
                <w:sz w:val="18"/>
                <w:szCs w:val="18"/>
              </w:rPr>
              <w:t>避免资金占用承诺</w:t>
            </w:r>
          </w:p>
        </w:tc>
        <w:tc>
          <w:tcPr>
            <w:tcW w:w="2970" w:type="dxa"/>
            <w:tcBorders>
              <w:top w:val="single" w:color="auto" w:sz="2" w:space="0"/>
              <w:left w:val="single" w:color="auto" w:sz="2" w:space="0"/>
              <w:bottom w:val="single" w:color="auto" w:sz="2" w:space="0"/>
              <w:right w:val="single" w:color="auto" w:sz="2" w:space="0"/>
            </w:tcBorders>
            <w:vAlign w:val="center"/>
          </w:tcPr>
          <w:p w14:paraId="3353EB7B">
            <w:pPr>
              <w:spacing w:before="0" w:after="0" w:line="240" w:lineRule="exact"/>
              <w:jc w:val="left"/>
              <w:rPr>
                <w:rFonts w:ascii="宋体" w:hAnsi="宋体" w:eastAsia="宋体" w:cs="宋体"/>
                <w:sz w:val="18"/>
                <w:szCs w:val="18"/>
              </w:rPr>
            </w:pPr>
            <w:r>
              <w:rPr>
                <w:rFonts w:ascii="宋体" w:hAnsi="宋体" w:eastAsia="宋体" w:cs="宋体"/>
                <w:sz w:val="18"/>
                <w:szCs w:val="18"/>
              </w:rPr>
              <w:t>承诺未来不以任何方式占用广生堂资金，并且保证在为广生堂直接或间接股东期间上述承诺持续有效且不可撤销。</w:t>
            </w:r>
          </w:p>
        </w:tc>
        <w:tc>
          <w:tcPr>
            <w:tcW w:w="1120" w:type="dxa"/>
            <w:tcBorders>
              <w:top w:val="single" w:color="auto" w:sz="2" w:space="0"/>
              <w:left w:val="single" w:color="auto" w:sz="2" w:space="0"/>
              <w:bottom w:val="single" w:color="auto" w:sz="2" w:space="0"/>
              <w:right w:val="single" w:color="auto" w:sz="2" w:space="0"/>
            </w:tcBorders>
            <w:vAlign w:val="center"/>
          </w:tcPr>
          <w:p w14:paraId="5192ADD5">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2FCA0731">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3B2EBE9C">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7B53EF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8D66CC2">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2082880D">
            <w:pPr>
              <w:spacing w:before="0" w:after="0" w:line="240" w:lineRule="exact"/>
              <w:jc w:val="left"/>
              <w:rPr>
                <w:rFonts w:ascii="宋体" w:hAnsi="宋体" w:eastAsia="宋体" w:cs="宋体"/>
                <w:sz w:val="18"/>
                <w:szCs w:val="18"/>
              </w:rPr>
            </w:pPr>
            <w:r>
              <w:rPr>
                <w:rFonts w:ascii="宋体" w:hAnsi="宋体" w:eastAsia="宋体" w:cs="宋体"/>
                <w:sz w:val="18"/>
                <w:szCs w:val="18"/>
              </w:rPr>
              <w:t>福建平潭奥泰科技投资中心（有限合伙）</w:t>
            </w:r>
          </w:p>
        </w:tc>
        <w:tc>
          <w:tcPr>
            <w:tcW w:w="1050" w:type="dxa"/>
            <w:tcBorders>
              <w:top w:val="single" w:color="auto" w:sz="2" w:space="0"/>
              <w:left w:val="single" w:color="auto" w:sz="2" w:space="0"/>
              <w:bottom w:val="single" w:color="auto" w:sz="2" w:space="0"/>
              <w:right w:val="single" w:color="auto" w:sz="2" w:space="0"/>
            </w:tcBorders>
            <w:vAlign w:val="center"/>
          </w:tcPr>
          <w:p w14:paraId="20C783BB">
            <w:pPr>
              <w:spacing w:before="0" w:after="0" w:line="240" w:lineRule="exact"/>
              <w:jc w:val="left"/>
              <w:rPr>
                <w:rFonts w:ascii="宋体" w:hAnsi="宋体" w:eastAsia="宋体" w:cs="宋体"/>
                <w:sz w:val="18"/>
                <w:szCs w:val="18"/>
              </w:rPr>
            </w:pPr>
            <w:r>
              <w:rPr>
                <w:rFonts w:ascii="宋体" w:hAnsi="宋体" w:eastAsia="宋体" w:cs="宋体"/>
                <w:sz w:val="18"/>
                <w:szCs w:val="18"/>
              </w:rPr>
              <w:t>股份减持承诺</w:t>
            </w:r>
          </w:p>
        </w:tc>
        <w:tc>
          <w:tcPr>
            <w:tcW w:w="2970" w:type="dxa"/>
            <w:tcBorders>
              <w:top w:val="single" w:color="auto" w:sz="2" w:space="0"/>
              <w:left w:val="single" w:color="auto" w:sz="2" w:space="0"/>
              <w:bottom w:val="single" w:color="auto" w:sz="2" w:space="0"/>
              <w:right w:val="single" w:color="auto" w:sz="2" w:space="0"/>
            </w:tcBorders>
            <w:vAlign w:val="center"/>
          </w:tcPr>
          <w:p w14:paraId="67B7D8BE">
            <w:pPr>
              <w:spacing w:before="0" w:after="0" w:line="240" w:lineRule="exact"/>
              <w:jc w:val="left"/>
              <w:rPr>
                <w:rFonts w:ascii="宋体" w:hAnsi="宋体" w:eastAsia="宋体" w:cs="宋体"/>
                <w:sz w:val="18"/>
                <w:szCs w:val="18"/>
              </w:rPr>
            </w:pPr>
            <w:r>
              <w:rPr>
                <w:rFonts w:ascii="宋体" w:hAnsi="宋体" w:eastAsia="宋体" w:cs="宋体"/>
                <w:sz w:val="18"/>
                <w:szCs w:val="18"/>
              </w:rPr>
              <w:t>承诺：减持股份行为符合相关法律法规、深圳证券交易所规则要求；减持广生堂股票方式包括二级市场集中竞价交易、大宗交易等深圳证券交易所认可的合法方式；拟减持广生堂股票的，将提前三个交易日通知广生堂并予以公告，并承诺将按照《公司法》、《证券法》、中国证监会及深圳证券交易所相关规定办理。</w:t>
            </w:r>
          </w:p>
        </w:tc>
        <w:tc>
          <w:tcPr>
            <w:tcW w:w="1120" w:type="dxa"/>
            <w:tcBorders>
              <w:top w:val="single" w:color="auto" w:sz="2" w:space="0"/>
              <w:left w:val="single" w:color="auto" w:sz="2" w:space="0"/>
              <w:bottom w:val="single" w:color="auto" w:sz="2" w:space="0"/>
              <w:right w:val="single" w:color="auto" w:sz="2" w:space="0"/>
            </w:tcBorders>
            <w:vAlign w:val="center"/>
          </w:tcPr>
          <w:p w14:paraId="196F9D14">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2015年04月21日</w:t>
            </w:r>
          </w:p>
        </w:tc>
        <w:tc>
          <w:tcPr>
            <w:tcW w:w="1020" w:type="dxa"/>
            <w:tcBorders>
              <w:top w:val="single" w:color="auto" w:sz="2" w:space="0"/>
              <w:left w:val="single" w:color="auto" w:sz="2" w:space="0"/>
              <w:bottom w:val="single" w:color="auto" w:sz="2" w:space="0"/>
              <w:right w:val="single" w:color="auto" w:sz="2" w:space="0"/>
            </w:tcBorders>
            <w:vAlign w:val="center"/>
          </w:tcPr>
          <w:p w14:paraId="10D8ACEB">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10142006">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2D0C2A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B6E6B15">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0A0202C2">
            <w:pPr>
              <w:spacing w:before="0" w:after="0" w:line="240" w:lineRule="exact"/>
              <w:jc w:val="left"/>
              <w:rPr>
                <w:rFonts w:ascii="宋体" w:hAnsi="宋体" w:eastAsia="宋体" w:cs="宋体"/>
                <w:sz w:val="18"/>
                <w:szCs w:val="18"/>
              </w:rPr>
            </w:pPr>
            <w:r>
              <w:rPr>
                <w:rFonts w:ascii="宋体" w:hAnsi="宋体" w:eastAsia="宋体" w:cs="宋体"/>
                <w:sz w:val="18"/>
                <w:szCs w:val="18"/>
              </w:rPr>
              <w:t>福建平潭奥泰科技投资中心（有限合伙）</w:t>
            </w:r>
          </w:p>
        </w:tc>
        <w:tc>
          <w:tcPr>
            <w:tcW w:w="1050" w:type="dxa"/>
            <w:tcBorders>
              <w:top w:val="single" w:color="auto" w:sz="2" w:space="0"/>
              <w:left w:val="single" w:color="auto" w:sz="2" w:space="0"/>
              <w:bottom w:val="single" w:color="auto" w:sz="2" w:space="0"/>
              <w:right w:val="single" w:color="auto" w:sz="2" w:space="0"/>
            </w:tcBorders>
            <w:vAlign w:val="center"/>
          </w:tcPr>
          <w:p w14:paraId="6B3478B5">
            <w:pPr>
              <w:spacing w:before="0" w:after="0" w:line="240" w:lineRule="exact"/>
              <w:jc w:val="left"/>
              <w:rPr>
                <w:rFonts w:ascii="宋体" w:hAnsi="宋体" w:eastAsia="宋体" w:cs="宋体"/>
                <w:sz w:val="18"/>
                <w:szCs w:val="18"/>
              </w:rPr>
            </w:pPr>
            <w:r>
              <w:rPr>
                <w:rFonts w:ascii="宋体" w:hAnsi="宋体" w:eastAsia="宋体" w:cs="宋体"/>
                <w:sz w:val="18"/>
                <w:szCs w:val="18"/>
              </w:rPr>
              <w:t>其他承诺</w:t>
            </w:r>
          </w:p>
        </w:tc>
        <w:tc>
          <w:tcPr>
            <w:tcW w:w="2970" w:type="dxa"/>
            <w:tcBorders>
              <w:top w:val="single" w:color="auto" w:sz="2" w:space="0"/>
              <w:left w:val="single" w:color="auto" w:sz="2" w:space="0"/>
              <w:bottom w:val="single" w:color="auto" w:sz="2" w:space="0"/>
              <w:right w:val="single" w:color="auto" w:sz="2" w:space="0"/>
            </w:tcBorders>
            <w:vAlign w:val="center"/>
          </w:tcPr>
          <w:p w14:paraId="5C10064A">
            <w:pPr>
              <w:spacing w:before="0" w:after="0" w:line="240" w:lineRule="exact"/>
              <w:jc w:val="left"/>
              <w:rPr>
                <w:rFonts w:ascii="宋体" w:hAnsi="宋体" w:eastAsia="宋体" w:cs="宋体"/>
                <w:sz w:val="18"/>
                <w:szCs w:val="18"/>
              </w:rPr>
            </w:pPr>
            <w:r>
              <w:rPr>
                <w:rFonts w:ascii="宋体" w:hAnsi="宋体" w:eastAsia="宋体" w:cs="宋体"/>
                <w:sz w:val="18"/>
                <w:szCs w:val="18"/>
              </w:rPr>
              <w:t>承诺所持广生堂股票在锁定期满后两年内仅根据合伙人退伙或减少出资份额意向相应减持（福建平潭奥泰科技投资中心（有限合伙）每元出资额对应减持1.6股广生堂股份），合伙人具体承诺如下：</w:t>
            </w:r>
          </w:p>
        </w:tc>
        <w:tc>
          <w:tcPr>
            <w:tcW w:w="1120" w:type="dxa"/>
            <w:tcBorders>
              <w:top w:val="single" w:color="auto" w:sz="2" w:space="0"/>
              <w:left w:val="single" w:color="auto" w:sz="2" w:space="0"/>
              <w:bottom w:val="single" w:color="auto" w:sz="2" w:space="0"/>
              <w:right w:val="single" w:color="auto" w:sz="2" w:space="0"/>
            </w:tcBorders>
            <w:vAlign w:val="center"/>
          </w:tcPr>
          <w:p w14:paraId="5EC76288">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2015年04月21日</w:t>
            </w:r>
          </w:p>
        </w:tc>
        <w:tc>
          <w:tcPr>
            <w:tcW w:w="1020" w:type="dxa"/>
            <w:tcBorders>
              <w:top w:val="single" w:color="auto" w:sz="2" w:space="0"/>
              <w:left w:val="single" w:color="auto" w:sz="2" w:space="0"/>
              <w:bottom w:val="single" w:color="auto" w:sz="2" w:space="0"/>
              <w:right w:val="single" w:color="auto" w:sz="2" w:space="0"/>
            </w:tcBorders>
            <w:vAlign w:val="center"/>
          </w:tcPr>
          <w:p w14:paraId="27D92C1C">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104532B0">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42A4D8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2D73A64">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28E7DAFA">
            <w:pPr>
              <w:spacing w:before="0" w:after="0" w:line="240" w:lineRule="exact"/>
              <w:jc w:val="left"/>
              <w:rPr>
                <w:rFonts w:ascii="宋体" w:hAnsi="宋体" w:eastAsia="宋体" w:cs="宋体"/>
                <w:sz w:val="18"/>
                <w:szCs w:val="18"/>
              </w:rPr>
            </w:pPr>
            <w:r>
              <w:rPr>
                <w:rFonts w:ascii="宋体" w:hAnsi="宋体" w:eastAsia="宋体" w:cs="宋体"/>
                <w:sz w:val="18"/>
                <w:szCs w:val="18"/>
              </w:rPr>
              <w:t>李国平、叶理青、李国栋</w:t>
            </w:r>
          </w:p>
        </w:tc>
        <w:tc>
          <w:tcPr>
            <w:tcW w:w="1050" w:type="dxa"/>
            <w:tcBorders>
              <w:top w:val="single" w:color="auto" w:sz="2" w:space="0"/>
              <w:left w:val="single" w:color="auto" w:sz="2" w:space="0"/>
              <w:bottom w:val="single" w:color="auto" w:sz="2" w:space="0"/>
              <w:right w:val="single" w:color="auto" w:sz="2" w:space="0"/>
            </w:tcBorders>
            <w:vAlign w:val="center"/>
          </w:tcPr>
          <w:p w14:paraId="2D37D91B">
            <w:pPr>
              <w:spacing w:before="0" w:after="0" w:line="240" w:lineRule="exact"/>
              <w:jc w:val="left"/>
              <w:rPr>
                <w:rFonts w:ascii="宋体" w:hAnsi="宋体" w:eastAsia="宋体" w:cs="宋体"/>
                <w:sz w:val="18"/>
                <w:szCs w:val="18"/>
              </w:rPr>
            </w:pPr>
            <w:r>
              <w:rPr>
                <w:rFonts w:ascii="宋体" w:hAnsi="宋体" w:eastAsia="宋体" w:cs="宋体"/>
                <w:sz w:val="18"/>
                <w:szCs w:val="18"/>
              </w:rPr>
              <w:t>其他承诺</w:t>
            </w:r>
          </w:p>
        </w:tc>
        <w:tc>
          <w:tcPr>
            <w:tcW w:w="2970" w:type="dxa"/>
            <w:tcBorders>
              <w:top w:val="single" w:color="auto" w:sz="2" w:space="0"/>
              <w:left w:val="single" w:color="auto" w:sz="2" w:space="0"/>
              <w:bottom w:val="single" w:color="auto" w:sz="2" w:space="0"/>
              <w:right w:val="single" w:color="auto" w:sz="2" w:space="0"/>
            </w:tcBorders>
            <w:vAlign w:val="center"/>
          </w:tcPr>
          <w:p w14:paraId="09EB79F5">
            <w:pPr>
              <w:spacing w:before="0" w:after="0" w:line="240" w:lineRule="exact"/>
              <w:jc w:val="left"/>
              <w:rPr>
                <w:rFonts w:ascii="宋体" w:hAnsi="宋体" w:eastAsia="宋体" w:cs="宋体"/>
                <w:sz w:val="18"/>
                <w:szCs w:val="18"/>
              </w:rPr>
            </w:pPr>
            <w:r>
              <w:rPr>
                <w:rFonts w:ascii="宋体" w:hAnsi="宋体" w:eastAsia="宋体" w:cs="宋体"/>
                <w:sz w:val="18"/>
                <w:szCs w:val="18"/>
              </w:rPr>
              <w:t>承诺广生堂招股说明书有虚假记载、误导性陈述或者重大遗漏，致使投资者在证券交易中遭受损失的，将依法赔偿投资者损失。若违反相关承诺，则将在广生堂股东大会及中国证监会指定报刊上公开说明未履行的具体原因并向广生堂股东和社会公众投资者道歉，并在违反承诺发生之日起，停止在广生堂处领取薪酬、津贴及股东分红（包括从奥华集团、奥泰投资处取得分红），同时承诺人持有的广生堂股份或奥华集团、奥泰投资的出资不得转让，直至按承诺采取相应的赔偿措施并实施完毕时为止。</w:t>
            </w:r>
          </w:p>
        </w:tc>
        <w:tc>
          <w:tcPr>
            <w:tcW w:w="1120" w:type="dxa"/>
            <w:tcBorders>
              <w:top w:val="single" w:color="auto" w:sz="2" w:space="0"/>
              <w:left w:val="single" w:color="auto" w:sz="2" w:space="0"/>
              <w:bottom w:val="single" w:color="auto" w:sz="2" w:space="0"/>
              <w:right w:val="single" w:color="auto" w:sz="2" w:space="0"/>
            </w:tcBorders>
            <w:vAlign w:val="center"/>
          </w:tcPr>
          <w:p w14:paraId="6EF817F2">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43B5C76E">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50804CB3">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31E9E9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55E5EA2">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635492D4">
            <w:pPr>
              <w:spacing w:before="0" w:after="0" w:line="240" w:lineRule="exact"/>
              <w:jc w:val="left"/>
              <w:rPr>
                <w:rFonts w:ascii="宋体" w:hAnsi="宋体" w:eastAsia="宋体" w:cs="宋体"/>
                <w:sz w:val="18"/>
                <w:szCs w:val="18"/>
              </w:rPr>
            </w:pPr>
            <w:r>
              <w:rPr>
                <w:rFonts w:ascii="宋体" w:hAnsi="宋体" w:eastAsia="宋体" w:cs="宋体"/>
                <w:sz w:val="18"/>
                <w:szCs w:val="18"/>
              </w:rPr>
              <w:t>李国平、叶理青、李国栋</w:t>
            </w:r>
          </w:p>
        </w:tc>
        <w:tc>
          <w:tcPr>
            <w:tcW w:w="1050" w:type="dxa"/>
            <w:tcBorders>
              <w:top w:val="single" w:color="auto" w:sz="2" w:space="0"/>
              <w:left w:val="single" w:color="auto" w:sz="2" w:space="0"/>
              <w:bottom w:val="single" w:color="auto" w:sz="2" w:space="0"/>
              <w:right w:val="single" w:color="auto" w:sz="2" w:space="0"/>
            </w:tcBorders>
            <w:vAlign w:val="center"/>
          </w:tcPr>
          <w:p w14:paraId="7C6A39AE">
            <w:pPr>
              <w:spacing w:before="0" w:after="0" w:line="240" w:lineRule="exact"/>
              <w:jc w:val="left"/>
              <w:rPr>
                <w:rFonts w:ascii="宋体" w:hAnsi="宋体" w:eastAsia="宋体" w:cs="宋体"/>
                <w:sz w:val="18"/>
                <w:szCs w:val="18"/>
              </w:rPr>
            </w:pPr>
            <w:r>
              <w:rPr>
                <w:rFonts w:ascii="宋体" w:hAnsi="宋体" w:eastAsia="宋体" w:cs="宋体"/>
                <w:sz w:val="18"/>
                <w:szCs w:val="18"/>
              </w:rPr>
              <w:t>避免同业竞争承诺</w:t>
            </w:r>
          </w:p>
        </w:tc>
        <w:tc>
          <w:tcPr>
            <w:tcW w:w="2970" w:type="dxa"/>
            <w:tcBorders>
              <w:top w:val="single" w:color="auto" w:sz="2" w:space="0"/>
              <w:left w:val="single" w:color="auto" w:sz="2" w:space="0"/>
              <w:bottom w:val="single" w:color="auto" w:sz="2" w:space="0"/>
              <w:right w:val="single" w:color="auto" w:sz="2" w:space="0"/>
            </w:tcBorders>
            <w:vAlign w:val="center"/>
          </w:tcPr>
          <w:p w14:paraId="5A72188D">
            <w:pPr>
              <w:spacing w:before="0" w:after="0" w:line="240" w:lineRule="exact"/>
              <w:jc w:val="left"/>
              <w:rPr>
                <w:rFonts w:ascii="宋体" w:hAnsi="宋体" w:eastAsia="宋体" w:cs="宋体"/>
                <w:sz w:val="18"/>
                <w:szCs w:val="18"/>
              </w:rPr>
            </w:pPr>
            <w:r>
              <w:rPr>
                <w:rFonts w:ascii="宋体" w:hAnsi="宋体" w:eastAsia="宋体" w:cs="宋体"/>
                <w:sz w:val="18"/>
                <w:szCs w:val="18"/>
              </w:rPr>
              <w:t>承诺：1、截至本承诺函出具之日，承诺人没有、将来也不会以任何方式在境内外直接或间接参与任何导致或可能导致与广生堂竞争的业务或活动，亦不生产任何与广生堂产品相同或相似的产品。2、若广生堂认为承诺人从事了对广生堂的业务构成竞争的业务，承诺人将及时转让或者终止该等业务。若广生堂提出受让请求，承诺人将无条件按公允价格和法定程序将该等业务优先转让给广生堂。3、如果承诺人将来可能获得任何与广生堂产生直接或者间接竞争的业务机会，承诺人将立即通知广生堂并尽力促成该等业务机会按照广生堂能够接受的合理条款和条件首先提供给广生堂。4、承诺人将保证合法、合理地运用股东权利，不采取任何限制或影响广生堂正常经营的行为。5、承诺人保证在为广生堂直接或间接股东期间上述承诺持续有效且不可撤销。6、如有任何违反上述承诺的事项发生，承诺人承担因此给广生堂造成的一切损失（含直接损失和间接损失），并且广生堂及其他股东有权根据承诺人出具的承诺函依据中国相关法律申请强制履行上述承诺，同时本人因违反上述承诺所取得的利益归广生堂所有。</w:t>
            </w:r>
          </w:p>
        </w:tc>
        <w:tc>
          <w:tcPr>
            <w:tcW w:w="1120" w:type="dxa"/>
            <w:tcBorders>
              <w:top w:val="single" w:color="auto" w:sz="2" w:space="0"/>
              <w:left w:val="single" w:color="auto" w:sz="2" w:space="0"/>
              <w:bottom w:val="single" w:color="auto" w:sz="2" w:space="0"/>
              <w:right w:val="single" w:color="auto" w:sz="2" w:space="0"/>
            </w:tcBorders>
            <w:vAlign w:val="center"/>
          </w:tcPr>
          <w:p w14:paraId="15F31EEF">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172A25BC">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79866A6B">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0A43D8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61C438D">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1F4AB7C6">
            <w:pPr>
              <w:spacing w:before="0" w:after="0" w:line="240" w:lineRule="exact"/>
              <w:jc w:val="left"/>
              <w:rPr>
                <w:rFonts w:ascii="宋体" w:hAnsi="宋体" w:eastAsia="宋体" w:cs="宋体"/>
                <w:sz w:val="18"/>
                <w:szCs w:val="18"/>
              </w:rPr>
            </w:pPr>
            <w:r>
              <w:rPr>
                <w:rFonts w:ascii="宋体" w:hAnsi="宋体" w:eastAsia="宋体" w:cs="宋体"/>
                <w:sz w:val="18"/>
                <w:szCs w:val="18"/>
              </w:rPr>
              <w:t>李国平、叶理青、李国栋</w:t>
            </w:r>
          </w:p>
        </w:tc>
        <w:tc>
          <w:tcPr>
            <w:tcW w:w="1050" w:type="dxa"/>
            <w:tcBorders>
              <w:top w:val="single" w:color="auto" w:sz="2" w:space="0"/>
              <w:left w:val="single" w:color="auto" w:sz="2" w:space="0"/>
              <w:bottom w:val="single" w:color="auto" w:sz="2" w:space="0"/>
              <w:right w:val="single" w:color="auto" w:sz="2" w:space="0"/>
            </w:tcBorders>
            <w:vAlign w:val="center"/>
          </w:tcPr>
          <w:p w14:paraId="236C943E">
            <w:pPr>
              <w:spacing w:before="0" w:after="0" w:line="240" w:lineRule="exact"/>
              <w:jc w:val="left"/>
              <w:rPr>
                <w:rFonts w:ascii="宋体" w:hAnsi="宋体" w:eastAsia="宋体" w:cs="宋体"/>
                <w:sz w:val="18"/>
                <w:szCs w:val="18"/>
              </w:rPr>
            </w:pPr>
            <w:r>
              <w:rPr>
                <w:rFonts w:ascii="宋体" w:hAnsi="宋体" w:eastAsia="宋体" w:cs="宋体"/>
                <w:sz w:val="18"/>
                <w:szCs w:val="18"/>
              </w:rPr>
              <w:t>规范关联交易承诺</w:t>
            </w:r>
          </w:p>
        </w:tc>
        <w:tc>
          <w:tcPr>
            <w:tcW w:w="2970" w:type="dxa"/>
            <w:tcBorders>
              <w:top w:val="single" w:color="auto" w:sz="2" w:space="0"/>
              <w:left w:val="single" w:color="auto" w:sz="2" w:space="0"/>
              <w:bottom w:val="single" w:color="auto" w:sz="2" w:space="0"/>
              <w:right w:val="single" w:color="auto" w:sz="2" w:space="0"/>
            </w:tcBorders>
            <w:vAlign w:val="center"/>
          </w:tcPr>
          <w:p w14:paraId="4F3D78D0">
            <w:pPr>
              <w:spacing w:before="0" w:after="0" w:line="240" w:lineRule="exact"/>
              <w:jc w:val="left"/>
              <w:rPr>
                <w:rFonts w:ascii="宋体" w:hAnsi="宋体" w:eastAsia="宋体" w:cs="宋体"/>
                <w:sz w:val="18"/>
                <w:szCs w:val="18"/>
              </w:rPr>
            </w:pPr>
            <w:r>
              <w:rPr>
                <w:rFonts w:ascii="宋体" w:hAnsi="宋体" w:eastAsia="宋体" w:cs="宋体"/>
                <w:sz w:val="18"/>
                <w:szCs w:val="18"/>
              </w:rPr>
              <w:t>承诺：1、广生堂股东大会审议与承诺人有关的关联交易事项时，将不参与投票表决，所代表的有表决权的股份数不计入有效表决总数。广生堂董事会会议审议与承诺人有关的关联交易事项时，承诺人委派的董事将对该项决议回避表决权，也不委托其他董事代理行使表决权。2、承诺人将尽可能避免承诺人及控制或参股的其他企业与广生堂发生关联交易，以确保广生堂及非关联股东的利益得到有效的保护。3、对于无法避免或者因合理原因发生的关联交易，承诺人将严格遵守《公司法》等有关法律、法规、规范性文件及《广生堂公司章程》的规定，遵循等价、有偿、公平交易的原则，履行合法程序并订立相关协议或合同，及时进行信息披露，保证关联交易的公允性；承诺人承诺将不会通过非公允的关联交易损害广生堂及其他股东的合法权益。4、承诺人保证在为广生堂直接或间接股东期间上述承诺持续有效且不可撤销。</w:t>
            </w:r>
          </w:p>
        </w:tc>
        <w:tc>
          <w:tcPr>
            <w:tcW w:w="1120" w:type="dxa"/>
            <w:tcBorders>
              <w:top w:val="single" w:color="auto" w:sz="2" w:space="0"/>
              <w:left w:val="single" w:color="auto" w:sz="2" w:space="0"/>
              <w:bottom w:val="single" w:color="auto" w:sz="2" w:space="0"/>
              <w:right w:val="single" w:color="auto" w:sz="2" w:space="0"/>
            </w:tcBorders>
            <w:vAlign w:val="center"/>
          </w:tcPr>
          <w:p w14:paraId="09C9DA30">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6464A2ED">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40CE1081">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7A7908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EEA2178">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611A4921">
            <w:pPr>
              <w:spacing w:before="0" w:after="0" w:line="240" w:lineRule="exact"/>
              <w:jc w:val="left"/>
              <w:rPr>
                <w:rFonts w:ascii="宋体" w:hAnsi="宋体" w:eastAsia="宋体" w:cs="宋体"/>
                <w:sz w:val="18"/>
                <w:szCs w:val="18"/>
              </w:rPr>
            </w:pPr>
            <w:r>
              <w:rPr>
                <w:rFonts w:ascii="宋体" w:hAnsi="宋体" w:eastAsia="宋体" w:cs="宋体"/>
                <w:sz w:val="18"/>
                <w:szCs w:val="18"/>
              </w:rPr>
              <w:t>李国平、叶理青、李国栋</w:t>
            </w:r>
          </w:p>
        </w:tc>
        <w:tc>
          <w:tcPr>
            <w:tcW w:w="1050" w:type="dxa"/>
            <w:tcBorders>
              <w:top w:val="single" w:color="auto" w:sz="2" w:space="0"/>
              <w:left w:val="single" w:color="auto" w:sz="2" w:space="0"/>
              <w:bottom w:val="single" w:color="auto" w:sz="2" w:space="0"/>
              <w:right w:val="single" w:color="auto" w:sz="2" w:space="0"/>
            </w:tcBorders>
            <w:vAlign w:val="center"/>
          </w:tcPr>
          <w:p w14:paraId="3E285CC1">
            <w:pPr>
              <w:spacing w:before="0" w:after="0" w:line="240" w:lineRule="exact"/>
              <w:jc w:val="left"/>
              <w:rPr>
                <w:rFonts w:ascii="宋体" w:hAnsi="宋体" w:eastAsia="宋体" w:cs="宋体"/>
                <w:sz w:val="18"/>
                <w:szCs w:val="18"/>
              </w:rPr>
            </w:pPr>
            <w:r>
              <w:rPr>
                <w:rFonts w:ascii="宋体" w:hAnsi="宋体" w:eastAsia="宋体" w:cs="宋体"/>
                <w:sz w:val="18"/>
                <w:szCs w:val="18"/>
              </w:rPr>
              <w:t>避免资金占用承诺</w:t>
            </w:r>
          </w:p>
        </w:tc>
        <w:tc>
          <w:tcPr>
            <w:tcW w:w="2970" w:type="dxa"/>
            <w:tcBorders>
              <w:top w:val="single" w:color="auto" w:sz="2" w:space="0"/>
              <w:left w:val="single" w:color="auto" w:sz="2" w:space="0"/>
              <w:bottom w:val="single" w:color="auto" w:sz="2" w:space="0"/>
              <w:right w:val="single" w:color="auto" w:sz="2" w:space="0"/>
            </w:tcBorders>
            <w:vAlign w:val="center"/>
          </w:tcPr>
          <w:p w14:paraId="25AB541D">
            <w:pPr>
              <w:spacing w:before="0" w:after="0" w:line="240" w:lineRule="exact"/>
              <w:jc w:val="left"/>
              <w:rPr>
                <w:rFonts w:ascii="宋体" w:hAnsi="宋体" w:eastAsia="宋体" w:cs="宋体"/>
                <w:sz w:val="18"/>
                <w:szCs w:val="18"/>
              </w:rPr>
            </w:pPr>
            <w:r>
              <w:rPr>
                <w:rFonts w:ascii="宋体" w:hAnsi="宋体" w:eastAsia="宋体" w:cs="宋体"/>
                <w:sz w:val="18"/>
                <w:szCs w:val="18"/>
              </w:rPr>
              <w:t>承诺未来不以任何方式占用广生堂资金，并且保证在为广生堂直接或间接股东期间上述承诺持续有效且不可撤销。</w:t>
            </w:r>
          </w:p>
        </w:tc>
        <w:tc>
          <w:tcPr>
            <w:tcW w:w="1120" w:type="dxa"/>
            <w:tcBorders>
              <w:top w:val="single" w:color="auto" w:sz="2" w:space="0"/>
              <w:left w:val="single" w:color="auto" w:sz="2" w:space="0"/>
              <w:bottom w:val="single" w:color="auto" w:sz="2" w:space="0"/>
              <w:right w:val="single" w:color="auto" w:sz="2" w:space="0"/>
            </w:tcBorders>
            <w:vAlign w:val="center"/>
          </w:tcPr>
          <w:p w14:paraId="5FB68E40">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02F25E62">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5315B261">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570B26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C913FD2">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17AEB362">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福建广生堂药业股份有限公司</w:t>
            </w:r>
          </w:p>
        </w:tc>
        <w:tc>
          <w:tcPr>
            <w:tcW w:w="1050" w:type="dxa"/>
            <w:tcBorders>
              <w:top w:val="single" w:color="auto" w:sz="2" w:space="0"/>
              <w:left w:val="single" w:color="auto" w:sz="2" w:space="0"/>
              <w:bottom w:val="single" w:color="auto" w:sz="2" w:space="0"/>
              <w:right w:val="single" w:color="auto" w:sz="2" w:space="0"/>
            </w:tcBorders>
            <w:vAlign w:val="center"/>
          </w:tcPr>
          <w:p w14:paraId="507760A2">
            <w:pPr>
              <w:spacing w:before="0" w:after="0" w:line="240" w:lineRule="exact"/>
              <w:jc w:val="left"/>
              <w:rPr>
                <w:rFonts w:ascii="宋体" w:hAnsi="宋体" w:eastAsia="宋体" w:cs="宋体"/>
                <w:sz w:val="18"/>
                <w:szCs w:val="18"/>
              </w:rPr>
            </w:pPr>
            <w:r>
              <w:rPr>
                <w:rFonts w:ascii="宋体" w:hAnsi="宋体" w:eastAsia="宋体" w:cs="宋体"/>
                <w:sz w:val="18"/>
                <w:szCs w:val="18"/>
              </w:rPr>
              <w:t>分红承诺</w:t>
            </w:r>
          </w:p>
        </w:tc>
        <w:tc>
          <w:tcPr>
            <w:tcW w:w="2970" w:type="dxa"/>
            <w:tcBorders>
              <w:top w:val="single" w:color="auto" w:sz="2" w:space="0"/>
              <w:left w:val="single" w:color="auto" w:sz="2" w:space="0"/>
              <w:bottom w:val="single" w:color="auto" w:sz="2" w:space="0"/>
              <w:right w:val="single" w:color="auto" w:sz="2" w:space="0"/>
            </w:tcBorders>
            <w:vAlign w:val="center"/>
          </w:tcPr>
          <w:p w14:paraId="27F23431">
            <w:pPr>
              <w:spacing w:before="0" w:after="0" w:line="240" w:lineRule="exact"/>
              <w:jc w:val="left"/>
              <w:rPr>
                <w:rFonts w:ascii="宋体" w:hAnsi="宋体" w:eastAsia="宋体" w:cs="宋体"/>
                <w:sz w:val="18"/>
                <w:szCs w:val="18"/>
              </w:rPr>
            </w:pPr>
            <w:r>
              <w:rPr>
                <w:rFonts w:ascii="宋体" w:hAnsi="宋体" w:eastAsia="宋体" w:cs="宋体"/>
                <w:sz w:val="18"/>
                <w:szCs w:val="18"/>
              </w:rPr>
              <w:t>本公司将严格按照《公司章程》规定的程序，按照利润分配政策进行利润分配。</w:t>
            </w:r>
          </w:p>
        </w:tc>
        <w:tc>
          <w:tcPr>
            <w:tcW w:w="1120" w:type="dxa"/>
            <w:tcBorders>
              <w:top w:val="single" w:color="auto" w:sz="2" w:space="0"/>
              <w:left w:val="single" w:color="auto" w:sz="2" w:space="0"/>
              <w:bottom w:val="single" w:color="auto" w:sz="2" w:space="0"/>
              <w:right w:val="single" w:color="auto" w:sz="2" w:space="0"/>
            </w:tcBorders>
            <w:vAlign w:val="center"/>
          </w:tcPr>
          <w:p w14:paraId="1F84C965">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6010B188">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1A91AF8F">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1EF3FA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70416F4">
            <w:pPr>
              <w:spacing w:before="40" w:after="40" w:line="240" w:lineRule="exact"/>
              <w:jc w:val="left"/>
              <w:rPr>
                <w:rFonts w:ascii="宋体" w:hAnsi="宋体" w:eastAsia="宋体" w:cs="宋体"/>
                <w:sz w:val="18"/>
                <w:szCs w:val="18"/>
              </w:rPr>
            </w:pPr>
            <w:r>
              <w:rPr>
                <w:rFonts w:ascii="宋体" w:hAnsi="宋体" w:eastAsia="宋体" w:cs="宋体"/>
                <w:sz w:val="18"/>
                <w:szCs w:val="18"/>
              </w:rPr>
              <w:t>首次公开发行或再融资时所作承诺</w:t>
            </w:r>
          </w:p>
        </w:tc>
        <w:tc>
          <w:tcPr>
            <w:tcW w:w="1050" w:type="dxa"/>
            <w:tcBorders>
              <w:top w:val="single" w:color="auto" w:sz="2" w:space="0"/>
              <w:left w:val="single" w:color="auto" w:sz="2" w:space="0"/>
              <w:bottom w:val="single" w:color="auto" w:sz="2" w:space="0"/>
              <w:right w:val="single" w:color="auto" w:sz="2" w:space="0"/>
            </w:tcBorders>
            <w:vAlign w:val="center"/>
          </w:tcPr>
          <w:p w14:paraId="18BBD54C">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福建广生堂药业股份有限公司</w:t>
            </w:r>
          </w:p>
        </w:tc>
        <w:tc>
          <w:tcPr>
            <w:tcW w:w="1050" w:type="dxa"/>
            <w:tcBorders>
              <w:top w:val="single" w:color="auto" w:sz="2" w:space="0"/>
              <w:left w:val="single" w:color="auto" w:sz="2" w:space="0"/>
              <w:bottom w:val="single" w:color="auto" w:sz="2" w:space="0"/>
              <w:right w:val="single" w:color="auto" w:sz="2" w:space="0"/>
            </w:tcBorders>
            <w:vAlign w:val="center"/>
          </w:tcPr>
          <w:p w14:paraId="2CB6967D">
            <w:pPr>
              <w:spacing w:before="0" w:after="0" w:line="240" w:lineRule="exact"/>
              <w:jc w:val="left"/>
              <w:rPr>
                <w:rFonts w:ascii="宋体" w:hAnsi="宋体" w:eastAsia="宋体" w:cs="宋体"/>
                <w:sz w:val="18"/>
                <w:szCs w:val="18"/>
              </w:rPr>
            </w:pPr>
            <w:r>
              <w:rPr>
                <w:rFonts w:ascii="宋体" w:hAnsi="宋体" w:eastAsia="宋体" w:cs="宋体"/>
                <w:sz w:val="18"/>
                <w:szCs w:val="18"/>
              </w:rPr>
              <w:t>其他承诺</w:t>
            </w:r>
          </w:p>
        </w:tc>
        <w:tc>
          <w:tcPr>
            <w:tcW w:w="2970" w:type="dxa"/>
            <w:tcBorders>
              <w:top w:val="single" w:color="auto" w:sz="2" w:space="0"/>
              <w:left w:val="single" w:color="auto" w:sz="2" w:space="0"/>
              <w:bottom w:val="single" w:color="auto" w:sz="2" w:space="0"/>
              <w:right w:val="single" w:color="auto" w:sz="2" w:space="0"/>
            </w:tcBorders>
            <w:vAlign w:val="center"/>
          </w:tcPr>
          <w:p w14:paraId="1422183E">
            <w:pPr>
              <w:spacing w:before="0" w:after="0" w:line="240" w:lineRule="exact"/>
              <w:jc w:val="left"/>
              <w:rPr>
                <w:rFonts w:ascii="宋体" w:hAnsi="宋体" w:eastAsia="宋体" w:cs="宋体"/>
                <w:sz w:val="18"/>
                <w:szCs w:val="18"/>
              </w:rPr>
            </w:pPr>
            <w:r>
              <w:rPr>
                <w:rFonts w:ascii="宋体" w:hAnsi="宋体" w:eastAsia="宋体" w:cs="宋体"/>
                <w:sz w:val="18"/>
                <w:szCs w:val="18"/>
              </w:rPr>
              <w:t>公司承诺招股说明书有虚假记载、误导性陈述或者重大遗漏，对判断公司是否符合法律规定的发行条件构成重大、实质影响的，公司将依法回购首次公开发行的全部新股。公司将按照二级市场价格回购或购回本公司股票。公司承诺招股说明书有虚假记载、误导性陈述或者重大遗漏，致使投资者在证券交易中遭受损失的，将依法赔偿投资者损失。</w:t>
            </w:r>
          </w:p>
        </w:tc>
        <w:tc>
          <w:tcPr>
            <w:tcW w:w="1120" w:type="dxa"/>
            <w:tcBorders>
              <w:top w:val="single" w:color="auto" w:sz="2" w:space="0"/>
              <w:left w:val="single" w:color="auto" w:sz="2" w:space="0"/>
              <w:bottom w:val="single" w:color="auto" w:sz="2" w:space="0"/>
              <w:right w:val="single" w:color="auto" w:sz="2" w:space="0"/>
            </w:tcBorders>
            <w:vAlign w:val="center"/>
          </w:tcPr>
          <w:p w14:paraId="01F3BC50">
            <w:pPr>
              <w:spacing w:before="0" w:after="0" w:line="240" w:lineRule="exact"/>
              <w:jc w:val="left"/>
              <w:rPr>
                <w:rFonts w:ascii="宋体" w:hAnsi="宋体" w:eastAsia="宋体" w:cs="宋体"/>
                <w:sz w:val="18"/>
                <w:szCs w:val="18"/>
              </w:rPr>
            </w:pPr>
            <w:r>
              <w:rPr>
                <w:rFonts w:ascii="宋体" w:hAnsi="宋体" w:eastAsia="宋体" w:cs="宋体"/>
                <w:sz w:val="18"/>
                <w:szCs w:val="18"/>
              </w:rPr>
              <w:t>2015年04月22日</w:t>
            </w:r>
          </w:p>
        </w:tc>
        <w:tc>
          <w:tcPr>
            <w:tcW w:w="1020" w:type="dxa"/>
            <w:tcBorders>
              <w:top w:val="single" w:color="auto" w:sz="2" w:space="0"/>
              <w:left w:val="single" w:color="auto" w:sz="2" w:space="0"/>
              <w:bottom w:val="single" w:color="auto" w:sz="2" w:space="0"/>
              <w:right w:val="single" w:color="auto" w:sz="2" w:space="0"/>
            </w:tcBorders>
            <w:vAlign w:val="center"/>
          </w:tcPr>
          <w:p w14:paraId="27120F5D">
            <w:pPr>
              <w:spacing w:before="0" w:after="0" w:line="240" w:lineRule="exact"/>
              <w:jc w:val="left"/>
              <w:rPr>
                <w:rFonts w:ascii="宋体" w:hAnsi="宋体" w:eastAsia="宋体" w:cs="宋体"/>
                <w:sz w:val="18"/>
                <w:szCs w:val="18"/>
              </w:rPr>
            </w:pPr>
            <w:r>
              <w:rPr>
                <w:rFonts w:ascii="宋体" w:hAnsi="宋体" w:eastAsia="宋体" w:cs="宋体"/>
                <w:sz w:val="18"/>
                <w:szCs w:val="18"/>
              </w:rPr>
              <w:t>长期有效</w:t>
            </w:r>
          </w:p>
        </w:tc>
        <w:tc>
          <w:tcPr>
            <w:tcW w:w="1052" w:type="dxa"/>
            <w:tcBorders>
              <w:top w:val="single" w:color="auto" w:sz="2" w:space="0"/>
              <w:left w:val="single" w:color="auto" w:sz="2" w:space="0"/>
              <w:bottom w:val="single" w:color="auto" w:sz="2" w:space="0"/>
              <w:right w:val="single" w:color="auto" w:sz="2" w:space="0"/>
            </w:tcBorders>
            <w:vAlign w:val="center"/>
          </w:tcPr>
          <w:p w14:paraId="71D25E9D">
            <w:pPr>
              <w:spacing w:before="0" w:after="0" w:line="240" w:lineRule="exact"/>
              <w:jc w:val="left"/>
              <w:rPr>
                <w:rFonts w:ascii="宋体" w:hAnsi="宋体" w:eastAsia="宋体" w:cs="宋体"/>
                <w:sz w:val="18"/>
                <w:szCs w:val="18"/>
              </w:rPr>
            </w:pPr>
            <w:r>
              <w:rPr>
                <w:rFonts w:ascii="宋体" w:hAnsi="宋体" w:eastAsia="宋体" w:cs="宋体"/>
                <w:sz w:val="18"/>
                <w:szCs w:val="18"/>
              </w:rPr>
              <w:t>正在履行</w:t>
            </w:r>
          </w:p>
        </w:tc>
      </w:tr>
      <w:tr w14:paraId="5FDA01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567"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40968824">
            <w:pPr>
              <w:spacing w:before="40" w:after="40" w:line="240" w:lineRule="exact"/>
              <w:jc w:val="left"/>
              <w:rPr>
                <w:rFonts w:ascii="宋体" w:hAnsi="宋体" w:eastAsia="宋体" w:cs="宋体"/>
                <w:sz w:val="18"/>
                <w:szCs w:val="18"/>
              </w:rPr>
            </w:pPr>
            <w:r>
              <w:rPr>
                <w:rFonts w:ascii="宋体" w:hAnsi="宋体" w:eastAsia="宋体" w:cs="宋体"/>
                <w:sz w:val="18"/>
                <w:szCs w:val="18"/>
              </w:rPr>
              <w:t>承诺是否按时履行</w:t>
            </w:r>
          </w:p>
        </w:tc>
        <w:tc>
          <w:tcPr>
            <w:tcW w:w="2072" w:type="dxa"/>
            <w:gridSpan w:val="2"/>
            <w:tcBorders>
              <w:top w:val="single" w:color="auto" w:sz="2" w:space="0"/>
              <w:left w:val="single" w:color="auto" w:sz="2" w:space="0"/>
              <w:bottom w:val="single" w:color="auto" w:sz="2" w:space="0"/>
              <w:right w:val="single" w:color="auto" w:sz="2" w:space="0"/>
            </w:tcBorders>
            <w:vAlign w:val="center"/>
          </w:tcPr>
          <w:p w14:paraId="282CEBBF">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2C2228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567"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150DFAF6">
            <w:pPr>
              <w:spacing w:before="40" w:after="40" w:line="240" w:lineRule="exact"/>
              <w:jc w:val="left"/>
              <w:rPr>
                <w:rFonts w:ascii="宋体" w:hAnsi="宋体" w:eastAsia="宋体" w:cs="宋体"/>
                <w:sz w:val="18"/>
                <w:szCs w:val="18"/>
              </w:rPr>
            </w:pPr>
            <w:r>
              <w:rPr>
                <w:rFonts w:ascii="宋体" w:hAnsi="宋体" w:eastAsia="宋体" w:cs="宋体"/>
                <w:sz w:val="18"/>
                <w:szCs w:val="18"/>
              </w:rPr>
              <w:t>如承诺超期未履行完毕的，应当详细说明未完成履行的具体原因及下一步的工作计划</w:t>
            </w:r>
          </w:p>
        </w:tc>
        <w:tc>
          <w:tcPr>
            <w:tcW w:w="2072" w:type="dxa"/>
            <w:gridSpan w:val="2"/>
            <w:tcBorders>
              <w:top w:val="single" w:color="auto" w:sz="2" w:space="0"/>
              <w:left w:val="single" w:color="auto" w:sz="2" w:space="0"/>
              <w:bottom w:val="single" w:color="auto" w:sz="2" w:space="0"/>
              <w:right w:val="single" w:color="auto" w:sz="2" w:space="0"/>
            </w:tcBorders>
            <w:vAlign w:val="center"/>
          </w:tcPr>
          <w:p w14:paraId="31C12487">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bl>
    <w:p w14:paraId="089C3E5D">
      <w:pPr>
        <w:keepNext/>
        <w:keepLines/>
        <w:spacing w:before="300" w:after="300" w:line="280" w:lineRule="exact"/>
        <w:jc w:val="left"/>
        <w:outlineLvl w:val="2"/>
        <w:rPr>
          <w:rFonts w:ascii="宋体" w:hAnsi="宋体" w:eastAsia="宋体" w:cs="宋体"/>
          <w:b/>
          <w:bCs/>
          <w:sz w:val="21"/>
          <w:szCs w:val="21"/>
        </w:rPr>
      </w:pPr>
      <w:bookmarkStart w:id="99" w:name="_Toc988986"/>
      <w:r>
        <w:rPr>
          <w:rFonts w:ascii="宋体" w:hAnsi="宋体" w:eastAsia="宋体" w:cs="宋体"/>
          <w:b/>
          <w:bCs/>
          <w:sz w:val="21"/>
          <w:szCs w:val="21"/>
        </w:rPr>
        <w:t>2、公司资产或项目存在盈利预测，且报告期仍处在盈利预测期间，公司就资产或项目达到原盈利预测及其原因做出说明</w:t>
      </w:r>
      <w:bookmarkEnd w:id="99"/>
    </w:p>
    <w:p w14:paraId="447DD5B9">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2360CCF">
      <w:pPr>
        <w:keepNext/>
        <w:keepLines/>
        <w:spacing w:before="300" w:after="300" w:line="320" w:lineRule="exact"/>
        <w:jc w:val="left"/>
        <w:outlineLvl w:val="1"/>
        <w:rPr>
          <w:rFonts w:ascii="宋体" w:hAnsi="宋体" w:eastAsia="宋体" w:cs="宋体"/>
          <w:b/>
          <w:bCs/>
          <w:sz w:val="24"/>
          <w:szCs w:val="24"/>
        </w:rPr>
      </w:pPr>
      <w:bookmarkStart w:id="100" w:name="_Toc988987"/>
      <w:r>
        <w:rPr>
          <w:rFonts w:ascii="宋体" w:hAnsi="宋体" w:eastAsia="宋体" w:cs="宋体"/>
          <w:b/>
          <w:bCs/>
          <w:sz w:val="24"/>
          <w:szCs w:val="24"/>
        </w:rPr>
        <w:t>二、控股股东及其他关联方对上市公司的非经营性占用资金情况</w:t>
      </w:r>
      <w:bookmarkEnd w:id="100"/>
    </w:p>
    <w:p w14:paraId="06EF4255">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29BE63D">
      <w:pPr>
        <w:spacing w:before="40" w:after="40" w:line="240" w:lineRule="exact"/>
        <w:jc w:val="left"/>
        <w:rPr>
          <w:rFonts w:ascii="宋体" w:hAnsi="宋体" w:eastAsia="宋体" w:cs="宋体"/>
          <w:sz w:val="18"/>
          <w:szCs w:val="18"/>
        </w:rPr>
      </w:pPr>
      <w:r>
        <w:rPr>
          <w:rFonts w:ascii="宋体" w:hAnsi="宋体" w:eastAsia="宋体" w:cs="宋体"/>
          <w:sz w:val="18"/>
          <w:szCs w:val="18"/>
        </w:rPr>
        <w:t>公司报告期不存在控股股东及其他关联方对上市公司的非经营性占用资金。</w:t>
      </w:r>
    </w:p>
    <w:p w14:paraId="11836A92">
      <w:pPr>
        <w:keepNext/>
        <w:keepLines/>
        <w:spacing w:before="300" w:after="300" w:line="320" w:lineRule="exact"/>
        <w:jc w:val="left"/>
        <w:outlineLvl w:val="1"/>
        <w:rPr>
          <w:rFonts w:ascii="宋体" w:hAnsi="宋体" w:eastAsia="宋体" w:cs="宋体"/>
          <w:b/>
          <w:bCs/>
          <w:sz w:val="24"/>
          <w:szCs w:val="24"/>
        </w:rPr>
      </w:pPr>
      <w:bookmarkStart w:id="101" w:name="_Toc988988"/>
      <w:r>
        <w:rPr>
          <w:rFonts w:ascii="宋体" w:hAnsi="宋体" w:eastAsia="宋体" w:cs="宋体"/>
          <w:b/>
          <w:bCs/>
          <w:sz w:val="24"/>
          <w:szCs w:val="24"/>
        </w:rPr>
        <w:t>三、违规对外担保情况</w:t>
      </w:r>
      <w:bookmarkEnd w:id="101"/>
    </w:p>
    <w:p w14:paraId="0A7BA60E">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9C7ED5B">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公司报告期无违规对外担保情况。</w:t>
      </w:r>
    </w:p>
    <w:p w14:paraId="21BF33EE">
      <w:pPr>
        <w:keepNext/>
        <w:keepLines/>
        <w:spacing w:before="300" w:after="300" w:line="320" w:lineRule="exact"/>
        <w:jc w:val="left"/>
        <w:outlineLvl w:val="1"/>
        <w:rPr>
          <w:rFonts w:ascii="宋体" w:hAnsi="宋体" w:eastAsia="宋体" w:cs="宋体"/>
          <w:b/>
          <w:bCs/>
          <w:sz w:val="24"/>
          <w:szCs w:val="24"/>
        </w:rPr>
      </w:pPr>
      <w:bookmarkStart w:id="102" w:name="_Toc988989"/>
      <w:r>
        <w:rPr>
          <w:rFonts w:ascii="宋体" w:hAnsi="宋体" w:eastAsia="宋体" w:cs="宋体"/>
          <w:b/>
          <w:bCs/>
          <w:sz w:val="24"/>
          <w:szCs w:val="24"/>
        </w:rPr>
        <w:t>四、董事会对最近一期“非标准审计报告”相关情况的说明</w:t>
      </w:r>
      <w:bookmarkEnd w:id="102"/>
    </w:p>
    <w:p w14:paraId="2E413F6D">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F393706">
      <w:pPr>
        <w:keepNext/>
        <w:keepLines/>
        <w:spacing w:before="300" w:after="300" w:line="320" w:lineRule="exact"/>
        <w:jc w:val="left"/>
        <w:outlineLvl w:val="1"/>
        <w:rPr>
          <w:rFonts w:ascii="宋体" w:hAnsi="宋体" w:eastAsia="宋体" w:cs="宋体"/>
          <w:b/>
          <w:bCs/>
          <w:sz w:val="24"/>
          <w:szCs w:val="24"/>
        </w:rPr>
      </w:pPr>
      <w:bookmarkStart w:id="103" w:name="_Toc988990"/>
      <w:r>
        <w:rPr>
          <w:rFonts w:ascii="宋体" w:hAnsi="宋体" w:eastAsia="宋体" w:cs="宋体"/>
          <w:b/>
          <w:bCs/>
          <w:sz w:val="24"/>
          <w:szCs w:val="24"/>
        </w:rPr>
        <w:t>五、董事会、监事会、独立董事（如有）对会计师事务所本报告期“非标准审计报告”的说明</w:t>
      </w:r>
      <w:bookmarkEnd w:id="103"/>
    </w:p>
    <w:p w14:paraId="438D1EF0">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1BC4ECB">
      <w:pPr>
        <w:keepNext/>
        <w:keepLines/>
        <w:spacing w:before="300" w:after="300" w:line="320" w:lineRule="exact"/>
        <w:jc w:val="left"/>
        <w:outlineLvl w:val="1"/>
        <w:rPr>
          <w:rFonts w:ascii="宋体" w:hAnsi="宋体" w:eastAsia="宋体" w:cs="宋体"/>
          <w:b/>
          <w:bCs/>
          <w:sz w:val="24"/>
          <w:szCs w:val="24"/>
        </w:rPr>
      </w:pPr>
      <w:bookmarkStart w:id="104" w:name="_Toc988991"/>
      <w:r>
        <w:rPr>
          <w:rFonts w:ascii="宋体" w:hAnsi="宋体" w:eastAsia="宋体" w:cs="宋体"/>
          <w:b/>
          <w:bCs/>
          <w:sz w:val="24"/>
          <w:szCs w:val="24"/>
        </w:rPr>
        <w:t>六、董事会关于报告期会计政策、会计估计变更或重大会计差错更正的说明</w:t>
      </w:r>
      <w:bookmarkEnd w:id="104"/>
    </w:p>
    <w:p w14:paraId="084A54F2">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08B00630">
      <w:pPr>
        <w:pStyle w:val="2"/>
        <w:keepNext w:val="0"/>
        <w:keepLines w:val="0"/>
        <w:widowControl/>
        <w:suppressLineNumbers w:val="0"/>
        <w:spacing w:before="0" w:beforeAutospacing="0" w:after="0" w:afterAutospacing="0"/>
        <w:ind w:left="0" w:right="0" w:firstLine="360"/>
        <w:jc w:val="left"/>
        <w:rPr>
          <w:rFonts w:ascii="Calibri" w:hAnsi="Calibri" w:cs="Calibri"/>
          <w:sz w:val="21"/>
          <w:szCs w:val="21"/>
        </w:rPr>
      </w:pPr>
      <w:r>
        <w:rPr>
          <w:rFonts w:hint="eastAsia" w:ascii="宋体" w:hAnsi="宋体" w:eastAsia="宋体" w:cs="宋体"/>
          <w:sz w:val="18"/>
          <w:szCs w:val="18"/>
        </w:rPr>
        <w:t>公司于2024年3月29日召开了第四届董事会第二十九次会议和第四届监事会第二十六次会议，审议通过了《关于公司会计估计变更的议案》，同意相关会计估计的变更，本次会计估计的变更无需提交股东大会审议。近年来公司明确向创新药企转型，坚定实施创新发展战略，持续投入创新，加快推进创新药研究进度。截至目前，公司已陆续在肝癌、非酒精性脂肪性肝炎、肝纤维化、临床治愈乙肝、新型冠状病毒等领域立项研发六个创新药，2023年11月公司一类创新药阿泰特韦片（项目代号：GST-HG171）/利托那韦片组合包装（商品名：泰中定®，英文名：Tazovid®）获国家药品监督管理局批准上市，标志着公司创新药获批上市实现“零突破”，并于2023年12月实现批量上市销售。创新药在专利保护期不可被仿制和较高临床价值，预计创新药使用寿命增加，且公司在泰中定获批前原未获得创新药批文和实现创新药收入。因此，根据《企业会计准则第 28 号-会计政策、会计估计变更和差错更正》，为更好反映公司经营业务和无形资产变化情况，使会计估计更贴合公司业务实际情况，更加客观公允地反映公司财务状况和经营成果，适应公司业务发展和内部资产管理的需要，公司对无形资产中的药品生产技术的摊销年限进行变更。具体内容详见公司在巨潮资讯网披露的《关于公司会计估计变更的公告》（公告编号：2024017）。</w:t>
      </w:r>
    </w:p>
    <w:p w14:paraId="408A26C6">
      <w:pPr>
        <w:keepNext/>
        <w:keepLines/>
        <w:spacing w:before="300" w:after="300" w:line="320" w:lineRule="exact"/>
        <w:jc w:val="left"/>
        <w:outlineLvl w:val="1"/>
        <w:rPr>
          <w:rFonts w:ascii="宋体" w:hAnsi="宋体" w:eastAsia="宋体" w:cs="宋体"/>
          <w:b/>
          <w:bCs/>
          <w:sz w:val="24"/>
          <w:szCs w:val="24"/>
        </w:rPr>
      </w:pPr>
      <w:bookmarkStart w:id="105" w:name="_Toc988992"/>
      <w:r>
        <w:rPr>
          <w:rFonts w:ascii="宋体" w:hAnsi="宋体" w:eastAsia="宋体" w:cs="宋体"/>
          <w:b/>
          <w:bCs/>
          <w:sz w:val="24"/>
          <w:szCs w:val="24"/>
        </w:rPr>
        <w:t>七、与上年度财务报告相比，合并报表范围发生变化的情况说明</w:t>
      </w:r>
      <w:bookmarkEnd w:id="105"/>
    </w:p>
    <w:p w14:paraId="413A8B5E">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7E48C6B9">
      <w:pPr>
        <w:pStyle w:val="2"/>
        <w:widowControl/>
        <w:spacing w:beforeAutospacing="0" w:afterAutospacing="0"/>
        <w:ind w:firstLine="360"/>
        <w:rPr>
          <w:rFonts w:ascii="Calibri" w:hAnsi="Calibri" w:cs="Calibri"/>
          <w:sz w:val="21"/>
          <w:szCs w:val="21"/>
        </w:rPr>
      </w:pPr>
      <w:r>
        <w:rPr>
          <w:rFonts w:hint="eastAsia" w:ascii="宋体" w:hAnsi="宋体" w:cs="宋体"/>
          <w:sz w:val="18"/>
          <w:szCs w:val="18"/>
        </w:rPr>
        <w:t>报告期内，新增纳入合并报表2家：公司与关联方福州奥泰九期投资合伙企业（有限合伙）（以下简称“奥泰九期”）共同投资设立广福来（北京）国际生物技术有限公司，公司持有广福来（北京）国际生物技术有限公司70%的股权，为公司的控股子公司；出资新设成立广生堂药业（漳州）有限公司。</w:t>
      </w:r>
    </w:p>
    <w:p w14:paraId="39C17CC9">
      <w:pPr>
        <w:keepNext/>
        <w:keepLines/>
        <w:spacing w:before="300" w:after="300" w:line="320" w:lineRule="exact"/>
        <w:jc w:val="left"/>
        <w:outlineLvl w:val="1"/>
        <w:rPr>
          <w:rFonts w:ascii="宋体" w:hAnsi="宋体" w:eastAsia="宋体" w:cs="宋体"/>
          <w:b/>
          <w:bCs/>
          <w:sz w:val="24"/>
          <w:szCs w:val="24"/>
        </w:rPr>
      </w:pPr>
      <w:bookmarkStart w:id="106" w:name="_Toc988993"/>
      <w:r>
        <w:rPr>
          <w:rFonts w:ascii="宋体" w:hAnsi="宋体" w:eastAsia="宋体" w:cs="宋体"/>
          <w:b/>
          <w:bCs/>
          <w:sz w:val="24"/>
          <w:szCs w:val="24"/>
        </w:rPr>
        <w:t>八、聘任、解聘会计师事务所情况</w:t>
      </w:r>
      <w:bookmarkEnd w:id="106"/>
    </w:p>
    <w:p w14:paraId="2AF37F36">
      <w:pPr>
        <w:spacing w:before="40" w:after="40" w:line="240" w:lineRule="exact"/>
        <w:jc w:val="left"/>
        <w:rPr>
          <w:rFonts w:ascii="宋体" w:hAnsi="宋体" w:eastAsia="宋体" w:cs="宋体"/>
          <w:sz w:val="18"/>
          <w:szCs w:val="18"/>
        </w:rPr>
      </w:pPr>
      <w:r>
        <w:rPr>
          <w:rFonts w:ascii="宋体" w:hAnsi="宋体" w:eastAsia="宋体" w:cs="宋体"/>
          <w:sz w:val="18"/>
          <w:szCs w:val="18"/>
        </w:rPr>
        <w:t>现聘任的会计师事务所</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7846E2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958393E">
            <w:pPr>
              <w:spacing w:before="40" w:after="40" w:line="240" w:lineRule="exact"/>
              <w:jc w:val="left"/>
              <w:rPr>
                <w:rFonts w:ascii="宋体" w:hAnsi="宋体" w:eastAsia="宋体" w:cs="宋体"/>
                <w:sz w:val="18"/>
                <w:szCs w:val="18"/>
              </w:rPr>
            </w:pPr>
            <w:r>
              <w:rPr>
                <w:rFonts w:ascii="宋体" w:hAnsi="宋体" w:eastAsia="宋体" w:cs="宋体"/>
                <w:sz w:val="18"/>
                <w:szCs w:val="18"/>
              </w:rPr>
              <w:t>境内会计师事务所名称</w:t>
            </w:r>
          </w:p>
        </w:tc>
        <w:tc>
          <w:tcPr>
            <w:tcW w:w="4820" w:type="dxa"/>
            <w:tcBorders>
              <w:top w:val="single" w:color="auto" w:sz="2" w:space="0"/>
              <w:left w:val="single" w:color="auto" w:sz="2" w:space="0"/>
              <w:bottom w:val="single" w:color="auto" w:sz="2" w:space="0"/>
              <w:right w:val="single" w:color="auto" w:sz="2" w:space="0"/>
            </w:tcBorders>
            <w:vAlign w:val="center"/>
          </w:tcPr>
          <w:p w14:paraId="154A41AC">
            <w:pPr>
              <w:spacing w:before="0" w:after="0" w:line="240" w:lineRule="exact"/>
              <w:jc w:val="left"/>
              <w:rPr>
                <w:rFonts w:ascii="宋体" w:hAnsi="宋体" w:eastAsia="宋体" w:cs="宋体"/>
                <w:sz w:val="18"/>
                <w:szCs w:val="18"/>
              </w:rPr>
            </w:pPr>
            <w:r>
              <w:rPr>
                <w:rFonts w:ascii="宋体" w:hAnsi="宋体" w:eastAsia="宋体" w:cs="宋体"/>
                <w:sz w:val="18"/>
                <w:szCs w:val="18"/>
              </w:rPr>
              <w:t>北京德皓国际会计师事务所（特殊普通合伙）</w:t>
            </w:r>
          </w:p>
        </w:tc>
      </w:tr>
      <w:tr w14:paraId="531C5B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37E632E7">
            <w:pPr>
              <w:spacing w:before="40" w:after="40" w:line="240" w:lineRule="exact"/>
              <w:jc w:val="left"/>
              <w:rPr>
                <w:rFonts w:ascii="宋体" w:hAnsi="宋体" w:eastAsia="宋体" w:cs="宋体"/>
                <w:sz w:val="18"/>
                <w:szCs w:val="18"/>
              </w:rPr>
            </w:pPr>
            <w:r>
              <w:rPr>
                <w:rFonts w:ascii="宋体" w:hAnsi="宋体" w:eastAsia="宋体" w:cs="宋体"/>
                <w:sz w:val="18"/>
                <w:szCs w:val="18"/>
              </w:rPr>
              <w:t>境内会计师事务所报酬（万元）</w:t>
            </w:r>
          </w:p>
        </w:tc>
        <w:tc>
          <w:tcPr>
            <w:tcW w:w="4820" w:type="dxa"/>
            <w:tcBorders>
              <w:top w:val="single" w:color="auto" w:sz="2" w:space="0"/>
              <w:left w:val="single" w:color="auto" w:sz="2" w:space="0"/>
              <w:bottom w:val="single" w:color="auto" w:sz="2" w:space="0"/>
              <w:right w:val="single" w:color="auto" w:sz="2" w:space="0"/>
            </w:tcBorders>
            <w:vAlign w:val="center"/>
          </w:tcPr>
          <w:p w14:paraId="3BC15923">
            <w:pPr>
              <w:spacing w:before="0" w:after="0" w:line="240" w:lineRule="exact"/>
              <w:jc w:val="right"/>
              <w:rPr>
                <w:rFonts w:ascii="宋体" w:hAnsi="宋体" w:eastAsia="宋体" w:cs="宋体"/>
                <w:sz w:val="18"/>
                <w:szCs w:val="18"/>
              </w:rPr>
            </w:pPr>
            <w:r>
              <w:rPr>
                <w:rFonts w:ascii="宋体" w:hAnsi="宋体" w:eastAsia="宋体" w:cs="宋体"/>
                <w:sz w:val="18"/>
                <w:szCs w:val="18"/>
              </w:rPr>
              <w:t>100</w:t>
            </w:r>
          </w:p>
        </w:tc>
      </w:tr>
      <w:tr w14:paraId="02BBF9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59AD9D9">
            <w:pPr>
              <w:spacing w:before="40" w:after="40" w:line="240" w:lineRule="exact"/>
              <w:jc w:val="left"/>
              <w:rPr>
                <w:rFonts w:ascii="宋体" w:hAnsi="宋体" w:eastAsia="宋体" w:cs="宋体"/>
                <w:sz w:val="18"/>
                <w:szCs w:val="18"/>
              </w:rPr>
            </w:pPr>
            <w:r>
              <w:rPr>
                <w:rFonts w:ascii="宋体" w:hAnsi="宋体" w:eastAsia="宋体" w:cs="宋体"/>
                <w:sz w:val="18"/>
                <w:szCs w:val="18"/>
              </w:rPr>
              <w:t>境内会计师事务所审计服务的连续年限</w:t>
            </w:r>
          </w:p>
        </w:tc>
        <w:tc>
          <w:tcPr>
            <w:tcW w:w="4820" w:type="dxa"/>
            <w:tcBorders>
              <w:top w:val="single" w:color="auto" w:sz="2" w:space="0"/>
              <w:left w:val="single" w:color="auto" w:sz="2" w:space="0"/>
              <w:bottom w:val="single" w:color="auto" w:sz="2" w:space="0"/>
              <w:right w:val="single" w:color="auto" w:sz="2" w:space="0"/>
            </w:tcBorders>
            <w:vAlign w:val="center"/>
          </w:tcPr>
          <w:p w14:paraId="29785685">
            <w:pPr>
              <w:spacing w:before="0" w:after="0" w:line="240" w:lineRule="exact"/>
              <w:jc w:val="left"/>
              <w:rPr>
                <w:rFonts w:ascii="宋体" w:hAnsi="宋体" w:eastAsia="宋体" w:cs="宋体"/>
                <w:sz w:val="18"/>
                <w:szCs w:val="18"/>
              </w:rPr>
            </w:pPr>
            <w:r>
              <w:rPr>
                <w:rFonts w:ascii="宋体" w:hAnsi="宋体" w:eastAsia="宋体" w:cs="宋体"/>
                <w:sz w:val="18"/>
                <w:szCs w:val="18"/>
              </w:rPr>
              <w:t>1</w:t>
            </w:r>
          </w:p>
        </w:tc>
      </w:tr>
      <w:tr w14:paraId="22D7ED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E6A8D1A">
            <w:pPr>
              <w:spacing w:before="40" w:after="40" w:line="240" w:lineRule="exact"/>
              <w:jc w:val="left"/>
              <w:rPr>
                <w:rFonts w:ascii="宋体" w:hAnsi="宋体" w:eastAsia="宋体" w:cs="宋体"/>
                <w:sz w:val="18"/>
                <w:szCs w:val="18"/>
              </w:rPr>
            </w:pPr>
            <w:r>
              <w:rPr>
                <w:rFonts w:ascii="宋体" w:hAnsi="宋体" w:eastAsia="宋体" w:cs="宋体"/>
                <w:sz w:val="18"/>
                <w:szCs w:val="18"/>
              </w:rPr>
              <w:t>境内会计师事务所注册会计师姓名</w:t>
            </w:r>
          </w:p>
        </w:tc>
        <w:tc>
          <w:tcPr>
            <w:tcW w:w="4820" w:type="dxa"/>
            <w:tcBorders>
              <w:top w:val="single" w:color="auto" w:sz="2" w:space="0"/>
              <w:left w:val="single" w:color="auto" w:sz="2" w:space="0"/>
              <w:bottom w:val="single" w:color="auto" w:sz="2" w:space="0"/>
              <w:right w:val="single" w:color="auto" w:sz="2" w:space="0"/>
            </w:tcBorders>
            <w:vAlign w:val="center"/>
          </w:tcPr>
          <w:p w14:paraId="14ECEC02">
            <w:pPr>
              <w:spacing w:before="0" w:after="0" w:line="240" w:lineRule="exact"/>
              <w:jc w:val="left"/>
              <w:rPr>
                <w:rFonts w:ascii="宋体" w:hAnsi="宋体" w:eastAsia="宋体" w:cs="宋体"/>
                <w:sz w:val="18"/>
                <w:szCs w:val="18"/>
              </w:rPr>
            </w:pPr>
            <w:r>
              <w:rPr>
                <w:rFonts w:ascii="宋体" w:hAnsi="宋体" w:eastAsia="宋体" w:cs="宋体"/>
                <w:sz w:val="18"/>
                <w:szCs w:val="18"/>
              </w:rPr>
              <w:t>郑基、赖镇业</w:t>
            </w:r>
          </w:p>
        </w:tc>
      </w:tr>
      <w:tr w14:paraId="448540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C8B904C">
            <w:pPr>
              <w:spacing w:before="40" w:after="40" w:line="240" w:lineRule="exact"/>
              <w:jc w:val="left"/>
              <w:rPr>
                <w:rFonts w:ascii="宋体" w:hAnsi="宋体" w:eastAsia="宋体" w:cs="宋体"/>
                <w:sz w:val="18"/>
                <w:szCs w:val="18"/>
              </w:rPr>
            </w:pPr>
            <w:r>
              <w:rPr>
                <w:rFonts w:ascii="宋体" w:hAnsi="宋体" w:eastAsia="宋体" w:cs="宋体"/>
                <w:sz w:val="18"/>
                <w:szCs w:val="18"/>
              </w:rPr>
              <w:t>境内会计师事务所注册会计师审计服务的连续年限</w:t>
            </w:r>
          </w:p>
        </w:tc>
        <w:tc>
          <w:tcPr>
            <w:tcW w:w="4820" w:type="dxa"/>
            <w:tcBorders>
              <w:top w:val="single" w:color="auto" w:sz="2" w:space="0"/>
              <w:left w:val="single" w:color="auto" w:sz="2" w:space="0"/>
              <w:bottom w:val="single" w:color="auto" w:sz="2" w:space="0"/>
              <w:right w:val="single" w:color="auto" w:sz="2" w:space="0"/>
            </w:tcBorders>
            <w:vAlign w:val="center"/>
          </w:tcPr>
          <w:p w14:paraId="55B35440">
            <w:pPr>
              <w:spacing w:before="0" w:after="0" w:line="240" w:lineRule="exact"/>
              <w:jc w:val="left"/>
              <w:rPr>
                <w:rFonts w:ascii="宋体" w:hAnsi="宋体" w:eastAsia="宋体" w:cs="宋体"/>
                <w:sz w:val="18"/>
                <w:szCs w:val="18"/>
              </w:rPr>
            </w:pPr>
            <w:r>
              <w:rPr>
                <w:rFonts w:ascii="宋体" w:hAnsi="宋体" w:eastAsia="宋体" w:cs="宋体"/>
                <w:sz w:val="18"/>
                <w:szCs w:val="18"/>
              </w:rPr>
              <w:t>1、4</w:t>
            </w:r>
          </w:p>
        </w:tc>
      </w:tr>
    </w:tbl>
    <w:p w14:paraId="668CF4F1">
      <w:pPr>
        <w:spacing w:before="100" w:after="100" w:line="240" w:lineRule="exact"/>
        <w:jc w:val="left"/>
        <w:rPr>
          <w:rFonts w:ascii="宋体" w:hAnsi="宋体" w:eastAsia="宋体" w:cs="宋体"/>
          <w:sz w:val="18"/>
          <w:szCs w:val="18"/>
        </w:rPr>
      </w:pPr>
      <w:r>
        <w:rPr>
          <w:rFonts w:ascii="宋体" w:hAnsi="宋体" w:eastAsia="宋体" w:cs="宋体"/>
          <w:sz w:val="18"/>
          <w:szCs w:val="18"/>
        </w:rPr>
        <w:t>是否改聘会计师事务所</w:t>
      </w:r>
    </w:p>
    <w:p w14:paraId="4CB2CF1E">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w:t>
      </w:r>
    </w:p>
    <w:p w14:paraId="79BB6928">
      <w:pPr>
        <w:spacing w:before="100" w:after="100" w:line="240" w:lineRule="exact"/>
        <w:jc w:val="left"/>
        <w:rPr>
          <w:rFonts w:ascii="宋体" w:hAnsi="宋体" w:eastAsia="宋体" w:cs="宋体"/>
          <w:sz w:val="18"/>
          <w:szCs w:val="18"/>
        </w:rPr>
      </w:pPr>
      <w:r>
        <w:rPr>
          <w:rFonts w:ascii="宋体" w:hAnsi="宋体" w:eastAsia="宋体" w:cs="宋体"/>
          <w:sz w:val="18"/>
          <w:szCs w:val="18"/>
        </w:rPr>
        <w:t>是否在审计期间改聘会计师事务所</w:t>
      </w:r>
    </w:p>
    <w:p w14:paraId="1113A562">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76C9C012">
      <w:pPr>
        <w:spacing w:before="100" w:after="100" w:line="240" w:lineRule="exact"/>
        <w:jc w:val="left"/>
        <w:rPr>
          <w:rFonts w:ascii="宋体" w:hAnsi="宋体" w:eastAsia="宋体" w:cs="宋体"/>
          <w:sz w:val="18"/>
          <w:szCs w:val="18"/>
        </w:rPr>
      </w:pPr>
      <w:r>
        <w:rPr>
          <w:rFonts w:ascii="宋体" w:hAnsi="宋体" w:eastAsia="宋体" w:cs="宋体"/>
          <w:sz w:val="18"/>
          <w:szCs w:val="18"/>
        </w:rPr>
        <w:t>更换会计师事务所是否履行审批程序</w:t>
      </w:r>
    </w:p>
    <w:p w14:paraId="16C55F0E">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w:t>
      </w:r>
    </w:p>
    <w:p w14:paraId="42075F06">
      <w:pPr>
        <w:spacing w:before="100" w:after="100" w:line="240" w:lineRule="exact"/>
        <w:jc w:val="left"/>
        <w:rPr>
          <w:rFonts w:ascii="宋体" w:hAnsi="宋体" w:eastAsia="宋体" w:cs="宋体"/>
          <w:sz w:val="18"/>
          <w:szCs w:val="18"/>
        </w:rPr>
      </w:pPr>
      <w:r>
        <w:rPr>
          <w:rFonts w:ascii="宋体" w:hAnsi="宋体" w:eastAsia="宋体" w:cs="宋体"/>
          <w:sz w:val="18"/>
          <w:szCs w:val="18"/>
        </w:rPr>
        <w:t>聘任、解聘会计师事务所情况说明</w:t>
      </w:r>
    </w:p>
    <w:p w14:paraId="686A47A7">
      <w:pPr>
        <w:pStyle w:val="2"/>
        <w:keepNext w:val="0"/>
        <w:keepLines w:val="0"/>
        <w:widowControl/>
        <w:suppressLineNumbers w:val="0"/>
        <w:spacing w:before="0" w:beforeAutospacing="0" w:after="0" w:afterAutospacing="0"/>
        <w:ind w:left="0" w:right="0" w:firstLine="360"/>
        <w:jc w:val="left"/>
        <w:rPr>
          <w:rFonts w:ascii="Calibri" w:hAnsi="Calibri" w:cs="Calibri"/>
          <w:sz w:val="21"/>
          <w:szCs w:val="21"/>
        </w:rPr>
      </w:pPr>
      <w:r>
        <w:rPr>
          <w:rFonts w:hint="eastAsia" w:ascii="宋体" w:hAnsi="宋体" w:eastAsia="宋体" w:cs="宋体"/>
          <w:sz w:val="18"/>
          <w:szCs w:val="18"/>
        </w:rPr>
        <w:t>报告期内，公司召开第五届董事会第五次会议、2024年第四次临时股东大会，审议通过了《关于拟变更会计师事务所的议案》，为顺利推进公司2024年度审计工作规范有序开展，综合考虑公司经营发展及2024年度审计工作需要，公司拟聘任北京德皓国际会计师事务所（特殊普通合伙）为公司2024年度财务报告审计机构以及内部控制审计机构。</w:t>
      </w:r>
    </w:p>
    <w:p w14:paraId="0C286F8C">
      <w:pPr>
        <w:pStyle w:val="2"/>
        <w:keepNext w:val="0"/>
        <w:keepLines w:val="0"/>
        <w:widowControl/>
        <w:suppressLineNumbers w:val="0"/>
        <w:spacing w:before="0" w:beforeAutospacing="0" w:after="0" w:afterAutospacing="0"/>
        <w:ind w:left="0" w:right="0" w:firstLine="360"/>
        <w:jc w:val="left"/>
        <w:rPr>
          <w:rFonts w:hint="default" w:ascii="Calibri" w:hAnsi="Calibri" w:cs="Calibri"/>
          <w:sz w:val="21"/>
          <w:szCs w:val="21"/>
        </w:rPr>
      </w:pPr>
      <w:r>
        <w:rPr>
          <w:rFonts w:hint="eastAsia" w:ascii="宋体" w:hAnsi="宋体" w:eastAsia="宋体" w:cs="宋体"/>
          <w:sz w:val="18"/>
          <w:szCs w:val="18"/>
        </w:rPr>
        <w:t>公司已就变更会计师事务所的相关事宜与前后任会计师事务所进行了沟通，前后任会计师事务所已明确知悉本次变更事项并确认无异议。</w:t>
      </w:r>
    </w:p>
    <w:p w14:paraId="1F7A70B2">
      <w:pPr>
        <w:spacing w:before="100" w:after="100" w:line="240" w:lineRule="exact"/>
        <w:jc w:val="left"/>
        <w:rPr>
          <w:rFonts w:ascii="宋体" w:hAnsi="宋体" w:eastAsia="宋体" w:cs="宋体"/>
          <w:sz w:val="18"/>
          <w:szCs w:val="18"/>
        </w:rPr>
      </w:pPr>
      <w:r>
        <w:rPr>
          <w:rFonts w:ascii="宋体" w:hAnsi="宋体" w:eastAsia="宋体" w:cs="宋体"/>
          <w:sz w:val="18"/>
          <w:szCs w:val="18"/>
        </w:rPr>
        <w:t>聘请内部控制审计会计师事务所、财务顾问或保荐人情况</w:t>
      </w:r>
    </w:p>
    <w:p w14:paraId="373CC531">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310A42BA">
      <w:pPr>
        <w:pStyle w:val="2"/>
        <w:keepNext w:val="0"/>
        <w:keepLines w:val="0"/>
        <w:widowControl/>
        <w:suppressLineNumbers w:val="0"/>
        <w:spacing w:before="0" w:beforeAutospacing="0" w:after="0" w:afterAutospacing="0"/>
        <w:ind w:left="0" w:right="0" w:firstLine="360"/>
        <w:jc w:val="left"/>
        <w:rPr>
          <w:rFonts w:ascii="Calibri" w:hAnsi="Calibri" w:cs="Calibri"/>
          <w:sz w:val="21"/>
          <w:szCs w:val="21"/>
        </w:rPr>
      </w:pPr>
      <w:r>
        <w:rPr>
          <w:rFonts w:hint="eastAsia" w:ascii="宋体" w:hAnsi="宋体" w:eastAsia="宋体" w:cs="宋体"/>
          <w:sz w:val="18"/>
          <w:szCs w:val="18"/>
        </w:rPr>
        <w:t>报告期内，公司聘请北京德皓国际会计师事务所（特殊普通合伙）为内部控制审计会计师事务所，期间共支付内部控制审计费20万元。</w:t>
      </w:r>
    </w:p>
    <w:p w14:paraId="712108DC">
      <w:pPr>
        <w:keepNext/>
        <w:keepLines/>
        <w:spacing w:before="300" w:after="300" w:line="320" w:lineRule="exact"/>
        <w:jc w:val="left"/>
        <w:outlineLvl w:val="1"/>
        <w:rPr>
          <w:rFonts w:ascii="宋体" w:hAnsi="宋体" w:eastAsia="宋体" w:cs="宋体"/>
          <w:b/>
          <w:bCs/>
          <w:sz w:val="24"/>
          <w:szCs w:val="24"/>
        </w:rPr>
      </w:pPr>
      <w:bookmarkStart w:id="107" w:name="_Toc988994"/>
      <w:r>
        <w:rPr>
          <w:rFonts w:ascii="宋体" w:hAnsi="宋体" w:eastAsia="宋体" w:cs="宋体"/>
          <w:b/>
          <w:bCs/>
          <w:sz w:val="24"/>
          <w:szCs w:val="24"/>
        </w:rPr>
        <w:t>九、年度报告披露后面临退市情况</w:t>
      </w:r>
      <w:bookmarkEnd w:id="107"/>
    </w:p>
    <w:p w14:paraId="15228155">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4831783">
      <w:pPr>
        <w:keepNext/>
        <w:keepLines/>
        <w:spacing w:before="300" w:after="300" w:line="320" w:lineRule="exact"/>
        <w:jc w:val="left"/>
        <w:outlineLvl w:val="1"/>
        <w:rPr>
          <w:rFonts w:ascii="宋体" w:hAnsi="宋体" w:eastAsia="宋体" w:cs="宋体"/>
          <w:b/>
          <w:bCs/>
          <w:sz w:val="24"/>
          <w:szCs w:val="24"/>
        </w:rPr>
      </w:pPr>
      <w:bookmarkStart w:id="108" w:name="_Toc988995"/>
      <w:r>
        <w:rPr>
          <w:rFonts w:ascii="宋体" w:hAnsi="宋体" w:eastAsia="宋体" w:cs="宋体"/>
          <w:b/>
          <w:bCs/>
          <w:sz w:val="24"/>
          <w:szCs w:val="24"/>
        </w:rPr>
        <w:t>十、破产重整相关事项</w:t>
      </w:r>
      <w:bookmarkEnd w:id="108"/>
    </w:p>
    <w:p w14:paraId="29C08A02">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59ABB28">
      <w:pPr>
        <w:spacing w:before="40" w:after="40" w:line="240" w:lineRule="exact"/>
        <w:jc w:val="left"/>
        <w:rPr>
          <w:rFonts w:ascii="宋体" w:hAnsi="宋体" w:eastAsia="宋体" w:cs="宋体"/>
          <w:sz w:val="18"/>
          <w:szCs w:val="18"/>
        </w:rPr>
      </w:pPr>
      <w:r>
        <w:rPr>
          <w:rFonts w:ascii="宋体" w:hAnsi="宋体" w:eastAsia="宋体" w:cs="宋体"/>
          <w:sz w:val="18"/>
          <w:szCs w:val="18"/>
        </w:rPr>
        <w:t>公司报告期未发生破产重整相关事项。</w:t>
      </w:r>
    </w:p>
    <w:p w14:paraId="1B81D7EA">
      <w:pPr>
        <w:keepNext/>
        <w:keepLines/>
        <w:spacing w:before="300" w:after="300" w:line="320" w:lineRule="exact"/>
        <w:jc w:val="left"/>
        <w:outlineLvl w:val="1"/>
        <w:rPr>
          <w:rFonts w:ascii="宋体" w:hAnsi="宋体" w:eastAsia="宋体" w:cs="宋体"/>
          <w:b/>
          <w:bCs/>
          <w:sz w:val="24"/>
          <w:szCs w:val="24"/>
        </w:rPr>
      </w:pPr>
      <w:bookmarkStart w:id="109" w:name="_Toc988996"/>
      <w:r>
        <w:rPr>
          <w:rFonts w:ascii="宋体" w:hAnsi="宋体" w:eastAsia="宋体" w:cs="宋体"/>
          <w:b/>
          <w:bCs/>
          <w:sz w:val="24"/>
          <w:szCs w:val="24"/>
        </w:rPr>
        <w:t>十一、重大诉讼、仲裁事项</w:t>
      </w:r>
      <w:bookmarkEnd w:id="109"/>
    </w:p>
    <w:p w14:paraId="59DA3677">
      <w:pPr>
        <w:spacing w:before="40" w:after="4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97"/>
        <w:gridCol w:w="1190"/>
        <w:gridCol w:w="1040"/>
        <w:gridCol w:w="993"/>
        <w:gridCol w:w="1897"/>
        <w:gridCol w:w="1000"/>
        <w:gridCol w:w="910"/>
        <w:gridCol w:w="1013"/>
      </w:tblGrid>
      <w:tr w14:paraId="54A935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97" w:type="dxa"/>
            <w:tcBorders>
              <w:top w:val="single" w:color="auto" w:sz="2" w:space="0"/>
              <w:left w:val="single" w:color="auto" w:sz="2" w:space="0"/>
              <w:bottom w:val="single" w:color="auto" w:sz="2" w:space="0"/>
              <w:right w:val="single" w:color="auto" w:sz="2" w:space="0"/>
            </w:tcBorders>
            <w:shd w:val="clear" w:color="auto" w:fill="D3D3D3"/>
            <w:vAlign w:val="center"/>
          </w:tcPr>
          <w:p w14:paraId="79A9B10B">
            <w:pPr>
              <w:spacing w:before="40" w:after="40" w:line="240" w:lineRule="exact"/>
              <w:jc w:val="center"/>
              <w:rPr>
                <w:rFonts w:ascii="宋体" w:hAnsi="宋体" w:eastAsia="宋体" w:cs="宋体"/>
                <w:sz w:val="18"/>
                <w:szCs w:val="18"/>
              </w:rPr>
            </w:pPr>
            <w:r>
              <w:rPr>
                <w:rFonts w:ascii="宋体" w:hAnsi="宋体" w:eastAsia="宋体" w:cs="宋体"/>
                <w:sz w:val="18"/>
                <w:szCs w:val="18"/>
              </w:rPr>
              <w:t>诉讼(仲裁)基本情况</w:t>
            </w:r>
          </w:p>
        </w:tc>
        <w:tc>
          <w:tcPr>
            <w:tcW w:w="1190" w:type="dxa"/>
            <w:tcBorders>
              <w:top w:val="single" w:color="auto" w:sz="2" w:space="0"/>
              <w:left w:val="single" w:color="auto" w:sz="2" w:space="0"/>
              <w:bottom w:val="single" w:color="auto" w:sz="2" w:space="0"/>
              <w:right w:val="single" w:color="auto" w:sz="2" w:space="0"/>
            </w:tcBorders>
            <w:shd w:val="clear" w:color="auto" w:fill="D3D3D3"/>
            <w:vAlign w:val="center"/>
          </w:tcPr>
          <w:p w14:paraId="44283238">
            <w:pPr>
              <w:spacing w:before="40" w:after="40" w:line="240" w:lineRule="exact"/>
              <w:jc w:val="center"/>
              <w:rPr>
                <w:rFonts w:ascii="宋体" w:hAnsi="宋体" w:eastAsia="宋体" w:cs="宋体"/>
                <w:sz w:val="18"/>
                <w:szCs w:val="18"/>
              </w:rPr>
            </w:pPr>
            <w:r>
              <w:rPr>
                <w:rFonts w:ascii="宋体" w:hAnsi="宋体" w:eastAsia="宋体" w:cs="宋体"/>
                <w:sz w:val="18"/>
                <w:szCs w:val="18"/>
              </w:rPr>
              <w:t>涉案金额（万元）</w:t>
            </w:r>
          </w:p>
        </w:tc>
        <w:tc>
          <w:tcPr>
            <w:tcW w:w="1040" w:type="dxa"/>
            <w:tcBorders>
              <w:top w:val="single" w:color="auto" w:sz="2" w:space="0"/>
              <w:left w:val="single" w:color="auto" w:sz="2" w:space="0"/>
              <w:bottom w:val="single" w:color="auto" w:sz="2" w:space="0"/>
              <w:right w:val="single" w:color="auto" w:sz="2" w:space="0"/>
            </w:tcBorders>
            <w:shd w:val="clear" w:color="auto" w:fill="D3D3D3"/>
            <w:vAlign w:val="center"/>
          </w:tcPr>
          <w:p w14:paraId="36C90188">
            <w:pPr>
              <w:spacing w:before="40" w:after="40" w:line="240" w:lineRule="exact"/>
              <w:jc w:val="center"/>
              <w:rPr>
                <w:rFonts w:ascii="宋体" w:hAnsi="宋体" w:eastAsia="宋体" w:cs="宋体"/>
                <w:sz w:val="18"/>
                <w:szCs w:val="18"/>
              </w:rPr>
            </w:pPr>
            <w:r>
              <w:rPr>
                <w:rFonts w:ascii="宋体" w:hAnsi="宋体" w:eastAsia="宋体" w:cs="宋体"/>
                <w:sz w:val="18"/>
                <w:szCs w:val="18"/>
              </w:rPr>
              <w:t>是否形成预计负债</w:t>
            </w:r>
          </w:p>
        </w:tc>
        <w:tc>
          <w:tcPr>
            <w:tcW w:w="993" w:type="dxa"/>
            <w:tcBorders>
              <w:top w:val="single" w:color="auto" w:sz="2" w:space="0"/>
              <w:left w:val="single" w:color="auto" w:sz="2" w:space="0"/>
              <w:bottom w:val="single" w:color="auto" w:sz="2" w:space="0"/>
              <w:right w:val="single" w:color="auto" w:sz="2" w:space="0"/>
            </w:tcBorders>
            <w:shd w:val="clear" w:color="auto" w:fill="D3D3D3"/>
            <w:vAlign w:val="center"/>
          </w:tcPr>
          <w:p w14:paraId="54271A35">
            <w:pPr>
              <w:spacing w:before="40" w:after="40" w:line="240" w:lineRule="exact"/>
              <w:jc w:val="center"/>
              <w:rPr>
                <w:rFonts w:ascii="宋体" w:hAnsi="宋体" w:eastAsia="宋体" w:cs="宋体"/>
                <w:sz w:val="18"/>
                <w:szCs w:val="18"/>
              </w:rPr>
            </w:pPr>
            <w:r>
              <w:rPr>
                <w:rFonts w:ascii="宋体" w:hAnsi="宋体" w:eastAsia="宋体" w:cs="宋体"/>
                <w:sz w:val="18"/>
                <w:szCs w:val="18"/>
              </w:rPr>
              <w:t>诉讼(仲裁)进展</w:t>
            </w:r>
          </w:p>
        </w:tc>
        <w:tc>
          <w:tcPr>
            <w:tcW w:w="1897" w:type="dxa"/>
            <w:tcBorders>
              <w:top w:val="single" w:color="auto" w:sz="2" w:space="0"/>
              <w:left w:val="single" w:color="auto" w:sz="2" w:space="0"/>
              <w:bottom w:val="single" w:color="auto" w:sz="2" w:space="0"/>
              <w:right w:val="single" w:color="auto" w:sz="2" w:space="0"/>
            </w:tcBorders>
            <w:shd w:val="clear" w:color="auto" w:fill="D3D3D3"/>
            <w:vAlign w:val="center"/>
          </w:tcPr>
          <w:p w14:paraId="38142A20">
            <w:pPr>
              <w:spacing w:before="40" w:after="40" w:line="240" w:lineRule="exact"/>
              <w:jc w:val="center"/>
              <w:rPr>
                <w:rFonts w:ascii="宋体" w:hAnsi="宋体" w:eastAsia="宋体" w:cs="宋体"/>
                <w:sz w:val="18"/>
                <w:szCs w:val="18"/>
              </w:rPr>
            </w:pPr>
            <w:r>
              <w:rPr>
                <w:rFonts w:ascii="宋体" w:hAnsi="宋体" w:eastAsia="宋体" w:cs="宋体"/>
                <w:sz w:val="18"/>
                <w:szCs w:val="18"/>
              </w:rPr>
              <w:t>诉讼(仲裁)审理结果及影响</w:t>
            </w:r>
          </w:p>
        </w:tc>
        <w:tc>
          <w:tcPr>
            <w:tcW w:w="1000" w:type="dxa"/>
            <w:tcBorders>
              <w:top w:val="single" w:color="auto" w:sz="2" w:space="0"/>
              <w:left w:val="single" w:color="auto" w:sz="2" w:space="0"/>
              <w:bottom w:val="single" w:color="auto" w:sz="2" w:space="0"/>
              <w:right w:val="single" w:color="auto" w:sz="2" w:space="0"/>
            </w:tcBorders>
            <w:shd w:val="clear" w:color="auto" w:fill="D3D3D3"/>
            <w:vAlign w:val="center"/>
          </w:tcPr>
          <w:p w14:paraId="231DA803">
            <w:pPr>
              <w:spacing w:before="40" w:after="40" w:line="240" w:lineRule="exact"/>
              <w:jc w:val="center"/>
              <w:rPr>
                <w:rFonts w:ascii="宋体" w:hAnsi="宋体" w:eastAsia="宋体" w:cs="宋体"/>
                <w:sz w:val="18"/>
                <w:szCs w:val="18"/>
              </w:rPr>
            </w:pPr>
            <w:r>
              <w:rPr>
                <w:rFonts w:ascii="宋体" w:hAnsi="宋体" w:eastAsia="宋体" w:cs="宋体"/>
                <w:sz w:val="18"/>
                <w:szCs w:val="18"/>
              </w:rPr>
              <w:t>诉讼(仲裁)判决执行情况</w:t>
            </w:r>
          </w:p>
        </w:tc>
        <w:tc>
          <w:tcPr>
            <w:tcW w:w="910" w:type="dxa"/>
            <w:tcBorders>
              <w:top w:val="single" w:color="auto" w:sz="2" w:space="0"/>
              <w:left w:val="single" w:color="auto" w:sz="2" w:space="0"/>
              <w:bottom w:val="single" w:color="auto" w:sz="2" w:space="0"/>
              <w:right w:val="single" w:color="auto" w:sz="2" w:space="0"/>
            </w:tcBorders>
            <w:shd w:val="clear" w:color="auto" w:fill="D3D3D3"/>
            <w:vAlign w:val="center"/>
          </w:tcPr>
          <w:p w14:paraId="3F950ACE">
            <w:pPr>
              <w:spacing w:before="40" w:after="40" w:line="240" w:lineRule="exact"/>
              <w:jc w:val="center"/>
              <w:rPr>
                <w:rFonts w:ascii="宋体" w:hAnsi="宋体" w:eastAsia="宋体" w:cs="宋体"/>
                <w:sz w:val="18"/>
                <w:szCs w:val="18"/>
              </w:rPr>
            </w:pPr>
            <w:r>
              <w:rPr>
                <w:rFonts w:ascii="宋体" w:hAnsi="宋体" w:eastAsia="宋体" w:cs="宋体"/>
                <w:sz w:val="18"/>
                <w:szCs w:val="18"/>
              </w:rPr>
              <w:t>披露日期</w:t>
            </w:r>
          </w:p>
        </w:tc>
        <w:tc>
          <w:tcPr>
            <w:tcW w:w="1013" w:type="dxa"/>
            <w:tcBorders>
              <w:top w:val="single" w:color="auto" w:sz="2" w:space="0"/>
              <w:left w:val="single" w:color="auto" w:sz="2" w:space="0"/>
              <w:bottom w:val="single" w:color="auto" w:sz="2" w:space="0"/>
              <w:right w:val="single" w:color="auto" w:sz="2" w:space="0"/>
            </w:tcBorders>
            <w:shd w:val="clear" w:color="auto" w:fill="D3D3D3"/>
            <w:vAlign w:val="center"/>
          </w:tcPr>
          <w:p w14:paraId="770C5FAF">
            <w:pPr>
              <w:spacing w:before="40" w:after="40" w:line="240" w:lineRule="exact"/>
              <w:jc w:val="center"/>
              <w:rPr>
                <w:rFonts w:ascii="宋体" w:hAnsi="宋体" w:eastAsia="宋体" w:cs="宋体"/>
                <w:sz w:val="18"/>
                <w:szCs w:val="18"/>
              </w:rPr>
            </w:pPr>
            <w:r>
              <w:rPr>
                <w:rFonts w:ascii="宋体" w:hAnsi="宋体" w:eastAsia="宋体" w:cs="宋体"/>
                <w:sz w:val="18"/>
                <w:szCs w:val="18"/>
              </w:rPr>
              <w:t>披露索引</w:t>
            </w:r>
          </w:p>
        </w:tc>
      </w:tr>
      <w:tr w14:paraId="78086D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97" w:type="dxa"/>
            <w:tcBorders>
              <w:top w:val="single" w:color="auto" w:sz="2" w:space="0"/>
              <w:left w:val="single" w:color="auto" w:sz="2" w:space="0"/>
              <w:bottom w:val="single" w:color="auto" w:sz="2" w:space="0"/>
              <w:right w:val="single" w:color="auto" w:sz="2" w:space="0"/>
            </w:tcBorders>
            <w:vAlign w:val="center"/>
          </w:tcPr>
          <w:p w14:paraId="4C0C834C">
            <w:pPr>
              <w:spacing w:before="0" w:after="0" w:line="240" w:lineRule="exact"/>
              <w:jc w:val="left"/>
              <w:rPr>
                <w:rFonts w:ascii="宋体" w:hAnsi="宋体" w:eastAsia="宋体" w:cs="宋体"/>
                <w:sz w:val="18"/>
                <w:szCs w:val="18"/>
              </w:rPr>
            </w:pPr>
            <w:r>
              <w:rPr>
                <w:rFonts w:ascii="宋体" w:hAnsi="宋体" w:eastAsia="宋体" w:cs="宋体"/>
                <w:sz w:val="18"/>
                <w:szCs w:val="18"/>
              </w:rPr>
              <w:t>仲裁申请人：福建广生堂药业股份有限公司、福建广生中霖生物科技有限公司与被申请人：歌礼药业（浙江）有限公司买卖合同纠纷案件</w:t>
            </w:r>
          </w:p>
        </w:tc>
        <w:tc>
          <w:tcPr>
            <w:tcW w:w="1190" w:type="dxa"/>
            <w:tcBorders>
              <w:top w:val="single" w:color="auto" w:sz="2" w:space="0"/>
              <w:left w:val="single" w:color="auto" w:sz="2" w:space="0"/>
              <w:bottom w:val="single" w:color="auto" w:sz="2" w:space="0"/>
              <w:right w:val="single" w:color="auto" w:sz="2" w:space="0"/>
            </w:tcBorders>
            <w:vAlign w:val="center"/>
          </w:tcPr>
          <w:p w14:paraId="6FD69E8B">
            <w:pPr>
              <w:spacing w:before="0" w:after="0" w:line="240" w:lineRule="exact"/>
              <w:jc w:val="right"/>
              <w:rPr>
                <w:rFonts w:ascii="宋体" w:hAnsi="宋体" w:eastAsia="宋体" w:cs="宋体"/>
                <w:sz w:val="18"/>
                <w:szCs w:val="18"/>
              </w:rPr>
            </w:pPr>
            <w:r>
              <w:rPr>
                <w:rFonts w:ascii="宋体" w:hAnsi="宋体" w:eastAsia="宋体" w:cs="宋体"/>
                <w:sz w:val="18"/>
                <w:szCs w:val="18"/>
              </w:rPr>
              <w:t>3,768.88</w:t>
            </w:r>
          </w:p>
        </w:tc>
        <w:tc>
          <w:tcPr>
            <w:tcW w:w="1040" w:type="dxa"/>
            <w:tcBorders>
              <w:top w:val="single" w:color="auto" w:sz="2" w:space="0"/>
              <w:left w:val="single" w:color="auto" w:sz="2" w:space="0"/>
              <w:bottom w:val="single" w:color="auto" w:sz="2" w:space="0"/>
              <w:right w:val="single" w:color="auto" w:sz="2" w:space="0"/>
            </w:tcBorders>
            <w:vAlign w:val="center"/>
          </w:tcPr>
          <w:p w14:paraId="3C471837">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993" w:type="dxa"/>
            <w:tcBorders>
              <w:top w:val="single" w:color="auto" w:sz="2" w:space="0"/>
              <w:left w:val="single" w:color="auto" w:sz="2" w:space="0"/>
              <w:bottom w:val="single" w:color="auto" w:sz="2" w:space="0"/>
              <w:right w:val="single" w:color="auto" w:sz="2" w:space="0"/>
            </w:tcBorders>
            <w:vAlign w:val="center"/>
          </w:tcPr>
          <w:p w14:paraId="0A3DBF47">
            <w:pPr>
              <w:spacing w:before="0" w:after="0" w:line="240" w:lineRule="exact"/>
              <w:jc w:val="left"/>
              <w:rPr>
                <w:rFonts w:ascii="宋体" w:hAnsi="宋体" w:eastAsia="宋体" w:cs="宋体"/>
                <w:sz w:val="18"/>
                <w:szCs w:val="18"/>
              </w:rPr>
            </w:pPr>
            <w:r>
              <w:rPr>
                <w:rFonts w:ascii="宋体" w:hAnsi="宋体" w:eastAsia="宋体" w:cs="宋体"/>
                <w:sz w:val="18"/>
                <w:szCs w:val="18"/>
              </w:rPr>
              <w:t>已终局裁决</w:t>
            </w:r>
          </w:p>
        </w:tc>
        <w:tc>
          <w:tcPr>
            <w:tcW w:w="1897" w:type="dxa"/>
            <w:tcBorders>
              <w:top w:val="single" w:color="auto" w:sz="2" w:space="0"/>
              <w:left w:val="single" w:color="auto" w:sz="2" w:space="0"/>
              <w:bottom w:val="single" w:color="auto" w:sz="2" w:space="0"/>
              <w:right w:val="single" w:color="auto" w:sz="2" w:space="0"/>
            </w:tcBorders>
            <w:vAlign w:val="center"/>
          </w:tcPr>
          <w:p w14:paraId="678D1F7E">
            <w:pPr>
              <w:spacing w:before="0" w:after="0" w:line="240" w:lineRule="exact"/>
              <w:jc w:val="left"/>
              <w:rPr>
                <w:rFonts w:ascii="宋体" w:hAnsi="宋体" w:eastAsia="宋体" w:cs="宋体"/>
                <w:sz w:val="18"/>
                <w:szCs w:val="18"/>
              </w:rPr>
            </w:pPr>
            <w:r>
              <w:rPr>
                <w:rFonts w:ascii="宋体" w:hAnsi="宋体" w:eastAsia="宋体" w:cs="宋体"/>
                <w:sz w:val="18"/>
                <w:szCs w:val="18"/>
              </w:rPr>
              <w:t>主要裁决结果如下：（1）解除各方签订的相关协议；（2）裁决歌礼药业赔偿货款损失10,700,970.80元及相应资金占用损失；（3）裁决广生堂方返还且不得再以任何形式或为任何目的的保留或使用歌礼药业向其提供的相关资料、知识产权和保密信息；（4）驳回双方在743号案和791号案提出的其他仲裁请求。</w:t>
            </w:r>
          </w:p>
        </w:tc>
        <w:tc>
          <w:tcPr>
            <w:tcW w:w="1000" w:type="dxa"/>
            <w:tcBorders>
              <w:top w:val="single" w:color="auto" w:sz="2" w:space="0"/>
              <w:left w:val="single" w:color="auto" w:sz="2" w:space="0"/>
              <w:bottom w:val="single" w:color="auto" w:sz="2" w:space="0"/>
              <w:right w:val="single" w:color="auto" w:sz="2" w:space="0"/>
            </w:tcBorders>
            <w:vAlign w:val="center"/>
          </w:tcPr>
          <w:p w14:paraId="33C2998A">
            <w:pPr>
              <w:spacing w:before="0" w:after="0" w:line="240" w:lineRule="exact"/>
              <w:jc w:val="left"/>
              <w:rPr>
                <w:rFonts w:ascii="宋体" w:hAnsi="宋体" w:eastAsia="宋体" w:cs="宋体"/>
                <w:sz w:val="18"/>
                <w:szCs w:val="18"/>
              </w:rPr>
            </w:pPr>
            <w:r>
              <w:rPr>
                <w:rFonts w:ascii="宋体" w:hAnsi="宋体" w:eastAsia="宋体" w:cs="宋体"/>
                <w:sz w:val="18"/>
                <w:szCs w:val="18"/>
              </w:rPr>
              <w:t>已按照裁决书执行完毕</w:t>
            </w:r>
          </w:p>
        </w:tc>
        <w:tc>
          <w:tcPr>
            <w:tcW w:w="910" w:type="dxa"/>
            <w:tcBorders>
              <w:top w:val="single" w:color="auto" w:sz="2" w:space="0"/>
              <w:left w:val="single" w:color="auto" w:sz="2" w:space="0"/>
              <w:bottom w:val="single" w:color="auto" w:sz="2" w:space="0"/>
              <w:right w:val="single" w:color="auto" w:sz="2" w:space="0"/>
            </w:tcBorders>
            <w:vAlign w:val="center"/>
          </w:tcPr>
          <w:p w14:paraId="421C9A8A">
            <w:pPr>
              <w:spacing w:before="0" w:after="0" w:line="240" w:lineRule="exact"/>
              <w:jc w:val="left"/>
              <w:rPr>
                <w:rFonts w:ascii="宋体" w:hAnsi="宋体" w:eastAsia="宋体" w:cs="宋体"/>
                <w:sz w:val="18"/>
                <w:szCs w:val="18"/>
              </w:rPr>
            </w:pPr>
            <w:r>
              <w:rPr>
                <w:rFonts w:ascii="宋体" w:hAnsi="宋体" w:eastAsia="宋体" w:cs="宋体"/>
                <w:sz w:val="18"/>
                <w:szCs w:val="18"/>
              </w:rPr>
              <w:t>2025年03月18日</w:t>
            </w:r>
          </w:p>
        </w:tc>
        <w:tc>
          <w:tcPr>
            <w:tcW w:w="1013" w:type="dxa"/>
            <w:tcBorders>
              <w:top w:val="single" w:color="auto" w:sz="2" w:space="0"/>
              <w:left w:val="single" w:color="auto" w:sz="2" w:space="0"/>
              <w:bottom w:val="single" w:color="auto" w:sz="2" w:space="0"/>
              <w:right w:val="single" w:color="auto" w:sz="2" w:space="0"/>
            </w:tcBorders>
            <w:vAlign w:val="center"/>
          </w:tcPr>
          <w:p w14:paraId="10EDC086">
            <w:pPr>
              <w:spacing w:before="0" w:after="0" w:line="240" w:lineRule="exact"/>
              <w:jc w:val="left"/>
              <w:rPr>
                <w:rFonts w:ascii="宋体" w:hAnsi="宋体" w:eastAsia="宋体" w:cs="宋体"/>
                <w:sz w:val="18"/>
                <w:szCs w:val="18"/>
              </w:rPr>
            </w:pPr>
            <w:r>
              <w:rPr>
                <w:rFonts w:ascii="宋体" w:hAnsi="宋体" w:eastAsia="宋体" w:cs="宋体"/>
                <w:sz w:val="18"/>
                <w:szCs w:val="18"/>
              </w:rPr>
              <w:t>公告编号：2024020公告编号：2025013</w:t>
            </w:r>
          </w:p>
        </w:tc>
      </w:tr>
      <w:tr w14:paraId="5498C0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97" w:type="dxa"/>
            <w:tcBorders>
              <w:top w:val="single" w:color="auto" w:sz="2" w:space="0"/>
              <w:left w:val="single" w:color="auto" w:sz="2" w:space="0"/>
              <w:bottom w:val="single" w:color="auto" w:sz="2" w:space="0"/>
              <w:right w:val="single" w:color="auto" w:sz="2" w:space="0"/>
            </w:tcBorders>
            <w:vAlign w:val="center"/>
          </w:tcPr>
          <w:p w14:paraId="7957AC36">
            <w:pPr>
              <w:spacing w:before="0" w:after="0" w:line="240" w:lineRule="exact"/>
              <w:jc w:val="left"/>
              <w:rPr>
                <w:rFonts w:ascii="宋体" w:hAnsi="宋体" w:eastAsia="宋体" w:cs="宋体"/>
                <w:sz w:val="18"/>
                <w:szCs w:val="18"/>
              </w:rPr>
            </w:pPr>
            <w:r>
              <w:rPr>
                <w:rFonts w:ascii="宋体" w:hAnsi="宋体" w:eastAsia="宋体" w:cs="宋体"/>
                <w:sz w:val="18"/>
                <w:szCs w:val="18"/>
              </w:rPr>
              <w:t>仲裁申请人：歌礼药业（浙江）有限公司与被申请人：福建广生堂药业股份有限公司、福建广生中霖生物科技有限公司业（浙江）有限公司与买卖合同纠纷案件</w:t>
            </w:r>
          </w:p>
        </w:tc>
        <w:tc>
          <w:tcPr>
            <w:tcW w:w="1190" w:type="dxa"/>
            <w:tcBorders>
              <w:top w:val="single" w:color="auto" w:sz="2" w:space="0"/>
              <w:left w:val="single" w:color="auto" w:sz="2" w:space="0"/>
              <w:bottom w:val="single" w:color="auto" w:sz="2" w:space="0"/>
              <w:right w:val="single" w:color="auto" w:sz="2" w:space="0"/>
            </w:tcBorders>
            <w:vAlign w:val="center"/>
          </w:tcPr>
          <w:p w14:paraId="54C06648">
            <w:pPr>
              <w:spacing w:before="0" w:after="0" w:line="240" w:lineRule="exact"/>
              <w:jc w:val="right"/>
              <w:rPr>
                <w:rFonts w:ascii="宋体" w:hAnsi="宋体" w:eastAsia="宋体" w:cs="宋体"/>
                <w:sz w:val="18"/>
                <w:szCs w:val="18"/>
              </w:rPr>
            </w:pPr>
            <w:r>
              <w:rPr>
                <w:rFonts w:ascii="宋体" w:hAnsi="宋体" w:eastAsia="宋体" w:cs="宋体"/>
                <w:sz w:val="18"/>
                <w:szCs w:val="18"/>
              </w:rPr>
              <w:t>3,000</w:t>
            </w:r>
          </w:p>
        </w:tc>
        <w:tc>
          <w:tcPr>
            <w:tcW w:w="1040" w:type="dxa"/>
            <w:tcBorders>
              <w:top w:val="single" w:color="auto" w:sz="2" w:space="0"/>
              <w:left w:val="single" w:color="auto" w:sz="2" w:space="0"/>
              <w:bottom w:val="single" w:color="auto" w:sz="2" w:space="0"/>
              <w:right w:val="single" w:color="auto" w:sz="2" w:space="0"/>
            </w:tcBorders>
            <w:vAlign w:val="center"/>
          </w:tcPr>
          <w:p w14:paraId="659F77DC">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993" w:type="dxa"/>
            <w:tcBorders>
              <w:top w:val="single" w:color="auto" w:sz="2" w:space="0"/>
              <w:left w:val="single" w:color="auto" w:sz="2" w:space="0"/>
              <w:bottom w:val="single" w:color="auto" w:sz="2" w:space="0"/>
              <w:right w:val="single" w:color="auto" w:sz="2" w:space="0"/>
            </w:tcBorders>
            <w:vAlign w:val="center"/>
          </w:tcPr>
          <w:p w14:paraId="3EF262DA">
            <w:pPr>
              <w:spacing w:before="0" w:after="0" w:line="240" w:lineRule="exact"/>
              <w:jc w:val="left"/>
              <w:rPr>
                <w:rFonts w:ascii="宋体" w:hAnsi="宋体" w:eastAsia="宋体" w:cs="宋体"/>
                <w:sz w:val="18"/>
                <w:szCs w:val="18"/>
              </w:rPr>
            </w:pPr>
            <w:r>
              <w:rPr>
                <w:rFonts w:ascii="宋体" w:hAnsi="宋体" w:eastAsia="宋体" w:cs="宋体"/>
                <w:sz w:val="18"/>
                <w:szCs w:val="18"/>
              </w:rPr>
              <w:t>已终局裁决</w:t>
            </w:r>
          </w:p>
        </w:tc>
        <w:tc>
          <w:tcPr>
            <w:tcW w:w="1897" w:type="dxa"/>
            <w:tcBorders>
              <w:top w:val="single" w:color="auto" w:sz="2" w:space="0"/>
              <w:left w:val="single" w:color="auto" w:sz="2" w:space="0"/>
              <w:bottom w:val="single" w:color="auto" w:sz="2" w:space="0"/>
              <w:right w:val="single" w:color="auto" w:sz="2" w:space="0"/>
            </w:tcBorders>
            <w:vAlign w:val="center"/>
          </w:tcPr>
          <w:p w14:paraId="65C8D8A1">
            <w:pPr>
              <w:spacing w:before="0" w:after="0" w:line="240" w:lineRule="exact"/>
              <w:jc w:val="left"/>
              <w:rPr>
                <w:rFonts w:ascii="宋体" w:hAnsi="宋体" w:eastAsia="宋体" w:cs="宋体"/>
                <w:sz w:val="18"/>
                <w:szCs w:val="18"/>
              </w:rPr>
            </w:pPr>
            <w:r>
              <w:rPr>
                <w:rFonts w:ascii="宋体" w:hAnsi="宋体" w:eastAsia="宋体" w:cs="宋体"/>
                <w:sz w:val="18"/>
                <w:szCs w:val="18"/>
              </w:rPr>
              <w:t>主要裁决结果如下：（1）解除各方签订的相关协议；（2）裁决歌礼药业赔偿货款损失10,700,970.80元及相应资金占用损失；（3）裁决广生堂方返还且不得再以任何形式或为任何目的的保留或使用歌礼药业向其提供的相关资料、知识产权和保密信息；（4）驳回双方在743号案和791号案提出的其他仲裁请求。</w:t>
            </w:r>
          </w:p>
        </w:tc>
        <w:tc>
          <w:tcPr>
            <w:tcW w:w="1000" w:type="dxa"/>
            <w:tcBorders>
              <w:top w:val="single" w:color="auto" w:sz="2" w:space="0"/>
              <w:left w:val="single" w:color="auto" w:sz="2" w:space="0"/>
              <w:bottom w:val="single" w:color="auto" w:sz="2" w:space="0"/>
              <w:right w:val="single" w:color="auto" w:sz="2" w:space="0"/>
            </w:tcBorders>
            <w:vAlign w:val="center"/>
          </w:tcPr>
          <w:p w14:paraId="4FA3F7AB">
            <w:pPr>
              <w:spacing w:before="0" w:after="0" w:line="240" w:lineRule="exact"/>
              <w:jc w:val="left"/>
              <w:rPr>
                <w:rFonts w:ascii="宋体" w:hAnsi="宋体" w:eastAsia="宋体" w:cs="宋体"/>
                <w:sz w:val="18"/>
                <w:szCs w:val="18"/>
              </w:rPr>
            </w:pPr>
            <w:r>
              <w:rPr>
                <w:rFonts w:ascii="宋体" w:hAnsi="宋体" w:eastAsia="宋体" w:cs="宋体"/>
                <w:sz w:val="18"/>
                <w:szCs w:val="18"/>
              </w:rPr>
              <w:t>已按照裁决书执行完毕</w:t>
            </w:r>
          </w:p>
        </w:tc>
        <w:tc>
          <w:tcPr>
            <w:tcW w:w="910" w:type="dxa"/>
            <w:tcBorders>
              <w:top w:val="single" w:color="auto" w:sz="2" w:space="0"/>
              <w:left w:val="single" w:color="auto" w:sz="2" w:space="0"/>
              <w:bottom w:val="single" w:color="auto" w:sz="2" w:space="0"/>
              <w:right w:val="single" w:color="auto" w:sz="2" w:space="0"/>
            </w:tcBorders>
            <w:vAlign w:val="center"/>
          </w:tcPr>
          <w:p w14:paraId="6A574A32">
            <w:pPr>
              <w:spacing w:before="0" w:after="0" w:line="240" w:lineRule="exact"/>
              <w:jc w:val="left"/>
              <w:rPr>
                <w:rFonts w:ascii="宋体" w:hAnsi="宋体" w:eastAsia="宋体" w:cs="宋体"/>
                <w:sz w:val="18"/>
                <w:szCs w:val="18"/>
              </w:rPr>
            </w:pPr>
            <w:r>
              <w:rPr>
                <w:rFonts w:ascii="宋体" w:hAnsi="宋体" w:eastAsia="宋体" w:cs="宋体"/>
                <w:sz w:val="18"/>
                <w:szCs w:val="18"/>
              </w:rPr>
              <w:t>2025年03月18日</w:t>
            </w:r>
          </w:p>
        </w:tc>
        <w:tc>
          <w:tcPr>
            <w:tcW w:w="1013" w:type="dxa"/>
            <w:tcBorders>
              <w:top w:val="single" w:color="auto" w:sz="2" w:space="0"/>
              <w:left w:val="single" w:color="auto" w:sz="2" w:space="0"/>
              <w:bottom w:val="single" w:color="auto" w:sz="2" w:space="0"/>
              <w:right w:val="single" w:color="auto" w:sz="2" w:space="0"/>
            </w:tcBorders>
            <w:vAlign w:val="center"/>
          </w:tcPr>
          <w:p w14:paraId="1EA550D5">
            <w:pPr>
              <w:spacing w:before="0" w:after="0" w:line="240" w:lineRule="exact"/>
              <w:jc w:val="left"/>
              <w:rPr>
                <w:rFonts w:ascii="宋体" w:hAnsi="宋体" w:eastAsia="宋体" w:cs="宋体"/>
                <w:sz w:val="18"/>
                <w:szCs w:val="18"/>
              </w:rPr>
            </w:pPr>
            <w:r>
              <w:rPr>
                <w:rFonts w:ascii="宋体" w:hAnsi="宋体" w:eastAsia="宋体" w:cs="宋体"/>
                <w:sz w:val="18"/>
                <w:szCs w:val="18"/>
              </w:rPr>
              <w:t>公告编号：2024020公告编号：2025013</w:t>
            </w:r>
          </w:p>
        </w:tc>
      </w:tr>
      <w:tr w14:paraId="0B2899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97" w:type="dxa"/>
            <w:tcBorders>
              <w:top w:val="single" w:color="auto" w:sz="2" w:space="0"/>
              <w:left w:val="single" w:color="auto" w:sz="2" w:space="0"/>
              <w:bottom w:val="single" w:color="auto" w:sz="2" w:space="0"/>
              <w:right w:val="single" w:color="auto" w:sz="2" w:space="0"/>
            </w:tcBorders>
            <w:vAlign w:val="center"/>
          </w:tcPr>
          <w:p w14:paraId="55336E66">
            <w:pPr>
              <w:spacing w:before="0" w:after="0" w:line="240" w:lineRule="exact"/>
              <w:jc w:val="left"/>
              <w:rPr>
                <w:rFonts w:ascii="宋体" w:hAnsi="宋体" w:eastAsia="宋体" w:cs="宋体"/>
                <w:sz w:val="18"/>
                <w:szCs w:val="18"/>
              </w:rPr>
            </w:pPr>
            <w:r>
              <w:rPr>
                <w:rFonts w:ascii="宋体" w:hAnsi="宋体" w:eastAsia="宋体" w:cs="宋体"/>
                <w:sz w:val="18"/>
                <w:szCs w:val="18"/>
              </w:rPr>
              <w:t>原告：江苏中和信工程咨询有限公司诉被告：江苏中兴药业有限公司合同纠纷案件</w:t>
            </w:r>
          </w:p>
        </w:tc>
        <w:tc>
          <w:tcPr>
            <w:tcW w:w="1190" w:type="dxa"/>
            <w:tcBorders>
              <w:top w:val="single" w:color="auto" w:sz="2" w:space="0"/>
              <w:left w:val="single" w:color="auto" w:sz="2" w:space="0"/>
              <w:bottom w:val="single" w:color="auto" w:sz="2" w:space="0"/>
              <w:right w:val="single" w:color="auto" w:sz="2" w:space="0"/>
            </w:tcBorders>
            <w:vAlign w:val="center"/>
          </w:tcPr>
          <w:p w14:paraId="2021415C">
            <w:pPr>
              <w:spacing w:before="0" w:after="0" w:line="240" w:lineRule="exact"/>
              <w:jc w:val="right"/>
              <w:rPr>
                <w:rFonts w:ascii="宋体" w:hAnsi="宋体" w:eastAsia="宋体" w:cs="宋体"/>
                <w:sz w:val="18"/>
                <w:szCs w:val="18"/>
              </w:rPr>
            </w:pPr>
            <w:r>
              <w:rPr>
                <w:rFonts w:ascii="宋体" w:hAnsi="宋体" w:eastAsia="宋体" w:cs="宋体"/>
                <w:sz w:val="18"/>
                <w:szCs w:val="18"/>
              </w:rPr>
              <w:t>6.75</w:t>
            </w:r>
          </w:p>
        </w:tc>
        <w:tc>
          <w:tcPr>
            <w:tcW w:w="1040" w:type="dxa"/>
            <w:tcBorders>
              <w:top w:val="single" w:color="auto" w:sz="2" w:space="0"/>
              <w:left w:val="single" w:color="auto" w:sz="2" w:space="0"/>
              <w:bottom w:val="single" w:color="auto" w:sz="2" w:space="0"/>
              <w:right w:val="single" w:color="auto" w:sz="2" w:space="0"/>
            </w:tcBorders>
            <w:vAlign w:val="center"/>
          </w:tcPr>
          <w:p w14:paraId="3249C11D">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993" w:type="dxa"/>
            <w:tcBorders>
              <w:top w:val="single" w:color="auto" w:sz="2" w:space="0"/>
              <w:left w:val="single" w:color="auto" w:sz="2" w:space="0"/>
              <w:bottom w:val="single" w:color="auto" w:sz="2" w:space="0"/>
              <w:right w:val="single" w:color="auto" w:sz="2" w:space="0"/>
            </w:tcBorders>
            <w:vAlign w:val="center"/>
          </w:tcPr>
          <w:p w14:paraId="72F987D3">
            <w:pPr>
              <w:spacing w:before="0" w:after="0" w:line="240" w:lineRule="exact"/>
              <w:jc w:val="left"/>
              <w:rPr>
                <w:rFonts w:ascii="宋体" w:hAnsi="宋体" w:eastAsia="宋体" w:cs="宋体"/>
                <w:sz w:val="18"/>
                <w:szCs w:val="18"/>
              </w:rPr>
            </w:pPr>
            <w:r>
              <w:rPr>
                <w:rFonts w:ascii="宋体" w:hAnsi="宋体" w:eastAsia="宋体" w:cs="宋体"/>
                <w:sz w:val="18"/>
                <w:szCs w:val="18"/>
              </w:rPr>
              <w:t>调解结案</w:t>
            </w:r>
          </w:p>
        </w:tc>
        <w:tc>
          <w:tcPr>
            <w:tcW w:w="1897" w:type="dxa"/>
            <w:tcBorders>
              <w:top w:val="single" w:color="auto" w:sz="2" w:space="0"/>
              <w:left w:val="single" w:color="auto" w:sz="2" w:space="0"/>
              <w:bottom w:val="single" w:color="auto" w:sz="2" w:space="0"/>
              <w:right w:val="single" w:color="auto" w:sz="2" w:space="0"/>
            </w:tcBorders>
            <w:vAlign w:val="center"/>
          </w:tcPr>
          <w:p w14:paraId="76CA9747">
            <w:pPr>
              <w:spacing w:line="240" w:lineRule="exact"/>
              <w:jc w:val="left"/>
              <w:rPr>
                <w:rFonts w:ascii="宋体" w:hAnsi="宋体" w:eastAsia="宋体" w:cs="宋体"/>
                <w:sz w:val="18"/>
                <w:szCs w:val="18"/>
              </w:rPr>
            </w:pPr>
            <w:r>
              <w:rPr>
                <w:rFonts w:ascii="宋体" w:hAnsi="宋体" w:cs="宋体"/>
                <w:sz w:val="18"/>
                <w:szCs w:val="18"/>
              </w:rPr>
              <w:t>调解书主要内容如下：1、原告在调解协议签订后向被告提交两份正式的《机电净化安装工程造价报告》和编制说明，被告一次性支付原告服务费35000元;2、</w:t>
            </w:r>
            <w:r>
              <w:rPr>
                <w:rFonts w:hint="eastAsia" w:ascii="宋体" w:hAnsi="宋体" w:cs="宋体"/>
                <w:sz w:val="18"/>
                <w:szCs w:val="18"/>
              </w:rPr>
              <w:t>原</w:t>
            </w:r>
            <w:r>
              <w:rPr>
                <w:rFonts w:ascii="宋体" w:hAnsi="宋体" w:cs="宋体"/>
                <w:sz w:val="18"/>
                <w:szCs w:val="18"/>
              </w:rPr>
              <w:t>签订的《</w:t>
            </w:r>
            <w:r>
              <w:rPr>
                <w:rFonts w:hint="eastAsia" w:ascii="宋体" w:hAnsi="宋体" w:cs="宋体"/>
                <w:sz w:val="18"/>
                <w:szCs w:val="18"/>
              </w:rPr>
              <w:t>合同</w:t>
            </w:r>
            <w:r>
              <w:rPr>
                <w:rFonts w:ascii="宋体" w:hAnsi="宋体" w:cs="宋体"/>
                <w:sz w:val="18"/>
                <w:szCs w:val="18"/>
              </w:rPr>
              <w:t>终止，原告不再负责报告的后续更新工作。</w:t>
            </w:r>
          </w:p>
        </w:tc>
        <w:tc>
          <w:tcPr>
            <w:tcW w:w="1000" w:type="dxa"/>
            <w:tcBorders>
              <w:top w:val="single" w:color="auto" w:sz="2" w:space="0"/>
              <w:left w:val="single" w:color="auto" w:sz="2" w:space="0"/>
              <w:bottom w:val="single" w:color="auto" w:sz="2" w:space="0"/>
              <w:right w:val="single" w:color="auto" w:sz="2" w:space="0"/>
            </w:tcBorders>
            <w:vAlign w:val="center"/>
          </w:tcPr>
          <w:p w14:paraId="70361416">
            <w:pPr>
              <w:spacing w:before="0" w:after="0" w:line="240" w:lineRule="exact"/>
              <w:jc w:val="left"/>
              <w:rPr>
                <w:rFonts w:ascii="宋体" w:hAnsi="宋体" w:eastAsia="宋体" w:cs="宋体"/>
                <w:sz w:val="18"/>
                <w:szCs w:val="18"/>
              </w:rPr>
            </w:pPr>
            <w:r>
              <w:rPr>
                <w:rFonts w:ascii="宋体" w:hAnsi="宋体" w:eastAsia="宋体" w:cs="宋体"/>
                <w:sz w:val="18"/>
                <w:szCs w:val="18"/>
              </w:rPr>
              <w:t>已履行完毕</w:t>
            </w:r>
          </w:p>
        </w:tc>
        <w:tc>
          <w:tcPr>
            <w:tcW w:w="910" w:type="dxa"/>
            <w:tcBorders>
              <w:top w:val="single" w:color="auto" w:sz="2" w:space="0"/>
              <w:left w:val="single" w:color="auto" w:sz="2" w:space="0"/>
              <w:bottom w:val="single" w:color="auto" w:sz="2" w:space="0"/>
              <w:right w:val="single" w:color="auto" w:sz="2" w:space="0"/>
            </w:tcBorders>
            <w:vAlign w:val="center"/>
          </w:tcPr>
          <w:p w14:paraId="2E5EC95A">
            <w:pPr>
              <w:spacing w:before="0" w:after="0" w:line="240" w:lineRule="exact"/>
              <w:jc w:val="left"/>
              <w:rPr>
                <w:rFonts w:ascii="宋体" w:hAnsi="宋体" w:eastAsia="宋体" w:cs="宋体"/>
                <w:sz w:val="18"/>
                <w:szCs w:val="18"/>
              </w:rPr>
            </w:pPr>
            <w:r>
              <w:rPr>
                <w:rFonts w:ascii="宋体" w:hAnsi="宋体" w:eastAsia="宋体" w:cs="宋体"/>
                <w:sz w:val="18"/>
                <w:szCs w:val="18"/>
              </w:rPr>
              <w:t>2025年03月18日</w:t>
            </w:r>
          </w:p>
        </w:tc>
        <w:tc>
          <w:tcPr>
            <w:tcW w:w="1013" w:type="dxa"/>
            <w:tcBorders>
              <w:top w:val="single" w:color="auto" w:sz="2" w:space="0"/>
              <w:left w:val="single" w:color="auto" w:sz="2" w:space="0"/>
              <w:bottom w:val="single" w:color="auto" w:sz="2" w:space="0"/>
              <w:right w:val="single" w:color="auto" w:sz="2" w:space="0"/>
            </w:tcBorders>
            <w:vAlign w:val="center"/>
          </w:tcPr>
          <w:p w14:paraId="5D84259A">
            <w:pPr>
              <w:spacing w:before="0" w:after="0" w:line="240" w:lineRule="exact"/>
              <w:jc w:val="left"/>
              <w:rPr>
                <w:rFonts w:ascii="宋体" w:hAnsi="宋体" w:eastAsia="宋体" w:cs="宋体"/>
                <w:sz w:val="18"/>
                <w:szCs w:val="18"/>
              </w:rPr>
            </w:pPr>
            <w:r>
              <w:rPr>
                <w:rFonts w:ascii="宋体" w:hAnsi="宋体" w:eastAsia="宋体" w:cs="宋体"/>
                <w:sz w:val="18"/>
                <w:szCs w:val="18"/>
              </w:rPr>
              <w:t>公告编号：2024020公告编号：2025013</w:t>
            </w:r>
          </w:p>
        </w:tc>
      </w:tr>
      <w:tr w14:paraId="5ACEA7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97" w:type="dxa"/>
            <w:tcBorders>
              <w:top w:val="single" w:color="auto" w:sz="2" w:space="0"/>
              <w:left w:val="single" w:color="auto" w:sz="2" w:space="0"/>
              <w:bottom w:val="single" w:color="auto" w:sz="2" w:space="0"/>
              <w:right w:val="single" w:color="auto" w:sz="2" w:space="0"/>
            </w:tcBorders>
            <w:vAlign w:val="center"/>
          </w:tcPr>
          <w:p w14:paraId="3E0118E5">
            <w:pPr>
              <w:spacing w:before="0" w:after="0" w:line="240" w:lineRule="exact"/>
              <w:jc w:val="left"/>
              <w:rPr>
                <w:rFonts w:ascii="宋体" w:hAnsi="宋体" w:eastAsia="宋体" w:cs="宋体"/>
                <w:sz w:val="18"/>
                <w:szCs w:val="18"/>
              </w:rPr>
            </w:pPr>
            <w:r>
              <w:rPr>
                <w:rFonts w:ascii="宋体" w:hAnsi="宋体" w:eastAsia="宋体" w:cs="宋体"/>
                <w:sz w:val="18"/>
                <w:szCs w:val="18"/>
              </w:rPr>
              <w:t>原告：金夏秋诉被告：江苏中兴药业有限公司劳动争议纠纷案件</w:t>
            </w:r>
          </w:p>
        </w:tc>
        <w:tc>
          <w:tcPr>
            <w:tcW w:w="1190" w:type="dxa"/>
            <w:tcBorders>
              <w:top w:val="single" w:color="auto" w:sz="2" w:space="0"/>
              <w:left w:val="single" w:color="auto" w:sz="2" w:space="0"/>
              <w:bottom w:val="single" w:color="auto" w:sz="2" w:space="0"/>
              <w:right w:val="single" w:color="auto" w:sz="2" w:space="0"/>
            </w:tcBorders>
            <w:vAlign w:val="center"/>
          </w:tcPr>
          <w:p w14:paraId="64BEAED3">
            <w:pPr>
              <w:spacing w:before="0" w:after="0" w:line="240" w:lineRule="exact"/>
              <w:jc w:val="right"/>
              <w:rPr>
                <w:rFonts w:ascii="宋体" w:hAnsi="宋体" w:eastAsia="宋体" w:cs="宋体"/>
                <w:sz w:val="18"/>
                <w:szCs w:val="18"/>
              </w:rPr>
            </w:pPr>
            <w:r>
              <w:rPr>
                <w:rFonts w:ascii="宋体" w:hAnsi="宋体" w:eastAsia="宋体" w:cs="宋体"/>
                <w:sz w:val="18"/>
                <w:szCs w:val="18"/>
              </w:rPr>
              <w:t>6.56</w:t>
            </w:r>
          </w:p>
        </w:tc>
        <w:tc>
          <w:tcPr>
            <w:tcW w:w="1040" w:type="dxa"/>
            <w:tcBorders>
              <w:top w:val="single" w:color="auto" w:sz="2" w:space="0"/>
              <w:left w:val="single" w:color="auto" w:sz="2" w:space="0"/>
              <w:bottom w:val="single" w:color="auto" w:sz="2" w:space="0"/>
              <w:right w:val="single" w:color="auto" w:sz="2" w:space="0"/>
            </w:tcBorders>
            <w:vAlign w:val="center"/>
          </w:tcPr>
          <w:p w14:paraId="135C53D7">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c>
          <w:tcPr>
            <w:tcW w:w="993" w:type="dxa"/>
            <w:tcBorders>
              <w:top w:val="single" w:color="auto" w:sz="2" w:space="0"/>
              <w:left w:val="single" w:color="auto" w:sz="2" w:space="0"/>
              <w:bottom w:val="single" w:color="auto" w:sz="2" w:space="0"/>
              <w:right w:val="single" w:color="auto" w:sz="2" w:space="0"/>
            </w:tcBorders>
            <w:vAlign w:val="center"/>
          </w:tcPr>
          <w:p w14:paraId="7CCE5EAF">
            <w:pPr>
              <w:spacing w:before="0" w:after="0" w:line="240" w:lineRule="exact"/>
              <w:jc w:val="left"/>
              <w:rPr>
                <w:rFonts w:ascii="宋体" w:hAnsi="宋体" w:eastAsia="宋体" w:cs="宋体"/>
                <w:sz w:val="18"/>
                <w:szCs w:val="18"/>
              </w:rPr>
            </w:pPr>
            <w:r>
              <w:rPr>
                <w:rFonts w:ascii="宋体" w:hAnsi="宋体" w:eastAsia="宋体" w:cs="宋体"/>
                <w:sz w:val="18"/>
                <w:szCs w:val="18"/>
              </w:rPr>
              <w:t>已判决</w:t>
            </w:r>
          </w:p>
        </w:tc>
        <w:tc>
          <w:tcPr>
            <w:tcW w:w="1897" w:type="dxa"/>
            <w:tcBorders>
              <w:top w:val="single" w:color="auto" w:sz="2" w:space="0"/>
              <w:left w:val="single" w:color="auto" w:sz="2" w:space="0"/>
              <w:bottom w:val="single" w:color="auto" w:sz="2" w:space="0"/>
              <w:right w:val="single" w:color="auto" w:sz="2" w:space="0"/>
            </w:tcBorders>
            <w:vAlign w:val="center"/>
          </w:tcPr>
          <w:p w14:paraId="4575868F">
            <w:pPr>
              <w:spacing w:line="240" w:lineRule="exact"/>
              <w:jc w:val="left"/>
              <w:rPr>
                <w:rFonts w:ascii="宋体" w:hAnsi="宋体" w:eastAsia="宋体" w:cs="宋体"/>
                <w:sz w:val="18"/>
                <w:szCs w:val="18"/>
              </w:rPr>
            </w:pPr>
            <w:r>
              <w:rPr>
                <w:rFonts w:ascii="宋体" w:hAnsi="宋体" w:cs="宋体"/>
                <w:sz w:val="18"/>
                <w:szCs w:val="18"/>
              </w:rPr>
              <w:t xml:space="preserve">主要判决结果如下：二审驳回金夏秋诉讼请求，维持一审判决。江苏中兴药业有限公司支付合计 </w:t>
            </w:r>
            <w:r>
              <w:rPr>
                <w:rFonts w:hint="eastAsia" w:ascii="宋体" w:hAnsi="宋体" w:cs="宋体"/>
                <w:sz w:val="18"/>
                <w:szCs w:val="18"/>
              </w:rPr>
              <w:t>工资差额</w:t>
            </w:r>
            <w:r>
              <w:rPr>
                <w:rFonts w:ascii="宋体" w:hAnsi="宋体" w:cs="宋体"/>
                <w:sz w:val="18"/>
                <w:szCs w:val="18"/>
              </w:rPr>
              <w:t>3919.65 元。其余仲裁请求，不予支持。</w:t>
            </w:r>
          </w:p>
        </w:tc>
        <w:tc>
          <w:tcPr>
            <w:tcW w:w="1000" w:type="dxa"/>
            <w:tcBorders>
              <w:top w:val="single" w:color="auto" w:sz="2" w:space="0"/>
              <w:left w:val="single" w:color="auto" w:sz="2" w:space="0"/>
              <w:bottom w:val="single" w:color="auto" w:sz="2" w:space="0"/>
              <w:right w:val="single" w:color="auto" w:sz="2" w:space="0"/>
            </w:tcBorders>
            <w:vAlign w:val="center"/>
          </w:tcPr>
          <w:p w14:paraId="14354D35">
            <w:pPr>
              <w:spacing w:before="0" w:after="0" w:line="240" w:lineRule="exact"/>
              <w:jc w:val="left"/>
              <w:rPr>
                <w:rFonts w:ascii="宋体" w:hAnsi="宋体" w:eastAsia="宋体" w:cs="宋体"/>
                <w:sz w:val="18"/>
                <w:szCs w:val="18"/>
              </w:rPr>
            </w:pPr>
            <w:r>
              <w:rPr>
                <w:rFonts w:ascii="宋体" w:hAnsi="宋体" w:eastAsia="宋体" w:cs="宋体"/>
                <w:sz w:val="18"/>
                <w:szCs w:val="18"/>
              </w:rPr>
              <w:t>已履行完毕</w:t>
            </w:r>
          </w:p>
        </w:tc>
        <w:tc>
          <w:tcPr>
            <w:tcW w:w="910" w:type="dxa"/>
            <w:tcBorders>
              <w:top w:val="single" w:color="auto" w:sz="2" w:space="0"/>
              <w:left w:val="single" w:color="auto" w:sz="2" w:space="0"/>
              <w:bottom w:val="single" w:color="auto" w:sz="2" w:space="0"/>
              <w:right w:val="single" w:color="auto" w:sz="2" w:space="0"/>
            </w:tcBorders>
            <w:vAlign w:val="center"/>
          </w:tcPr>
          <w:p w14:paraId="0FD98BE3">
            <w:pPr>
              <w:spacing w:before="0" w:after="0" w:line="240" w:lineRule="exact"/>
              <w:jc w:val="left"/>
              <w:rPr>
                <w:rFonts w:ascii="宋体" w:hAnsi="宋体" w:eastAsia="宋体" w:cs="宋体"/>
                <w:sz w:val="18"/>
                <w:szCs w:val="18"/>
              </w:rPr>
            </w:pPr>
            <w:r>
              <w:rPr>
                <w:rFonts w:ascii="宋体" w:hAnsi="宋体" w:eastAsia="宋体" w:cs="宋体"/>
                <w:sz w:val="18"/>
                <w:szCs w:val="18"/>
              </w:rPr>
              <w:t>2025年03月18日</w:t>
            </w:r>
          </w:p>
        </w:tc>
        <w:tc>
          <w:tcPr>
            <w:tcW w:w="1013" w:type="dxa"/>
            <w:tcBorders>
              <w:top w:val="single" w:color="auto" w:sz="2" w:space="0"/>
              <w:left w:val="single" w:color="auto" w:sz="2" w:space="0"/>
              <w:bottom w:val="single" w:color="auto" w:sz="2" w:space="0"/>
              <w:right w:val="single" w:color="auto" w:sz="2" w:space="0"/>
            </w:tcBorders>
            <w:vAlign w:val="center"/>
          </w:tcPr>
          <w:p w14:paraId="1C1FBAA3">
            <w:pPr>
              <w:spacing w:before="0" w:after="0" w:line="240" w:lineRule="exact"/>
              <w:jc w:val="left"/>
              <w:rPr>
                <w:rFonts w:ascii="宋体" w:hAnsi="宋体" w:eastAsia="宋体" w:cs="宋体"/>
                <w:sz w:val="18"/>
                <w:szCs w:val="18"/>
              </w:rPr>
            </w:pPr>
            <w:r>
              <w:rPr>
                <w:rFonts w:ascii="宋体" w:hAnsi="宋体" w:eastAsia="宋体" w:cs="宋体"/>
                <w:sz w:val="18"/>
                <w:szCs w:val="18"/>
              </w:rPr>
              <w:t>公告编号：2024020公告编号：2025013</w:t>
            </w:r>
          </w:p>
        </w:tc>
      </w:tr>
    </w:tbl>
    <w:p w14:paraId="6323C0F1">
      <w:pPr>
        <w:keepNext/>
        <w:keepLines/>
        <w:spacing w:before="300" w:after="300" w:line="320" w:lineRule="exact"/>
        <w:jc w:val="left"/>
        <w:outlineLvl w:val="1"/>
        <w:rPr>
          <w:rFonts w:ascii="宋体" w:hAnsi="宋体" w:eastAsia="宋体" w:cs="宋体"/>
          <w:b/>
          <w:bCs/>
          <w:sz w:val="24"/>
          <w:szCs w:val="24"/>
        </w:rPr>
      </w:pPr>
      <w:bookmarkStart w:id="110" w:name="_Toc988997"/>
      <w:r>
        <w:rPr>
          <w:rFonts w:ascii="宋体" w:hAnsi="宋体" w:eastAsia="宋体" w:cs="宋体"/>
          <w:b/>
          <w:bCs/>
          <w:sz w:val="24"/>
          <w:szCs w:val="24"/>
        </w:rPr>
        <w:t>十二、处罚及整改情况</w:t>
      </w:r>
      <w:bookmarkEnd w:id="110"/>
    </w:p>
    <w:p w14:paraId="37E1BEBF">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726A3B1">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公司报告期不存在处罚及整改情况。</w:t>
      </w:r>
    </w:p>
    <w:p w14:paraId="000CE76C">
      <w:pPr>
        <w:keepNext/>
        <w:keepLines/>
        <w:spacing w:before="300" w:after="300" w:line="320" w:lineRule="exact"/>
        <w:jc w:val="left"/>
        <w:outlineLvl w:val="1"/>
        <w:rPr>
          <w:rFonts w:ascii="宋体" w:hAnsi="宋体" w:eastAsia="宋体" w:cs="宋体"/>
          <w:b/>
          <w:bCs/>
          <w:sz w:val="24"/>
          <w:szCs w:val="24"/>
        </w:rPr>
      </w:pPr>
      <w:bookmarkStart w:id="111" w:name="_Toc988998"/>
      <w:r>
        <w:rPr>
          <w:rFonts w:ascii="宋体" w:hAnsi="宋体" w:eastAsia="宋体" w:cs="宋体"/>
          <w:b/>
          <w:bCs/>
          <w:sz w:val="24"/>
          <w:szCs w:val="24"/>
        </w:rPr>
        <w:t>十三、公司及其控股股东、实际控制人的诚信状况</w:t>
      </w:r>
      <w:bookmarkEnd w:id="111"/>
    </w:p>
    <w:p w14:paraId="4B328264">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6810F709">
      <w:pPr>
        <w:keepNext/>
        <w:keepLines/>
        <w:spacing w:before="300" w:after="300" w:line="320" w:lineRule="exact"/>
        <w:jc w:val="left"/>
        <w:outlineLvl w:val="1"/>
        <w:rPr>
          <w:rFonts w:ascii="宋体" w:hAnsi="宋体" w:eastAsia="宋体" w:cs="宋体"/>
          <w:b/>
          <w:bCs/>
          <w:sz w:val="24"/>
          <w:szCs w:val="24"/>
        </w:rPr>
      </w:pPr>
      <w:bookmarkStart w:id="112" w:name="_Toc988999"/>
      <w:r>
        <w:rPr>
          <w:rFonts w:ascii="宋体" w:hAnsi="宋体" w:eastAsia="宋体" w:cs="宋体"/>
          <w:b/>
          <w:bCs/>
          <w:sz w:val="24"/>
          <w:szCs w:val="24"/>
        </w:rPr>
        <w:t>十四、重大关联交易</w:t>
      </w:r>
      <w:bookmarkEnd w:id="112"/>
    </w:p>
    <w:p w14:paraId="4F607248">
      <w:pPr>
        <w:keepNext/>
        <w:keepLines/>
        <w:spacing w:before="300" w:after="300" w:line="280" w:lineRule="exact"/>
        <w:jc w:val="left"/>
        <w:outlineLvl w:val="2"/>
        <w:rPr>
          <w:rFonts w:ascii="宋体" w:hAnsi="宋体" w:eastAsia="宋体" w:cs="宋体"/>
          <w:b/>
          <w:bCs/>
          <w:sz w:val="21"/>
          <w:szCs w:val="21"/>
        </w:rPr>
      </w:pPr>
      <w:bookmarkStart w:id="113" w:name="_Toc989000"/>
      <w:r>
        <w:rPr>
          <w:rFonts w:ascii="宋体" w:hAnsi="宋体" w:eastAsia="宋体" w:cs="宋体"/>
          <w:b/>
          <w:bCs/>
          <w:sz w:val="21"/>
          <w:szCs w:val="21"/>
        </w:rPr>
        <w:t>1、与日常经营相关的关联交易</w:t>
      </w:r>
      <w:bookmarkEnd w:id="113"/>
    </w:p>
    <w:p w14:paraId="3CA007C9">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B4C4E36">
      <w:pPr>
        <w:spacing w:before="40" w:after="40" w:line="240" w:lineRule="exact"/>
        <w:jc w:val="left"/>
        <w:rPr>
          <w:rFonts w:ascii="宋体" w:hAnsi="宋体" w:eastAsia="宋体" w:cs="宋体"/>
          <w:sz w:val="18"/>
          <w:szCs w:val="18"/>
        </w:rPr>
      </w:pPr>
      <w:r>
        <w:rPr>
          <w:rFonts w:ascii="宋体" w:hAnsi="宋体" w:eastAsia="宋体" w:cs="宋体"/>
          <w:sz w:val="18"/>
          <w:szCs w:val="18"/>
        </w:rPr>
        <w:t>公司报告期未发生与日常经营相关的关联交易。</w:t>
      </w:r>
    </w:p>
    <w:p w14:paraId="0748782D">
      <w:pPr>
        <w:keepNext/>
        <w:keepLines/>
        <w:spacing w:before="300" w:after="300" w:line="280" w:lineRule="exact"/>
        <w:jc w:val="left"/>
        <w:outlineLvl w:val="2"/>
        <w:rPr>
          <w:rFonts w:ascii="宋体" w:hAnsi="宋体" w:eastAsia="宋体" w:cs="宋体"/>
          <w:b/>
          <w:bCs/>
          <w:sz w:val="21"/>
          <w:szCs w:val="21"/>
        </w:rPr>
      </w:pPr>
      <w:bookmarkStart w:id="114" w:name="_Toc989001"/>
      <w:r>
        <w:rPr>
          <w:rFonts w:ascii="宋体" w:hAnsi="宋体" w:eastAsia="宋体" w:cs="宋体"/>
          <w:b/>
          <w:bCs/>
          <w:sz w:val="21"/>
          <w:szCs w:val="21"/>
        </w:rPr>
        <w:t>2、资产或股权收购、出售发生的关联交易</w:t>
      </w:r>
      <w:bookmarkEnd w:id="114"/>
    </w:p>
    <w:p w14:paraId="2F5F06DF">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74A52B9">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公司报告期未发生资产或股权收购、出售的关联交易。</w:t>
      </w:r>
    </w:p>
    <w:p w14:paraId="339B4C5B">
      <w:pPr>
        <w:keepNext/>
        <w:keepLines/>
        <w:spacing w:before="300" w:after="300" w:line="280" w:lineRule="exact"/>
        <w:jc w:val="left"/>
        <w:outlineLvl w:val="2"/>
        <w:rPr>
          <w:rFonts w:ascii="宋体" w:hAnsi="宋体" w:eastAsia="宋体" w:cs="宋体"/>
          <w:b/>
          <w:bCs/>
          <w:sz w:val="21"/>
          <w:szCs w:val="21"/>
        </w:rPr>
      </w:pPr>
      <w:bookmarkStart w:id="115" w:name="_Toc989002"/>
      <w:r>
        <w:rPr>
          <w:rFonts w:ascii="宋体" w:hAnsi="宋体" w:eastAsia="宋体" w:cs="宋体"/>
          <w:b/>
          <w:bCs/>
          <w:sz w:val="21"/>
          <w:szCs w:val="21"/>
        </w:rPr>
        <w:t>3、共同对外投资的关联交易</w:t>
      </w:r>
      <w:bookmarkEnd w:id="115"/>
    </w:p>
    <w:p w14:paraId="265052ED">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824B614">
      <w:pPr>
        <w:spacing w:before="40" w:after="40" w:line="240" w:lineRule="exact"/>
        <w:jc w:val="left"/>
        <w:rPr>
          <w:rFonts w:ascii="宋体" w:hAnsi="宋体" w:eastAsia="宋体" w:cs="宋体"/>
          <w:sz w:val="18"/>
          <w:szCs w:val="18"/>
        </w:rPr>
      </w:pPr>
      <w:r>
        <w:rPr>
          <w:rFonts w:ascii="宋体" w:hAnsi="宋体" w:eastAsia="宋体" w:cs="宋体"/>
          <w:sz w:val="18"/>
          <w:szCs w:val="18"/>
        </w:rPr>
        <w:t>公司报告期未发生共同对外投资的关联交易。</w:t>
      </w:r>
    </w:p>
    <w:p w14:paraId="17B413A3">
      <w:pPr>
        <w:keepNext/>
        <w:keepLines/>
        <w:spacing w:before="300" w:after="300" w:line="280" w:lineRule="exact"/>
        <w:jc w:val="left"/>
        <w:outlineLvl w:val="2"/>
        <w:rPr>
          <w:rFonts w:ascii="宋体" w:hAnsi="宋体" w:eastAsia="宋体" w:cs="宋体"/>
          <w:b/>
          <w:bCs/>
          <w:sz w:val="21"/>
          <w:szCs w:val="21"/>
        </w:rPr>
      </w:pPr>
      <w:bookmarkStart w:id="116" w:name="_Toc989003"/>
      <w:r>
        <w:rPr>
          <w:rFonts w:ascii="宋体" w:hAnsi="宋体" w:eastAsia="宋体" w:cs="宋体"/>
          <w:b/>
          <w:bCs/>
          <w:sz w:val="21"/>
          <w:szCs w:val="21"/>
        </w:rPr>
        <w:t>4、关联债权债务往来</w:t>
      </w:r>
      <w:bookmarkEnd w:id="116"/>
    </w:p>
    <w:p w14:paraId="78718E40">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5DD9FAD">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公司报告期不存在关联债权债务往来。</w:t>
      </w:r>
    </w:p>
    <w:p w14:paraId="5551AF9F">
      <w:pPr>
        <w:keepNext/>
        <w:keepLines/>
        <w:spacing w:before="300" w:after="300" w:line="280" w:lineRule="exact"/>
        <w:jc w:val="left"/>
        <w:outlineLvl w:val="2"/>
        <w:rPr>
          <w:rFonts w:ascii="宋体" w:hAnsi="宋体" w:eastAsia="宋体" w:cs="宋体"/>
          <w:b/>
          <w:bCs/>
          <w:sz w:val="21"/>
          <w:szCs w:val="21"/>
        </w:rPr>
      </w:pPr>
      <w:bookmarkStart w:id="117" w:name="_Toc989004"/>
      <w:r>
        <w:rPr>
          <w:rFonts w:ascii="宋体" w:hAnsi="宋体" w:eastAsia="宋体" w:cs="宋体"/>
          <w:b/>
          <w:bCs/>
          <w:sz w:val="21"/>
          <w:szCs w:val="21"/>
        </w:rPr>
        <w:t>5、与存在关联关系的财务公司的往来情况</w:t>
      </w:r>
      <w:bookmarkEnd w:id="117"/>
    </w:p>
    <w:p w14:paraId="486ED156">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A7CEF04">
      <w:pPr>
        <w:spacing w:before="40" w:after="40" w:line="240" w:lineRule="exact"/>
        <w:jc w:val="left"/>
        <w:rPr>
          <w:rFonts w:ascii="宋体" w:hAnsi="宋体" w:eastAsia="宋体" w:cs="宋体"/>
          <w:sz w:val="18"/>
          <w:szCs w:val="18"/>
        </w:rPr>
      </w:pPr>
      <w:r>
        <w:rPr>
          <w:rFonts w:ascii="宋体" w:hAnsi="宋体" w:eastAsia="宋体" w:cs="宋体"/>
          <w:sz w:val="18"/>
          <w:szCs w:val="18"/>
        </w:rPr>
        <w:t>公司与存在关联关系的财务公司与关联方之间不存在存款、贷款、授信或其他金融业务。</w:t>
      </w:r>
    </w:p>
    <w:p w14:paraId="4E740CC4">
      <w:pPr>
        <w:keepNext/>
        <w:keepLines/>
        <w:spacing w:before="300" w:after="300" w:line="280" w:lineRule="exact"/>
        <w:jc w:val="left"/>
        <w:outlineLvl w:val="2"/>
        <w:rPr>
          <w:rFonts w:ascii="宋体" w:hAnsi="宋体" w:eastAsia="宋体" w:cs="宋体"/>
          <w:b/>
          <w:bCs/>
          <w:sz w:val="21"/>
          <w:szCs w:val="21"/>
        </w:rPr>
      </w:pPr>
      <w:bookmarkStart w:id="118" w:name="_Toc989005"/>
      <w:r>
        <w:rPr>
          <w:rFonts w:ascii="宋体" w:hAnsi="宋体" w:eastAsia="宋体" w:cs="宋体"/>
          <w:b/>
          <w:bCs/>
          <w:sz w:val="21"/>
          <w:szCs w:val="21"/>
        </w:rPr>
        <w:t>6、公司控股的财务公司与关联方的往来情况</w:t>
      </w:r>
      <w:bookmarkEnd w:id="118"/>
    </w:p>
    <w:p w14:paraId="2CEF6083">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1580797">
      <w:pPr>
        <w:spacing w:before="40" w:after="40" w:line="0" w:lineRule="exact"/>
        <w:jc w:val="left"/>
      </w:pPr>
    </w:p>
    <w:p w14:paraId="70E29311">
      <w:pPr>
        <w:spacing w:before="40" w:after="40" w:line="240" w:lineRule="exact"/>
        <w:jc w:val="left"/>
        <w:rPr>
          <w:rFonts w:ascii="宋体" w:hAnsi="宋体" w:eastAsia="宋体" w:cs="宋体"/>
          <w:sz w:val="18"/>
          <w:szCs w:val="18"/>
        </w:rPr>
      </w:pPr>
      <w:r>
        <w:rPr>
          <w:rFonts w:ascii="宋体" w:hAnsi="宋体" w:eastAsia="宋体" w:cs="宋体"/>
          <w:sz w:val="18"/>
          <w:szCs w:val="18"/>
        </w:rPr>
        <w:t>公司控股的财务公司与关联方之间不存在存款、贷款、授信或其他金融业务。</w:t>
      </w:r>
    </w:p>
    <w:p w14:paraId="6EE0530D">
      <w:pPr>
        <w:keepNext/>
        <w:keepLines/>
        <w:spacing w:before="300" w:after="300" w:line="280" w:lineRule="exact"/>
        <w:jc w:val="left"/>
        <w:outlineLvl w:val="2"/>
        <w:rPr>
          <w:rFonts w:ascii="宋体" w:hAnsi="宋体" w:eastAsia="宋体" w:cs="宋体"/>
          <w:b/>
          <w:bCs/>
          <w:sz w:val="21"/>
          <w:szCs w:val="21"/>
        </w:rPr>
      </w:pPr>
      <w:bookmarkStart w:id="119" w:name="_Toc989006"/>
      <w:r>
        <w:rPr>
          <w:rFonts w:ascii="宋体" w:hAnsi="宋体" w:eastAsia="宋体" w:cs="宋体"/>
          <w:b/>
          <w:bCs/>
          <w:sz w:val="21"/>
          <w:szCs w:val="21"/>
        </w:rPr>
        <w:t>7、其他重大关联交易</w:t>
      </w:r>
      <w:bookmarkEnd w:id="119"/>
    </w:p>
    <w:p w14:paraId="6D8A8EF3">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04F06AFE">
      <w:pPr>
        <w:pStyle w:val="2"/>
        <w:keepNext w:val="0"/>
        <w:keepLines w:val="0"/>
        <w:widowControl/>
        <w:suppressLineNumbers w:val="0"/>
        <w:spacing w:before="0" w:beforeAutospacing="0" w:after="0" w:afterAutospacing="0"/>
        <w:ind w:left="0" w:right="0" w:firstLine="360"/>
        <w:jc w:val="left"/>
        <w:rPr>
          <w:rFonts w:ascii="Calibri" w:hAnsi="Calibri" w:cs="Calibri"/>
          <w:sz w:val="21"/>
          <w:szCs w:val="21"/>
        </w:rPr>
      </w:pPr>
      <w:r>
        <w:rPr>
          <w:rFonts w:hint="eastAsia" w:ascii="宋体" w:hAnsi="宋体" w:eastAsia="宋体" w:cs="宋体"/>
          <w:sz w:val="18"/>
          <w:szCs w:val="18"/>
        </w:rPr>
        <w:t>（1）报告期内，瑞泰来根据经营发展调整需要，经与公司友好协商，双方同意提前终止已签订的7个药品的《技术服务合同》，并签订《终止〈技术服务合同〉协议书》。</w:t>
      </w:r>
    </w:p>
    <w:p w14:paraId="0945A912">
      <w:pPr>
        <w:pStyle w:val="2"/>
        <w:keepNext w:val="0"/>
        <w:keepLines w:val="0"/>
        <w:widowControl/>
        <w:suppressLineNumbers w:val="0"/>
        <w:spacing w:before="0" w:beforeAutospacing="0" w:after="0" w:afterAutospacing="0"/>
        <w:ind w:left="0" w:right="0" w:firstLine="360"/>
        <w:jc w:val="left"/>
        <w:rPr>
          <w:rFonts w:hint="default" w:ascii="Calibri" w:hAnsi="Calibri" w:cs="Calibri"/>
          <w:sz w:val="21"/>
          <w:szCs w:val="21"/>
        </w:rPr>
      </w:pPr>
      <w:r>
        <w:rPr>
          <w:rFonts w:hint="eastAsia" w:ascii="宋体" w:hAnsi="宋体" w:eastAsia="宋体" w:cs="宋体"/>
          <w:sz w:val="18"/>
          <w:szCs w:val="18"/>
        </w:rPr>
        <w:t>2024年3月29日，公司召开第四届董事会第二十九次会议和第四届监事会第二十六次会议，审议通过了《关于终止部分〈技术服务合同〉暨关联交易的议案》，同意公司终止部分《技术服务合同》暨关联交易事项。</w:t>
      </w:r>
    </w:p>
    <w:p w14:paraId="6D1BF365">
      <w:pPr>
        <w:pStyle w:val="2"/>
        <w:keepNext w:val="0"/>
        <w:keepLines w:val="0"/>
        <w:widowControl/>
        <w:suppressLineNumbers w:val="0"/>
        <w:spacing w:before="0" w:beforeAutospacing="0" w:after="0" w:afterAutospacing="0"/>
        <w:ind w:left="0" w:right="0" w:firstLine="360"/>
        <w:jc w:val="left"/>
        <w:rPr>
          <w:rFonts w:hint="default" w:ascii="Calibri" w:hAnsi="Calibri" w:cs="Calibri"/>
          <w:sz w:val="21"/>
          <w:szCs w:val="21"/>
        </w:rPr>
      </w:pPr>
      <w:r>
        <w:rPr>
          <w:rFonts w:hint="eastAsia" w:ascii="宋体" w:hAnsi="宋体" w:eastAsia="宋体" w:cs="宋体"/>
          <w:sz w:val="18"/>
          <w:szCs w:val="18"/>
        </w:rPr>
        <w:t>（2）2024年1月9日，公司召开第四届董事会第二十八次会议，审议通过了《关于对外投资设立控股子公司暨关联交易的议案》，同意公司与关联方福州奥泰九期投资合伙企业（有限合伙）（以下简称“奥泰九期”）共同投资设立广福来（北京）国际生物技术有限公司（以下简称“广福来”）。</w:t>
      </w:r>
    </w:p>
    <w:p w14:paraId="67642580">
      <w:pPr>
        <w:pStyle w:val="2"/>
        <w:keepNext w:val="0"/>
        <w:keepLines w:val="0"/>
        <w:widowControl/>
        <w:suppressLineNumbers w:val="0"/>
        <w:spacing w:before="0" w:beforeAutospacing="0" w:after="0" w:afterAutospacing="0"/>
        <w:ind w:left="0" w:right="0" w:firstLine="360"/>
        <w:jc w:val="left"/>
        <w:rPr>
          <w:rFonts w:hint="default" w:ascii="Calibri" w:hAnsi="Calibri" w:cs="Calibri"/>
          <w:sz w:val="21"/>
          <w:szCs w:val="21"/>
        </w:rPr>
      </w:pPr>
      <w:r>
        <w:rPr>
          <w:rFonts w:hint="eastAsia" w:ascii="宋体" w:hAnsi="宋体" w:eastAsia="宋体" w:cs="宋体"/>
          <w:sz w:val="18"/>
          <w:szCs w:val="18"/>
        </w:rPr>
        <w:t>广福来注册资本为人民币5,000万元，其中公司拟以货币方式出资3,500万元，占广福来注册资本的70%；奥泰九期拟以货币方式出资1,500万元，占广福来注册资本的30%。</w:t>
      </w:r>
    </w:p>
    <w:p w14:paraId="5E9FBFAD">
      <w:pPr>
        <w:spacing w:before="100" w:after="100" w:line="240" w:lineRule="exact"/>
        <w:jc w:val="left"/>
        <w:rPr>
          <w:rFonts w:ascii="宋体" w:hAnsi="宋体" w:eastAsia="宋体" w:cs="宋体"/>
          <w:sz w:val="18"/>
          <w:szCs w:val="18"/>
        </w:rPr>
      </w:pPr>
      <w:r>
        <w:rPr>
          <w:rFonts w:ascii="宋体" w:hAnsi="宋体" w:eastAsia="宋体" w:cs="宋体"/>
          <w:sz w:val="18"/>
          <w:szCs w:val="18"/>
        </w:rPr>
        <w:t>重大关联交易临时报告披露网站相关查询</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F4E9A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491C4C">
            <w:pPr>
              <w:spacing w:before="40" w:after="40" w:line="240" w:lineRule="exact"/>
              <w:jc w:val="center"/>
              <w:rPr>
                <w:rFonts w:ascii="宋体" w:hAnsi="宋体" w:eastAsia="宋体" w:cs="宋体"/>
                <w:sz w:val="18"/>
                <w:szCs w:val="18"/>
              </w:rPr>
            </w:pPr>
            <w:r>
              <w:rPr>
                <w:rFonts w:ascii="宋体" w:hAnsi="宋体" w:eastAsia="宋体" w:cs="宋体"/>
                <w:sz w:val="18"/>
                <w:szCs w:val="18"/>
              </w:rPr>
              <w:t>临时公告名称</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C1BCDAD">
            <w:pPr>
              <w:spacing w:before="40" w:after="40" w:line="240" w:lineRule="exact"/>
              <w:jc w:val="center"/>
              <w:rPr>
                <w:rFonts w:ascii="宋体" w:hAnsi="宋体" w:eastAsia="宋体" w:cs="宋体"/>
                <w:sz w:val="18"/>
                <w:szCs w:val="18"/>
              </w:rPr>
            </w:pPr>
            <w:r>
              <w:rPr>
                <w:rFonts w:ascii="宋体" w:hAnsi="宋体" w:eastAsia="宋体" w:cs="宋体"/>
                <w:sz w:val="18"/>
                <w:szCs w:val="18"/>
              </w:rPr>
              <w:t>临时公告披露日期</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4E71668">
            <w:pPr>
              <w:spacing w:before="40" w:after="40" w:line="240" w:lineRule="exact"/>
              <w:jc w:val="center"/>
              <w:rPr>
                <w:rFonts w:ascii="宋体" w:hAnsi="宋体" w:eastAsia="宋体" w:cs="宋体"/>
                <w:sz w:val="18"/>
                <w:szCs w:val="18"/>
              </w:rPr>
            </w:pPr>
            <w:r>
              <w:rPr>
                <w:rFonts w:ascii="宋体" w:hAnsi="宋体" w:eastAsia="宋体" w:cs="宋体"/>
                <w:sz w:val="18"/>
                <w:szCs w:val="18"/>
              </w:rPr>
              <w:t>临时公告披露网站名称</w:t>
            </w:r>
          </w:p>
        </w:tc>
      </w:tr>
      <w:tr w14:paraId="144197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FAE38A4">
            <w:pPr>
              <w:spacing w:before="0" w:after="0" w:line="240" w:lineRule="exact"/>
              <w:jc w:val="left"/>
              <w:rPr>
                <w:rFonts w:ascii="宋体" w:hAnsi="宋体" w:eastAsia="宋体" w:cs="宋体"/>
                <w:sz w:val="18"/>
                <w:szCs w:val="18"/>
              </w:rPr>
            </w:pPr>
            <w:r>
              <w:rPr>
                <w:rFonts w:ascii="宋体" w:hAnsi="宋体" w:eastAsia="宋体" w:cs="宋体"/>
                <w:sz w:val="18"/>
                <w:szCs w:val="18"/>
              </w:rPr>
              <w:t>关于对外投资设立出口业务控股子公司暨关联交易的公告</w:t>
            </w:r>
          </w:p>
        </w:tc>
        <w:tc>
          <w:tcPr>
            <w:tcW w:w="3213" w:type="dxa"/>
            <w:tcBorders>
              <w:top w:val="single" w:color="auto" w:sz="2" w:space="0"/>
              <w:left w:val="single" w:color="auto" w:sz="2" w:space="0"/>
              <w:bottom w:val="single" w:color="auto" w:sz="2" w:space="0"/>
              <w:right w:val="single" w:color="auto" w:sz="2" w:space="0"/>
            </w:tcBorders>
            <w:vAlign w:val="center"/>
          </w:tcPr>
          <w:p w14:paraId="70BC0E58">
            <w:pPr>
              <w:spacing w:before="0" w:after="0" w:line="240" w:lineRule="exact"/>
              <w:jc w:val="left"/>
              <w:rPr>
                <w:rFonts w:ascii="宋体" w:hAnsi="宋体" w:eastAsia="宋体" w:cs="宋体"/>
                <w:sz w:val="18"/>
                <w:szCs w:val="18"/>
              </w:rPr>
            </w:pPr>
            <w:r>
              <w:rPr>
                <w:rFonts w:ascii="宋体" w:hAnsi="宋体" w:eastAsia="宋体" w:cs="宋体"/>
                <w:sz w:val="18"/>
                <w:szCs w:val="18"/>
              </w:rPr>
              <w:t>2024年01月09日</w:t>
            </w:r>
          </w:p>
        </w:tc>
        <w:tc>
          <w:tcPr>
            <w:tcW w:w="3213" w:type="dxa"/>
            <w:tcBorders>
              <w:top w:val="single" w:color="auto" w:sz="2" w:space="0"/>
              <w:left w:val="single" w:color="auto" w:sz="2" w:space="0"/>
              <w:bottom w:val="single" w:color="auto" w:sz="2" w:space="0"/>
              <w:right w:val="single" w:color="auto" w:sz="2" w:space="0"/>
            </w:tcBorders>
            <w:vAlign w:val="center"/>
          </w:tcPr>
          <w:p w14:paraId="03110FC9">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巨潮资讯网（www.cninfo.com.cn）（公告编号：2024003）</w:t>
            </w:r>
          </w:p>
        </w:tc>
      </w:tr>
      <w:tr w14:paraId="4032B9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F90492D">
            <w:pPr>
              <w:spacing w:before="0" w:after="0" w:line="240" w:lineRule="exact"/>
              <w:jc w:val="left"/>
              <w:rPr>
                <w:rFonts w:ascii="宋体" w:hAnsi="宋体" w:eastAsia="宋体" w:cs="宋体"/>
                <w:sz w:val="18"/>
                <w:szCs w:val="18"/>
              </w:rPr>
            </w:pPr>
            <w:r>
              <w:rPr>
                <w:rFonts w:ascii="宋体" w:hAnsi="宋体" w:eastAsia="宋体" w:cs="宋体"/>
                <w:sz w:val="18"/>
                <w:szCs w:val="18"/>
              </w:rPr>
              <w:t>关于拟终止部分《技术服务合同》暨关联交易的公告</w:t>
            </w:r>
          </w:p>
        </w:tc>
        <w:tc>
          <w:tcPr>
            <w:tcW w:w="3213" w:type="dxa"/>
            <w:tcBorders>
              <w:top w:val="single" w:color="auto" w:sz="2" w:space="0"/>
              <w:left w:val="single" w:color="auto" w:sz="2" w:space="0"/>
              <w:bottom w:val="single" w:color="auto" w:sz="2" w:space="0"/>
              <w:right w:val="single" w:color="auto" w:sz="2" w:space="0"/>
            </w:tcBorders>
            <w:vAlign w:val="center"/>
          </w:tcPr>
          <w:p w14:paraId="54872A7F">
            <w:pPr>
              <w:spacing w:before="0" w:after="0" w:line="240" w:lineRule="exact"/>
              <w:jc w:val="left"/>
              <w:rPr>
                <w:rFonts w:ascii="宋体" w:hAnsi="宋体" w:eastAsia="宋体" w:cs="宋体"/>
                <w:sz w:val="18"/>
                <w:szCs w:val="18"/>
              </w:rPr>
            </w:pPr>
            <w:r>
              <w:rPr>
                <w:rFonts w:ascii="宋体" w:hAnsi="宋体" w:eastAsia="宋体" w:cs="宋体"/>
                <w:sz w:val="18"/>
                <w:szCs w:val="18"/>
              </w:rPr>
              <w:t>2024年04月01日</w:t>
            </w:r>
          </w:p>
        </w:tc>
        <w:tc>
          <w:tcPr>
            <w:tcW w:w="3213" w:type="dxa"/>
            <w:tcBorders>
              <w:top w:val="single" w:color="auto" w:sz="2" w:space="0"/>
              <w:left w:val="single" w:color="auto" w:sz="2" w:space="0"/>
              <w:bottom w:val="single" w:color="auto" w:sz="2" w:space="0"/>
              <w:right w:val="single" w:color="auto" w:sz="2" w:space="0"/>
            </w:tcBorders>
            <w:vAlign w:val="center"/>
          </w:tcPr>
          <w:p w14:paraId="417018DF">
            <w:pPr>
              <w:spacing w:before="0" w:after="0" w:line="240" w:lineRule="exact"/>
              <w:jc w:val="left"/>
              <w:rPr>
                <w:rFonts w:ascii="宋体" w:hAnsi="宋体" w:eastAsia="宋体" w:cs="宋体"/>
                <w:sz w:val="18"/>
                <w:szCs w:val="18"/>
              </w:rPr>
            </w:pPr>
            <w:r>
              <w:rPr>
                <w:rFonts w:ascii="宋体" w:hAnsi="宋体" w:eastAsia="宋体" w:cs="宋体"/>
                <w:sz w:val="18"/>
                <w:szCs w:val="18"/>
              </w:rPr>
              <w:t>巨潮资讯网（www.cninfo.com.cn）（公告编号：2024018）</w:t>
            </w:r>
          </w:p>
        </w:tc>
      </w:tr>
    </w:tbl>
    <w:p w14:paraId="799E988F">
      <w:pPr>
        <w:keepNext/>
        <w:keepLines/>
        <w:spacing w:before="300" w:after="300" w:line="320" w:lineRule="exact"/>
        <w:jc w:val="left"/>
        <w:outlineLvl w:val="1"/>
        <w:rPr>
          <w:rFonts w:ascii="宋体" w:hAnsi="宋体" w:eastAsia="宋体" w:cs="宋体"/>
          <w:b/>
          <w:bCs/>
          <w:sz w:val="24"/>
          <w:szCs w:val="24"/>
        </w:rPr>
      </w:pPr>
      <w:bookmarkStart w:id="120" w:name="_Toc989007"/>
      <w:r>
        <w:rPr>
          <w:rFonts w:ascii="宋体" w:hAnsi="宋体" w:eastAsia="宋体" w:cs="宋体"/>
          <w:b/>
          <w:bCs/>
          <w:sz w:val="24"/>
          <w:szCs w:val="24"/>
        </w:rPr>
        <w:t>十五、重大合同及其履行情况</w:t>
      </w:r>
      <w:bookmarkEnd w:id="120"/>
    </w:p>
    <w:p w14:paraId="08EFD2B7">
      <w:pPr>
        <w:keepNext/>
        <w:keepLines/>
        <w:spacing w:before="300" w:after="300" w:line="280" w:lineRule="exact"/>
        <w:jc w:val="left"/>
        <w:outlineLvl w:val="2"/>
        <w:rPr>
          <w:rFonts w:ascii="宋体" w:hAnsi="宋体" w:eastAsia="宋体" w:cs="宋体"/>
          <w:b/>
          <w:bCs/>
          <w:sz w:val="21"/>
          <w:szCs w:val="21"/>
        </w:rPr>
      </w:pPr>
      <w:bookmarkStart w:id="121" w:name="_Toc989008"/>
      <w:r>
        <w:rPr>
          <w:rFonts w:ascii="宋体" w:hAnsi="宋体" w:eastAsia="宋体" w:cs="宋体"/>
          <w:b/>
          <w:bCs/>
          <w:sz w:val="21"/>
          <w:szCs w:val="21"/>
        </w:rPr>
        <w:t>1、托管、承包、租赁事项情况</w:t>
      </w:r>
      <w:bookmarkEnd w:id="121"/>
    </w:p>
    <w:p w14:paraId="31402934">
      <w:pPr>
        <w:keepNext/>
        <w:keepLines/>
        <w:spacing w:before="300" w:after="300" w:line="280" w:lineRule="exact"/>
        <w:jc w:val="left"/>
        <w:outlineLvl w:val="3"/>
        <w:rPr>
          <w:rFonts w:ascii="宋体" w:hAnsi="宋体" w:eastAsia="宋体" w:cs="宋体"/>
          <w:b/>
          <w:bCs/>
          <w:sz w:val="18"/>
          <w:szCs w:val="18"/>
        </w:rPr>
      </w:pPr>
      <w:bookmarkStart w:id="122" w:name="_Toc989009"/>
      <w:r>
        <w:rPr>
          <w:rFonts w:ascii="宋体" w:hAnsi="宋体" w:eastAsia="宋体" w:cs="宋体"/>
          <w:b/>
          <w:bCs/>
          <w:sz w:val="18"/>
          <w:szCs w:val="18"/>
        </w:rPr>
        <w:t>（1） 托管情况</w:t>
      </w:r>
      <w:bookmarkEnd w:id="122"/>
    </w:p>
    <w:p w14:paraId="109B552D">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C3BCE8B">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公司报告期不存在托管情况。</w:t>
      </w:r>
    </w:p>
    <w:p w14:paraId="3084515F">
      <w:pPr>
        <w:keepNext/>
        <w:keepLines/>
        <w:spacing w:before="300" w:after="300" w:line="280" w:lineRule="exact"/>
        <w:jc w:val="left"/>
        <w:outlineLvl w:val="3"/>
        <w:rPr>
          <w:rFonts w:ascii="宋体" w:hAnsi="宋体" w:eastAsia="宋体" w:cs="宋体"/>
          <w:b/>
          <w:bCs/>
          <w:sz w:val="18"/>
          <w:szCs w:val="18"/>
        </w:rPr>
      </w:pPr>
      <w:bookmarkStart w:id="123" w:name="_Toc989010"/>
      <w:r>
        <w:rPr>
          <w:rFonts w:ascii="宋体" w:hAnsi="宋体" w:eastAsia="宋体" w:cs="宋体"/>
          <w:b/>
          <w:bCs/>
          <w:sz w:val="18"/>
          <w:szCs w:val="18"/>
        </w:rPr>
        <w:t>（2） 承包情况</w:t>
      </w:r>
      <w:bookmarkEnd w:id="123"/>
    </w:p>
    <w:p w14:paraId="70488C8D">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7FFB6D6">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公司报告期不存在承包情况。</w:t>
      </w:r>
    </w:p>
    <w:p w14:paraId="6C208F42">
      <w:pPr>
        <w:keepNext/>
        <w:keepLines/>
        <w:spacing w:before="300" w:after="300" w:line="280" w:lineRule="exact"/>
        <w:jc w:val="left"/>
        <w:outlineLvl w:val="3"/>
        <w:rPr>
          <w:rFonts w:ascii="宋体" w:hAnsi="宋体" w:eastAsia="宋体" w:cs="宋体"/>
          <w:b/>
          <w:bCs/>
          <w:sz w:val="18"/>
          <w:szCs w:val="18"/>
        </w:rPr>
      </w:pPr>
      <w:bookmarkStart w:id="124" w:name="_Toc989011"/>
      <w:r>
        <w:rPr>
          <w:rFonts w:ascii="宋体" w:hAnsi="宋体" w:eastAsia="宋体" w:cs="宋体"/>
          <w:b/>
          <w:bCs/>
          <w:sz w:val="18"/>
          <w:szCs w:val="18"/>
        </w:rPr>
        <w:t>（3） 租赁情况</w:t>
      </w:r>
      <w:bookmarkEnd w:id="124"/>
    </w:p>
    <w:p w14:paraId="204965ED">
      <w:pPr>
        <w:spacing w:before="100" w:after="100" w:line="240" w:lineRule="exact"/>
        <w:jc w:val="left"/>
        <w:rPr>
          <w:rFonts w:ascii="宋体" w:hAnsi="宋体" w:eastAsia="宋体" w:cs="宋体"/>
          <w:sz w:val="18"/>
          <w:szCs w:val="18"/>
        </w:rPr>
      </w:pPr>
      <w:r>
        <w:rPr>
          <w:rFonts w:hint="eastAsia" w:ascii="宋体" w:hAnsi="宋体" w:cs="宋体"/>
          <w:sz w:val="18"/>
          <w:szCs w:val="18"/>
          <w:lang w:eastAsia="zh-CN"/>
        </w:rPr>
        <w:t>☑</w:t>
      </w:r>
      <w:r>
        <w:rPr>
          <w:rFonts w:ascii="宋体" w:hAnsi="宋体" w:eastAsia="宋体" w:cs="宋体"/>
          <w:sz w:val="18"/>
          <w:szCs w:val="18"/>
        </w:rPr>
        <w:t xml:space="preserve">适用 </w:t>
      </w:r>
      <w:r>
        <w:rPr>
          <w:rFonts w:ascii="宋体" w:hAnsi="宋体" w:eastAsia="宋体" w:cs="宋体"/>
          <w:sz w:val="18"/>
          <w:szCs w:val="18"/>
        </w:rPr>
        <w:sym w:font="Wingdings 2" w:char="00A3"/>
      </w:r>
      <w:r>
        <w:rPr>
          <w:rFonts w:ascii="宋体" w:hAnsi="宋体" w:eastAsia="宋体" w:cs="宋体"/>
          <w:sz w:val="18"/>
          <w:szCs w:val="18"/>
        </w:rPr>
        <w:t>不适用</w:t>
      </w:r>
    </w:p>
    <w:p w14:paraId="27F44AA3">
      <w:pPr>
        <w:spacing w:before="100" w:after="100" w:line="240" w:lineRule="exact"/>
        <w:rPr>
          <w:rFonts w:ascii="宋体" w:hAnsi="宋体" w:eastAsia="宋体" w:cs="宋体"/>
          <w:sz w:val="18"/>
          <w:szCs w:val="18"/>
        </w:rPr>
      </w:pPr>
      <w:r>
        <w:rPr>
          <w:rFonts w:ascii="宋体" w:hAnsi="宋体" w:eastAsia="宋体" w:cs="宋体"/>
          <w:sz w:val="18"/>
          <w:szCs w:val="18"/>
        </w:rPr>
        <w:t>租赁情况说明</w:t>
      </w:r>
    </w:p>
    <w:p w14:paraId="61E00C48">
      <w:pPr>
        <w:pStyle w:val="2"/>
        <w:spacing w:before="0" w:beforeAutospacing="0" w:after="0" w:afterAutospacing="0" w:line="240" w:lineRule="atLeast"/>
        <w:ind w:firstLine="357"/>
        <w:rPr>
          <w:rFonts w:hint="eastAsia" w:ascii="宋体" w:hAnsi="宋体" w:eastAsia="宋体" w:cs="宋体"/>
        </w:rPr>
      </w:pPr>
      <w:r>
        <w:rPr>
          <w:rFonts w:hint="eastAsia" w:ascii="宋体" w:hAnsi="宋体" w:eastAsia="宋体" w:cs="宋体"/>
          <w:color w:val="000000"/>
          <w:sz w:val="18"/>
          <w:szCs w:val="18"/>
        </w:rPr>
        <w:t>1、公司分别与阿吉安（福州）基因医学检验实验室有限公司、福州吉昂医学检验实验室有限公司、福州壹澄壹实业发展有限公司签订《房屋租赁合同》，将公司坐落在福建省福州高新区乌龙江中大道7#创新园二期16号楼7层、18层及4-6层房屋出租给阿吉安福州、吉昂医学及壹澄壹实业用于其办公、研发等经营使用。</w:t>
      </w:r>
    </w:p>
    <w:p w14:paraId="6B44016B">
      <w:pPr>
        <w:pStyle w:val="2"/>
        <w:spacing w:before="0" w:beforeAutospacing="0" w:after="0" w:afterAutospacing="0" w:line="240" w:lineRule="atLeast"/>
        <w:ind w:firstLine="357"/>
        <w:rPr>
          <w:rFonts w:hint="eastAsia" w:ascii="宋体" w:hAnsi="宋体" w:eastAsia="宋体" w:cs="宋体"/>
        </w:rPr>
      </w:pPr>
      <w:r>
        <w:rPr>
          <w:rFonts w:hint="eastAsia" w:ascii="宋体" w:hAnsi="宋体" w:eastAsia="宋体" w:cs="宋体"/>
          <w:color w:val="000000"/>
          <w:sz w:val="18"/>
          <w:szCs w:val="18"/>
        </w:rPr>
        <w:t>其中阿吉安福州、吉昂医学租赁期限均为：自2021年10月01日至2027年2月28日，2021年10月1日-2022年2月28日为免租期；并协定2022年1月31日前仍未能取得产权证，将继续免租至取得产权证后一个月，租赁期相应顺延。我司已于2022年4月24日取得不动产权证并已告知贵方，按照双方签订的《房屋租赁合同》约定的条款，2022年5月25日起计算租金。租金期限内合同租金总额分别为人民币370.56万元和243.84万元；</w:t>
      </w:r>
    </w:p>
    <w:p w14:paraId="2AF748DA">
      <w:pPr>
        <w:pStyle w:val="2"/>
        <w:spacing w:before="0" w:beforeAutospacing="0" w:after="0" w:afterAutospacing="0" w:line="240" w:lineRule="atLeast"/>
        <w:ind w:firstLine="357"/>
        <w:rPr>
          <w:rFonts w:hint="eastAsia" w:ascii="宋体" w:hAnsi="宋体" w:eastAsia="宋体" w:cs="宋体"/>
        </w:rPr>
      </w:pPr>
      <w:r>
        <w:rPr>
          <w:rFonts w:hint="eastAsia" w:ascii="宋体" w:hAnsi="宋体" w:eastAsia="宋体" w:cs="宋体"/>
          <w:color w:val="000000"/>
          <w:sz w:val="18"/>
          <w:szCs w:val="18"/>
        </w:rPr>
        <w:t>壹澄壹实业租赁期限：自2022年6月15日至2032年11月14日，2022年5月15日至2022年6月14日为免租金的进场相关审批手续办理期，2022年6月15日至2022年11月14日为免租金的装修期。租金期限内合同租金总额为1,785.49万元。</w:t>
      </w:r>
    </w:p>
    <w:p w14:paraId="085982F3">
      <w:pPr>
        <w:pStyle w:val="2"/>
        <w:spacing w:before="0" w:beforeAutospacing="0" w:after="0" w:afterAutospacing="0" w:line="240" w:lineRule="atLeast"/>
        <w:ind w:firstLine="360"/>
        <w:rPr>
          <w:rFonts w:hint="eastAsia" w:ascii="宋体" w:hAnsi="宋体" w:eastAsia="宋体" w:cs="宋体"/>
          <w:sz w:val="18"/>
          <w:szCs w:val="18"/>
        </w:rPr>
      </w:pPr>
      <w:r>
        <w:rPr>
          <w:rFonts w:hint="eastAsia" w:ascii="宋体" w:hAnsi="宋体" w:eastAsia="宋体" w:cs="宋体"/>
          <w:color w:val="000000"/>
          <w:sz w:val="18"/>
          <w:szCs w:val="18"/>
        </w:rPr>
        <w:t>2、公司及子公司其他租赁为其办公场所、用品等相关租赁，涉及金额较小。</w:t>
      </w:r>
    </w:p>
    <w:p w14:paraId="5F5D1125">
      <w:pPr>
        <w:keepNext/>
        <w:keepLines/>
        <w:spacing w:before="300" w:after="300" w:line="280" w:lineRule="exact"/>
        <w:jc w:val="left"/>
        <w:outlineLvl w:val="2"/>
        <w:rPr>
          <w:rFonts w:ascii="宋体" w:hAnsi="宋体" w:eastAsia="宋体" w:cs="宋体"/>
          <w:b/>
          <w:bCs/>
          <w:sz w:val="21"/>
          <w:szCs w:val="21"/>
        </w:rPr>
      </w:pPr>
      <w:bookmarkStart w:id="125" w:name="_Toc989012"/>
      <w:r>
        <w:rPr>
          <w:rFonts w:ascii="宋体" w:hAnsi="宋体" w:eastAsia="宋体" w:cs="宋体"/>
          <w:b/>
          <w:bCs/>
          <w:sz w:val="21"/>
          <w:szCs w:val="21"/>
        </w:rPr>
        <w:t>2、重大担保</w:t>
      </w:r>
      <w:bookmarkEnd w:id="125"/>
    </w:p>
    <w:p w14:paraId="51BE48AF">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43295A7">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公司报告期不存在重大担保情况。</w:t>
      </w:r>
    </w:p>
    <w:p w14:paraId="51B46061">
      <w:pPr>
        <w:spacing w:before="100" w:after="100" w:line="240" w:lineRule="exact"/>
        <w:jc w:val="left"/>
        <w:rPr>
          <w:rFonts w:ascii="宋体" w:hAnsi="宋体" w:eastAsia="宋体" w:cs="宋体"/>
          <w:sz w:val="18"/>
          <w:szCs w:val="18"/>
        </w:rPr>
      </w:pPr>
      <w:r>
        <w:rPr>
          <w:rFonts w:hint="eastAsia" w:ascii="宋体" w:hAnsi="宋体" w:eastAsia="宋体" w:cs="宋体"/>
          <w:sz w:val="18"/>
          <w:szCs w:val="18"/>
        </w:rPr>
        <w:t>注：</w:t>
      </w:r>
      <w:r>
        <w:rPr>
          <w:rFonts w:ascii="宋体" w:hAnsi="宋体" w:eastAsia="宋体" w:cs="宋体"/>
          <w:sz w:val="18"/>
          <w:szCs w:val="18"/>
        </w:rPr>
        <w:t>报告期内，为满足日常经营资金需求，公司向上海浦东发展银行股份有限公司福州分行申请人民币 2,000 万元流动资金贷款、开立银行承兑汇票等授信业务的综合授信额度，公司控股子公司广生中霖为公司上述融资事项提供连带责任保证。</w:t>
      </w:r>
    </w:p>
    <w:p w14:paraId="1C8BDA07">
      <w:pPr>
        <w:keepNext/>
        <w:keepLines/>
        <w:spacing w:before="300" w:after="300" w:line="280" w:lineRule="exact"/>
        <w:jc w:val="left"/>
        <w:outlineLvl w:val="2"/>
        <w:rPr>
          <w:rFonts w:ascii="宋体" w:hAnsi="宋体" w:eastAsia="宋体" w:cs="宋体"/>
          <w:b/>
          <w:bCs/>
          <w:sz w:val="21"/>
          <w:szCs w:val="21"/>
        </w:rPr>
      </w:pPr>
      <w:bookmarkStart w:id="126" w:name="_Toc989013"/>
      <w:r>
        <w:rPr>
          <w:rFonts w:ascii="宋体" w:hAnsi="宋体" w:eastAsia="宋体" w:cs="宋体"/>
          <w:b/>
          <w:bCs/>
          <w:sz w:val="21"/>
          <w:szCs w:val="21"/>
        </w:rPr>
        <w:t>3、委托他人进行现金资产管理情况</w:t>
      </w:r>
      <w:bookmarkEnd w:id="126"/>
    </w:p>
    <w:p w14:paraId="42D7B5D5">
      <w:pPr>
        <w:keepNext/>
        <w:keepLines/>
        <w:spacing w:before="300" w:after="300" w:line="280" w:lineRule="exact"/>
        <w:jc w:val="left"/>
        <w:outlineLvl w:val="3"/>
        <w:rPr>
          <w:rFonts w:ascii="宋体" w:hAnsi="宋体" w:eastAsia="宋体" w:cs="宋体"/>
          <w:b/>
          <w:bCs/>
          <w:sz w:val="18"/>
          <w:szCs w:val="18"/>
        </w:rPr>
      </w:pPr>
      <w:bookmarkStart w:id="127" w:name="_Toc989014"/>
      <w:r>
        <w:rPr>
          <w:rFonts w:ascii="宋体" w:hAnsi="宋体" w:eastAsia="宋体" w:cs="宋体"/>
          <w:b/>
          <w:bCs/>
          <w:sz w:val="18"/>
          <w:szCs w:val="18"/>
        </w:rPr>
        <w:t>（1） 委托理财情况</w:t>
      </w:r>
      <w:bookmarkEnd w:id="127"/>
    </w:p>
    <w:p w14:paraId="2681E9B3">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226A714">
      <w:pPr>
        <w:spacing w:before="40" w:after="40" w:line="240" w:lineRule="exact"/>
        <w:jc w:val="left"/>
        <w:rPr>
          <w:rFonts w:ascii="宋体" w:hAnsi="宋体" w:eastAsia="宋体" w:cs="宋体"/>
          <w:sz w:val="18"/>
          <w:szCs w:val="18"/>
        </w:rPr>
      </w:pPr>
      <w:r>
        <w:rPr>
          <w:rFonts w:ascii="宋体" w:hAnsi="宋体" w:eastAsia="宋体" w:cs="宋体"/>
          <w:sz w:val="18"/>
          <w:szCs w:val="18"/>
        </w:rPr>
        <w:t>公司报告期不存在委托理财。</w:t>
      </w:r>
    </w:p>
    <w:p w14:paraId="4B37ABB7">
      <w:pPr>
        <w:keepNext/>
        <w:keepLines/>
        <w:spacing w:before="300" w:after="300" w:line="280" w:lineRule="exact"/>
        <w:jc w:val="left"/>
        <w:outlineLvl w:val="3"/>
        <w:rPr>
          <w:rFonts w:ascii="宋体" w:hAnsi="宋体" w:eastAsia="宋体" w:cs="宋体"/>
          <w:b/>
          <w:bCs/>
          <w:sz w:val="18"/>
          <w:szCs w:val="18"/>
        </w:rPr>
      </w:pPr>
      <w:bookmarkStart w:id="128" w:name="_Toc989015"/>
      <w:r>
        <w:rPr>
          <w:rFonts w:ascii="宋体" w:hAnsi="宋体" w:eastAsia="宋体" w:cs="宋体"/>
          <w:b/>
          <w:bCs/>
          <w:sz w:val="18"/>
          <w:szCs w:val="18"/>
        </w:rPr>
        <w:t>（2） 委托贷款情况</w:t>
      </w:r>
      <w:bookmarkEnd w:id="128"/>
    </w:p>
    <w:p w14:paraId="5664295A">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25D2C11">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公司报告期不存在委托贷款。</w:t>
      </w:r>
    </w:p>
    <w:p w14:paraId="3BBBA01B">
      <w:pPr>
        <w:keepNext/>
        <w:keepLines/>
        <w:spacing w:before="300" w:after="300" w:line="280" w:lineRule="exact"/>
        <w:jc w:val="left"/>
        <w:outlineLvl w:val="2"/>
        <w:rPr>
          <w:rFonts w:ascii="宋体" w:hAnsi="宋体" w:eastAsia="宋体" w:cs="宋体"/>
          <w:b/>
          <w:bCs/>
          <w:sz w:val="21"/>
          <w:szCs w:val="21"/>
        </w:rPr>
      </w:pPr>
      <w:bookmarkStart w:id="129" w:name="_Toc989016"/>
      <w:r>
        <w:rPr>
          <w:rFonts w:ascii="宋体" w:hAnsi="宋体" w:eastAsia="宋体" w:cs="宋体"/>
          <w:b/>
          <w:bCs/>
          <w:sz w:val="21"/>
          <w:szCs w:val="21"/>
        </w:rPr>
        <w:t>4、其他重大合同</w:t>
      </w:r>
      <w:bookmarkEnd w:id="129"/>
    </w:p>
    <w:p w14:paraId="549A576B">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4E2CB75">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公司报告期不存在其他重大合同。</w:t>
      </w:r>
    </w:p>
    <w:p w14:paraId="448F39BE">
      <w:pPr>
        <w:keepNext/>
        <w:keepLines/>
        <w:spacing w:before="300" w:after="300" w:line="320" w:lineRule="exact"/>
        <w:jc w:val="left"/>
        <w:outlineLvl w:val="1"/>
        <w:rPr>
          <w:rFonts w:ascii="宋体" w:hAnsi="宋体" w:eastAsia="宋体" w:cs="宋体"/>
          <w:b/>
          <w:bCs/>
          <w:sz w:val="24"/>
          <w:szCs w:val="24"/>
        </w:rPr>
      </w:pPr>
      <w:bookmarkStart w:id="130" w:name="_Toc989017"/>
      <w:r>
        <w:rPr>
          <w:rFonts w:ascii="宋体" w:hAnsi="宋体" w:eastAsia="宋体" w:cs="宋体"/>
          <w:b/>
          <w:bCs/>
          <w:sz w:val="24"/>
          <w:szCs w:val="24"/>
        </w:rPr>
        <w:t>十六、其他重大事项的说明</w:t>
      </w:r>
      <w:bookmarkEnd w:id="130"/>
    </w:p>
    <w:p w14:paraId="62A9D37E">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6DAE391F">
      <w:pPr>
        <w:pStyle w:val="2"/>
        <w:keepNext w:val="0"/>
        <w:keepLines w:val="0"/>
        <w:widowControl/>
        <w:suppressLineNumbers w:val="0"/>
        <w:spacing w:before="0" w:beforeAutospacing="0" w:after="0" w:afterAutospacing="0"/>
        <w:ind w:left="0" w:firstLine="360"/>
        <w:rPr>
          <w:rFonts w:hint="eastAsia" w:ascii="宋体" w:hAnsi="宋体" w:eastAsia="宋体" w:cs="宋体"/>
          <w:sz w:val="24"/>
          <w:szCs w:val="24"/>
        </w:rPr>
      </w:pPr>
      <w:r>
        <w:rPr>
          <w:rFonts w:hint="eastAsia" w:ascii="宋体" w:hAnsi="宋体" w:eastAsia="宋体" w:cs="宋体"/>
          <w:b/>
          <w:bCs/>
          <w:sz w:val="18"/>
          <w:szCs w:val="18"/>
        </w:rPr>
        <w:t>1、完成董事会、监事会换届选举和高级管理人员聘任</w:t>
      </w:r>
    </w:p>
    <w:p w14:paraId="48BF66A6">
      <w:pPr>
        <w:pStyle w:val="2"/>
        <w:keepNext w:val="0"/>
        <w:keepLines w:val="0"/>
        <w:widowControl/>
        <w:suppressLineNumbers w:val="0"/>
        <w:spacing w:before="0" w:beforeAutospacing="0" w:after="0" w:afterAutospacing="0"/>
        <w:ind w:left="0" w:firstLine="360"/>
        <w:rPr>
          <w:rFonts w:hint="eastAsia" w:ascii="宋体" w:hAnsi="宋体" w:eastAsia="宋体" w:cs="宋体"/>
          <w:sz w:val="18"/>
          <w:szCs w:val="18"/>
        </w:rPr>
      </w:pPr>
      <w:r>
        <w:rPr>
          <w:rFonts w:hint="eastAsia" w:ascii="宋体" w:hAnsi="宋体" w:eastAsia="宋体" w:cs="宋体"/>
          <w:sz w:val="18"/>
          <w:szCs w:val="18"/>
        </w:rPr>
        <w:t>公司于2024年6月21日召开职工代表大会，2024年6月24日召开2024年第二次临时股东大会、第五届董事会第一次会议、第五届监事会第一次会议，完成董事会、监事会换届选举，及高级管理人员、证券事务代表和内部审计部门负责人的聘任。</w:t>
      </w:r>
    </w:p>
    <w:p w14:paraId="3423A046">
      <w:pPr>
        <w:widowControl/>
        <w:numPr>
          <w:ilvl w:val="0"/>
          <w:numId w:val="0"/>
        </w:numPr>
        <w:ind w:firstLine="360" w:firstLineChars="200"/>
        <w:jc w:val="left"/>
        <w:rPr>
          <w:rFonts w:hint="default" w:ascii="宋体" w:hAnsi="宋体" w:eastAsia="宋体" w:cs="宋体"/>
          <w:b/>
          <w:bCs/>
          <w:kern w:val="2"/>
          <w:sz w:val="18"/>
          <w:szCs w:val="18"/>
          <w:lang w:val="en-US" w:eastAsia="zh-CN" w:bidi="ar-SA"/>
        </w:rPr>
      </w:pPr>
      <w:r>
        <w:rPr>
          <w:rFonts w:hint="eastAsia" w:ascii="宋体" w:hAnsi="宋体" w:cs="宋体"/>
          <w:b/>
          <w:bCs/>
          <w:kern w:val="2"/>
          <w:sz w:val="18"/>
          <w:szCs w:val="18"/>
          <w:lang w:val="en-US" w:eastAsia="zh-CN" w:bidi="ar-SA"/>
        </w:rPr>
        <w:t>2</w:t>
      </w:r>
      <w:r>
        <w:rPr>
          <w:rFonts w:hint="eastAsia" w:ascii="宋体" w:hAnsi="宋体" w:eastAsia="宋体" w:cs="宋体"/>
          <w:b/>
          <w:bCs/>
          <w:kern w:val="2"/>
          <w:sz w:val="18"/>
          <w:szCs w:val="18"/>
          <w:lang w:val="en-US" w:eastAsia="zh-CN" w:bidi="ar-SA"/>
        </w:rPr>
        <w:t>、乙肝治疗创新药表面抗原抑制剂GST-HG131获得IIa期临床试验研究阶段性结果</w:t>
      </w:r>
    </w:p>
    <w:p w14:paraId="738CEA78">
      <w:pPr>
        <w:widowControl/>
        <w:numPr>
          <w:ilvl w:val="0"/>
          <w:numId w:val="0"/>
        </w:numPr>
        <w:ind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乙肝治疗创新药口服表面抗原抑制剂GST-HG131已完成慢性乙型肝炎（CHB）IIa期临床试验第一组研究，取得显著优于安慰剂对照的正面疗效，符合研究预期。本次GST-HG131获得IIa期临床试验研究（第一组）阶段性研究结果，不代表IIa期临床试验已全部成功完成并达到研究终点。公司将按照药物临床试验相关指导原则，结合国内外临床治疗实践，组织实施好后续临床试验，并及时履行信息披露义务。</w:t>
      </w:r>
    </w:p>
    <w:p w14:paraId="1A17D851">
      <w:pPr>
        <w:widowControl/>
        <w:numPr>
          <w:ilvl w:val="0"/>
          <w:numId w:val="0"/>
        </w:numPr>
        <w:ind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val="en-US" w:eastAsia="zh-CN" w:bidi="ar"/>
        </w:rPr>
        <w:t>具体内容详见公司披露在巨潮资讯网（www.cninfo.com.cn）的《关于乙肝治疗创新药表面抗原抑制剂GST-HG131获得IIa期临床试验研究阶段性结果公告》（公告编号：2024066）。</w:t>
      </w:r>
    </w:p>
    <w:p w14:paraId="26C1BD3C">
      <w:pPr>
        <w:widowControl/>
        <w:numPr>
          <w:ilvl w:val="0"/>
          <w:numId w:val="0"/>
        </w:numPr>
        <w:ind w:firstLine="360" w:firstLineChars="200"/>
        <w:jc w:val="left"/>
        <w:rPr>
          <w:rFonts w:hint="eastAsia" w:ascii="宋体" w:hAnsi="宋体" w:eastAsia="宋体" w:cs="宋体"/>
          <w:kern w:val="2"/>
          <w:sz w:val="18"/>
          <w:szCs w:val="18"/>
          <w:lang w:val="en-US" w:eastAsia="zh-CN" w:bidi="ar-SA"/>
        </w:rPr>
      </w:pPr>
      <w:r>
        <w:rPr>
          <w:rFonts w:hint="eastAsia" w:ascii="宋体" w:hAnsi="宋体" w:cs="宋体"/>
          <w:b/>
          <w:bCs/>
          <w:kern w:val="2"/>
          <w:sz w:val="18"/>
          <w:szCs w:val="18"/>
          <w:lang w:val="en-US" w:eastAsia="zh-CN" w:bidi="ar-SA"/>
        </w:rPr>
        <w:t>3</w:t>
      </w:r>
      <w:r>
        <w:rPr>
          <w:rFonts w:hint="eastAsia" w:ascii="宋体" w:hAnsi="宋体" w:eastAsia="宋体" w:cs="宋体"/>
          <w:b/>
          <w:bCs/>
          <w:kern w:val="2"/>
          <w:sz w:val="18"/>
          <w:szCs w:val="18"/>
          <w:lang w:val="en-US" w:eastAsia="zh-CN" w:bidi="ar-SA"/>
        </w:rPr>
        <w:t>、乙肝治疗创新药奈瑞可韦GST-HG141纳入突破性治疗品种名单</w:t>
      </w:r>
    </w:p>
    <w:p w14:paraId="16FEC7AE">
      <w:pPr>
        <w:widowControl/>
        <w:numPr>
          <w:ilvl w:val="0"/>
          <w:numId w:val="0"/>
        </w:numPr>
        <w:ind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公司创新药控股子公司广生中霖的乙肝治疗创新药GST-HG141（英文通用名“Neracorvir”，中文通用名“奈瑞可韦”）被国家药品监督管理局药品审评中心（以下简称“药审中心”）纳入突破性治疗品种名单，是对其明显临床优势数据的认可，有望加快药物研发进程。</w:t>
      </w:r>
    </w:p>
    <w:p w14:paraId="48DE776B">
      <w:pPr>
        <w:widowControl/>
        <w:numPr>
          <w:ilvl w:val="0"/>
          <w:numId w:val="0"/>
        </w:numPr>
        <w:ind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val="en-US" w:eastAsia="zh-CN" w:bidi="ar"/>
        </w:rPr>
        <w:t>具体内容详见公司披露在巨潮资讯网（www.cninfo.com.cn）的《关于乙肝治疗创新药奈瑞可韦GST-HG141纳入突破性治疗品种名单的公告》（公告编号：2024083）。</w:t>
      </w:r>
    </w:p>
    <w:p w14:paraId="1A64D9EE">
      <w:pPr>
        <w:widowControl/>
        <w:numPr>
          <w:ilvl w:val="0"/>
          <w:numId w:val="0"/>
        </w:numPr>
        <w:ind w:firstLine="360" w:firstLineChars="200"/>
        <w:jc w:val="left"/>
        <w:rPr>
          <w:rFonts w:hint="default" w:ascii="宋体" w:hAnsi="宋体" w:eastAsia="宋体" w:cs="宋体"/>
          <w:b/>
          <w:bCs/>
          <w:kern w:val="2"/>
          <w:sz w:val="18"/>
          <w:szCs w:val="18"/>
          <w:lang w:val="en-US" w:eastAsia="zh-CN" w:bidi="ar-SA"/>
        </w:rPr>
      </w:pPr>
      <w:r>
        <w:rPr>
          <w:rFonts w:hint="eastAsia" w:ascii="宋体" w:hAnsi="宋体" w:cs="宋体"/>
          <w:b/>
          <w:bCs/>
          <w:kern w:val="2"/>
          <w:sz w:val="18"/>
          <w:szCs w:val="18"/>
          <w:lang w:val="en-US" w:eastAsia="zh-CN" w:bidi="ar-SA"/>
        </w:rPr>
        <w:t>4</w:t>
      </w:r>
      <w:r>
        <w:rPr>
          <w:rFonts w:hint="eastAsia" w:ascii="宋体" w:hAnsi="宋体" w:eastAsia="宋体" w:cs="宋体"/>
          <w:b/>
          <w:bCs/>
          <w:kern w:val="2"/>
          <w:sz w:val="18"/>
          <w:szCs w:val="18"/>
          <w:lang w:val="en-US" w:eastAsia="zh-CN" w:bidi="ar-SA"/>
        </w:rPr>
        <w:t>、控股股东协议转让股份引入战略投资者</w:t>
      </w:r>
    </w:p>
    <w:p w14:paraId="21677126">
      <w:pPr>
        <w:widowControl/>
        <w:numPr>
          <w:ilvl w:val="0"/>
          <w:numId w:val="0"/>
        </w:numPr>
        <w:ind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为了进一步优化公司股东结构，引进长期看好公司发展的战略投资者，持有福建广生堂药业股份有限公司（简称“公司”）股份35,068,651股（占本公司总股本比例22.02%，比例数值为四舍五入所得，下同）的控股股东福建奥华集团有限公司（简称“奥华集团”）将其持有公司的无限售流通股8,000,000股（占公司总股本的5.02%）以协议转让的方式转让给漳州圆山大健康产业投资基金合伙企业(有限合伙)（简称“圆山基金”）。</w:t>
      </w:r>
    </w:p>
    <w:p w14:paraId="043EDA63">
      <w:pPr>
        <w:widowControl/>
        <w:numPr>
          <w:ilvl w:val="0"/>
          <w:numId w:val="0"/>
        </w:numPr>
        <w:ind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2025年1月</w:t>
      </w:r>
      <w:r>
        <w:rPr>
          <w:rFonts w:hint="eastAsia" w:ascii="宋体" w:hAnsi="宋体" w:cs="宋体"/>
          <w:kern w:val="2"/>
          <w:sz w:val="18"/>
          <w:szCs w:val="18"/>
          <w:lang w:val="en-US" w:eastAsia="zh-CN" w:bidi="ar-SA"/>
        </w:rPr>
        <w:t>15日</w:t>
      </w:r>
      <w:r>
        <w:rPr>
          <w:rFonts w:hint="eastAsia" w:ascii="宋体" w:hAnsi="宋体" w:eastAsia="宋体" w:cs="宋体"/>
          <w:kern w:val="2"/>
          <w:sz w:val="18"/>
          <w:szCs w:val="18"/>
          <w:lang w:val="en-US" w:eastAsia="zh-CN" w:bidi="ar-SA"/>
        </w:rPr>
        <w:t>，上述协议转让股份办理完成过户登记手续，奥华集团持有的公司合计数量8,000,000股已转让给圆山基金（证券账户名称：漳州战新创业投资基金管理有限公司－漳州圆山大健康产业投资基金合伙企业（有限合伙）），占公司总股本的5.02%，股份性质为无限售流通股。</w:t>
      </w:r>
    </w:p>
    <w:p w14:paraId="045200FD">
      <w:pPr>
        <w:widowControl/>
        <w:numPr>
          <w:ilvl w:val="0"/>
          <w:numId w:val="0"/>
        </w:numPr>
        <w:ind w:firstLine="360" w:firstLineChars="200"/>
        <w:jc w:val="left"/>
        <w:rPr>
          <w:rFonts w:hint="default" w:ascii="宋体" w:hAnsi="宋体" w:eastAsia="宋体" w:cs="宋体"/>
          <w:kern w:val="2"/>
          <w:sz w:val="18"/>
          <w:szCs w:val="18"/>
          <w:lang w:val="en-US" w:eastAsia="zh-CN" w:bidi="ar-SA"/>
        </w:rPr>
      </w:pPr>
      <w:r>
        <w:rPr>
          <w:rFonts w:hint="eastAsia" w:ascii="宋体" w:hAnsi="宋体" w:eastAsia="宋体" w:cs="宋体"/>
          <w:kern w:val="0"/>
          <w:sz w:val="18"/>
          <w:szCs w:val="18"/>
          <w:lang w:val="en-US" w:eastAsia="zh-CN" w:bidi="ar"/>
        </w:rPr>
        <w:t>具体内容详见公司披露在巨潮资讯网（www.cninfo.com.cn）的《关于控股股东协议转让股份引入战略投资者暨权益变动的提示性公告》（公告编号：2024073）和《关于控股股东协议转让公司部分股份引入战略投资者过户登记完成的公告》（公告编号：2025007）。</w:t>
      </w:r>
    </w:p>
    <w:p w14:paraId="0C879C9C">
      <w:pPr>
        <w:keepNext/>
        <w:keepLines/>
        <w:spacing w:before="300" w:after="300" w:line="320" w:lineRule="exact"/>
        <w:jc w:val="left"/>
        <w:outlineLvl w:val="1"/>
        <w:rPr>
          <w:rFonts w:ascii="宋体" w:hAnsi="宋体" w:eastAsia="宋体" w:cs="宋体"/>
          <w:b/>
          <w:bCs/>
          <w:sz w:val="24"/>
          <w:szCs w:val="24"/>
        </w:rPr>
      </w:pPr>
      <w:bookmarkStart w:id="131" w:name="_Toc989018"/>
      <w:r>
        <w:rPr>
          <w:rFonts w:ascii="宋体" w:hAnsi="宋体" w:eastAsia="宋体" w:cs="宋体"/>
          <w:b/>
          <w:bCs/>
          <w:sz w:val="24"/>
          <w:szCs w:val="24"/>
        </w:rPr>
        <w:t>十七、公司子公司重大事项</w:t>
      </w:r>
      <w:bookmarkEnd w:id="131"/>
    </w:p>
    <w:p w14:paraId="45D302B9">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3A78C51C">
      <w:pPr>
        <w:pStyle w:val="2"/>
        <w:keepNext w:val="0"/>
        <w:keepLines w:val="0"/>
        <w:widowControl/>
        <w:suppressLineNumbers w:val="0"/>
        <w:spacing w:before="0" w:beforeAutospacing="0" w:after="0" w:afterAutospacing="0"/>
        <w:ind w:left="0" w:firstLine="361"/>
        <w:rPr>
          <w:rFonts w:hint="eastAsia" w:ascii="宋体" w:hAnsi="宋体" w:eastAsia="宋体" w:cs="宋体"/>
          <w:sz w:val="24"/>
          <w:szCs w:val="24"/>
        </w:rPr>
      </w:pPr>
      <w:r>
        <w:rPr>
          <w:rFonts w:hint="eastAsia" w:ascii="宋体" w:hAnsi="宋体" w:eastAsia="宋体" w:cs="宋体"/>
          <w:b/>
          <w:bCs/>
          <w:sz w:val="18"/>
          <w:szCs w:val="18"/>
        </w:rPr>
        <w:t>1、对外投资设立出口业务控股子公司暨关联交易</w:t>
      </w:r>
    </w:p>
    <w:p w14:paraId="20D81C26">
      <w:pPr>
        <w:pStyle w:val="2"/>
        <w:keepNext w:val="0"/>
        <w:keepLines w:val="0"/>
        <w:widowControl/>
        <w:suppressLineNumbers w:val="0"/>
        <w:spacing w:before="0" w:beforeAutospacing="0" w:after="0" w:afterAutospacing="0"/>
        <w:ind w:left="0" w:firstLine="360"/>
        <w:rPr>
          <w:rFonts w:hint="eastAsia" w:ascii="宋体" w:hAnsi="宋体" w:eastAsia="宋体" w:cs="宋体"/>
          <w:sz w:val="24"/>
          <w:szCs w:val="24"/>
        </w:rPr>
      </w:pPr>
      <w:r>
        <w:rPr>
          <w:rFonts w:hint="eastAsia" w:ascii="宋体" w:hAnsi="宋体" w:eastAsia="宋体" w:cs="宋体"/>
          <w:sz w:val="18"/>
          <w:szCs w:val="18"/>
        </w:rPr>
        <w:t>公司于2024年1月9日召开第四届董事会第二十八次会议，审议通过了《关于对外投资设立控股子公司暨关联交易的议案》，同意与关联方福州奥泰九期投资合伙企业（有限合伙）共同投资设立广福来（北京）国际生物技术有限公司（以下简称“广福来”）。广福来注册资本为人民币5,000万元，其中公司以货币方式出资3,500万元，占广福来注册资本的70%，福州奥泰九期投资合伙企业（有限合伙）以货币方式出资1,500万元，占广福来注册资本的30%。广福来未来将为实施公司国际化战略，专注于拓展公司药品特别是抗新冠病毒药泰中定的国际化业务领域，推动国际业务规模发展壮大。具体内容详见公司披露在巨潮资讯网（www.cninfo.com.cn）的《关于对外投资设立出口业务控股子公司暨关联交易的公告》（公告编号：2024003）。</w:t>
      </w:r>
    </w:p>
    <w:p w14:paraId="4D666C33">
      <w:pPr>
        <w:pStyle w:val="2"/>
        <w:keepNext w:val="0"/>
        <w:keepLines w:val="0"/>
        <w:widowControl/>
        <w:suppressLineNumbers w:val="0"/>
        <w:spacing w:before="0" w:beforeAutospacing="0" w:after="0" w:afterAutospacing="0"/>
        <w:ind w:left="0" w:firstLine="360"/>
        <w:rPr>
          <w:rFonts w:hint="eastAsia" w:ascii="宋体" w:hAnsi="宋体" w:eastAsia="宋体" w:cs="宋体"/>
          <w:sz w:val="24"/>
          <w:szCs w:val="24"/>
        </w:rPr>
      </w:pPr>
      <w:r>
        <w:rPr>
          <w:rFonts w:hint="eastAsia" w:ascii="宋体" w:hAnsi="宋体" w:eastAsia="宋体" w:cs="宋体"/>
          <w:sz w:val="18"/>
          <w:szCs w:val="18"/>
        </w:rPr>
        <w:t>广福来（北京）国际生物技术有限公司于2024年1月19日完成了工商注册登记，并领取了《营业执照》。具体内容详见公司披露在巨潮资讯网（www.cninfo.com.cn）的《关于对外投资设立控股子公司进展暨取得营业执照的公告》（公告编号：2024008）。</w:t>
      </w:r>
    </w:p>
    <w:p w14:paraId="71EECA57">
      <w:r>
        <w:br w:type="page"/>
      </w:r>
    </w:p>
    <w:p w14:paraId="2C148082">
      <w:pPr>
        <w:keepNext/>
        <w:keepLines/>
        <w:spacing w:before="340" w:after="330" w:line="773" w:lineRule="exact"/>
        <w:jc w:val="center"/>
        <w:outlineLvl w:val="0"/>
        <w:rPr>
          <w:rFonts w:ascii="宋体" w:hAnsi="宋体" w:eastAsia="宋体" w:cs="宋体"/>
          <w:b/>
          <w:bCs/>
          <w:sz w:val="32"/>
          <w:szCs w:val="32"/>
        </w:rPr>
      </w:pPr>
      <w:bookmarkStart w:id="132" w:name="_Toc989019"/>
      <w:r>
        <w:rPr>
          <w:rFonts w:ascii="宋体" w:hAnsi="宋体" w:eastAsia="宋体" w:cs="宋体"/>
          <w:b/>
          <w:bCs/>
          <w:sz w:val="32"/>
          <w:szCs w:val="32"/>
        </w:rPr>
        <w:t>第七节 股份变动及股东情况</w:t>
      </w:r>
      <w:bookmarkEnd w:id="132"/>
    </w:p>
    <w:p w14:paraId="47532C48">
      <w:pPr>
        <w:keepNext/>
        <w:keepLines/>
        <w:spacing w:before="300" w:after="300" w:line="320" w:lineRule="exact"/>
        <w:jc w:val="left"/>
        <w:outlineLvl w:val="1"/>
        <w:rPr>
          <w:rFonts w:ascii="宋体" w:hAnsi="宋体" w:eastAsia="宋体" w:cs="宋体"/>
          <w:b/>
          <w:bCs/>
          <w:sz w:val="24"/>
          <w:szCs w:val="24"/>
        </w:rPr>
      </w:pPr>
      <w:bookmarkStart w:id="133" w:name="_Toc989020"/>
      <w:r>
        <w:rPr>
          <w:rFonts w:ascii="宋体" w:hAnsi="宋体" w:eastAsia="宋体" w:cs="宋体"/>
          <w:b/>
          <w:bCs/>
          <w:sz w:val="24"/>
          <w:szCs w:val="24"/>
        </w:rPr>
        <w:t>一、股份变动情况</w:t>
      </w:r>
      <w:bookmarkEnd w:id="133"/>
    </w:p>
    <w:p w14:paraId="0427540D">
      <w:pPr>
        <w:keepNext/>
        <w:keepLines/>
        <w:spacing w:before="300" w:after="300" w:line="280" w:lineRule="exact"/>
        <w:jc w:val="left"/>
        <w:outlineLvl w:val="2"/>
        <w:rPr>
          <w:rFonts w:ascii="宋体" w:hAnsi="宋体" w:eastAsia="宋体" w:cs="宋体"/>
          <w:b/>
          <w:bCs/>
          <w:sz w:val="21"/>
          <w:szCs w:val="21"/>
        </w:rPr>
      </w:pPr>
      <w:bookmarkStart w:id="134" w:name="_Toc989021"/>
      <w:r>
        <w:rPr>
          <w:rFonts w:ascii="宋体" w:hAnsi="宋体" w:eastAsia="宋体" w:cs="宋体"/>
          <w:b/>
          <w:bCs/>
          <w:sz w:val="21"/>
          <w:szCs w:val="21"/>
        </w:rPr>
        <w:t>1、股份变动情况</w:t>
      </w:r>
      <w:bookmarkEnd w:id="134"/>
    </w:p>
    <w:p w14:paraId="0688A0BE">
      <w:pPr>
        <w:spacing w:before="40" w:after="40" w:line="240" w:lineRule="exact"/>
        <w:jc w:val="right"/>
        <w:rPr>
          <w:rFonts w:ascii="宋体" w:hAnsi="宋体" w:eastAsia="宋体" w:cs="宋体"/>
          <w:sz w:val="18"/>
          <w:szCs w:val="18"/>
        </w:rPr>
      </w:pPr>
      <w:r>
        <w:rPr>
          <w:rFonts w:ascii="宋体" w:hAnsi="宋体" w:eastAsia="宋体" w:cs="宋体"/>
          <w:sz w:val="18"/>
          <w:szCs w:val="18"/>
        </w:rPr>
        <w:t>单位：股
</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57"/>
        <w:gridCol w:w="1230"/>
        <w:gridCol w:w="840"/>
        <w:gridCol w:w="420"/>
        <w:gridCol w:w="320"/>
        <w:gridCol w:w="370"/>
        <w:gridCol w:w="1190"/>
        <w:gridCol w:w="1170"/>
        <w:gridCol w:w="1240"/>
        <w:gridCol w:w="903"/>
      </w:tblGrid>
      <w:tr w14:paraId="23F895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AB7CA03"/>
        </w:tc>
        <w:tc>
          <w:tcPr>
            <w:tcW w:w="207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F62E88B">
            <w:pPr>
              <w:spacing w:before="40" w:after="40" w:line="240" w:lineRule="exact"/>
              <w:jc w:val="center"/>
              <w:rPr>
                <w:rFonts w:ascii="宋体" w:hAnsi="宋体" w:eastAsia="宋体" w:cs="宋体"/>
                <w:sz w:val="18"/>
                <w:szCs w:val="18"/>
              </w:rPr>
            </w:pPr>
            <w:r>
              <w:rPr>
                <w:rFonts w:ascii="宋体" w:hAnsi="宋体" w:eastAsia="宋体" w:cs="宋体"/>
                <w:sz w:val="18"/>
                <w:szCs w:val="18"/>
              </w:rPr>
              <w:t>本次变动前</w:t>
            </w:r>
          </w:p>
        </w:tc>
        <w:tc>
          <w:tcPr>
            <w:tcW w:w="3470"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5E5F4362">
            <w:pPr>
              <w:spacing w:before="40" w:after="40" w:line="240" w:lineRule="exact"/>
              <w:jc w:val="center"/>
              <w:rPr>
                <w:rFonts w:ascii="宋体" w:hAnsi="宋体" w:eastAsia="宋体" w:cs="宋体"/>
                <w:sz w:val="18"/>
                <w:szCs w:val="18"/>
              </w:rPr>
            </w:pPr>
            <w:r>
              <w:rPr>
                <w:rFonts w:ascii="宋体" w:hAnsi="宋体" w:eastAsia="宋体" w:cs="宋体"/>
                <w:sz w:val="18"/>
                <w:szCs w:val="18"/>
              </w:rPr>
              <w:t>本次变动增减（＋，－）</w:t>
            </w:r>
          </w:p>
        </w:tc>
        <w:tc>
          <w:tcPr>
            <w:tcW w:w="214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62EF251">
            <w:pPr>
              <w:spacing w:before="40" w:after="40" w:line="240" w:lineRule="exact"/>
              <w:jc w:val="center"/>
              <w:rPr>
                <w:rFonts w:ascii="宋体" w:hAnsi="宋体" w:eastAsia="宋体" w:cs="宋体"/>
                <w:sz w:val="18"/>
                <w:szCs w:val="18"/>
              </w:rPr>
            </w:pPr>
            <w:r>
              <w:rPr>
                <w:rFonts w:ascii="宋体" w:hAnsi="宋体" w:eastAsia="宋体" w:cs="宋体"/>
                <w:sz w:val="18"/>
                <w:szCs w:val="18"/>
              </w:rPr>
              <w:t>本次变动后</w:t>
            </w:r>
          </w:p>
        </w:tc>
      </w:tr>
      <w:tr w14:paraId="0698F0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CAE93EC"/>
        </w:tc>
        <w:tc>
          <w:tcPr>
            <w:tcW w:w="1230" w:type="dxa"/>
            <w:tcBorders>
              <w:top w:val="single" w:color="auto" w:sz="2" w:space="0"/>
              <w:left w:val="single" w:color="auto" w:sz="2" w:space="0"/>
              <w:bottom w:val="single" w:color="auto" w:sz="2" w:space="0"/>
              <w:right w:val="single" w:color="auto" w:sz="2" w:space="0"/>
            </w:tcBorders>
            <w:shd w:val="clear" w:color="auto" w:fill="D3D3D3"/>
            <w:vAlign w:val="center"/>
          </w:tcPr>
          <w:p w14:paraId="307EA9AA">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840" w:type="dxa"/>
            <w:tcBorders>
              <w:top w:val="single" w:color="auto" w:sz="2" w:space="0"/>
              <w:left w:val="single" w:color="auto" w:sz="2" w:space="0"/>
              <w:bottom w:val="single" w:color="auto" w:sz="2" w:space="0"/>
              <w:right w:val="single" w:color="auto" w:sz="2" w:space="0"/>
            </w:tcBorders>
            <w:shd w:val="clear" w:color="auto" w:fill="D3D3D3"/>
            <w:vAlign w:val="center"/>
          </w:tcPr>
          <w:p w14:paraId="77B67318">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420" w:type="dxa"/>
            <w:tcBorders>
              <w:top w:val="single" w:color="auto" w:sz="2" w:space="0"/>
              <w:left w:val="single" w:color="auto" w:sz="2" w:space="0"/>
              <w:bottom w:val="single" w:color="auto" w:sz="2" w:space="0"/>
              <w:right w:val="single" w:color="auto" w:sz="2" w:space="0"/>
            </w:tcBorders>
            <w:shd w:val="clear" w:color="auto" w:fill="D3D3D3"/>
            <w:vAlign w:val="center"/>
          </w:tcPr>
          <w:p w14:paraId="7673ED7A">
            <w:pPr>
              <w:spacing w:before="40" w:after="40" w:line="240" w:lineRule="exact"/>
              <w:jc w:val="center"/>
              <w:rPr>
                <w:rFonts w:ascii="宋体" w:hAnsi="宋体" w:eastAsia="宋体" w:cs="宋体"/>
                <w:sz w:val="18"/>
                <w:szCs w:val="18"/>
              </w:rPr>
            </w:pPr>
            <w:r>
              <w:rPr>
                <w:rFonts w:ascii="宋体" w:hAnsi="宋体" w:eastAsia="宋体" w:cs="宋体"/>
                <w:sz w:val="18"/>
                <w:szCs w:val="18"/>
              </w:rPr>
              <w:t>发行新股</w:t>
            </w:r>
          </w:p>
        </w:tc>
        <w:tc>
          <w:tcPr>
            <w:tcW w:w="320" w:type="dxa"/>
            <w:tcBorders>
              <w:top w:val="single" w:color="auto" w:sz="2" w:space="0"/>
              <w:left w:val="single" w:color="auto" w:sz="2" w:space="0"/>
              <w:bottom w:val="single" w:color="auto" w:sz="2" w:space="0"/>
              <w:right w:val="single" w:color="auto" w:sz="2" w:space="0"/>
            </w:tcBorders>
            <w:shd w:val="clear" w:color="auto" w:fill="D3D3D3"/>
            <w:vAlign w:val="center"/>
          </w:tcPr>
          <w:p w14:paraId="2D4A6FC1">
            <w:pPr>
              <w:spacing w:before="40" w:after="40" w:line="240" w:lineRule="exact"/>
              <w:jc w:val="center"/>
              <w:rPr>
                <w:rFonts w:ascii="宋体" w:hAnsi="宋体" w:eastAsia="宋体" w:cs="宋体"/>
                <w:sz w:val="18"/>
                <w:szCs w:val="18"/>
              </w:rPr>
            </w:pPr>
            <w:r>
              <w:rPr>
                <w:rFonts w:ascii="宋体" w:hAnsi="宋体" w:eastAsia="宋体" w:cs="宋体"/>
                <w:sz w:val="18"/>
                <w:szCs w:val="18"/>
              </w:rPr>
              <w:t>送股</w:t>
            </w:r>
          </w:p>
        </w:tc>
        <w:tc>
          <w:tcPr>
            <w:tcW w:w="370" w:type="dxa"/>
            <w:tcBorders>
              <w:top w:val="single" w:color="auto" w:sz="2" w:space="0"/>
              <w:left w:val="single" w:color="auto" w:sz="2" w:space="0"/>
              <w:bottom w:val="single" w:color="auto" w:sz="2" w:space="0"/>
              <w:right w:val="single" w:color="auto" w:sz="2" w:space="0"/>
            </w:tcBorders>
            <w:shd w:val="clear" w:color="auto" w:fill="D3D3D3"/>
            <w:vAlign w:val="center"/>
          </w:tcPr>
          <w:p w14:paraId="405D78F2">
            <w:pPr>
              <w:spacing w:before="40" w:after="40" w:line="240" w:lineRule="exact"/>
              <w:jc w:val="center"/>
              <w:rPr>
                <w:rFonts w:ascii="宋体" w:hAnsi="宋体" w:eastAsia="宋体" w:cs="宋体"/>
                <w:sz w:val="18"/>
                <w:szCs w:val="18"/>
              </w:rPr>
            </w:pPr>
            <w:r>
              <w:rPr>
                <w:rFonts w:ascii="宋体" w:hAnsi="宋体" w:eastAsia="宋体" w:cs="宋体"/>
                <w:sz w:val="18"/>
                <w:szCs w:val="18"/>
              </w:rPr>
              <w:t>公积金转股</w:t>
            </w:r>
          </w:p>
        </w:tc>
        <w:tc>
          <w:tcPr>
            <w:tcW w:w="1190" w:type="dxa"/>
            <w:tcBorders>
              <w:top w:val="single" w:color="auto" w:sz="2" w:space="0"/>
              <w:left w:val="single" w:color="auto" w:sz="2" w:space="0"/>
              <w:bottom w:val="single" w:color="auto" w:sz="2" w:space="0"/>
              <w:right w:val="single" w:color="auto" w:sz="2" w:space="0"/>
            </w:tcBorders>
            <w:shd w:val="clear" w:color="auto" w:fill="D3D3D3"/>
            <w:vAlign w:val="center"/>
          </w:tcPr>
          <w:p w14:paraId="015EB387">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170" w:type="dxa"/>
            <w:tcBorders>
              <w:top w:val="single" w:color="auto" w:sz="2" w:space="0"/>
              <w:left w:val="single" w:color="auto" w:sz="2" w:space="0"/>
              <w:bottom w:val="single" w:color="auto" w:sz="2" w:space="0"/>
              <w:right w:val="single" w:color="auto" w:sz="2" w:space="0"/>
            </w:tcBorders>
            <w:shd w:val="clear" w:color="auto" w:fill="D3D3D3"/>
            <w:vAlign w:val="center"/>
          </w:tcPr>
          <w:p w14:paraId="4D1462AA">
            <w:pPr>
              <w:spacing w:before="40" w:after="40" w:line="240" w:lineRule="exact"/>
              <w:jc w:val="center"/>
              <w:rPr>
                <w:rFonts w:ascii="宋体" w:hAnsi="宋体" w:eastAsia="宋体" w:cs="宋体"/>
                <w:sz w:val="18"/>
                <w:szCs w:val="18"/>
              </w:rPr>
            </w:pPr>
            <w:r>
              <w:rPr>
                <w:rFonts w:ascii="宋体" w:hAnsi="宋体" w:eastAsia="宋体" w:cs="宋体"/>
                <w:sz w:val="18"/>
                <w:szCs w:val="18"/>
              </w:rPr>
              <w:t>小计</w:t>
            </w:r>
          </w:p>
        </w:tc>
        <w:tc>
          <w:tcPr>
            <w:tcW w:w="1240" w:type="dxa"/>
            <w:tcBorders>
              <w:top w:val="single" w:color="auto" w:sz="2" w:space="0"/>
              <w:left w:val="single" w:color="auto" w:sz="2" w:space="0"/>
              <w:bottom w:val="single" w:color="auto" w:sz="2" w:space="0"/>
              <w:right w:val="single" w:color="auto" w:sz="2" w:space="0"/>
            </w:tcBorders>
            <w:shd w:val="clear" w:color="auto" w:fill="D3D3D3"/>
            <w:vAlign w:val="center"/>
          </w:tcPr>
          <w:p w14:paraId="515857E2">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903" w:type="dxa"/>
            <w:tcBorders>
              <w:top w:val="single" w:color="auto" w:sz="2" w:space="0"/>
              <w:left w:val="single" w:color="auto" w:sz="2" w:space="0"/>
              <w:bottom w:val="single" w:color="auto" w:sz="2" w:space="0"/>
              <w:right w:val="single" w:color="auto" w:sz="2" w:space="0"/>
            </w:tcBorders>
            <w:shd w:val="clear" w:color="auto" w:fill="D3D3D3"/>
            <w:vAlign w:val="center"/>
          </w:tcPr>
          <w:p w14:paraId="715BC10C">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r>
      <w:tr w14:paraId="691EB3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18C8F9C1">
            <w:pPr>
              <w:spacing w:before="40" w:after="40" w:line="240" w:lineRule="exact"/>
              <w:jc w:val="left"/>
              <w:rPr>
                <w:rFonts w:ascii="宋体" w:hAnsi="宋体" w:eastAsia="宋体" w:cs="宋体"/>
                <w:sz w:val="18"/>
                <w:szCs w:val="18"/>
              </w:rPr>
            </w:pPr>
            <w:r>
              <w:rPr>
                <w:rFonts w:ascii="宋体" w:hAnsi="宋体" w:eastAsia="宋体" w:cs="宋体"/>
                <w:sz w:val="18"/>
                <w:szCs w:val="18"/>
              </w:rPr>
              <w:t>一、有限售条件股份</w:t>
            </w:r>
          </w:p>
        </w:tc>
        <w:tc>
          <w:tcPr>
            <w:tcW w:w="1230" w:type="dxa"/>
            <w:tcBorders>
              <w:top w:val="single" w:color="auto" w:sz="2" w:space="0"/>
              <w:left w:val="single" w:color="auto" w:sz="2" w:space="0"/>
              <w:bottom w:val="single" w:color="auto" w:sz="2" w:space="0"/>
              <w:right w:val="single" w:color="auto" w:sz="2" w:space="0"/>
            </w:tcBorders>
            <w:vAlign w:val="center"/>
          </w:tcPr>
          <w:p w14:paraId="37EA0EC1">
            <w:pPr>
              <w:spacing w:before="0" w:after="0" w:line="240" w:lineRule="exact"/>
              <w:jc w:val="right"/>
              <w:rPr>
                <w:rFonts w:ascii="宋体" w:hAnsi="宋体" w:eastAsia="宋体" w:cs="宋体"/>
                <w:sz w:val="18"/>
                <w:szCs w:val="18"/>
              </w:rPr>
            </w:pPr>
            <w:r>
              <w:rPr>
                <w:rFonts w:ascii="宋体" w:hAnsi="宋体" w:eastAsia="宋体" w:cs="宋体"/>
                <w:sz w:val="18"/>
                <w:szCs w:val="18"/>
              </w:rPr>
              <w:t>23,720,749</w:t>
            </w:r>
          </w:p>
        </w:tc>
        <w:tc>
          <w:tcPr>
            <w:tcW w:w="840" w:type="dxa"/>
            <w:tcBorders>
              <w:top w:val="single" w:color="auto" w:sz="2" w:space="0"/>
              <w:left w:val="single" w:color="auto" w:sz="2" w:space="0"/>
              <w:bottom w:val="single" w:color="auto" w:sz="2" w:space="0"/>
              <w:right w:val="single" w:color="auto" w:sz="2" w:space="0"/>
            </w:tcBorders>
            <w:vAlign w:val="center"/>
          </w:tcPr>
          <w:p w14:paraId="7BF9FF36">
            <w:pPr>
              <w:spacing w:before="0" w:after="0" w:line="240" w:lineRule="exact"/>
              <w:jc w:val="right"/>
              <w:rPr>
                <w:rFonts w:ascii="宋体" w:hAnsi="宋体" w:eastAsia="宋体" w:cs="宋体"/>
                <w:sz w:val="18"/>
                <w:szCs w:val="18"/>
              </w:rPr>
            </w:pPr>
            <w:r>
              <w:rPr>
                <w:rFonts w:ascii="宋体" w:hAnsi="宋体" w:eastAsia="宋体" w:cs="宋体"/>
                <w:sz w:val="18"/>
                <w:szCs w:val="18"/>
              </w:rPr>
              <w:t>14.89%</w:t>
            </w:r>
          </w:p>
        </w:tc>
        <w:tc>
          <w:tcPr>
            <w:tcW w:w="420" w:type="dxa"/>
            <w:tcBorders>
              <w:top w:val="single" w:color="auto" w:sz="2" w:space="0"/>
              <w:left w:val="single" w:color="auto" w:sz="2" w:space="0"/>
              <w:bottom w:val="single" w:color="auto" w:sz="2" w:space="0"/>
              <w:right w:val="single" w:color="auto" w:sz="2" w:space="0"/>
            </w:tcBorders>
            <w:vAlign w:val="center"/>
          </w:tcPr>
          <w:p w14:paraId="1CF18EFC">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70984EB9">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324CF613">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6F68FCE2">
            <w:pPr>
              <w:spacing w:before="0" w:after="0" w:line="240" w:lineRule="exact"/>
              <w:jc w:val="right"/>
              <w:rPr>
                <w:rFonts w:ascii="宋体" w:hAnsi="宋体" w:eastAsia="宋体" w:cs="宋体"/>
                <w:sz w:val="18"/>
                <w:szCs w:val="18"/>
              </w:rPr>
            </w:pPr>
            <w:r>
              <w:rPr>
                <w:rFonts w:ascii="宋体" w:hAnsi="宋体" w:eastAsia="宋体" w:cs="宋体"/>
                <w:sz w:val="18"/>
                <w:szCs w:val="18"/>
              </w:rPr>
              <w:t>-1,175,718</w:t>
            </w:r>
          </w:p>
        </w:tc>
        <w:tc>
          <w:tcPr>
            <w:tcW w:w="1170" w:type="dxa"/>
            <w:tcBorders>
              <w:top w:val="single" w:color="auto" w:sz="2" w:space="0"/>
              <w:left w:val="single" w:color="auto" w:sz="2" w:space="0"/>
              <w:bottom w:val="single" w:color="auto" w:sz="2" w:space="0"/>
              <w:right w:val="single" w:color="auto" w:sz="2" w:space="0"/>
            </w:tcBorders>
            <w:vAlign w:val="center"/>
          </w:tcPr>
          <w:p w14:paraId="6D966556">
            <w:pPr>
              <w:spacing w:before="0" w:after="0" w:line="240" w:lineRule="exact"/>
              <w:jc w:val="right"/>
              <w:rPr>
                <w:rFonts w:ascii="宋体" w:hAnsi="宋体" w:eastAsia="宋体" w:cs="宋体"/>
                <w:sz w:val="18"/>
                <w:szCs w:val="18"/>
              </w:rPr>
            </w:pPr>
            <w:r>
              <w:rPr>
                <w:rFonts w:ascii="宋体" w:hAnsi="宋体" w:eastAsia="宋体" w:cs="宋体"/>
                <w:sz w:val="18"/>
                <w:szCs w:val="18"/>
              </w:rPr>
              <w:t>-1,175,718</w:t>
            </w:r>
          </w:p>
        </w:tc>
        <w:tc>
          <w:tcPr>
            <w:tcW w:w="1240" w:type="dxa"/>
            <w:tcBorders>
              <w:top w:val="single" w:color="auto" w:sz="2" w:space="0"/>
              <w:left w:val="single" w:color="auto" w:sz="2" w:space="0"/>
              <w:bottom w:val="single" w:color="auto" w:sz="2" w:space="0"/>
              <w:right w:val="single" w:color="auto" w:sz="2" w:space="0"/>
            </w:tcBorders>
            <w:vAlign w:val="center"/>
          </w:tcPr>
          <w:p w14:paraId="792DB0D5">
            <w:pPr>
              <w:spacing w:before="0" w:after="0" w:line="240" w:lineRule="exact"/>
              <w:jc w:val="right"/>
              <w:rPr>
                <w:rFonts w:ascii="宋体" w:hAnsi="宋体" w:eastAsia="宋体" w:cs="宋体"/>
                <w:sz w:val="18"/>
                <w:szCs w:val="18"/>
              </w:rPr>
            </w:pPr>
            <w:r>
              <w:rPr>
                <w:rFonts w:ascii="宋体" w:hAnsi="宋体" w:eastAsia="宋体" w:cs="宋体"/>
                <w:sz w:val="18"/>
                <w:szCs w:val="18"/>
              </w:rPr>
              <w:t>22,545,031</w:t>
            </w:r>
          </w:p>
        </w:tc>
        <w:tc>
          <w:tcPr>
            <w:tcW w:w="903" w:type="dxa"/>
            <w:tcBorders>
              <w:top w:val="single" w:color="auto" w:sz="2" w:space="0"/>
              <w:left w:val="single" w:color="auto" w:sz="2" w:space="0"/>
              <w:bottom w:val="single" w:color="auto" w:sz="2" w:space="0"/>
              <w:right w:val="single" w:color="auto" w:sz="2" w:space="0"/>
            </w:tcBorders>
            <w:vAlign w:val="center"/>
          </w:tcPr>
          <w:p w14:paraId="6CFF262B">
            <w:pPr>
              <w:spacing w:before="0" w:after="0" w:line="240" w:lineRule="exact"/>
              <w:jc w:val="right"/>
              <w:rPr>
                <w:rFonts w:ascii="宋体" w:hAnsi="宋体" w:eastAsia="宋体" w:cs="宋体"/>
                <w:sz w:val="18"/>
                <w:szCs w:val="18"/>
              </w:rPr>
            </w:pPr>
            <w:r>
              <w:rPr>
                <w:rFonts w:ascii="宋体" w:hAnsi="宋体" w:eastAsia="宋体" w:cs="宋体"/>
                <w:sz w:val="18"/>
                <w:szCs w:val="18"/>
              </w:rPr>
              <w:t>14.16%</w:t>
            </w:r>
          </w:p>
        </w:tc>
      </w:tr>
      <w:tr w14:paraId="0A5595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6438C92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1、国家持股</w:t>
            </w:r>
          </w:p>
        </w:tc>
        <w:tc>
          <w:tcPr>
            <w:tcW w:w="1230" w:type="dxa"/>
            <w:tcBorders>
              <w:top w:val="single" w:color="auto" w:sz="2" w:space="0"/>
              <w:left w:val="single" w:color="auto" w:sz="2" w:space="0"/>
              <w:bottom w:val="single" w:color="auto" w:sz="2" w:space="0"/>
              <w:right w:val="single" w:color="auto" w:sz="2" w:space="0"/>
            </w:tcBorders>
            <w:vAlign w:val="center"/>
          </w:tcPr>
          <w:p w14:paraId="2A6B5460">
            <w:pPr>
              <w:spacing w:before="0" w:after="0" w:line="240" w:lineRule="exact"/>
              <w:jc w:val="right"/>
              <w:rPr>
                <w:rFonts w:ascii="宋体" w:hAnsi="宋体" w:eastAsia="宋体" w:cs="宋体"/>
                <w:sz w:val="18"/>
                <w:szCs w:val="18"/>
              </w:rPr>
            </w:pPr>
          </w:p>
        </w:tc>
        <w:tc>
          <w:tcPr>
            <w:tcW w:w="840" w:type="dxa"/>
            <w:tcBorders>
              <w:top w:val="single" w:color="auto" w:sz="2" w:space="0"/>
              <w:left w:val="single" w:color="auto" w:sz="2" w:space="0"/>
              <w:bottom w:val="single" w:color="auto" w:sz="2" w:space="0"/>
              <w:right w:val="single" w:color="auto" w:sz="2" w:space="0"/>
            </w:tcBorders>
            <w:vAlign w:val="center"/>
          </w:tcPr>
          <w:p w14:paraId="6BB6C7FA">
            <w:pPr>
              <w:spacing w:before="0" w:after="0" w:line="240" w:lineRule="exact"/>
              <w:jc w:val="right"/>
              <w:rPr>
                <w:rFonts w:ascii="宋体" w:hAnsi="宋体" w:eastAsia="宋体" w:cs="宋体"/>
                <w:sz w:val="18"/>
                <w:szCs w:val="18"/>
              </w:rPr>
            </w:pPr>
          </w:p>
        </w:tc>
        <w:tc>
          <w:tcPr>
            <w:tcW w:w="420" w:type="dxa"/>
            <w:tcBorders>
              <w:top w:val="single" w:color="auto" w:sz="2" w:space="0"/>
              <w:left w:val="single" w:color="auto" w:sz="2" w:space="0"/>
              <w:bottom w:val="single" w:color="auto" w:sz="2" w:space="0"/>
              <w:right w:val="single" w:color="auto" w:sz="2" w:space="0"/>
            </w:tcBorders>
            <w:vAlign w:val="center"/>
          </w:tcPr>
          <w:p w14:paraId="1D19D6E2">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6E643A7E">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4D460654">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65A36472">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3358E040">
            <w:pPr>
              <w:spacing w:before="0" w:after="0" w:line="240" w:lineRule="exact"/>
              <w:jc w:val="right"/>
              <w:rPr>
                <w:rFonts w:ascii="宋体" w:hAnsi="宋体" w:eastAsia="宋体" w:cs="宋体"/>
                <w:sz w:val="18"/>
                <w:szCs w:val="18"/>
              </w:rPr>
            </w:pPr>
          </w:p>
        </w:tc>
        <w:tc>
          <w:tcPr>
            <w:tcW w:w="1240" w:type="dxa"/>
            <w:tcBorders>
              <w:top w:val="single" w:color="auto" w:sz="2" w:space="0"/>
              <w:left w:val="single" w:color="auto" w:sz="2" w:space="0"/>
              <w:bottom w:val="single" w:color="auto" w:sz="2" w:space="0"/>
              <w:right w:val="single" w:color="auto" w:sz="2" w:space="0"/>
            </w:tcBorders>
            <w:vAlign w:val="center"/>
          </w:tcPr>
          <w:p w14:paraId="7D45C670">
            <w:pPr>
              <w:spacing w:before="0" w:after="0" w:line="240" w:lineRule="exact"/>
              <w:jc w:val="right"/>
              <w:rPr>
                <w:rFonts w:ascii="宋体" w:hAnsi="宋体" w:eastAsia="宋体" w:cs="宋体"/>
                <w:sz w:val="18"/>
                <w:szCs w:val="18"/>
              </w:rPr>
            </w:pPr>
          </w:p>
        </w:tc>
        <w:tc>
          <w:tcPr>
            <w:tcW w:w="903" w:type="dxa"/>
            <w:tcBorders>
              <w:top w:val="single" w:color="auto" w:sz="2" w:space="0"/>
              <w:left w:val="single" w:color="auto" w:sz="2" w:space="0"/>
              <w:bottom w:val="single" w:color="auto" w:sz="2" w:space="0"/>
              <w:right w:val="single" w:color="auto" w:sz="2" w:space="0"/>
            </w:tcBorders>
            <w:vAlign w:val="center"/>
          </w:tcPr>
          <w:p w14:paraId="5542F8A9">
            <w:pPr>
              <w:spacing w:before="0" w:after="0" w:line="240" w:lineRule="exact"/>
              <w:jc w:val="right"/>
              <w:rPr>
                <w:rFonts w:ascii="宋体" w:hAnsi="宋体" w:eastAsia="宋体" w:cs="宋体"/>
                <w:sz w:val="18"/>
                <w:szCs w:val="18"/>
              </w:rPr>
            </w:pPr>
          </w:p>
        </w:tc>
      </w:tr>
      <w:tr w14:paraId="272A4B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687AA2E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2、国有法人持股</w:t>
            </w:r>
          </w:p>
        </w:tc>
        <w:tc>
          <w:tcPr>
            <w:tcW w:w="1230" w:type="dxa"/>
            <w:tcBorders>
              <w:top w:val="single" w:color="auto" w:sz="2" w:space="0"/>
              <w:left w:val="single" w:color="auto" w:sz="2" w:space="0"/>
              <w:bottom w:val="single" w:color="auto" w:sz="2" w:space="0"/>
              <w:right w:val="single" w:color="auto" w:sz="2" w:space="0"/>
            </w:tcBorders>
            <w:vAlign w:val="center"/>
          </w:tcPr>
          <w:p w14:paraId="4F464DC0">
            <w:pPr>
              <w:spacing w:before="0" w:after="0" w:line="240" w:lineRule="exact"/>
              <w:jc w:val="right"/>
              <w:rPr>
                <w:rFonts w:ascii="宋体" w:hAnsi="宋体" w:eastAsia="宋体" w:cs="宋体"/>
                <w:sz w:val="18"/>
                <w:szCs w:val="18"/>
              </w:rPr>
            </w:pPr>
          </w:p>
        </w:tc>
        <w:tc>
          <w:tcPr>
            <w:tcW w:w="840" w:type="dxa"/>
            <w:tcBorders>
              <w:top w:val="single" w:color="auto" w:sz="2" w:space="0"/>
              <w:left w:val="single" w:color="auto" w:sz="2" w:space="0"/>
              <w:bottom w:val="single" w:color="auto" w:sz="2" w:space="0"/>
              <w:right w:val="single" w:color="auto" w:sz="2" w:space="0"/>
            </w:tcBorders>
            <w:vAlign w:val="center"/>
          </w:tcPr>
          <w:p w14:paraId="07874440">
            <w:pPr>
              <w:spacing w:before="0" w:after="0" w:line="240" w:lineRule="exact"/>
              <w:jc w:val="right"/>
              <w:rPr>
                <w:rFonts w:ascii="宋体" w:hAnsi="宋体" w:eastAsia="宋体" w:cs="宋体"/>
                <w:sz w:val="18"/>
                <w:szCs w:val="18"/>
              </w:rPr>
            </w:pPr>
          </w:p>
        </w:tc>
        <w:tc>
          <w:tcPr>
            <w:tcW w:w="420" w:type="dxa"/>
            <w:tcBorders>
              <w:top w:val="single" w:color="auto" w:sz="2" w:space="0"/>
              <w:left w:val="single" w:color="auto" w:sz="2" w:space="0"/>
              <w:bottom w:val="single" w:color="auto" w:sz="2" w:space="0"/>
              <w:right w:val="single" w:color="auto" w:sz="2" w:space="0"/>
            </w:tcBorders>
            <w:vAlign w:val="center"/>
          </w:tcPr>
          <w:p w14:paraId="0DD8DCD6">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1CD632B7">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137678B7">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20A697BC">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2525CA9A">
            <w:pPr>
              <w:spacing w:before="0" w:after="0" w:line="240" w:lineRule="exact"/>
              <w:jc w:val="right"/>
              <w:rPr>
                <w:rFonts w:ascii="宋体" w:hAnsi="宋体" w:eastAsia="宋体" w:cs="宋体"/>
                <w:sz w:val="18"/>
                <w:szCs w:val="18"/>
              </w:rPr>
            </w:pPr>
          </w:p>
        </w:tc>
        <w:tc>
          <w:tcPr>
            <w:tcW w:w="1240" w:type="dxa"/>
            <w:tcBorders>
              <w:top w:val="single" w:color="auto" w:sz="2" w:space="0"/>
              <w:left w:val="single" w:color="auto" w:sz="2" w:space="0"/>
              <w:bottom w:val="single" w:color="auto" w:sz="2" w:space="0"/>
              <w:right w:val="single" w:color="auto" w:sz="2" w:space="0"/>
            </w:tcBorders>
            <w:vAlign w:val="center"/>
          </w:tcPr>
          <w:p w14:paraId="20EDB0BD">
            <w:pPr>
              <w:spacing w:before="0" w:after="0" w:line="240" w:lineRule="exact"/>
              <w:jc w:val="right"/>
              <w:rPr>
                <w:rFonts w:ascii="宋体" w:hAnsi="宋体" w:eastAsia="宋体" w:cs="宋体"/>
                <w:sz w:val="18"/>
                <w:szCs w:val="18"/>
              </w:rPr>
            </w:pPr>
          </w:p>
        </w:tc>
        <w:tc>
          <w:tcPr>
            <w:tcW w:w="903" w:type="dxa"/>
            <w:tcBorders>
              <w:top w:val="single" w:color="auto" w:sz="2" w:space="0"/>
              <w:left w:val="single" w:color="auto" w:sz="2" w:space="0"/>
              <w:bottom w:val="single" w:color="auto" w:sz="2" w:space="0"/>
              <w:right w:val="single" w:color="auto" w:sz="2" w:space="0"/>
            </w:tcBorders>
            <w:vAlign w:val="center"/>
          </w:tcPr>
          <w:p w14:paraId="4C4291DB">
            <w:pPr>
              <w:spacing w:before="0" w:after="0" w:line="240" w:lineRule="exact"/>
              <w:jc w:val="right"/>
              <w:rPr>
                <w:rFonts w:ascii="宋体" w:hAnsi="宋体" w:eastAsia="宋体" w:cs="宋体"/>
                <w:sz w:val="18"/>
                <w:szCs w:val="18"/>
              </w:rPr>
            </w:pPr>
          </w:p>
        </w:tc>
      </w:tr>
      <w:tr w14:paraId="662BFB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31D4C00A">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3、其他内资持股</w:t>
            </w:r>
          </w:p>
        </w:tc>
        <w:tc>
          <w:tcPr>
            <w:tcW w:w="1230" w:type="dxa"/>
            <w:tcBorders>
              <w:top w:val="single" w:color="auto" w:sz="2" w:space="0"/>
              <w:left w:val="single" w:color="auto" w:sz="2" w:space="0"/>
              <w:bottom w:val="single" w:color="auto" w:sz="2" w:space="0"/>
              <w:right w:val="single" w:color="auto" w:sz="2" w:space="0"/>
            </w:tcBorders>
            <w:vAlign w:val="center"/>
          </w:tcPr>
          <w:p w14:paraId="183F6EA2">
            <w:pPr>
              <w:spacing w:before="0" w:after="0" w:line="240" w:lineRule="exact"/>
              <w:jc w:val="right"/>
              <w:rPr>
                <w:rFonts w:ascii="宋体" w:hAnsi="宋体" w:eastAsia="宋体" w:cs="宋体"/>
                <w:sz w:val="18"/>
                <w:szCs w:val="18"/>
              </w:rPr>
            </w:pPr>
            <w:r>
              <w:rPr>
                <w:rFonts w:ascii="宋体" w:hAnsi="宋体" w:eastAsia="宋体" w:cs="宋体"/>
                <w:sz w:val="18"/>
                <w:szCs w:val="18"/>
              </w:rPr>
              <w:t>23,720,749</w:t>
            </w:r>
          </w:p>
        </w:tc>
        <w:tc>
          <w:tcPr>
            <w:tcW w:w="840" w:type="dxa"/>
            <w:tcBorders>
              <w:top w:val="single" w:color="auto" w:sz="2" w:space="0"/>
              <w:left w:val="single" w:color="auto" w:sz="2" w:space="0"/>
              <w:bottom w:val="single" w:color="auto" w:sz="2" w:space="0"/>
              <w:right w:val="single" w:color="auto" w:sz="2" w:space="0"/>
            </w:tcBorders>
            <w:vAlign w:val="center"/>
          </w:tcPr>
          <w:p w14:paraId="46FC0227">
            <w:pPr>
              <w:spacing w:before="0" w:after="0" w:line="240" w:lineRule="exact"/>
              <w:jc w:val="right"/>
              <w:rPr>
                <w:rFonts w:ascii="宋体" w:hAnsi="宋体" w:eastAsia="宋体" w:cs="宋体"/>
                <w:sz w:val="18"/>
                <w:szCs w:val="18"/>
              </w:rPr>
            </w:pPr>
            <w:r>
              <w:rPr>
                <w:rFonts w:ascii="宋体" w:hAnsi="宋体" w:eastAsia="宋体" w:cs="宋体"/>
                <w:sz w:val="18"/>
                <w:szCs w:val="18"/>
              </w:rPr>
              <w:t>14.89%</w:t>
            </w:r>
          </w:p>
        </w:tc>
        <w:tc>
          <w:tcPr>
            <w:tcW w:w="420" w:type="dxa"/>
            <w:tcBorders>
              <w:top w:val="single" w:color="auto" w:sz="2" w:space="0"/>
              <w:left w:val="single" w:color="auto" w:sz="2" w:space="0"/>
              <w:bottom w:val="single" w:color="auto" w:sz="2" w:space="0"/>
              <w:right w:val="single" w:color="auto" w:sz="2" w:space="0"/>
            </w:tcBorders>
            <w:vAlign w:val="center"/>
          </w:tcPr>
          <w:p w14:paraId="40622706">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0F8241DA">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5F4FD01E">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067D19E5">
            <w:pPr>
              <w:spacing w:before="0" w:after="0" w:line="240" w:lineRule="exact"/>
              <w:jc w:val="right"/>
              <w:rPr>
                <w:rFonts w:ascii="宋体" w:hAnsi="宋体" w:eastAsia="宋体" w:cs="宋体"/>
                <w:sz w:val="18"/>
                <w:szCs w:val="18"/>
              </w:rPr>
            </w:pPr>
            <w:r>
              <w:rPr>
                <w:rFonts w:ascii="宋体" w:hAnsi="宋体" w:eastAsia="宋体" w:cs="宋体"/>
                <w:sz w:val="18"/>
                <w:szCs w:val="18"/>
              </w:rPr>
              <w:t>-1,175,718</w:t>
            </w:r>
          </w:p>
        </w:tc>
        <w:tc>
          <w:tcPr>
            <w:tcW w:w="1170" w:type="dxa"/>
            <w:tcBorders>
              <w:top w:val="single" w:color="auto" w:sz="2" w:space="0"/>
              <w:left w:val="single" w:color="auto" w:sz="2" w:space="0"/>
              <w:bottom w:val="single" w:color="auto" w:sz="2" w:space="0"/>
              <w:right w:val="single" w:color="auto" w:sz="2" w:space="0"/>
            </w:tcBorders>
            <w:vAlign w:val="center"/>
          </w:tcPr>
          <w:p w14:paraId="44244670">
            <w:pPr>
              <w:spacing w:before="0" w:after="0" w:line="240" w:lineRule="exact"/>
              <w:jc w:val="right"/>
              <w:rPr>
                <w:rFonts w:ascii="宋体" w:hAnsi="宋体" w:eastAsia="宋体" w:cs="宋体"/>
                <w:sz w:val="18"/>
                <w:szCs w:val="18"/>
              </w:rPr>
            </w:pPr>
            <w:r>
              <w:rPr>
                <w:rFonts w:ascii="宋体" w:hAnsi="宋体" w:eastAsia="宋体" w:cs="宋体"/>
                <w:sz w:val="18"/>
                <w:szCs w:val="18"/>
              </w:rPr>
              <w:t>-1,175,718</w:t>
            </w:r>
          </w:p>
        </w:tc>
        <w:tc>
          <w:tcPr>
            <w:tcW w:w="1240" w:type="dxa"/>
            <w:tcBorders>
              <w:top w:val="single" w:color="auto" w:sz="2" w:space="0"/>
              <w:left w:val="single" w:color="auto" w:sz="2" w:space="0"/>
              <w:bottom w:val="single" w:color="auto" w:sz="2" w:space="0"/>
              <w:right w:val="single" w:color="auto" w:sz="2" w:space="0"/>
            </w:tcBorders>
            <w:vAlign w:val="center"/>
          </w:tcPr>
          <w:p w14:paraId="0386FF4A">
            <w:pPr>
              <w:spacing w:before="0" w:after="0" w:line="240" w:lineRule="exact"/>
              <w:jc w:val="right"/>
              <w:rPr>
                <w:rFonts w:ascii="宋体" w:hAnsi="宋体" w:eastAsia="宋体" w:cs="宋体"/>
                <w:sz w:val="18"/>
                <w:szCs w:val="18"/>
              </w:rPr>
            </w:pPr>
            <w:r>
              <w:rPr>
                <w:rFonts w:ascii="宋体" w:hAnsi="宋体" w:eastAsia="宋体" w:cs="宋体"/>
                <w:sz w:val="18"/>
                <w:szCs w:val="18"/>
              </w:rPr>
              <w:t>22,545,031</w:t>
            </w:r>
          </w:p>
        </w:tc>
        <w:tc>
          <w:tcPr>
            <w:tcW w:w="903" w:type="dxa"/>
            <w:tcBorders>
              <w:top w:val="single" w:color="auto" w:sz="2" w:space="0"/>
              <w:left w:val="single" w:color="auto" w:sz="2" w:space="0"/>
              <w:bottom w:val="single" w:color="auto" w:sz="2" w:space="0"/>
              <w:right w:val="single" w:color="auto" w:sz="2" w:space="0"/>
            </w:tcBorders>
            <w:vAlign w:val="center"/>
          </w:tcPr>
          <w:p w14:paraId="56BCD5A9">
            <w:pPr>
              <w:spacing w:before="0" w:after="0" w:line="240" w:lineRule="exact"/>
              <w:jc w:val="right"/>
              <w:rPr>
                <w:rFonts w:ascii="宋体" w:hAnsi="宋体" w:eastAsia="宋体" w:cs="宋体"/>
                <w:sz w:val="18"/>
                <w:szCs w:val="18"/>
              </w:rPr>
            </w:pPr>
            <w:r>
              <w:rPr>
                <w:rFonts w:ascii="宋体" w:hAnsi="宋体" w:eastAsia="宋体" w:cs="宋体"/>
                <w:sz w:val="18"/>
                <w:szCs w:val="18"/>
              </w:rPr>
              <w:t>14.16%</w:t>
            </w:r>
          </w:p>
        </w:tc>
      </w:tr>
      <w:tr w14:paraId="294AE5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4F30272D">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其中：境内法人持股</w:t>
            </w:r>
          </w:p>
        </w:tc>
        <w:tc>
          <w:tcPr>
            <w:tcW w:w="1230" w:type="dxa"/>
            <w:tcBorders>
              <w:top w:val="single" w:color="auto" w:sz="2" w:space="0"/>
              <w:left w:val="single" w:color="auto" w:sz="2" w:space="0"/>
              <w:bottom w:val="single" w:color="auto" w:sz="2" w:space="0"/>
              <w:right w:val="single" w:color="auto" w:sz="2" w:space="0"/>
            </w:tcBorders>
            <w:vAlign w:val="center"/>
          </w:tcPr>
          <w:p w14:paraId="6F570FC1">
            <w:pPr>
              <w:spacing w:before="0" w:after="0" w:line="240" w:lineRule="exact"/>
              <w:jc w:val="right"/>
              <w:rPr>
                <w:rFonts w:ascii="宋体" w:hAnsi="宋体" w:eastAsia="宋体" w:cs="宋体"/>
                <w:sz w:val="18"/>
                <w:szCs w:val="18"/>
              </w:rPr>
            </w:pPr>
          </w:p>
        </w:tc>
        <w:tc>
          <w:tcPr>
            <w:tcW w:w="840" w:type="dxa"/>
            <w:tcBorders>
              <w:top w:val="single" w:color="auto" w:sz="2" w:space="0"/>
              <w:left w:val="single" w:color="auto" w:sz="2" w:space="0"/>
              <w:bottom w:val="single" w:color="auto" w:sz="2" w:space="0"/>
              <w:right w:val="single" w:color="auto" w:sz="2" w:space="0"/>
            </w:tcBorders>
            <w:vAlign w:val="center"/>
          </w:tcPr>
          <w:p w14:paraId="41179917">
            <w:pPr>
              <w:spacing w:before="0" w:after="0" w:line="240" w:lineRule="exact"/>
              <w:jc w:val="right"/>
              <w:rPr>
                <w:rFonts w:ascii="宋体" w:hAnsi="宋体" w:eastAsia="宋体" w:cs="宋体"/>
                <w:sz w:val="18"/>
                <w:szCs w:val="18"/>
              </w:rPr>
            </w:pPr>
          </w:p>
        </w:tc>
        <w:tc>
          <w:tcPr>
            <w:tcW w:w="420" w:type="dxa"/>
            <w:tcBorders>
              <w:top w:val="single" w:color="auto" w:sz="2" w:space="0"/>
              <w:left w:val="single" w:color="auto" w:sz="2" w:space="0"/>
              <w:bottom w:val="single" w:color="auto" w:sz="2" w:space="0"/>
              <w:right w:val="single" w:color="auto" w:sz="2" w:space="0"/>
            </w:tcBorders>
            <w:vAlign w:val="center"/>
          </w:tcPr>
          <w:p w14:paraId="45750C00">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7F903E04">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4CEF1AC2">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52BB08B0">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5B63C2ED">
            <w:pPr>
              <w:spacing w:before="0" w:after="0" w:line="240" w:lineRule="exact"/>
              <w:jc w:val="right"/>
              <w:rPr>
                <w:rFonts w:ascii="宋体" w:hAnsi="宋体" w:eastAsia="宋体" w:cs="宋体"/>
                <w:sz w:val="18"/>
                <w:szCs w:val="18"/>
              </w:rPr>
            </w:pPr>
          </w:p>
        </w:tc>
        <w:tc>
          <w:tcPr>
            <w:tcW w:w="1240" w:type="dxa"/>
            <w:tcBorders>
              <w:top w:val="single" w:color="auto" w:sz="2" w:space="0"/>
              <w:left w:val="single" w:color="auto" w:sz="2" w:space="0"/>
              <w:bottom w:val="single" w:color="auto" w:sz="2" w:space="0"/>
              <w:right w:val="single" w:color="auto" w:sz="2" w:space="0"/>
            </w:tcBorders>
            <w:vAlign w:val="center"/>
          </w:tcPr>
          <w:p w14:paraId="1DDEC935">
            <w:pPr>
              <w:spacing w:before="0" w:after="0" w:line="240" w:lineRule="exact"/>
              <w:jc w:val="right"/>
              <w:rPr>
                <w:rFonts w:ascii="宋体" w:hAnsi="宋体" w:eastAsia="宋体" w:cs="宋体"/>
                <w:sz w:val="18"/>
                <w:szCs w:val="18"/>
              </w:rPr>
            </w:pPr>
          </w:p>
        </w:tc>
        <w:tc>
          <w:tcPr>
            <w:tcW w:w="903" w:type="dxa"/>
            <w:tcBorders>
              <w:top w:val="single" w:color="auto" w:sz="2" w:space="0"/>
              <w:left w:val="single" w:color="auto" w:sz="2" w:space="0"/>
              <w:bottom w:val="single" w:color="auto" w:sz="2" w:space="0"/>
              <w:right w:val="single" w:color="auto" w:sz="2" w:space="0"/>
            </w:tcBorders>
            <w:vAlign w:val="center"/>
          </w:tcPr>
          <w:p w14:paraId="3EC6D3D3">
            <w:pPr>
              <w:spacing w:before="0" w:after="0" w:line="240" w:lineRule="exact"/>
              <w:jc w:val="right"/>
              <w:rPr>
                <w:rFonts w:ascii="宋体" w:hAnsi="宋体" w:eastAsia="宋体" w:cs="宋体"/>
                <w:sz w:val="18"/>
                <w:szCs w:val="18"/>
              </w:rPr>
            </w:pPr>
          </w:p>
        </w:tc>
      </w:tr>
      <w:tr w14:paraId="17BA23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7B8AD18C">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境内自然人持股</w:t>
            </w:r>
          </w:p>
        </w:tc>
        <w:tc>
          <w:tcPr>
            <w:tcW w:w="1230" w:type="dxa"/>
            <w:tcBorders>
              <w:top w:val="single" w:color="auto" w:sz="2" w:space="0"/>
              <w:left w:val="single" w:color="auto" w:sz="2" w:space="0"/>
              <w:bottom w:val="single" w:color="auto" w:sz="2" w:space="0"/>
              <w:right w:val="single" w:color="auto" w:sz="2" w:space="0"/>
            </w:tcBorders>
            <w:vAlign w:val="center"/>
          </w:tcPr>
          <w:p w14:paraId="436D0335">
            <w:pPr>
              <w:spacing w:before="0" w:after="0" w:line="240" w:lineRule="exact"/>
              <w:jc w:val="right"/>
              <w:rPr>
                <w:rFonts w:ascii="宋体" w:hAnsi="宋体" w:eastAsia="宋体" w:cs="宋体"/>
                <w:sz w:val="18"/>
                <w:szCs w:val="18"/>
              </w:rPr>
            </w:pPr>
            <w:r>
              <w:rPr>
                <w:rFonts w:ascii="宋体" w:hAnsi="宋体" w:eastAsia="宋体" w:cs="宋体"/>
                <w:sz w:val="18"/>
                <w:szCs w:val="18"/>
              </w:rPr>
              <w:t>23,720,749</w:t>
            </w:r>
          </w:p>
        </w:tc>
        <w:tc>
          <w:tcPr>
            <w:tcW w:w="840" w:type="dxa"/>
            <w:tcBorders>
              <w:top w:val="single" w:color="auto" w:sz="2" w:space="0"/>
              <w:left w:val="single" w:color="auto" w:sz="2" w:space="0"/>
              <w:bottom w:val="single" w:color="auto" w:sz="2" w:space="0"/>
              <w:right w:val="single" w:color="auto" w:sz="2" w:space="0"/>
            </w:tcBorders>
            <w:vAlign w:val="center"/>
          </w:tcPr>
          <w:p w14:paraId="6F0829AD">
            <w:pPr>
              <w:spacing w:before="0" w:after="0" w:line="240" w:lineRule="exact"/>
              <w:jc w:val="right"/>
              <w:rPr>
                <w:rFonts w:ascii="宋体" w:hAnsi="宋体" w:eastAsia="宋体" w:cs="宋体"/>
                <w:sz w:val="18"/>
                <w:szCs w:val="18"/>
              </w:rPr>
            </w:pPr>
            <w:r>
              <w:rPr>
                <w:rFonts w:ascii="宋体" w:hAnsi="宋体" w:eastAsia="宋体" w:cs="宋体"/>
                <w:sz w:val="18"/>
                <w:szCs w:val="18"/>
              </w:rPr>
              <w:t>14.89%</w:t>
            </w:r>
          </w:p>
        </w:tc>
        <w:tc>
          <w:tcPr>
            <w:tcW w:w="420" w:type="dxa"/>
            <w:tcBorders>
              <w:top w:val="single" w:color="auto" w:sz="2" w:space="0"/>
              <w:left w:val="single" w:color="auto" w:sz="2" w:space="0"/>
              <w:bottom w:val="single" w:color="auto" w:sz="2" w:space="0"/>
              <w:right w:val="single" w:color="auto" w:sz="2" w:space="0"/>
            </w:tcBorders>
            <w:vAlign w:val="center"/>
          </w:tcPr>
          <w:p w14:paraId="2D29E722">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164B0675">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7E1F91EF">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60202026">
            <w:pPr>
              <w:spacing w:before="0" w:after="0" w:line="240" w:lineRule="exact"/>
              <w:jc w:val="right"/>
              <w:rPr>
                <w:rFonts w:ascii="宋体" w:hAnsi="宋体" w:eastAsia="宋体" w:cs="宋体"/>
                <w:sz w:val="18"/>
                <w:szCs w:val="18"/>
              </w:rPr>
            </w:pPr>
            <w:r>
              <w:rPr>
                <w:rFonts w:ascii="宋体" w:hAnsi="宋体" w:eastAsia="宋体" w:cs="宋体"/>
                <w:sz w:val="18"/>
                <w:szCs w:val="18"/>
              </w:rPr>
              <w:t>-1,175,718</w:t>
            </w:r>
          </w:p>
        </w:tc>
        <w:tc>
          <w:tcPr>
            <w:tcW w:w="1170" w:type="dxa"/>
            <w:tcBorders>
              <w:top w:val="single" w:color="auto" w:sz="2" w:space="0"/>
              <w:left w:val="single" w:color="auto" w:sz="2" w:space="0"/>
              <w:bottom w:val="single" w:color="auto" w:sz="2" w:space="0"/>
              <w:right w:val="single" w:color="auto" w:sz="2" w:space="0"/>
            </w:tcBorders>
            <w:vAlign w:val="center"/>
          </w:tcPr>
          <w:p w14:paraId="1D431385">
            <w:pPr>
              <w:spacing w:before="0" w:after="0" w:line="240" w:lineRule="exact"/>
              <w:jc w:val="right"/>
              <w:rPr>
                <w:rFonts w:ascii="宋体" w:hAnsi="宋体" w:eastAsia="宋体" w:cs="宋体"/>
                <w:sz w:val="18"/>
                <w:szCs w:val="18"/>
              </w:rPr>
            </w:pPr>
            <w:r>
              <w:rPr>
                <w:rFonts w:ascii="宋体" w:hAnsi="宋体" w:eastAsia="宋体" w:cs="宋体"/>
                <w:sz w:val="18"/>
                <w:szCs w:val="18"/>
              </w:rPr>
              <w:t>-1,175,718</w:t>
            </w:r>
          </w:p>
        </w:tc>
        <w:tc>
          <w:tcPr>
            <w:tcW w:w="1240" w:type="dxa"/>
            <w:tcBorders>
              <w:top w:val="single" w:color="auto" w:sz="2" w:space="0"/>
              <w:left w:val="single" w:color="auto" w:sz="2" w:space="0"/>
              <w:bottom w:val="single" w:color="auto" w:sz="2" w:space="0"/>
              <w:right w:val="single" w:color="auto" w:sz="2" w:space="0"/>
            </w:tcBorders>
            <w:vAlign w:val="center"/>
          </w:tcPr>
          <w:p w14:paraId="23490BDA">
            <w:pPr>
              <w:spacing w:before="0" w:after="0" w:line="240" w:lineRule="exact"/>
              <w:jc w:val="right"/>
              <w:rPr>
                <w:rFonts w:ascii="宋体" w:hAnsi="宋体" w:eastAsia="宋体" w:cs="宋体"/>
                <w:sz w:val="18"/>
                <w:szCs w:val="18"/>
              </w:rPr>
            </w:pPr>
            <w:r>
              <w:rPr>
                <w:rFonts w:ascii="宋体" w:hAnsi="宋体" w:eastAsia="宋体" w:cs="宋体"/>
                <w:sz w:val="18"/>
                <w:szCs w:val="18"/>
              </w:rPr>
              <w:t>22,545,031</w:t>
            </w:r>
          </w:p>
        </w:tc>
        <w:tc>
          <w:tcPr>
            <w:tcW w:w="903" w:type="dxa"/>
            <w:tcBorders>
              <w:top w:val="single" w:color="auto" w:sz="2" w:space="0"/>
              <w:left w:val="single" w:color="auto" w:sz="2" w:space="0"/>
              <w:bottom w:val="single" w:color="auto" w:sz="2" w:space="0"/>
              <w:right w:val="single" w:color="auto" w:sz="2" w:space="0"/>
            </w:tcBorders>
            <w:vAlign w:val="center"/>
          </w:tcPr>
          <w:p w14:paraId="7C3E3693">
            <w:pPr>
              <w:spacing w:before="0" w:after="0" w:line="240" w:lineRule="exact"/>
              <w:jc w:val="right"/>
              <w:rPr>
                <w:rFonts w:ascii="宋体" w:hAnsi="宋体" w:eastAsia="宋体" w:cs="宋体"/>
                <w:sz w:val="18"/>
                <w:szCs w:val="18"/>
              </w:rPr>
            </w:pPr>
            <w:r>
              <w:rPr>
                <w:rFonts w:ascii="宋体" w:hAnsi="宋体" w:eastAsia="宋体" w:cs="宋体"/>
                <w:sz w:val="18"/>
                <w:szCs w:val="18"/>
              </w:rPr>
              <w:t>14.16%</w:t>
            </w:r>
          </w:p>
        </w:tc>
      </w:tr>
      <w:tr w14:paraId="3845E3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47BFEC7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4、外资持股</w:t>
            </w:r>
          </w:p>
        </w:tc>
        <w:tc>
          <w:tcPr>
            <w:tcW w:w="1230" w:type="dxa"/>
            <w:tcBorders>
              <w:top w:val="single" w:color="auto" w:sz="2" w:space="0"/>
              <w:left w:val="single" w:color="auto" w:sz="2" w:space="0"/>
              <w:bottom w:val="single" w:color="auto" w:sz="2" w:space="0"/>
              <w:right w:val="single" w:color="auto" w:sz="2" w:space="0"/>
            </w:tcBorders>
            <w:vAlign w:val="center"/>
          </w:tcPr>
          <w:p w14:paraId="3DA10A99">
            <w:pPr>
              <w:spacing w:before="0" w:after="0" w:line="240" w:lineRule="exact"/>
              <w:jc w:val="right"/>
              <w:rPr>
                <w:rFonts w:ascii="宋体" w:hAnsi="宋体" w:eastAsia="宋体" w:cs="宋体"/>
                <w:sz w:val="18"/>
                <w:szCs w:val="18"/>
              </w:rPr>
            </w:pPr>
          </w:p>
        </w:tc>
        <w:tc>
          <w:tcPr>
            <w:tcW w:w="840" w:type="dxa"/>
            <w:tcBorders>
              <w:top w:val="single" w:color="auto" w:sz="2" w:space="0"/>
              <w:left w:val="single" w:color="auto" w:sz="2" w:space="0"/>
              <w:bottom w:val="single" w:color="auto" w:sz="2" w:space="0"/>
              <w:right w:val="single" w:color="auto" w:sz="2" w:space="0"/>
            </w:tcBorders>
            <w:vAlign w:val="center"/>
          </w:tcPr>
          <w:p w14:paraId="6A218A3A">
            <w:pPr>
              <w:spacing w:before="0" w:after="0" w:line="240" w:lineRule="exact"/>
              <w:jc w:val="right"/>
              <w:rPr>
                <w:rFonts w:ascii="宋体" w:hAnsi="宋体" w:eastAsia="宋体" w:cs="宋体"/>
                <w:sz w:val="18"/>
                <w:szCs w:val="18"/>
              </w:rPr>
            </w:pPr>
          </w:p>
        </w:tc>
        <w:tc>
          <w:tcPr>
            <w:tcW w:w="420" w:type="dxa"/>
            <w:tcBorders>
              <w:top w:val="single" w:color="auto" w:sz="2" w:space="0"/>
              <w:left w:val="single" w:color="auto" w:sz="2" w:space="0"/>
              <w:bottom w:val="single" w:color="auto" w:sz="2" w:space="0"/>
              <w:right w:val="single" w:color="auto" w:sz="2" w:space="0"/>
            </w:tcBorders>
            <w:vAlign w:val="center"/>
          </w:tcPr>
          <w:p w14:paraId="41D9872A">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069DD570">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160A5CE8">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6FE181D8">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3B84761F">
            <w:pPr>
              <w:spacing w:before="0" w:after="0" w:line="240" w:lineRule="exact"/>
              <w:jc w:val="right"/>
              <w:rPr>
                <w:rFonts w:ascii="宋体" w:hAnsi="宋体" w:eastAsia="宋体" w:cs="宋体"/>
                <w:sz w:val="18"/>
                <w:szCs w:val="18"/>
              </w:rPr>
            </w:pPr>
          </w:p>
        </w:tc>
        <w:tc>
          <w:tcPr>
            <w:tcW w:w="1240" w:type="dxa"/>
            <w:tcBorders>
              <w:top w:val="single" w:color="auto" w:sz="2" w:space="0"/>
              <w:left w:val="single" w:color="auto" w:sz="2" w:space="0"/>
              <w:bottom w:val="single" w:color="auto" w:sz="2" w:space="0"/>
              <w:right w:val="single" w:color="auto" w:sz="2" w:space="0"/>
            </w:tcBorders>
            <w:vAlign w:val="center"/>
          </w:tcPr>
          <w:p w14:paraId="66927A7B">
            <w:pPr>
              <w:spacing w:before="0" w:after="0" w:line="240" w:lineRule="exact"/>
              <w:jc w:val="right"/>
              <w:rPr>
                <w:rFonts w:ascii="宋体" w:hAnsi="宋体" w:eastAsia="宋体" w:cs="宋体"/>
                <w:sz w:val="18"/>
                <w:szCs w:val="18"/>
              </w:rPr>
            </w:pPr>
          </w:p>
        </w:tc>
        <w:tc>
          <w:tcPr>
            <w:tcW w:w="903" w:type="dxa"/>
            <w:tcBorders>
              <w:top w:val="single" w:color="auto" w:sz="2" w:space="0"/>
              <w:left w:val="single" w:color="auto" w:sz="2" w:space="0"/>
              <w:bottom w:val="single" w:color="auto" w:sz="2" w:space="0"/>
              <w:right w:val="single" w:color="auto" w:sz="2" w:space="0"/>
            </w:tcBorders>
            <w:vAlign w:val="center"/>
          </w:tcPr>
          <w:p w14:paraId="3BCB903B">
            <w:pPr>
              <w:spacing w:before="0" w:after="0" w:line="240" w:lineRule="exact"/>
              <w:jc w:val="right"/>
              <w:rPr>
                <w:rFonts w:ascii="宋体" w:hAnsi="宋体" w:eastAsia="宋体" w:cs="宋体"/>
                <w:sz w:val="18"/>
                <w:szCs w:val="18"/>
              </w:rPr>
            </w:pPr>
          </w:p>
        </w:tc>
      </w:tr>
      <w:tr w14:paraId="39D352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3BD2968B">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其中：境外法人持股</w:t>
            </w:r>
          </w:p>
        </w:tc>
        <w:tc>
          <w:tcPr>
            <w:tcW w:w="1230" w:type="dxa"/>
            <w:tcBorders>
              <w:top w:val="single" w:color="auto" w:sz="2" w:space="0"/>
              <w:left w:val="single" w:color="auto" w:sz="2" w:space="0"/>
              <w:bottom w:val="single" w:color="auto" w:sz="2" w:space="0"/>
              <w:right w:val="single" w:color="auto" w:sz="2" w:space="0"/>
            </w:tcBorders>
            <w:vAlign w:val="center"/>
          </w:tcPr>
          <w:p w14:paraId="2CE7A42B">
            <w:pPr>
              <w:spacing w:before="0" w:after="0" w:line="240" w:lineRule="exact"/>
              <w:jc w:val="right"/>
              <w:rPr>
                <w:rFonts w:ascii="宋体" w:hAnsi="宋体" w:eastAsia="宋体" w:cs="宋体"/>
                <w:sz w:val="18"/>
                <w:szCs w:val="18"/>
              </w:rPr>
            </w:pPr>
          </w:p>
        </w:tc>
        <w:tc>
          <w:tcPr>
            <w:tcW w:w="840" w:type="dxa"/>
            <w:tcBorders>
              <w:top w:val="single" w:color="auto" w:sz="2" w:space="0"/>
              <w:left w:val="single" w:color="auto" w:sz="2" w:space="0"/>
              <w:bottom w:val="single" w:color="auto" w:sz="2" w:space="0"/>
              <w:right w:val="single" w:color="auto" w:sz="2" w:space="0"/>
            </w:tcBorders>
            <w:vAlign w:val="center"/>
          </w:tcPr>
          <w:p w14:paraId="6BE94B25">
            <w:pPr>
              <w:spacing w:before="0" w:after="0" w:line="240" w:lineRule="exact"/>
              <w:jc w:val="right"/>
              <w:rPr>
                <w:rFonts w:ascii="宋体" w:hAnsi="宋体" w:eastAsia="宋体" w:cs="宋体"/>
                <w:sz w:val="18"/>
                <w:szCs w:val="18"/>
              </w:rPr>
            </w:pPr>
          </w:p>
        </w:tc>
        <w:tc>
          <w:tcPr>
            <w:tcW w:w="420" w:type="dxa"/>
            <w:tcBorders>
              <w:top w:val="single" w:color="auto" w:sz="2" w:space="0"/>
              <w:left w:val="single" w:color="auto" w:sz="2" w:space="0"/>
              <w:bottom w:val="single" w:color="auto" w:sz="2" w:space="0"/>
              <w:right w:val="single" w:color="auto" w:sz="2" w:space="0"/>
            </w:tcBorders>
            <w:vAlign w:val="center"/>
          </w:tcPr>
          <w:p w14:paraId="43DCF0EB">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6E70AD0D">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184C3770">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549B2C83">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1E5BA9DE">
            <w:pPr>
              <w:spacing w:before="0" w:after="0" w:line="240" w:lineRule="exact"/>
              <w:jc w:val="right"/>
              <w:rPr>
                <w:rFonts w:ascii="宋体" w:hAnsi="宋体" w:eastAsia="宋体" w:cs="宋体"/>
                <w:sz w:val="18"/>
                <w:szCs w:val="18"/>
              </w:rPr>
            </w:pPr>
          </w:p>
        </w:tc>
        <w:tc>
          <w:tcPr>
            <w:tcW w:w="1240" w:type="dxa"/>
            <w:tcBorders>
              <w:top w:val="single" w:color="auto" w:sz="2" w:space="0"/>
              <w:left w:val="single" w:color="auto" w:sz="2" w:space="0"/>
              <w:bottom w:val="single" w:color="auto" w:sz="2" w:space="0"/>
              <w:right w:val="single" w:color="auto" w:sz="2" w:space="0"/>
            </w:tcBorders>
            <w:vAlign w:val="center"/>
          </w:tcPr>
          <w:p w14:paraId="5BD29A42">
            <w:pPr>
              <w:spacing w:before="0" w:after="0" w:line="240" w:lineRule="exact"/>
              <w:jc w:val="right"/>
              <w:rPr>
                <w:rFonts w:ascii="宋体" w:hAnsi="宋体" w:eastAsia="宋体" w:cs="宋体"/>
                <w:sz w:val="18"/>
                <w:szCs w:val="18"/>
              </w:rPr>
            </w:pPr>
          </w:p>
        </w:tc>
        <w:tc>
          <w:tcPr>
            <w:tcW w:w="903" w:type="dxa"/>
            <w:tcBorders>
              <w:top w:val="single" w:color="auto" w:sz="2" w:space="0"/>
              <w:left w:val="single" w:color="auto" w:sz="2" w:space="0"/>
              <w:bottom w:val="single" w:color="auto" w:sz="2" w:space="0"/>
              <w:right w:val="single" w:color="auto" w:sz="2" w:space="0"/>
            </w:tcBorders>
            <w:vAlign w:val="center"/>
          </w:tcPr>
          <w:p w14:paraId="225EBABA">
            <w:pPr>
              <w:spacing w:before="0" w:after="0" w:line="240" w:lineRule="exact"/>
              <w:jc w:val="right"/>
              <w:rPr>
                <w:rFonts w:ascii="宋体" w:hAnsi="宋体" w:eastAsia="宋体" w:cs="宋体"/>
                <w:sz w:val="18"/>
                <w:szCs w:val="18"/>
              </w:rPr>
            </w:pPr>
          </w:p>
        </w:tc>
      </w:tr>
      <w:tr w14:paraId="66A84A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300FF43B">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境外自然人持股</w:t>
            </w:r>
          </w:p>
        </w:tc>
        <w:tc>
          <w:tcPr>
            <w:tcW w:w="1230" w:type="dxa"/>
            <w:tcBorders>
              <w:top w:val="single" w:color="auto" w:sz="2" w:space="0"/>
              <w:left w:val="single" w:color="auto" w:sz="2" w:space="0"/>
              <w:bottom w:val="single" w:color="auto" w:sz="2" w:space="0"/>
              <w:right w:val="single" w:color="auto" w:sz="2" w:space="0"/>
            </w:tcBorders>
            <w:vAlign w:val="center"/>
          </w:tcPr>
          <w:p w14:paraId="2F2F4C33">
            <w:pPr>
              <w:spacing w:before="0" w:after="0" w:line="240" w:lineRule="exact"/>
              <w:jc w:val="right"/>
              <w:rPr>
                <w:rFonts w:ascii="宋体" w:hAnsi="宋体" w:eastAsia="宋体" w:cs="宋体"/>
                <w:sz w:val="18"/>
                <w:szCs w:val="18"/>
              </w:rPr>
            </w:pPr>
          </w:p>
        </w:tc>
        <w:tc>
          <w:tcPr>
            <w:tcW w:w="840" w:type="dxa"/>
            <w:tcBorders>
              <w:top w:val="single" w:color="auto" w:sz="2" w:space="0"/>
              <w:left w:val="single" w:color="auto" w:sz="2" w:space="0"/>
              <w:bottom w:val="single" w:color="auto" w:sz="2" w:space="0"/>
              <w:right w:val="single" w:color="auto" w:sz="2" w:space="0"/>
            </w:tcBorders>
            <w:vAlign w:val="center"/>
          </w:tcPr>
          <w:p w14:paraId="0F022FB2">
            <w:pPr>
              <w:spacing w:before="0" w:after="0" w:line="240" w:lineRule="exact"/>
              <w:jc w:val="right"/>
              <w:rPr>
                <w:rFonts w:ascii="宋体" w:hAnsi="宋体" w:eastAsia="宋体" w:cs="宋体"/>
                <w:sz w:val="18"/>
                <w:szCs w:val="18"/>
              </w:rPr>
            </w:pPr>
          </w:p>
        </w:tc>
        <w:tc>
          <w:tcPr>
            <w:tcW w:w="420" w:type="dxa"/>
            <w:tcBorders>
              <w:top w:val="single" w:color="auto" w:sz="2" w:space="0"/>
              <w:left w:val="single" w:color="auto" w:sz="2" w:space="0"/>
              <w:bottom w:val="single" w:color="auto" w:sz="2" w:space="0"/>
              <w:right w:val="single" w:color="auto" w:sz="2" w:space="0"/>
            </w:tcBorders>
            <w:vAlign w:val="center"/>
          </w:tcPr>
          <w:p w14:paraId="6B9ADE40">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57DB1282">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0663F9B2">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35778707">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11391F40">
            <w:pPr>
              <w:spacing w:before="0" w:after="0" w:line="240" w:lineRule="exact"/>
              <w:jc w:val="right"/>
              <w:rPr>
                <w:rFonts w:ascii="宋体" w:hAnsi="宋体" w:eastAsia="宋体" w:cs="宋体"/>
                <w:sz w:val="18"/>
                <w:szCs w:val="18"/>
              </w:rPr>
            </w:pPr>
          </w:p>
        </w:tc>
        <w:tc>
          <w:tcPr>
            <w:tcW w:w="1240" w:type="dxa"/>
            <w:tcBorders>
              <w:top w:val="single" w:color="auto" w:sz="2" w:space="0"/>
              <w:left w:val="single" w:color="auto" w:sz="2" w:space="0"/>
              <w:bottom w:val="single" w:color="auto" w:sz="2" w:space="0"/>
              <w:right w:val="single" w:color="auto" w:sz="2" w:space="0"/>
            </w:tcBorders>
            <w:vAlign w:val="center"/>
          </w:tcPr>
          <w:p w14:paraId="5962E348">
            <w:pPr>
              <w:spacing w:before="0" w:after="0" w:line="240" w:lineRule="exact"/>
              <w:jc w:val="right"/>
              <w:rPr>
                <w:rFonts w:ascii="宋体" w:hAnsi="宋体" w:eastAsia="宋体" w:cs="宋体"/>
                <w:sz w:val="18"/>
                <w:szCs w:val="18"/>
              </w:rPr>
            </w:pPr>
          </w:p>
        </w:tc>
        <w:tc>
          <w:tcPr>
            <w:tcW w:w="903" w:type="dxa"/>
            <w:tcBorders>
              <w:top w:val="single" w:color="auto" w:sz="2" w:space="0"/>
              <w:left w:val="single" w:color="auto" w:sz="2" w:space="0"/>
              <w:bottom w:val="single" w:color="auto" w:sz="2" w:space="0"/>
              <w:right w:val="single" w:color="auto" w:sz="2" w:space="0"/>
            </w:tcBorders>
            <w:vAlign w:val="center"/>
          </w:tcPr>
          <w:p w14:paraId="23A8F8DA">
            <w:pPr>
              <w:spacing w:before="0" w:after="0" w:line="240" w:lineRule="exact"/>
              <w:jc w:val="right"/>
              <w:rPr>
                <w:rFonts w:ascii="宋体" w:hAnsi="宋体" w:eastAsia="宋体" w:cs="宋体"/>
                <w:sz w:val="18"/>
                <w:szCs w:val="18"/>
              </w:rPr>
            </w:pPr>
          </w:p>
        </w:tc>
      </w:tr>
      <w:tr w14:paraId="7A672D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55D3CEC7">
            <w:pPr>
              <w:spacing w:before="40" w:after="40" w:line="240" w:lineRule="exact"/>
              <w:jc w:val="left"/>
              <w:rPr>
                <w:rFonts w:ascii="宋体" w:hAnsi="宋体" w:eastAsia="宋体" w:cs="宋体"/>
                <w:sz w:val="18"/>
                <w:szCs w:val="18"/>
              </w:rPr>
            </w:pPr>
            <w:r>
              <w:rPr>
                <w:rFonts w:ascii="宋体" w:hAnsi="宋体" w:eastAsia="宋体" w:cs="宋体"/>
                <w:sz w:val="18"/>
                <w:szCs w:val="18"/>
              </w:rPr>
              <w:t>二、无限售条件股份</w:t>
            </w:r>
          </w:p>
        </w:tc>
        <w:tc>
          <w:tcPr>
            <w:tcW w:w="1230" w:type="dxa"/>
            <w:tcBorders>
              <w:top w:val="single" w:color="auto" w:sz="2" w:space="0"/>
              <w:left w:val="single" w:color="auto" w:sz="2" w:space="0"/>
              <w:bottom w:val="single" w:color="auto" w:sz="2" w:space="0"/>
              <w:right w:val="single" w:color="auto" w:sz="2" w:space="0"/>
            </w:tcBorders>
            <w:vAlign w:val="center"/>
          </w:tcPr>
          <w:p w14:paraId="302E3F66">
            <w:pPr>
              <w:spacing w:before="0" w:after="0" w:line="240" w:lineRule="exact"/>
              <w:jc w:val="right"/>
              <w:rPr>
                <w:rFonts w:ascii="宋体" w:hAnsi="宋体" w:eastAsia="宋体" w:cs="宋体"/>
                <w:sz w:val="18"/>
                <w:szCs w:val="18"/>
              </w:rPr>
            </w:pPr>
            <w:r>
              <w:rPr>
                <w:rFonts w:ascii="宋体" w:hAnsi="宋体" w:eastAsia="宋体" w:cs="宋体"/>
                <w:sz w:val="18"/>
                <w:szCs w:val="18"/>
              </w:rPr>
              <w:t>135,546,251</w:t>
            </w:r>
          </w:p>
        </w:tc>
        <w:tc>
          <w:tcPr>
            <w:tcW w:w="840" w:type="dxa"/>
            <w:tcBorders>
              <w:top w:val="single" w:color="auto" w:sz="2" w:space="0"/>
              <w:left w:val="single" w:color="auto" w:sz="2" w:space="0"/>
              <w:bottom w:val="single" w:color="auto" w:sz="2" w:space="0"/>
              <w:right w:val="single" w:color="auto" w:sz="2" w:space="0"/>
            </w:tcBorders>
            <w:vAlign w:val="center"/>
          </w:tcPr>
          <w:p w14:paraId="628C3F30">
            <w:pPr>
              <w:spacing w:before="0" w:after="0" w:line="240" w:lineRule="exact"/>
              <w:jc w:val="right"/>
              <w:rPr>
                <w:rFonts w:ascii="宋体" w:hAnsi="宋体" w:eastAsia="宋体" w:cs="宋体"/>
                <w:sz w:val="18"/>
                <w:szCs w:val="18"/>
              </w:rPr>
            </w:pPr>
            <w:r>
              <w:rPr>
                <w:rFonts w:ascii="宋体" w:hAnsi="宋体" w:eastAsia="宋体" w:cs="宋体"/>
                <w:sz w:val="18"/>
                <w:szCs w:val="18"/>
              </w:rPr>
              <w:t>85.11%</w:t>
            </w:r>
          </w:p>
        </w:tc>
        <w:tc>
          <w:tcPr>
            <w:tcW w:w="420" w:type="dxa"/>
            <w:tcBorders>
              <w:top w:val="single" w:color="auto" w:sz="2" w:space="0"/>
              <w:left w:val="single" w:color="auto" w:sz="2" w:space="0"/>
              <w:bottom w:val="single" w:color="auto" w:sz="2" w:space="0"/>
              <w:right w:val="single" w:color="auto" w:sz="2" w:space="0"/>
            </w:tcBorders>
            <w:vAlign w:val="center"/>
          </w:tcPr>
          <w:p w14:paraId="74FD1CF3">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0CC32F12">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323D30BA">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5D20A4CB">
            <w:pPr>
              <w:spacing w:before="0" w:after="0" w:line="240" w:lineRule="exact"/>
              <w:jc w:val="right"/>
              <w:rPr>
                <w:rFonts w:ascii="宋体" w:hAnsi="宋体" w:eastAsia="宋体" w:cs="宋体"/>
                <w:sz w:val="18"/>
                <w:szCs w:val="18"/>
              </w:rPr>
            </w:pPr>
            <w:r>
              <w:rPr>
                <w:rFonts w:ascii="宋体" w:hAnsi="宋体" w:eastAsia="宋体" w:cs="宋体"/>
                <w:sz w:val="18"/>
                <w:szCs w:val="18"/>
              </w:rPr>
              <w:t>1,175,718</w:t>
            </w:r>
          </w:p>
        </w:tc>
        <w:tc>
          <w:tcPr>
            <w:tcW w:w="1170" w:type="dxa"/>
            <w:tcBorders>
              <w:top w:val="single" w:color="auto" w:sz="2" w:space="0"/>
              <w:left w:val="single" w:color="auto" w:sz="2" w:space="0"/>
              <w:bottom w:val="single" w:color="auto" w:sz="2" w:space="0"/>
              <w:right w:val="single" w:color="auto" w:sz="2" w:space="0"/>
            </w:tcBorders>
            <w:vAlign w:val="center"/>
          </w:tcPr>
          <w:p w14:paraId="266D1F98">
            <w:pPr>
              <w:spacing w:before="0" w:after="0" w:line="240" w:lineRule="exact"/>
              <w:jc w:val="right"/>
              <w:rPr>
                <w:rFonts w:ascii="宋体" w:hAnsi="宋体" w:eastAsia="宋体" w:cs="宋体"/>
                <w:sz w:val="18"/>
                <w:szCs w:val="18"/>
              </w:rPr>
            </w:pPr>
            <w:r>
              <w:rPr>
                <w:rFonts w:ascii="宋体" w:hAnsi="宋体" w:eastAsia="宋体" w:cs="宋体"/>
                <w:sz w:val="18"/>
                <w:szCs w:val="18"/>
              </w:rPr>
              <w:t>1,175,718</w:t>
            </w:r>
          </w:p>
        </w:tc>
        <w:tc>
          <w:tcPr>
            <w:tcW w:w="1240" w:type="dxa"/>
            <w:tcBorders>
              <w:top w:val="single" w:color="auto" w:sz="2" w:space="0"/>
              <w:left w:val="single" w:color="auto" w:sz="2" w:space="0"/>
              <w:bottom w:val="single" w:color="auto" w:sz="2" w:space="0"/>
              <w:right w:val="single" w:color="auto" w:sz="2" w:space="0"/>
            </w:tcBorders>
            <w:vAlign w:val="center"/>
          </w:tcPr>
          <w:p w14:paraId="502EEA37">
            <w:pPr>
              <w:spacing w:before="0" w:after="0" w:line="240" w:lineRule="exact"/>
              <w:jc w:val="right"/>
              <w:rPr>
                <w:rFonts w:ascii="宋体" w:hAnsi="宋体" w:eastAsia="宋体" w:cs="宋体"/>
                <w:sz w:val="18"/>
                <w:szCs w:val="18"/>
              </w:rPr>
            </w:pPr>
            <w:r>
              <w:rPr>
                <w:rFonts w:ascii="宋体" w:hAnsi="宋体" w:eastAsia="宋体" w:cs="宋体"/>
                <w:sz w:val="18"/>
                <w:szCs w:val="18"/>
              </w:rPr>
              <w:t>136,721,969</w:t>
            </w:r>
          </w:p>
        </w:tc>
        <w:tc>
          <w:tcPr>
            <w:tcW w:w="903" w:type="dxa"/>
            <w:tcBorders>
              <w:top w:val="single" w:color="auto" w:sz="2" w:space="0"/>
              <w:left w:val="single" w:color="auto" w:sz="2" w:space="0"/>
              <w:bottom w:val="single" w:color="auto" w:sz="2" w:space="0"/>
              <w:right w:val="single" w:color="auto" w:sz="2" w:space="0"/>
            </w:tcBorders>
            <w:vAlign w:val="center"/>
          </w:tcPr>
          <w:p w14:paraId="75505AE1">
            <w:pPr>
              <w:spacing w:before="0" w:after="0" w:line="240" w:lineRule="exact"/>
              <w:jc w:val="right"/>
              <w:rPr>
                <w:rFonts w:ascii="宋体" w:hAnsi="宋体" w:eastAsia="宋体" w:cs="宋体"/>
                <w:sz w:val="18"/>
                <w:szCs w:val="18"/>
              </w:rPr>
            </w:pPr>
            <w:r>
              <w:rPr>
                <w:rFonts w:ascii="宋体" w:hAnsi="宋体" w:eastAsia="宋体" w:cs="宋体"/>
                <w:sz w:val="18"/>
                <w:szCs w:val="18"/>
              </w:rPr>
              <w:t>85.84%</w:t>
            </w:r>
          </w:p>
        </w:tc>
      </w:tr>
      <w:tr w14:paraId="57BF00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6CC5B37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1、人民币普通股</w:t>
            </w:r>
          </w:p>
        </w:tc>
        <w:tc>
          <w:tcPr>
            <w:tcW w:w="1230" w:type="dxa"/>
            <w:tcBorders>
              <w:top w:val="single" w:color="auto" w:sz="2" w:space="0"/>
              <w:left w:val="single" w:color="auto" w:sz="2" w:space="0"/>
              <w:bottom w:val="single" w:color="auto" w:sz="2" w:space="0"/>
              <w:right w:val="single" w:color="auto" w:sz="2" w:space="0"/>
            </w:tcBorders>
            <w:vAlign w:val="center"/>
          </w:tcPr>
          <w:p w14:paraId="61D36B23">
            <w:pPr>
              <w:spacing w:before="0" w:after="0" w:line="240" w:lineRule="exact"/>
              <w:jc w:val="right"/>
              <w:rPr>
                <w:rFonts w:ascii="宋体" w:hAnsi="宋体" w:eastAsia="宋体" w:cs="宋体"/>
                <w:sz w:val="18"/>
                <w:szCs w:val="18"/>
              </w:rPr>
            </w:pPr>
            <w:r>
              <w:rPr>
                <w:rFonts w:ascii="宋体" w:hAnsi="宋体" w:eastAsia="宋体" w:cs="宋体"/>
                <w:sz w:val="18"/>
                <w:szCs w:val="18"/>
              </w:rPr>
              <w:t>135,546,251</w:t>
            </w:r>
          </w:p>
        </w:tc>
        <w:tc>
          <w:tcPr>
            <w:tcW w:w="840" w:type="dxa"/>
            <w:tcBorders>
              <w:top w:val="single" w:color="auto" w:sz="2" w:space="0"/>
              <w:left w:val="single" w:color="auto" w:sz="2" w:space="0"/>
              <w:bottom w:val="single" w:color="auto" w:sz="2" w:space="0"/>
              <w:right w:val="single" w:color="auto" w:sz="2" w:space="0"/>
            </w:tcBorders>
            <w:vAlign w:val="center"/>
          </w:tcPr>
          <w:p w14:paraId="01AA38E6">
            <w:pPr>
              <w:spacing w:before="0" w:after="0" w:line="240" w:lineRule="exact"/>
              <w:jc w:val="right"/>
              <w:rPr>
                <w:rFonts w:ascii="宋体" w:hAnsi="宋体" w:eastAsia="宋体" w:cs="宋体"/>
                <w:sz w:val="18"/>
                <w:szCs w:val="18"/>
              </w:rPr>
            </w:pPr>
            <w:r>
              <w:rPr>
                <w:rFonts w:ascii="宋体" w:hAnsi="宋体" w:eastAsia="宋体" w:cs="宋体"/>
                <w:sz w:val="18"/>
                <w:szCs w:val="18"/>
              </w:rPr>
              <w:t>85.11%</w:t>
            </w:r>
          </w:p>
        </w:tc>
        <w:tc>
          <w:tcPr>
            <w:tcW w:w="420" w:type="dxa"/>
            <w:tcBorders>
              <w:top w:val="single" w:color="auto" w:sz="2" w:space="0"/>
              <w:left w:val="single" w:color="auto" w:sz="2" w:space="0"/>
              <w:bottom w:val="single" w:color="auto" w:sz="2" w:space="0"/>
              <w:right w:val="single" w:color="auto" w:sz="2" w:space="0"/>
            </w:tcBorders>
            <w:vAlign w:val="center"/>
          </w:tcPr>
          <w:p w14:paraId="5D4A9B48">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498D2043">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3CB121BF">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5B7CF86A">
            <w:pPr>
              <w:spacing w:before="0" w:after="0" w:line="240" w:lineRule="exact"/>
              <w:jc w:val="right"/>
              <w:rPr>
                <w:rFonts w:ascii="宋体" w:hAnsi="宋体" w:eastAsia="宋体" w:cs="宋体"/>
                <w:sz w:val="18"/>
                <w:szCs w:val="18"/>
              </w:rPr>
            </w:pPr>
            <w:r>
              <w:rPr>
                <w:rFonts w:ascii="宋体" w:hAnsi="宋体" w:eastAsia="宋体" w:cs="宋体"/>
                <w:sz w:val="18"/>
                <w:szCs w:val="18"/>
              </w:rPr>
              <w:t>1,175,718</w:t>
            </w:r>
          </w:p>
        </w:tc>
        <w:tc>
          <w:tcPr>
            <w:tcW w:w="1170" w:type="dxa"/>
            <w:tcBorders>
              <w:top w:val="single" w:color="auto" w:sz="2" w:space="0"/>
              <w:left w:val="single" w:color="auto" w:sz="2" w:space="0"/>
              <w:bottom w:val="single" w:color="auto" w:sz="2" w:space="0"/>
              <w:right w:val="single" w:color="auto" w:sz="2" w:space="0"/>
            </w:tcBorders>
            <w:vAlign w:val="center"/>
          </w:tcPr>
          <w:p w14:paraId="48137C29">
            <w:pPr>
              <w:spacing w:before="0" w:after="0" w:line="240" w:lineRule="exact"/>
              <w:jc w:val="right"/>
              <w:rPr>
                <w:rFonts w:ascii="宋体" w:hAnsi="宋体" w:eastAsia="宋体" w:cs="宋体"/>
                <w:sz w:val="18"/>
                <w:szCs w:val="18"/>
              </w:rPr>
            </w:pPr>
            <w:r>
              <w:rPr>
                <w:rFonts w:ascii="宋体" w:hAnsi="宋体" w:eastAsia="宋体" w:cs="宋体"/>
                <w:sz w:val="18"/>
                <w:szCs w:val="18"/>
              </w:rPr>
              <w:t>1,175,718</w:t>
            </w:r>
          </w:p>
        </w:tc>
        <w:tc>
          <w:tcPr>
            <w:tcW w:w="1240" w:type="dxa"/>
            <w:tcBorders>
              <w:top w:val="single" w:color="auto" w:sz="2" w:space="0"/>
              <w:left w:val="single" w:color="auto" w:sz="2" w:space="0"/>
              <w:bottom w:val="single" w:color="auto" w:sz="2" w:space="0"/>
              <w:right w:val="single" w:color="auto" w:sz="2" w:space="0"/>
            </w:tcBorders>
            <w:vAlign w:val="center"/>
          </w:tcPr>
          <w:p w14:paraId="5D124932">
            <w:pPr>
              <w:spacing w:before="0" w:after="0" w:line="240" w:lineRule="exact"/>
              <w:jc w:val="right"/>
              <w:rPr>
                <w:rFonts w:ascii="宋体" w:hAnsi="宋体" w:eastAsia="宋体" w:cs="宋体"/>
                <w:sz w:val="18"/>
                <w:szCs w:val="18"/>
              </w:rPr>
            </w:pPr>
            <w:r>
              <w:rPr>
                <w:rFonts w:ascii="宋体" w:hAnsi="宋体" w:eastAsia="宋体" w:cs="宋体"/>
                <w:sz w:val="18"/>
                <w:szCs w:val="18"/>
              </w:rPr>
              <w:t>136,721,969</w:t>
            </w:r>
          </w:p>
        </w:tc>
        <w:tc>
          <w:tcPr>
            <w:tcW w:w="903" w:type="dxa"/>
            <w:tcBorders>
              <w:top w:val="single" w:color="auto" w:sz="2" w:space="0"/>
              <w:left w:val="single" w:color="auto" w:sz="2" w:space="0"/>
              <w:bottom w:val="single" w:color="auto" w:sz="2" w:space="0"/>
              <w:right w:val="single" w:color="auto" w:sz="2" w:space="0"/>
            </w:tcBorders>
            <w:vAlign w:val="center"/>
          </w:tcPr>
          <w:p w14:paraId="6753B08A">
            <w:pPr>
              <w:spacing w:before="0" w:after="0" w:line="240" w:lineRule="exact"/>
              <w:jc w:val="right"/>
              <w:rPr>
                <w:rFonts w:ascii="宋体" w:hAnsi="宋体" w:eastAsia="宋体" w:cs="宋体"/>
                <w:sz w:val="18"/>
                <w:szCs w:val="18"/>
              </w:rPr>
            </w:pPr>
            <w:r>
              <w:rPr>
                <w:rFonts w:ascii="宋体" w:hAnsi="宋体" w:eastAsia="宋体" w:cs="宋体"/>
                <w:sz w:val="18"/>
                <w:szCs w:val="18"/>
              </w:rPr>
              <w:t>85.84%</w:t>
            </w:r>
          </w:p>
        </w:tc>
      </w:tr>
      <w:tr w14:paraId="010A66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00945E4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2、境内上市的外资股</w:t>
            </w:r>
          </w:p>
        </w:tc>
        <w:tc>
          <w:tcPr>
            <w:tcW w:w="1230" w:type="dxa"/>
            <w:tcBorders>
              <w:top w:val="single" w:color="auto" w:sz="2" w:space="0"/>
              <w:left w:val="single" w:color="auto" w:sz="2" w:space="0"/>
              <w:bottom w:val="single" w:color="auto" w:sz="2" w:space="0"/>
              <w:right w:val="single" w:color="auto" w:sz="2" w:space="0"/>
            </w:tcBorders>
            <w:vAlign w:val="center"/>
          </w:tcPr>
          <w:p w14:paraId="7B243055">
            <w:pPr>
              <w:spacing w:before="0" w:after="0" w:line="240" w:lineRule="exact"/>
              <w:jc w:val="right"/>
              <w:rPr>
                <w:rFonts w:ascii="宋体" w:hAnsi="宋体" w:eastAsia="宋体" w:cs="宋体"/>
                <w:sz w:val="18"/>
                <w:szCs w:val="18"/>
              </w:rPr>
            </w:pPr>
          </w:p>
        </w:tc>
        <w:tc>
          <w:tcPr>
            <w:tcW w:w="840" w:type="dxa"/>
            <w:tcBorders>
              <w:top w:val="single" w:color="auto" w:sz="2" w:space="0"/>
              <w:left w:val="single" w:color="auto" w:sz="2" w:space="0"/>
              <w:bottom w:val="single" w:color="auto" w:sz="2" w:space="0"/>
              <w:right w:val="single" w:color="auto" w:sz="2" w:space="0"/>
            </w:tcBorders>
            <w:vAlign w:val="center"/>
          </w:tcPr>
          <w:p w14:paraId="30E5DFDB">
            <w:pPr>
              <w:spacing w:before="0" w:after="0" w:line="240" w:lineRule="exact"/>
              <w:jc w:val="right"/>
              <w:rPr>
                <w:rFonts w:ascii="宋体" w:hAnsi="宋体" w:eastAsia="宋体" w:cs="宋体"/>
                <w:sz w:val="18"/>
                <w:szCs w:val="18"/>
              </w:rPr>
            </w:pPr>
          </w:p>
        </w:tc>
        <w:tc>
          <w:tcPr>
            <w:tcW w:w="420" w:type="dxa"/>
            <w:tcBorders>
              <w:top w:val="single" w:color="auto" w:sz="2" w:space="0"/>
              <w:left w:val="single" w:color="auto" w:sz="2" w:space="0"/>
              <w:bottom w:val="single" w:color="auto" w:sz="2" w:space="0"/>
              <w:right w:val="single" w:color="auto" w:sz="2" w:space="0"/>
            </w:tcBorders>
            <w:vAlign w:val="center"/>
          </w:tcPr>
          <w:p w14:paraId="58695B36">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259EA23A">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59EEFBF8">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555D3333">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4264084C">
            <w:pPr>
              <w:spacing w:before="0" w:after="0" w:line="240" w:lineRule="exact"/>
              <w:jc w:val="right"/>
              <w:rPr>
                <w:rFonts w:ascii="宋体" w:hAnsi="宋体" w:eastAsia="宋体" w:cs="宋体"/>
                <w:sz w:val="18"/>
                <w:szCs w:val="18"/>
              </w:rPr>
            </w:pPr>
          </w:p>
        </w:tc>
        <w:tc>
          <w:tcPr>
            <w:tcW w:w="1240" w:type="dxa"/>
            <w:tcBorders>
              <w:top w:val="single" w:color="auto" w:sz="2" w:space="0"/>
              <w:left w:val="single" w:color="auto" w:sz="2" w:space="0"/>
              <w:bottom w:val="single" w:color="auto" w:sz="2" w:space="0"/>
              <w:right w:val="single" w:color="auto" w:sz="2" w:space="0"/>
            </w:tcBorders>
            <w:vAlign w:val="center"/>
          </w:tcPr>
          <w:p w14:paraId="67A01A1B">
            <w:pPr>
              <w:spacing w:before="0" w:after="0" w:line="240" w:lineRule="exact"/>
              <w:jc w:val="right"/>
              <w:rPr>
                <w:rFonts w:ascii="宋体" w:hAnsi="宋体" w:eastAsia="宋体" w:cs="宋体"/>
                <w:sz w:val="18"/>
                <w:szCs w:val="18"/>
              </w:rPr>
            </w:pPr>
          </w:p>
        </w:tc>
        <w:tc>
          <w:tcPr>
            <w:tcW w:w="903" w:type="dxa"/>
            <w:tcBorders>
              <w:top w:val="single" w:color="auto" w:sz="2" w:space="0"/>
              <w:left w:val="single" w:color="auto" w:sz="2" w:space="0"/>
              <w:bottom w:val="single" w:color="auto" w:sz="2" w:space="0"/>
              <w:right w:val="single" w:color="auto" w:sz="2" w:space="0"/>
            </w:tcBorders>
            <w:vAlign w:val="center"/>
          </w:tcPr>
          <w:p w14:paraId="28B5D82B">
            <w:pPr>
              <w:spacing w:before="0" w:after="0" w:line="240" w:lineRule="exact"/>
              <w:jc w:val="right"/>
              <w:rPr>
                <w:rFonts w:ascii="宋体" w:hAnsi="宋体" w:eastAsia="宋体" w:cs="宋体"/>
                <w:sz w:val="18"/>
                <w:szCs w:val="18"/>
              </w:rPr>
            </w:pPr>
          </w:p>
        </w:tc>
      </w:tr>
      <w:tr w14:paraId="3398E2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307745C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3、境外上市的外资股</w:t>
            </w:r>
          </w:p>
        </w:tc>
        <w:tc>
          <w:tcPr>
            <w:tcW w:w="1230" w:type="dxa"/>
            <w:tcBorders>
              <w:top w:val="single" w:color="auto" w:sz="2" w:space="0"/>
              <w:left w:val="single" w:color="auto" w:sz="2" w:space="0"/>
              <w:bottom w:val="single" w:color="auto" w:sz="2" w:space="0"/>
              <w:right w:val="single" w:color="auto" w:sz="2" w:space="0"/>
            </w:tcBorders>
            <w:vAlign w:val="center"/>
          </w:tcPr>
          <w:p w14:paraId="5CB57867">
            <w:pPr>
              <w:spacing w:before="0" w:after="0" w:line="240" w:lineRule="exact"/>
              <w:jc w:val="right"/>
              <w:rPr>
                <w:rFonts w:ascii="宋体" w:hAnsi="宋体" w:eastAsia="宋体" w:cs="宋体"/>
                <w:sz w:val="18"/>
                <w:szCs w:val="18"/>
              </w:rPr>
            </w:pPr>
          </w:p>
        </w:tc>
        <w:tc>
          <w:tcPr>
            <w:tcW w:w="840" w:type="dxa"/>
            <w:tcBorders>
              <w:top w:val="single" w:color="auto" w:sz="2" w:space="0"/>
              <w:left w:val="single" w:color="auto" w:sz="2" w:space="0"/>
              <w:bottom w:val="single" w:color="auto" w:sz="2" w:space="0"/>
              <w:right w:val="single" w:color="auto" w:sz="2" w:space="0"/>
            </w:tcBorders>
            <w:vAlign w:val="center"/>
          </w:tcPr>
          <w:p w14:paraId="13075E4A">
            <w:pPr>
              <w:spacing w:before="0" w:after="0" w:line="240" w:lineRule="exact"/>
              <w:jc w:val="right"/>
              <w:rPr>
                <w:rFonts w:ascii="宋体" w:hAnsi="宋体" w:eastAsia="宋体" w:cs="宋体"/>
                <w:sz w:val="18"/>
                <w:szCs w:val="18"/>
              </w:rPr>
            </w:pPr>
          </w:p>
        </w:tc>
        <w:tc>
          <w:tcPr>
            <w:tcW w:w="420" w:type="dxa"/>
            <w:tcBorders>
              <w:top w:val="single" w:color="auto" w:sz="2" w:space="0"/>
              <w:left w:val="single" w:color="auto" w:sz="2" w:space="0"/>
              <w:bottom w:val="single" w:color="auto" w:sz="2" w:space="0"/>
              <w:right w:val="single" w:color="auto" w:sz="2" w:space="0"/>
            </w:tcBorders>
            <w:vAlign w:val="center"/>
          </w:tcPr>
          <w:p w14:paraId="69F1F976">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70D43779">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22384B7B">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3548C36C">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3F5ED9E5">
            <w:pPr>
              <w:spacing w:before="0" w:after="0" w:line="240" w:lineRule="exact"/>
              <w:jc w:val="right"/>
              <w:rPr>
                <w:rFonts w:ascii="宋体" w:hAnsi="宋体" w:eastAsia="宋体" w:cs="宋体"/>
                <w:sz w:val="18"/>
                <w:szCs w:val="18"/>
              </w:rPr>
            </w:pPr>
          </w:p>
        </w:tc>
        <w:tc>
          <w:tcPr>
            <w:tcW w:w="1240" w:type="dxa"/>
            <w:tcBorders>
              <w:top w:val="single" w:color="auto" w:sz="2" w:space="0"/>
              <w:left w:val="single" w:color="auto" w:sz="2" w:space="0"/>
              <w:bottom w:val="single" w:color="auto" w:sz="2" w:space="0"/>
              <w:right w:val="single" w:color="auto" w:sz="2" w:space="0"/>
            </w:tcBorders>
            <w:vAlign w:val="center"/>
          </w:tcPr>
          <w:p w14:paraId="5EC5BE66">
            <w:pPr>
              <w:spacing w:before="0" w:after="0" w:line="240" w:lineRule="exact"/>
              <w:jc w:val="right"/>
              <w:rPr>
                <w:rFonts w:ascii="宋体" w:hAnsi="宋体" w:eastAsia="宋体" w:cs="宋体"/>
                <w:sz w:val="18"/>
                <w:szCs w:val="18"/>
              </w:rPr>
            </w:pPr>
          </w:p>
        </w:tc>
        <w:tc>
          <w:tcPr>
            <w:tcW w:w="903" w:type="dxa"/>
            <w:tcBorders>
              <w:top w:val="single" w:color="auto" w:sz="2" w:space="0"/>
              <w:left w:val="single" w:color="auto" w:sz="2" w:space="0"/>
              <w:bottom w:val="single" w:color="auto" w:sz="2" w:space="0"/>
              <w:right w:val="single" w:color="auto" w:sz="2" w:space="0"/>
            </w:tcBorders>
            <w:vAlign w:val="center"/>
          </w:tcPr>
          <w:p w14:paraId="18924996">
            <w:pPr>
              <w:spacing w:before="0" w:after="0" w:line="240" w:lineRule="exact"/>
              <w:jc w:val="right"/>
              <w:rPr>
                <w:rFonts w:ascii="宋体" w:hAnsi="宋体" w:eastAsia="宋体" w:cs="宋体"/>
                <w:sz w:val="18"/>
                <w:szCs w:val="18"/>
              </w:rPr>
            </w:pPr>
          </w:p>
        </w:tc>
      </w:tr>
      <w:tr w14:paraId="7ECB79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6367621F">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4、其他</w:t>
            </w:r>
          </w:p>
        </w:tc>
        <w:tc>
          <w:tcPr>
            <w:tcW w:w="1230" w:type="dxa"/>
            <w:tcBorders>
              <w:top w:val="single" w:color="auto" w:sz="2" w:space="0"/>
              <w:left w:val="single" w:color="auto" w:sz="2" w:space="0"/>
              <w:bottom w:val="single" w:color="auto" w:sz="2" w:space="0"/>
              <w:right w:val="single" w:color="auto" w:sz="2" w:space="0"/>
            </w:tcBorders>
            <w:vAlign w:val="center"/>
          </w:tcPr>
          <w:p w14:paraId="3ED76A6B">
            <w:pPr>
              <w:spacing w:before="0" w:after="0" w:line="240" w:lineRule="exact"/>
              <w:jc w:val="right"/>
              <w:rPr>
                <w:rFonts w:ascii="宋体" w:hAnsi="宋体" w:eastAsia="宋体" w:cs="宋体"/>
                <w:sz w:val="18"/>
                <w:szCs w:val="18"/>
              </w:rPr>
            </w:pPr>
          </w:p>
        </w:tc>
        <w:tc>
          <w:tcPr>
            <w:tcW w:w="840" w:type="dxa"/>
            <w:tcBorders>
              <w:top w:val="single" w:color="auto" w:sz="2" w:space="0"/>
              <w:left w:val="single" w:color="auto" w:sz="2" w:space="0"/>
              <w:bottom w:val="single" w:color="auto" w:sz="2" w:space="0"/>
              <w:right w:val="single" w:color="auto" w:sz="2" w:space="0"/>
            </w:tcBorders>
            <w:vAlign w:val="center"/>
          </w:tcPr>
          <w:p w14:paraId="5646D5E4">
            <w:pPr>
              <w:spacing w:before="0" w:after="0" w:line="240" w:lineRule="exact"/>
              <w:jc w:val="right"/>
              <w:rPr>
                <w:rFonts w:ascii="宋体" w:hAnsi="宋体" w:eastAsia="宋体" w:cs="宋体"/>
                <w:sz w:val="18"/>
                <w:szCs w:val="18"/>
              </w:rPr>
            </w:pPr>
          </w:p>
        </w:tc>
        <w:tc>
          <w:tcPr>
            <w:tcW w:w="420" w:type="dxa"/>
            <w:tcBorders>
              <w:top w:val="single" w:color="auto" w:sz="2" w:space="0"/>
              <w:left w:val="single" w:color="auto" w:sz="2" w:space="0"/>
              <w:bottom w:val="single" w:color="auto" w:sz="2" w:space="0"/>
              <w:right w:val="single" w:color="auto" w:sz="2" w:space="0"/>
            </w:tcBorders>
            <w:vAlign w:val="center"/>
          </w:tcPr>
          <w:p w14:paraId="53A7E304">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00D6D5AC">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70C14D87">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5CFF2F70">
            <w:pPr>
              <w:spacing w:before="0" w:after="0" w:line="240" w:lineRule="exact"/>
              <w:jc w:val="right"/>
              <w:rPr>
                <w:rFonts w:ascii="宋体" w:hAnsi="宋体" w:eastAsia="宋体" w:cs="宋体"/>
                <w:sz w:val="18"/>
                <w:szCs w:val="18"/>
              </w:rPr>
            </w:pPr>
          </w:p>
        </w:tc>
        <w:tc>
          <w:tcPr>
            <w:tcW w:w="1170" w:type="dxa"/>
            <w:tcBorders>
              <w:top w:val="single" w:color="auto" w:sz="2" w:space="0"/>
              <w:left w:val="single" w:color="auto" w:sz="2" w:space="0"/>
              <w:bottom w:val="single" w:color="auto" w:sz="2" w:space="0"/>
              <w:right w:val="single" w:color="auto" w:sz="2" w:space="0"/>
            </w:tcBorders>
            <w:vAlign w:val="center"/>
          </w:tcPr>
          <w:p w14:paraId="32390B08">
            <w:pPr>
              <w:spacing w:before="0" w:after="0" w:line="240" w:lineRule="exact"/>
              <w:jc w:val="right"/>
              <w:rPr>
                <w:rFonts w:ascii="宋体" w:hAnsi="宋体" w:eastAsia="宋体" w:cs="宋体"/>
                <w:sz w:val="18"/>
                <w:szCs w:val="18"/>
              </w:rPr>
            </w:pPr>
          </w:p>
        </w:tc>
        <w:tc>
          <w:tcPr>
            <w:tcW w:w="1240" w:type="dxa"/>
            <w:tcBorders>
              <w:top w:val="single" w:color="auto" w:sz="2" w:space="0"/>
              <w:left w:val="single" w:color="auto" w:sz="2" w:space="0"/>
              <w:bottom w:val="single" w:color="auto" w:sz="2" w:space="0"/>
              <w:right w:val="single" w:color="auto" w:sz="2" w:space="0"/>
            </w:tcBorders>
            <w:vAlign w:val="center"/>
          </w:tcPr>
          <w:p w14:paraId="2FD6D93E">
            <w:pPr>
              <w:spacing w:before="0" w:after="0" w:line="240" w:lineRule="exact"/>
              <w:jc w:val="right"/>
              <w:rPr>
                <w:rFonts w:ascii="宋体" w:hAnsi="宋体" w:eastAsia="宋体" w:cs="宋体"/>
                <w:sz w:val="18"/>
                <w:szCs w:val="18"/>
              </w:rPr>
            </w:pPr>
          </w:p>
        </w:tc>
        <w:tc>
          <w:tcPr>
            <w:tcW w:w="903" w:type="dxa"/>
            <w:tcBorders>
              <w:top w:val="single" w:color="auto" w:sz="2" w:space="0"/>
              <w:left w:val="single" w:color="auto" w:sz="2" w:space="0"/>
              <w:bottom w:val="single" w:color="auto" w:sz="2" w:space="0"/>
              <w:right w:val="single" w:color="auto" w:sz="2" w:space="0"/>
            </w:tcBorders>
            <w:vAlign w:val="center"/>
          </w:tcPr>
          <w:p w14:paraId="3FC3FFC4">
            <w:pPr>
              <w:spacing w:before="0" w:after="0" w:line="240" w:lineRule="exact"/>
              <w:jc w:val="right"/>
              <w:rPr>
                <w:rFonts w:ascii="宋体" w:hAnsi="宋体" w:eastAsia="宋体" w:cs="宋体"/>
                <w:sz w:val="18"/>
                <w:szCs w:val="18"/>
              </w:rPr>
            </w:pPr>
          </w:p>
        </w:tc>
      </w:tr>
      <w:tr w14:paraId="2D640F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57" w:type="dxa"/>
            <w:tcBorders>
              <w:top w:val="single" w:color="auto" w:sz="2" w:space="0"/>
              <w:left w:val="single" w:color="auto" w:sz="2" w:space="0"/>
              <w:bottom w:val="single" w:color="auto" w:sz="2" w:space="0"/>
              <w:right w:val="single" w:color="auto" w:sz="2" w:space="0"/>
            </w:tcBorders>
            <w:shd w:val="clear" w:color="auto" w:fill="D3D3D3"/>
            <w:vAlign w:val="center"/>
          </w:tcPr>
          <w:p w14:paraId="521D0074">
            <w:pPr>
              <w:spacing w:before="40" w:after="40" w:line="240" w:lineRule="exact"/>
              <w:jc w:val="left"/>
              <w:rPr>
                <w:rFonts w:ascii="宋体" w:hAnsi="宋体" w:eastAsia="宋体" w:cs="宋体"/>
                <w:sz w:val="18"/>
                <w:szCs w:val="18"/>
              </w:rPr>
            </w:pPr>
            <w:r>
              <w:rPr>
                <w:rFonts w:ascii="宋体" w:hAnsi="宋体" w:eastAsia="宋体" w:cs="宋体"/>
                <w:sz w:val="18"/>
                <w:szCs w:val="18"/>
              </w:rPr>
              <w:t>三、股份总数</w:t>
            </w:r>
          </w:p>
        </w:tc>
        <w:tc>
          <w:tcPr>
            <w:tcW w:w="1230" w:type="dxa"/>
            <w:tcBorders>
              <w:top w:val="single" w:color="auto" w:sz="2" w:space="0"/>
              <w:left w:val="single" w:color="auto" w:sz="2" w:space="0"/>
              <w:bottom w:val="single" w:color="auto" w:sz="2" w:space="0"/>
              <w:right w:val="single" w:color="auto" w:sz="2" w:space="0"/>
            </w:tcBorders>
            <w:vAlign w:val="center"/>
          </w:tcPr>
          <w:p w14:paraId="1E5699A6">
            <w:pPr>
              <w:spacing w:before="0" w:after="0" w:line="240" w:lineRule="exact"/>
              <w:jc w:val="right"/>
              <w:rPr>
                <w:rFonts w:ascii="宋体" w:hAnsi="宋体" w:eastAsia="宋体" w:cs="宋体"/>
                <w:sz w:val="18"/>
                <w:szCs w:val="18"/>
              </w:rPr>
            </w:pPr>
            <w:r>
              <w:rPr>
                <w:rFonts w:ascii="宋体" w:hAnsi="宋体" w:eastAsia="宋体" w:cs="宋体"/>
                <w:sz w:val="18"/>
                <w:szCs w:val="18"/>
              </w:rPr>
              <w:t>159,267,000</w:t>
            </w:r>
          </w:p>
        </w:tc>
        <w:tc>
          <w:tcPr>
            <w:tcW w:w="840" w:type="dxa"/>
            <w:tcBorders>
              <w:top w:val="single" w:color="auto" w:sz="2" w:space="0"/>
              <w:left w:val="single" w:color="auto" w:sz="2" w:space="0"/>
              <w:bottom w:val="single" w:color="auto" w:sz="2" w:space="0"/>
              <w:right w:val="single" w:color="auto" w:sz="2" w:space="0"/>
            </w:tcBorders>
            <w:vAlign w:val="center"/>
          </w:tcPr>
          <w:p w14:paraId="668E4666">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420" w:type="dxa"/>
            <w:tcBorders>
              <w:top w:val="single" w:color="auto" w:sz="2" w:space="0"/>
              <w:left w:val="single" w:color="auto" w:sz="2" w:space="0"/>
              <w:bottom w:val="single" w:color="auto" w:sz="2" w:space="0"/>
              <w:right w:val="single" w:color="auto" w:sz="2" w:space="0"/>
            </w:tcBorders>
            <w:vAlign w:val="center"/>
          </w:tcPr>
          <w:p w14:paraId="32DF189E">
            <w:pPr>
              <w:spacing w:before="0" w:after="0" w:line="240" w:lineRule="exact"/>
              <w:jc w:val="right"/>
              <w:rPr>
                <w:rFonts w:ascii="宋体" w:hAnsi="宋体" w:eastAsia="宋体" w:cs="宋体"/>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14:paraId="473B77EE">
            <w:pPr>
              <w:spacing w:before="0" w:after="0" w:line="240" w:lineRule="exact"/>
              <w:jc w:val="right"/>
              <w:rPr>
                <w:rFonts w:ascii="宋体" w:hAnsi="宋体" w:eastAsia="宋体" w:cs="宋体"/>
                <w:sz w:val="18"/>
                <w:szCs w:val="18"/>
              </w:rPr>
            </w:pPr>
          </w:p>
        </w:tc>
        <w:tc>
          <w:tcPr>
            <w:tcW w:w="370" w:type="dxa"/>
            <w:tcBorders>
              <w:top w:val="single" w:color="auto" w:sz="2" w:space="0"/>
              <w:left w:val="single" w:color="auto" w:sz="2" w:space="0"/>
              <w:bottom w:val="single" w:color="auto" w:sz="2" w:space="0"/>
              <w:right w:val="single" w:color="auto" w:sz="2" w:space="0"/>
            </w:tcBorders>
            <w:vAlign w:val="center"/>
          </w:tcPr>
          <w:p w14:paraId="582AA1D0">
            <w:pPr>
              <w:spacing w:before="0" w:after="0" w:line="240" w:lineRule="exact"/>
              <w:jc w:val="right"/>
              <w:rPr>
                <w:rFonts w:ascii="宋体" w:hAnsi="宋体" w:eastAsia="宋体" w:cs="宋体"/>
                <w:sz w:val="18"/>
                <w:szCs w:val="18"/>
              </w:rPr>
            </w:pPr>
          </w:p>
        </w:tc>
        <w:tc>
          <w:tcPr>
            <w:tcW w:w="1190" w:type="dxa"/>
            <w:tcBorders>
              <w:top w:val="single" w:color="auto" w:sz="2" w:space="0"/>
              <w:left w:val="single" w:color="auto" w:sz="2" w:space="0"/>
              <w:bottom w:val="single" w:color="auto" w:sz="2" w:space="0"/>
              <w:right w:val="single" w:color="auto" w:sz="2" w:space="0"/>
            </w:tcBorders>
            <w:vAlign w:val="center"/>
          </w:tcPr>
          <w:p w14:paraId="00CAF944">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70" w:type="dxa"/>
            <w:tcBorders>
              <w:top w:val="single" w:color="auto" w:sz="2" w:space="0"/>
              <w:left w:val="single" w:color="auto" w:sz="2" w:space="0"/>
              <w:bottom w:val="single" w:color="auto" w:sz="2" w:space="0"/>
              <w:right w:val="single" w:color="auto" w:sz="2" w:space="0"/>
            </w:tcBorders>
            <w:vAlign w:val="center"/>
          </w:tcPr>
          <w:p w14:paraId="63AED8D2">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240" w:type="dxa"/>
            <w:tcBorders>
              <w:top w:val="single" w:color="auto" w:sz="2" w:space="0"/>
              <w:left w:val="single" w:color="auto" w:sz="2" w:space="0"/>
              <w:bottom w:val="single" w:color="auto" w:sz="2" w:space="0"/>
              <w:right w:val="single" w:color="auto" w:sz="2" w:space="0"/>
            </w:tcBorders>
            <w:vAlign w:val="center"/>
          </w:tcPr>
          <w:p w14:paraId="74942ABE">
            <w:pPr>
              <w:spacing w:before="0" w:after="0" w:line="240" w:lineRule="exact"/>
              <w:jc w:val="right"/>
              <w:rPr>
                <w:rFonts w:ascii="宋体" w:hAnsi="宋体" w:eastAsia="宋体" w:cs="宋体"/>
                <w:sz w:val="18"/>
                <w:szCs w:val="18"/>
              </w:rPr>
            </w:pPr>
            <w:r>
              <w:rPr>
                <w:rFonts w:ascii="宋体" w:hAnsi="宋体" w:eastAsia="宋体" w:cs="宋体"/>
                <w:sz w:val="18"/>
                <w:szCs w:val="18"/>
              </w:rPr>
              <w:t>159,267,000</w:t>
            </w:r>
          </w:p>
        </w:tc>
        <w:tc>
          <w:tcPr>
            <w:tcW w:w="903" w:type="dxa"/>
            <w:tcBorders>
              <w:top w:val="single" w:color="auto" w:sz="2" w:space="0"/>
              <w:left w:val="single" w:color="auto" w:sz="2" w:space="0"/>
              <w:bottom w:val="single" w:color="auto" w:sz="2" w:space="0"/>
              <w:right w:val="single" w:color="auto" w:sz="2" w:space="0"/>
            </w:tcBorders>
            <w:vAlign w:val="center"/>
          </w:tcPr>
          <w:p w14:paraId="00DE9660">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r>
    </w:tbl>
    <w:p w14:paraId="01A7BDA9">
      <w:pPr>
        <w:spacing w:before="100" w:after="100" w:line="240" w:lineRule="exact"/>
        <w:jc w:val="left"/>
        <w:rPr>
          <w:rFonts w:ascii="宋体" w:hAnsi="宋体" w:eastAsia="宋体" w:cs="宋体"/>
          <w:sz w:val="18"/>
          <w:szCs w:val="18"/>
        </w:rPr>
      </w:pPr>
      <w:r>
        <w:rPr>
          <w:rFonts w:ascii="宋体" w:hAnsi="宋体" w:eastAsia="宋体" w:cs="宋体"/>
          <w:sz w:val="18"/>
          <w:szCs w:val="18"/>
        </w:rPr>
        <w:t>股份变动的原因</w:t>
      </w:r>
    </w:p>
    <w:p w14:paraId="70EF166C">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9BD2A95">
      <w:pPr>
        <w:spacing w:before="100" w:after="100" w:line="240" w:lineRule="exact"/>
        <w:jc w:val="left"/>
        <w:rPr>
          <w:rFonts w:ascii="宋体" w:hAnsi="宋体" w:eastAsia="宋体" w:cs="宋体"/>
          <w:sz w:val="18"/>
          <w:szCs w:val="18"/>
        </w:rPr>
      </w:pPr>
      <w:r>
        <w:rPr>
          <w:rFonts w:ascii="宋体" w:hAnsi="宋体" w:eastAsia="宋体" w:cs="宋体"/>
          <w:sz w:val="18"/>
          <w:szCs w:val="18"/>
        </w:rPr>
        <w:t>股份变动的批准情况</w:t>
      </w:r>
    </w:p>
    <w:p w14:paraId="466692CD">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C7CAFF8">
      <w:pPr>
        <w:spacing w:before="100" w:after="100" w:line="240" w:lineRule="exact"/>
        <w:jc w:val="left"/>
        <w:rPr>
          <w:rFonts w:ascii="宋体" w:hAnsi="宋体" w:eastAsia="宋体" w:cs="宋体"/>
          <w:sz w:val="18"/>
          <w:szCs w:val="18"/>
        </w:rPr>
      </w:pPr>
      <w:r>
        <w:rPr>
          <w:rFonts w:ascii="宋体" w:hAnsi="宋体" w:eastAsia="宋体" w:cs="宋体"/>
          <w:sz w:val="18"/>
          <w:szCs w:val="18"/>
        </w:rPr>
        <w:t>股份变动的过户情况</w:t>
      </w:r>
    </w:p>
    <w:p w14:paraId="588B37B0">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01E31CD">
      <w:pPr>
        <w:spacing w:before="100" w:after="100" w:line="240" w:lineRule="exact"/>
        <w:jc w:val="left"/>
        <w:rPr>
          <w:rFonts w:ascii="宋体" w:hAnsi="宋体" w:eastAsia="宋体" w:cs="宋体"/>
          <w:sz w:val="18"/>
          <w:szCs w:val="18"/>
        </w:rPr>
      </w:pPr>
      <w:r>
        <w:rPr>
          <w:rFonts w:ascii="宋体" w:hAnsi="宋体" w:eastAsia="宋体" w:cs="宋体"/>
          <w:sz w:val="18"/>
          <w:szCs w:val="18"/>
        </w:rPr>
        <w:t>股份变动对最近一年和最近一期基本每股收益和稀释每股收益、归属于公司普通股股东的每股净资产等财务指标的影响</w:t>
      </w:r>
    </w:p>
    <w:p w14:paraId="270F55E4">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836A695">
      <w:pPr>
        <w:spacing w:before="100" w:after="100" w:line="240" w:lineRule="exact"/>
        <w:jc w:val="left"/>
        <w:rPr>
          <w:rFonts w:ascii="宋体" w:hAnsi="宋体" w:eastAsia="宋体" w:cs="宋体"/>
          <w:sz w:val="18"/>
          <w:szCs w:val="18"/>
        </w:rPr>
      </w:pPr>
      <w:r>
        <w:rPr>
          <w:rFonts w:ascii="宋体" w:hAnsi="宋体" w:eastAsia="宋体" w:cs="宋体"/>
          <w:sz w:val="18"/>
          <w:szCs w:val="18"/>
        </w:rPr>
        <w:t>公司认为必要或证券监管机构要求披露的其他内容</w:t>
      </w:r>
    </w:p>
    <w:p w14:paraId="41573B03">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FFDE105">
      <w:pPr>
        <w:keepNext/>
        <w:keepLines/>
        <w:spacing w:before="300" w:after="300" w:line="280" w:lineRule="exact"/>
        <w:jc w:val="left"/>
        <w:outlineLvl w:val="2"/>
        <w:rPr>
          <w:rFonts w:ascii="宋体" w:hAnsi="宋体" w:eastAsia="宋体" w:cs="宋体"/>
          <w:b/>
          <w:bCs/>
          <w:sz w:val="21"/>
          <w:szCs w:val="21"/>
        </w:rPr>
      </w:pPr>
      <w:bookmarkStart w:id="135" w:name="_Toc989022"/>
      <w:r>
        <w:rPr>
          <w:rFonts w:ascii="宋体" w:hAnsi="宋体" w:eastAsia="宋体" w:cs="宋体"/>
          <w:b/>
          <w:bCs/>
          <w:sz w:val="21"/>
          <w:szCs w:val="21"/>
        </w:rPr>
        <w:t>2、限售股份变动情况</w:t>
      </w:r>
      <w:bookmarkEnd w:id="135"/>
    </w:p>
    <w:p w14:paraId="2281A3A7">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28E21ABA">
      <w:pPr>
        <w:spacing w:before="120" w:after="120" w:line="240" w:lineRule="exact"/>
        <w:jc w:val="right"/>
        <w:rPr>
          <w:rFonts w:ascii="宋体" w:hAnsi="宋体" w:eastAsia="宋体" w:cs="宋体"/>
          <w:sz w:val="18"/>
          <w:szCs w:val="18"/>
        </w:rPr>
      </w:pPr>
      <w:r>
        <w:rPr>
          <w:rFonts w:ascii="宋体" w:hAnsi="宋体" w:eastAsia="宋体" w:cs="宋体"/>
          <w:sz w:val="18"/>
          <w:szCs w:val="18"/>
        </w:rPr>
        <w:t>单位：股</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47"/>
        <w:gridCol w:w="1260"/>
        <w:gridCol w:w="1310"/>
        <w:gridCol w:w="1530"/>
        <w:gridCol w:w="1420"/>
        <w:gridCol w:w="1190"/>
        <w:gridCol w:w="2082"/>
      </w:tblGrid>
      <w:tr w14:paraId="5752CD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847" w:type="dxa"/>
            <w:tcBorders>
              <w:top w:val="single" w:color="auto" w:sz="2" w:space="0"/>
              <w:left w:val="single" w:color="auto" w:sz="2" w:space="0"/>
              <w:bottom w:val="single" w:color="auto" w:sz="2" w:space="0"/>
              <w:right w:val="single" w:color="auto" w:sz="2" w:space="0"/>
            </w:tcBorders>
            <w:shd w:val="clear" w:color="auto" w:fill="D3D3D3"/>
            <w:vAlign w:val="center"/>
          </w:tcPr>
          <w:p w14:paraId="69B48996">
            <w:pPr>
              <w:spacing w:before="40" w:after="40" w:line="240" w:lineRule="exact"/>
              <w:jc w:val="center"/>
              <w:rPr>
                <w:rFonts w:ascii="宋体" w:hAnsi="宋体" w:eastAsia="宋体" w:cs="宋体"/>
                <w:sz w:val="18"/>
                <w:szCs w:val="18"/>
              </w:rPr>
            </w:pPr>
            <w:r>
              <w:rPr>
                <w:rFonts w:ascii="宋体" w:hAnsi="宋体" w:eastAsia="宋体" w:cs="宋体"/>
                <w:sz w:val="18"/>
                <w:szCs w:val="18"/>
              </w:rPr>
              <w:t>股东名称</w:t>
            </w:r>
          </w:p>
        </w:tc>
        <w:tc>
          <w:tcPr>
            <w:tcW w:w="1260" w:type="dxa"/>
            <w:tcBorders>
              <w:top w:val="single" w:color="auto" w:sz="2" w:space="0"/>
              <w:left w:val="single" w:color="auto" w:sz="2" w:space="0"/>
              <w:bottom w:val="single" w:color="auto" w:sz="2" w:space="0"/>
              <w:right w:val="single" w:color="auto" w:sz="2" w:space="0"/>
            </w:tcBorders>
            <w:shd w:val="clear" w:color="auto" w:fill="D3D3D3"/>
            <w:vAlign w:val="center"/>
          </w:tcPr>
          <w:p w14:paraId="0602AA36">
            <w:pPr>
              <w:spacing w:before="40" w:after="40" w:line="240" w:lineRule="exact"/>
              <w:jc w:val="center"/>
              <w:rPr>
                <w:rFonts w:ascii="宋体" w:hAnsi="宋体" w:eastAsia="宋体" w:cs="宋体"/>
                <w:sz w:val="18"/>
                <w:szCs w:val="18"/>
              </w:rPr>
            </w:pPr>
            <w:r>
              <w:rPr>
                <w:rFonts w:ascii="宋体" w:hAnsi="宋体" w:eastAsia="宋体" w:cs="宋体"/>
                <w:sz w:val="18"/>
                <w:szCs w:val="18"/>
              </w:rPr>
              <w:t>期初限售股数</w:t>
            </w:r>
          </w:p>
        </w:tc>
        <w:tc>
          <w:tcPr>
            <w:tcW w:w="1310" w:type="dxa"/>
            <w:tcBorders>
              <w:top w:val="single" w:color="auto" w:sz="2" w:space="0"/>
              <w:left w:val="single" w:color="auto" w:sz="2" w:space="0"/>
              <w:bottom w:val="single" w:color="auto" w:sz="2" w:space="0"/>
              <w:right w:val="single" w:color="auto" w:sz="2" w:space="0"/>
            </w:tcBorders>
            <w:shd w:val="clear" w:color="auto" w:fill="D3D3D3"/>
            <w:vAlign w:val="center"/>
          </w:tcPr>
          <w:p w14:paraId="5ACDD9D9">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本期增加限售股数</w:t>
            </w:r>
          </w:p>
        </w:tc>
        <w:tc>
          <w:tcPr>
            <w:tcW w:w="1530" w:type="dxa"/>
            <w:tcBorders>
              <w:top w:val="single" w:color="auto" w:sz="2" w:space="0"/>
              <w:left w:val="single" w:color="auto" w:sz="2" w:space="0"/>
              <w:bottom w:val="single" w:color="auto" w:sz="2" w:space="0"/>
              <w:right w:val="single" w:color="auto" w:sz="2" w:space="0"/>
            </w:tcBorders>
            <w:shd w:val="clear" w:color="auto" w:fill="D3D3D3"/>
            <w:vAlign w:val="center"/>
          </w:tcPr>
          <w:p w14:paraId="10A68D4E">
            <w:pPr>
              <w:spacing w:before="40" w:after="40" w:line="240" w:lineRule="exact"/>
              <w:jc w:val="center"/>
              <w:rPr>
                <w:rFonts w:ascii="宋体" w:hAnsi="宋体" w:eastAsia="宋体" w:cs="宋体"/>
                <w:sz w:val="18"/>
                <w:szCs w:val="18"/>
              </w:rPr>
            </w:pPr>
            <w:r>
              <w:rPr>
                <w:rFonts w:ascii="宋体" w:hAnsi="宋体" w:eastAsia="宋体" w:cs="宋体"/>
                <w:sz w:val="18"/>
                <w:szCs w:val="18"/>
              </w:rPr>
              <w:t>本期解除限售股数</w:t>
            </w:r>
          </w:p>
        </w:tc>
        <w:tc>
          <w:tcPr>
            <w:tcW w:w="1420" w:type="dxa"/>
            <w:tcBorders>
              <w:top w:val="single" w:color="auto" w:sz="2" w:space="0"/>
              <w:left w:val="single" w:color="auto" w:sz="2" w:space="0"/>
              <w:bottom w:val="single" w:color="auto" w:sz="2" w:space="0"/>
              <w:right w:val="single" w:color="auto" w:sz="2" w:space="0"/>
            </w:tcBorders>
            <w:shd w:val="clear" w:color="auto" w:fill="D3D3D3"/>
            <w:vAlign w:val="center"/>
          </w:tcPr>
          <w:p w14:paraId="4919AFC4">
            <w:pPr>
              <w:spacing w:before="40" w:after="40" w:line="240" w:lineRule="exact"/>
              <w:jc w:val="center"/>
              <w:rPr>
                <w:rFonts w:ascii="宋体" w:hAnsi="宋体" w:eastAsia="宋体" w:cs="宋体"/>
                <w:sz w:val="18"/>
                <w:szCs w:val="18"/>
              </w:rPr>
            </w:pPr>
            <w:r>
              <w:rPr>
                <w:rFonts w:ascii="宋体" w:hAnsi="宋体" w:eastAsia="宋体" w:cs="宋体"/>
                <w:sz w:val="18"/>
                <w:szCs w:val="18"/>
              </w:rPr>
              <w:t>期末限售股数</w:t>
            </w:r>
          </w:p>
        </w:tc>
        <w:tc>
          <w:tcPr>
            <w:tcW w:w="1190" w:type="dxa"/>
            <w:tcBorders>
              <w:top w:val="single" w:color="auto" w:sz="2" w:space="0"/>
              <w:left w:val="single" w:color="auto" w:sz="2" w:space="0"/>
              <w:bottom w:val="single" w:color="auto" w:sz="2" w:space="0"/>
              <w:right w:val="single" w:color="auto" w:sz="2" w:space="0"/>
            </w:tcBorders>
            <w:shd w:val="clear" w:color="auto" w:fill="D3D3D3"/>
            <w:vAlign w:val="center"/>
          </w:tcPr>
          <w:p w14:paraId="41016A69">
            <w:pPr>
              <w:spacing w:before="40" w:after="40" w:line="240" w:lineRule="exact"/>
              <w:jc w:val="center"/>
              <w:rPr>
                <w:rFonts w:ascii="宋体" w:hAnsi="宋体" w:eastAsia="宋体" w:cs="宋体"/>
                <w:sz w:val="18"/>
                <w:szCs w:val="18"/>
              </w:rPr>
            </w:pPr>
            <w:r>
              <w:rPr>
                <w:rFonts w:ascii="宋体" w:hAnsi="宋体" w:eastAsia="宋体" w:cs="宋体"/>
                <w:sz w:val="18"/>
                <w:szCs w:val="18"/>
              </w:rPr>
              <w:t>限售原因</w:t>
            </w:r>
          </w:p>
        </w:tc>
        <w:tc>
          <w:tcPr>
            <w:tcW w:w="2082" w:type="dxa"/>
            <w:tcBorders>
              <w:top w:val="single" w:color="auto" w:sz="2" w:space="0"/>
              <w:left w:val="single" w:color="auto" w:sz="2" w:space="0"/>
              <w:bottom w:val="single" w:color="auto" w:sz="2" w:space="0"/>
              <w:right w:val="single" w:color="auto" w:sz="2" w:space="0"/>
            </w:tcBorders>
            <w:shd w:val="clear" w:color="auto" w:fill="D3D3D3"/>
            <w:vAlign w:val="center"/>
          </w:tcPr>
          <w:p w14:paraId="698DF246">
            <w:pPr>
              <w:spacing w:before="40" w:after="40" w:line="240" w:lineRule="exact"/>
              <w:jc w:val="center"/>
              <w:rPr>
                <w:rFonts w:ascii="宋体" w:hAnsi="宋体" w:eastAsia="宋体" w:cs="宋体"/>
                <w:sz w:val="18"/>
                <w:szCs w:val="18"/>
              </w:rPr>
            </w:pPr>
            <w:r>
              <w:rPr>
                <w:rFonts w:ascii="宋体" w:hAnsi="宋体" w:eastAsia="宋体" w:cs="宋体"/>
                <w:sz w:val="18"/>
                <w:szCs w:val="18"/>
              </w:rPr>
              <w:t>解除限售日期</w:t>
            </w:r>
          </w:p>
        </w:tc>
      </w:tr>
      <w:tr w14:paraId="784EB6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47" w:type="dxa"/>
            <w:tcBorders>
              <w:top w:val="single" w:color="auto" w:sz="2" w:space="0"/>
              <w:left w:val="single" w:color="auto" w:sz="2" w:space="0"/>
              <w:bottom w:val="single" w:color="auto" w:sz="2" w:space="0"/>
              <w:right w:val="single" w:color="auto" w:sz="2" w:space="0"/>
            </w:tcBorders>
            <w:vAlign w:val="center"/>
          </w:tcPr>
          <w:p w14:paraId="65B730EB">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260" w:type="dxa"/>
            <w:tcBorders>
              <w:top w:val="single" w:color="auto" w:sz="2" w:space="0"/>
              <w:left w:val="single" w:color="auto" w:sz="2" w:space="0"/>
              <w:bottom w:val="single" w:color="auto" w:sz="2" w:space="0"/>
              <w:right w:val="single" w:color="auto" w:sz="2" w:space="0"/>
            </w:tcBorders>
            <w:vAlign w:val="center"/>
          </w:tcPr>
          <w:p w14:paraId="50501848">
            <w:pPr>
              <w:spacing w:before="0" w:after="0" w:line="240" w:lineRule="exact"/>
              <w:jc w:val="right"/>
              <w:rPr>
                <w:rFonts w:ascii="宋体" w:hAnsi="宋体" w:eastAsia="宋体" w:cs="宋体"/>
                <w:sz w:val="18"/>
                <w:szCs w:val="18"/>
              </w:rPr>
            </w:pPr>
            <w:r>
              <w:rPr>
                <w:rFonts w:ascii="宋体" w:hAnsi="宋体" w:eastAsia="宋体" w:cs="宋体"/>
                <w:sz w:val="18"/>
                <w:szCs w:val="18"/>
              </w:rPr>
              <w:t>7,920,649</w:t>
            </w:r>
          </w:p>
        </w:tc>
        <w:tc>
          <w:tcPr>
            <w:tcW w:w="1310" w:type="dxa"/>
            <w:tcBorders>
              <w:top w:val="single" w:color="auto" w:sz="2" w:space="0"/>
              <w:left w:val="single" w:color="auto" w:sz="2" w:space="0"/>
              <w:bottom w:val="single" w:color="auto" w:sz="2" w:space="0"/>
              <w:right w:val="single" w:color="auto" w:sz="2" w:space="0"/>
            </w:tcBorders>
            <w:vAlign w:val="center"/>
          </w:tcPr>
          <w:p w14:paraId="41F01F9A">
            <w:pPr>
              <w:spacing w:before="0" w:after="0" w:line="240" w:lineRule="exact"/>
              <w:jc w:val="right"/>
              <w:rPr>
                <w:rFonts w:ascii="宋体" w:hAnsi="宋体" w:eastAsia="宋体" w:cs="宋体"/>
                <w:sz w:val="18"/>
                <w:szCs w:val="18"/>
              </w:rPr>
            </w:pPr>
          </w:p>
        </w:tc>
        <w:tc>
          <w:tcPr>
            <w:tcW w:w="1530" w:type="dxa"/>
            <w:tcBorders>
              <w:top w:val="single" w:color="auto" w:sz="2" w:space="0"/>
              <w:left w:val="single" w:color="auto" w:sz="2" w:space="0"/>
              <w:bottom w:val="single" w:color="auto" w:sz="2" w:space="0"/>
              <w:right w:val="single" w:color="auto" w:sz="2" w:space="0"/>
            </w:tcBorders>
            <w:vAlign w:val="center"/>
          </w:tcPr>
          <w:p w14:paraId="11B36192">
            <w:pPr>
              <w:spacing w:before="0" w:after="0" w:line="240" w:lineRule="exact"/>
              <w:jc w:val="right"/>
              <w:rPr>
                <w:rFonts w:ascii="宋体" w:hAnsi="宋体" w:eastAsia="宋体" w:cs="宋体"/>
                <w:sz w:val="18"/>
                <w:szCs w:val="18"/>
              </w:rPr>
            </w:pPr>
            <w:r>
              <w:rPr>
                <w:rFonts w:ascii="宋体" w:hAnsi="宋体" w:eastAsia="宋体" w:cs="宋体"/>
                <w:sz w:val="18"/>
                <w:szCs w:val="18"/>
              </w:rPr>
              <w:t>1,169,943</w:t>
            </w:r>
          </w:p>
        </w:tc>
        <w:tc>
          <w:tcPr>
            <w:tcW w:w="1420" w:type="dxa"/>
            <w:tcBorders>
              <w:top w:val="single" w:color="auto" w:sz="2" w:space="0"/>
              <w:left w:val="single" w:color="auto" w:sz="2" w:space="0"/>
              <w:bottom w:val="single" w:color="auto" w:sz="2" w:space="0"/>
              <w:right w:val="single" w:color="auto" w:sz="2" w:space="0"/>
            </w:tcBorders>
            <w:vAlign w:val="center"/>
          </w:tcPr>
          <w:p w14:paraId="785352DA">
            <w:pPr>
              <w:spacing w:before="0" w:after="0" w:line="240" w:lineRule="exact"/>
              <w:jc w:val="right"/>
              <w:rPr>
                <w:rFonts w:ascii="宋体" w:hAnsi="宋体" w:eastAsia="宋体" w:cs="宋体"/>
                <w:sz w:val="18"/>
                <w:szCs w:val="18"/>
              </w:rPr>
            </w:pPr>
            <w:r>
              <w:rPr>
                <w:rFonts w:ascii="宋体" w:hAnsi="宋体" w:eastAsia="宋体" w:cs="宋体"/>
                <w:sz w:val="18"/>
                <w:szCs w:val="18"/>
              </w:rPr>
              <w:t>6,750,706</w:t>
            </w:r>
          </w:p>
        </w:tc>
        <w:tc>
          <w:tcPr>
            <w:tcW w:w="1190" w:type="dxa"/>
            <w:tcBorders>
              <w:top w:val="single" w:color="auto" w:sz="2" w:space="0"/>
              <w:left w:val="single" w:color="auto" w:sz="2" w:space="0"/>
              <w:bottom w:val="single" w:color="auto" w:sz="2" w:space="0"/>
              <w:right w:val="single" w:color="auto" w:sz="2" w:space="0"/>
            </w:tcBorders>
            <w:vAlign w:val="center"/>
          </w:tcPr>
          <w:p w14:paraId="0D3E8B6F">
            <w:pPr>
              <w:spacing w:before="0" w:after="0" w:line="240" w:lineRule="exact"/>
              <w:jc w:val="left"/>
              <w:rPr>
                <w:rFonts w:ascii="宋体" w:hAnsi="宋体" w:eastAsia="宋体" w:cs="宋体"/>
                <w:sz w:val="18"/>
                <w:szCs w:val="18"/>
              </w:rPr>
            </w:pPr>
            <w:r>
              <w:rPr>
                <w:rFonts w:ascii="宋体" w:hAnsi="宋体" w:eastAsia="宋体" w:cs="宋体"/>
                <w:sz w:val="18"/>
                <w:szCs w:val="18"/>
              </w:rPr>
              <w:t>高管锁定股</w:t>
            </w:r>
          </w:p>
        </w:tc>
        <w:tc>
          <w:tcPr>
            <w:tcW w:w="2082" w:type="dxa"/>
            <w:tcBorders>
              <w:top w:val="single" w:color="auto" w:sz="2" w:space="0"/>
              <w:left w:val="single" w:color="auto" w:sz="2" w:space="0"/>
              <w:bottom w:val="single" w:color="auto" w:sz="2" w:space="0"/>
              <w:right w:val="single" w:color="auto" w:sz="2" w:space="0"/>
            </w:tcBorders>
            <w:vAlign w:val="center"/>
          </w:tcPr>
          <w:p w14:paraId="343B00B0">
            <w:pPr>
              <w:spacing w:before="0" w:after="0" w:line="240" w:lineRule="exact"/>
              <w:jc w:val="left"/>
              <w:rPr>
                <w:rFonts w:ascii="宋体" w:hAnsi="宋体" w:eastAsia="宋体" w:cs="宋体"/>
                <w:sz w:val="18"/>
                <w:szCs w:val="18"/>
              </w:rPr>
            </w:pPr>
            <w:r>
              <w:rPr>
                <w:rFonts w:ascii="宋体" w:hAnsi="宋体" w:eastAsia="宋体" w:cs="宋体"/>
                <w:sz w:val="18"/>
                <w:szCs w:val="18"/>
              </w:rPr>
              <w:t>在任期间，每年按照上年末持有股份数的25%解除限售</w:t>
            </w:r>
          </w:p>
        </w:tc>
      </w:tr>
      <w:tr w14:paraId="7AF791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47" w:type="dxa"/>
            <w:tcBorders>
              <w:top w:val="single" w:color="auto" w:sz="2" w:space="0"/>
              <w:left w:val="single" w:color="auto" w:sz="2" w:space="0"/>
              <w:bottom w:val="single" w:color="auto" w:sz="2" w:space="0"/>
              <w:right w:val="single" w:color="auto" w:sz="2" w:space="0"/>
            </w:tcBorders>
            <w:vAlign w:val="center"/>
          </w:tcPr>
          <w:p w14:paraId="5152BB6A">
            <w:pPr>
              <w:spacing w:before="0" w:after="0" w:line="240" w:lineRule="exact"/>
              <w:jc w:val="left"/>
              <w:rPr>
                <w:rFonts w:ascii="宋体" w:hAnsi="宋体" w:eastAsia="宋体" w:cs="宋体"/>
                <w:sz w:val="18"/>
                <w:szCs w:val="18"/>
              </w:rPr>
            </w:pPr>
            <w:r>
              <w:rPr>
                <w:rFonts w:ascii="宋体" w:hAnsi="宋体" w:eastAsia="宋体" w:cs="宋体"/>
                <w:sz w:val="18"/>
                <w:szCs w:val="18"/>
              </w:rPr>
              <w:t>林晓辉</w:t>
            </w:r>
          </w:p>
        </w:tc>
        <w:tc>
          <w:tcPr>
            <w:tcW w:w="1260" w:type="dxa"/>
            <w:tcBorders>
              <w:top w:val="single" w:color="auto" w:sz="2" w:space="0"/>
              <w:left w:val="single" w:color="auto" w:sz="2" w:space="0"/>
              <w:bottom w:val="single" w:color="auto" w:sz="2" w:space="0"/>
              <w:right w:val="single" w:color="auto" w:sz="2" w:space="0"/>
            </w:tcBorders>
            <w:vAlign w:val="center"/>
          </w:tcPr>
          <w:p w14:paraId="6B49C2A9">
            <w:pPr>
              <w:spacing w:before="0" w:after="0" w:line="240" w:lineRule="exact"/>
              <w:jc w:val="right"/>
              <w:rPr>
                <w:rFonts w:ascii="宋体" w:hAnsi="宋体" w:eastAsia="宋体" w:cs="宋体"/>
                <w:sz w:val="18"/>
                <w:szCs w:val="18"/>
              </w:rPr>
            </w:pPr>
            <w:r>
              <w:rPr>
                <w:rFonts w:ascii="宋体" w:hAnsi="宋体" w:eastAsia="宋体" w:cs="宋体"/>
                <w:sz w:val="18"/>
                <w:szCs w:val="18"/>
              </w:rPr>
              <w:t>5,775</w:t>
            </w:r>
          </w:p>
        </w:tc>
        <w:tc>
          <w:tcPr>
            <w:tcW w:w="1310" w:type="dxa"/>
            <w:tcBorders>
              <w:top w:val="single" w:color="auto" w:sz="2" w:space="0"/>
              <w:left w:val="single" w:color="auto" w:sz="2" w:space="0"/>
              <w:bottom w:val="single" w:color="auto" w:sz="2" w:space="0"/>
              <w:right w:val="single" w:color="auto" w:sz="2" w:space="0"/>
            </w:tcBorders>
            <w:vAlign w:val="center"/>
          </w:tcPr>
          <w:p w14:paraId="778A382D">
            <w:pPr>
              <w:spacing w:before="0" w:after="0" w:line="240" w:lineRule="exact"/>
              <w:jc w:val="right"/>
              <w:rPr>
                <w:rFonts w:ascii="宋体" w:hAnsi="宋体" w:eastAsia="宋体" w:cs="宋体"/>
                <w:sz w:val="18"/>
                <w:szCs w:val="18"/>
              </w:rPr>
            </w:pPr>
          </w:p>
        </w:tc>
        <w:tc>
          <w:tcPr>
            <w:tcW w:w="1530" w:type="dxa"/>
            <w:tcBorders>
              <w:top w:val="single" w:color="auto" w:sz="2" w:space="0"/>
              <w:left w:val="single" w:color="auto" w:sz="2" w:space="0"/>
              <w:bottom w:val="single" w:color="auto" w:sz="2" w:space="0"/>
              <w:right w:val="single" w:color="auto" w:sz="2" w:space="0"/>
            </w:tcBorders>
            <w:vAlign w:val="center"/>
          </w:tcPr>
          <w:p w14:paraId="2343A829">
            <w:pPr>
              <w:spacing w:before="0" w:after="0" w:line="240" w:lineRule="exact"/>
              <w:jc w:val="right"/>
              <w:rPr>
                <w:rFonts w:ascii="宋体" w:hAnsi="宋体" w:eastAsia="宋体" w:cs="宋体"/>
                <w:sz w:val="18"/>
                <w:szCs w:val="18"/>
              </w:rPr>
            </w:pPr>
            <w:r>
              <w:rPr>
                <w:rFonts w:ascii="宋体" w:hAnsi="宋体" w:eastAsia="宋体" w:cs="宋体"/>
                <w:sz w:val="18"/>
                <w:szCs w:val="18"/>
              </w:rPr>
              <w:t>5,775</w:t>
            </w:r>
          </w:p>
        </w:tc>
        <w:tc>
          <w:tcPr>
            <w:tcW w:w="1420" w:type="dxa"/>
            <w:tcBorders>
              <w:top w:val="single" w:color="auto" w:sz="2" w:space="0"/>
              <w:left w:val="single" w:color="auto" w:sz="2" w:space="0"/>
              <w:bottom w:val="single" w:color="auto" w:sz="2" w:space="0"/>
              <w:right w:val="single" w:color="auto" w:sz="2" w:space="0"/>
            </w:tcBorders>
            <w:vAlign w:val="center"/>
          </w:tcPr>
          <w:p w14:paraId="3DCE99BD">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90" w:type="dxa"/>
            <w:tcBorders>
              <w:top w:val="single" w:color="auto" w:sz="2" w:space="0"/>
              <w:left w:val="single" w:color="auto" w:sz="2" w:space="0"/>
              <w:bottom w:val="single" w:color="auto" w:sz="2" w:space="0"/>
              <w:right w:val="single" w:color="auto" w:sz="2" w:space="0"/>
            </w:tcBorders>
            <w:vAlign w:val="center"/>
          </w:tcPr>
          <w:p w14:paraId="0BBD7E37">
            <w:pPr>
              <w:spacing w:before="0" w:after="0" w:line="240" w:lineRule="exact"/>
              <w:jc w:val="left"/>
              <w:rPr>
                <w:rFonts w:ascii="宋体" w:hAnsi="宋体" w:eastAsia="宋体" w:cs="宋体"/>
                <w:sz w:val="18"/>
                <w:szCs w:val="18"/>
              </w:rPr>
            </w:pPr>
            <w:r>
              <w:rPr>
                <w:rFonts w:ascii="宋体" w:hAnsi="宋体" w:eastAsia="宋体" w:cs="宋体"/>
                <w:sz w:val="18"/>
                <w:szCs w:val="18"/>
              </w:rPr>
              <w:t>离任高管锁定股</w:t>
            </w:r>
          </w:p>
        </w:tc>
        <w:tc>
          <w:tcPr>
            <w:tcW w:w="2082" w:type="dxa"/>
            <w:tcBorders>
              <w:top w:val="single" w:color="auto" w:sz="2" w:space="0"/>
              <w:left w:val="single" w:color="auto" w:sz="2" w:space="0"/>
              <w:bottom w:val="single" w:color="auto" w:sz="2" w:space="0"/>
              <w:right w:val="single" w:color="auto" w:sz="2" w:space="0"/>
            </w:tcBorders>
            <w:vAlign w:val="center"/>
          </w:tcPr>
          <w:p w14:paraId="0A4313E0">
            <w:pPr>
              <w:spacing w:before="0" w:after="0" w:line="240" w:lineRule="exact"/>
              <w:jc w:val="left"/>
              <w:rPr>
                <w:rFonts w:ascii="宋体" w:hAnsi="宋体" w:eastAsia="宋体" w:cs="宋体"/>
                <w:sz w:val="18"/>
                <w:szCs w:val="18"/>
              </w:rPr>
            </w:pPr>
            <w:r>
              <w:rPr>
                <w:rFonts w:ascii="宋体" w:hAnsi="宋体" w:eastAsia="宋体" w:cs="宋体"/>
                <w:sz w:val="18"/>
                <w:szCs w:val="18"/>
              </w:rPr>
              <w:t>原任期届满六个月后100%解除限售</w:t>
            </w:r>
          </w:p>
        </w:tc>
      </w:tr>
      <w:tr w14:paraId="57E2D2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47" w:type="dxa"/>
            <w:tcBorders>
              <w:top w:val="single" w:color="auto" w:sz="2" w:space="0"/>
              <w:left w:val="single" w:color="auto" w:sz="2" w:space="0"/>
              <w:bottom w:val="single" w:color="auto" w:sz="2" w:space="0"/>
              <w:right w:val="single" w:color="auto" w:sz="2" w:space="0"/>
            </w:tcBorders>
            <w:shd w:val="clear" w:color="auto" w:fill="D3D3D3"/>
            <w:vAlign w:val="center"/>
          </w:tcPr>
          <w:p w14:paraId="12803E9E">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260" w:type="dxa"/>
            <w:tcBorders>
              <w:top w:val="single" w:color="auto" w:sz="2" w:space="0"/>
              <w:left w:val="single" w:color="auto" w:sz="2" w:space="0"/>
              <w:bottom w:val="single" w:color="auto" w:sz="2" w:space="0"/>
              <w:right w:val="single" w:color="auto" w:sz="2" w:space="0"/>
            </w:tcBorders>
            <w:vAlign w:val="center"/>
          </w:tcPr>
          <w:p w14:paraId="2A1AEEDA">
            <w:pPr>
              <w:spacing w:before="0" w:after="0" w:line="240" w:lineRule="exact"/>
              <w:jc w:val="right"/>
              <w:rPr>
                <w:rFonts w:ascii="宋体" w:hAnsi="宋体" w:eastAsia="宋体" w:cs="宋体"/>
                <w:sz w:val="18"/>
                <w:szCs w:val="18"/>
              </w:rPr>
            </w:pPr>
            <w:r>
              <w:rPr>
                <w:rFonts w:ascii="宋体" w:hAnsi="宋体" w:eastAsia="宋体" w:cs="宋体"/>
                <w:sz w:val="18"/>
                <w:szCs w:val="18"/>
              </w:rPr>
              <w:t>7,926,424</w:t>
            </w:r>
          </w:p>
        </w:tc>
        <w:tc>
          <w:tcPr>
            <w:tcW w:w="1310" w:type="dxa"/>
            <w:tcBorders>
              <w:top w:val="single" w:color="auto" w:sz="2" w:space="0"/>
              <w:left w:val="single" w:color="auto" w:sz="2" w:space="0"/>
              <w:bottom w:val="single" w:color="auto" w:sz="2" w:space="0"/>
              <w:right w:val="single" w:color="auto" w:sz="2" w:space="0"/>
            </w:tcBorders>
            <w:vAlign w:val="center"/>
          </w:tcPr>
          <w:p w14:paraId="6DEBE7ED">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530" w:type="dxa"/>
            <w:tcBorders>
              <w:top w:val="single" w:color="auto" w:sz="2" w:space="0"/>
              <w:left w:val="single" w:color="auto" w:sz="2" w:space="0"/>
              <w:bottom w:val="single" w:color="auto" w:sz="2" w:space="0"/>
              <w:right w:val="single" w:color="auto" w:sz="2" w:space="0"/>
            </w:tcBorders>
            <w:vAlign w:val="center"/>
          </w:tcPr>
          <w:p w14:paraId="1FFA3C01">
            <w:pPr>
              <w:spacing w:before="0" w:after="0" w:line="240" w:lineRule="exact"/>
              <w:jc w:val="right"/>
              <w:rPr>
                <w:rFonts w:ascii="宋体" w:hAnsi="宋体" w:eastAsia="宋体" w:cs="宋体"/>
                <w:sz w:val="18"/>
                <w:szCs w:val="18"/>
              </w:rPr>
            </w:pPr>
            <w:r>
              <w:rPr>
                <w:rFonts w:ascii="宋体" w:hAnsi="宋体" w:eastAsia="宋体" w:cs="宋体"/>
                <w:sz w:val="18"/>
                <w:szCs w:val="18"/>
              </w:rPr>
              <w:t>1,175,718</w:t>
            </w:r>
          </w:p>
        </w:tc>
        <w:tc>
          <w:tcPr>
            <w:tcW w:w="1420" w:type="dxa"/>
            <w:tcBorders>
              <w:top w:val="single" w:color="auto" w:sz="2" w:space="0"/>
              <w:left w:val="single" w:color="auto" w:sz="2" w:space="0"/>
              <w:bottom w:val="single" w:color="auto" w:sz="2" w:space="0"/>
              <w:right w:val="single" w:color="auto" w:sz="2" w:space="0"/>
            </w:tcBorders>
            <w:vAlign w:val="center"/>
          </w:tcPr>
          <w:p w14:paraId="04EDBFB4">
            <w:pPr>
              <w:spacing w:before="0" w:after="0" w:line="240" w:lineRule="exact"/>
              <w:jc w:val="right"/>
              <w:rPr>
                <w:rFonts w:ascii="宋体" w:hAnsi="宋体" w:eastAsia="宋体" w:cs="宋体"/>
                <w:sz w:val="18"/>
                <w:szCs w:val="18"/>
              </w:rPr>
            </w:pPr>
            <w:r>
              <w:rPr>
                <w:rFonts w:ascii="宋体" w:hAnsi="宋体" w:eastAsia="宋体" w:cs="宋体"/>
                <w:sz w:val="18"/>
                <w:szCs w:val="18"/>
              </w:rPr>
              <w:t>6,750,706</w:t>
            </w:r>
          </w:p>
        </w:tc>
        <w:tc>
          <w:tcPr>
            <w:tcW w:w="1190" w:type="dxa"/>
            <w:tcBorders>
              <w:top w:val="single" w:color="auto" w:sz="2" w:space="0"/>
              <w:left w:val="single" w:color="auto" w:sz="2" w:space="0"/>
              <w:bottom w:val="single" w:color="auto" w:sz="2" w:space="0"/>
              <w:right w:val="single" w:color="auto" w:sz="2" w:space="0"/>
            </w:tcBorders>
            <w:shd w:val="clear" w:color="auto" w:fill="D3D3D3"/>
            <w:vAlign w:val="center"/>
          </w:tcPr>
          <w:p w14:paraId="470D580D">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2082" w:type="dxa"/>
            <w:tcBorders>
              <w:top w:val="single" w:color="auto" w:sz="2" w:space="0"/>
              <w:left w:val="single" w:color="auto" w:sz="2" w:space="0"/>
              <w:bottom w:val="single" w:color="auto" w:sz="2" w:space="0"/>
              <w:right w:val="single" w:color="auto" w:sz="2" w:space="0"/>
            </w:tcBorders>
            <w:shd w:val="clear" w:color="auto" w:fill="D3D3D3"/>
            <w:vAlign w:val="center"/>
          </w:tcPr>
          <w:p w14:paraId="52DE8A31">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14:paraId="0E59E103">
      <w:pPr>
        <w:keepNext/>
        <w:keepLines/>
        <w:spacing w:before="300" w:after="300" w:line="320" w:lineRule="exact"/>
        <w:jc w:val="left"/>
        <w:outlineLvl w:val="1"/>
        <w:rPr>
          <w:rFonts w:ascii="宋体" w:hAnsi="宋体" w:eastAsia="宋体" w:cs="宋体"/>
          <w:b/>
          <w:bCs/>
          <w:sz w:val="24"/>
          <w:szCs w:val="24"/>
        </w:rPr>
      </w:pPr>
      <w:bookmarkStart w:id="136" w:name="_Toc989023"/>
      <w:r>
        <w:rPr>
          <w:rFonts w:ascii="宋体" w:hAnsi="宋体" w:eastAsia="宋体" w:cs="宋体"/>
          <w:b/>
          <w:bCs/>
          <w:sz w:val="24"/>
          <w:szCs w:val="24"/>
        </w:rPr>
        <w:t>二、证券发行与上市情况</w:t>
      </w:r>
      <w:bookmarkEnd w:id="136"/>
    </w:p>
    <w:p w14:paraId="7118FFF5">
      <w:pPr>
        <w:keepNext/>
        <w:keepLines/>
        <w:spacing w:before="300" w:after="300" w:line="280" w:lineRule="exact"/>
        <w:jc w:val="left"/>
        <w:outlineLvl w:val="2"/>
        <w:rPr>
          <w:rFonts w:ascii="宋体" w:hAnsi="宋体" w:eastAsia="宋体" w:cs="宋体"/>
          <w:b/>
          <w:bCs/>
          <w:sz w:val="21"/>
          <w:szCs w:val="21"/>
        </w:rPr>
      </w:pPr>
      <w:bookmarkStart w:id="137" w:name="_Toc989024"/>
      <w:r>
        <w:rPr>
          <w:rFonts w:ascii="宋体" w:hAnsi="宋体" w:eastAsia="宋体" w:cs="宋体"/>
          <w:b/>
          <w:bCs/>
          <w:sz w:val="21"/>
          <w:szCs w:val="21"/>
        </w:rPr>
        <w:t>1、报告期内证券发行（不含优先股）情况</w:t>
      </w:r>
      <w:bookmarkEnd w:id="137"/>
    </w:p>
    <w:p w14:paraId="47208E8D">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F88EF62">
      <w:pPr>
        <w:keepNext/>
        <w:keepLines/>
        <w:spacing w:before="300" w:after="300" w:line="280" w:lineRule="exact"/>
        <w:jc w:val="left"/>
        <w:outlineLvl w:val="2"/>
        <w:rPr>
          <w:rFonts w:ascii="宋体" w:hAnsi="宋体" w:eastAsia="宋体" w:cs="宋体"/>
          <w:b/>
          <w:bCs/>
          <w:sz w:val="21"/>
          <w:szCs w:val="21"/>
        </w:rPr>
      </w:pPr>
      <w:bookmarkStart w:id="138" w:name="_Toc989025"/>
      <w:r>
        <w:rPr>
          <w:rFonts w:ascii="宋体" w:hAnsi="宋体" w:eastAsia="宋体" w:cs="宋体"/>
          <w:b/>
          <w:bCs/>
          <w:sz w:val="21"/>
          <w:szCs w:val="21"/>
        </w:rPr>
        <w:t>2、公司股份总数及股东结构的变动、公司资产和负债结构的变动情况说明</w:t>
      </w:r>
      <w:bookmarkEnd w:id="138"/>
    </w:p>
    <w:p w14:paraId="4C6CE71C">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617DDED7">
      <w:pPr>
        <w:keepNext/>
        <w:keepLines/>
        <w:spacing w:before="300" w:after="300" w:line="280" w:lineRule="exact"/>
        <w:jc w:val="left"/>
        <w:outlineLvl w:val="2"/>
        <w:rPr>
          <w:rFonts w:ascii="宋体" w:hAnsi="宋体" w:eastAsia="宋体" w:cs="宋体"/>
          <w:b/>
          <w:bCs/>
          <w:sz w:val="21"/>
          <w:szCs w:val="21"/>
        </w:rPr>
      </w:pPr>
      <w:bookmarkStart w:id="139" w:name="_Toc989026"/>
      <w:r>
        <w:rPr>
          <w:rFonts w:ascii="宋体" w:hAnsi="宋体" w:eastAsia="宋体" w:cs="宋体"/>
          <w:b/>
          <w:bCs/>
          <w:sz w:val="21"/>
          <w:szCs w:val="21"/>
        </w:rPr>
        <w:t>3、现存的内部职工股情况</w:t>
      </w:r>
      <w:bookmarkEnd w:id="139"/>
    </w:p>
    <w:p w14:paraId="0BBA5A33">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6D0721DB">
      <w:pPr>
        <w:keepNext/>
        <w:keepLines/>
        <w:spacing w:before="300" w:after="300" w:line="320" w:lineRule="exact"/>
        <w:jc w:val="left"/>
        <w:outlineLvl w:val="1"/>
        <w:rPr>
          <w:rFonts w:ascii="宋体" w:hAnsi="宋体" w:eastAsia="宋体" w:cs="宋体"/>
          <w:b/>
          <w:bCs/>
          <w:sz w:val="24"/>
          <w:szCs w:val="24"/>
        </w:rPr>
      </w:pPr>
      <w:bookmarkStart w:id="140" w:name="_Toc989027"/>
      <w:r>
        <w:rPr>
          <w:rFonts w:ascii="宋体" w:hAnsi="宋体" w:eastAsia="宋体" w:cs="宋体"/>
          <w:b/>
          <w:bCs/>
          <w:sz w:val="24"/>
          <w:szCs w:val="24"/>
        </w:rPr>
        <w:t>三、股东和实际控制人情况</w:t>
      </w:r>
      <w:bookmarkEnd w:id="140"/>
    </w:p>
    <w:p w14:paraId="70BFC3ED">
      <w:pPr>
        <w:keepNext/>
        <w:keepLines/>
        <w:spacing w:before="300" w:after="300" w:line="280" w:lineRule="exact"/>
        <w:jc w:val="left"/>
        <w:outlineLvl w:val="2"/>
        <w:rPr>
          <w:rFonts w:ascii="宋体" w:hAnsi="宋体" w:eastAsia="宋体" w:cs="宋体"/>
          <w:b/>
          <w:bCs/>
          <w:sz w:val="21"/>
          <w:szCs w:val="21"/>
        </w:rPr>
      </w:pPr>
      <w:bookmarkStart w:id="141" w:name="_Toc989028"/>
      <w:r>
        <w:rPr>
          <w:rFonts w:ascii="宋体" w:hAnsi="宋体" w:eastAsia="宋体" w:cs="宋体"/>
          <w:b/>
          <w:bCs/>
          <w:sz w:val="21"/>
          <w:szCs w:val="21"/>
        </w:rPr>
        <w:t>1、公司股东数量及持股情况</w:t>
      </w:r>
      <w:bookmarkEnd w:id="141"/>
    </w:p>
    <w:p w14:paraId="5DC3F703">
      <w:pPr>
        <w:spacing w:before="120" w:after="120" w:line="240" w:lineRule="exact"/>
        <w:jc w:val="right"/>
        <w:rPr>
          <w:rFonts w:ascii="宋体" w:hAnsi="宋体" w:eastAsia="宋体" w:cs="宋体"/>
          <w:sz w:val="18"/>
          <w:szCs w:val="18"/>
        </w:rPr>
      </w:pPr>
      <w:r>
        <w:rPr>
          <w:rFonts w:ascii="宋体" w:hAnsi="宋体" w:eastAsia="宋体" w:cs="宋体"/>
          <w:sz w:val="18"/>
          <w:szCs w:val="18"/>
        </w:rPr>
        <w:t>单位：股</w:t>
      </w:r>
    </w:p>
    <w:tbl>
      <w:tblPr>
        <w:tblStyle w:val="3"/>
        <w:tblW w:w="963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67"/>
        <w:gridCol w:w="885"/>
        <w:gridCol w:w="855"/>
        <w:gridCol w:w="360"/>
        <w:gridCol w:w="340"/>
        <w:gridCol w:w="80"/>
        <w:gridCol w:w="350"/>
        <w:gridCol w:w="870"/>
        <w:gridCol w:w="649"/>
        <w:gridCol w:w="391"/>
        <w:gridCol w:w="120"/>
        <w:gridCol w:w="140"/>
        <w:gridCol w:w="870"/>
        <w:gridCol w:w="360"/>
        <w:gridCol w:w="530"/>
        <w:gridCol w:w="230"/>
        <w:gridCol w:w="140"/>
        <w:gridCol w:w="460"/>
        <w:gridCol w:w="800"/>
        <w:gridCol w:w="339"/>
      </w:tblGrid>
      <w:tr w14:paraId="00DB40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67" w:type="dxa"/>
            <w:tcBorders>
              <w:top w:val="single" w:color="auto" w:sz="2" w:space="0"/>
              <w:left w:val="single" w:color="auto" w:sz="2" w:space="0"/>
              <w:bottom w:val="single" w:color="auto" w:sz="2" w:space="0"/>
              <w:right w:val="single" w:color="auto" w:sz="2" w:space="0"/>
            </w:tcBorders>
            <w:shd w:val="clear" w:color="auto" w:fill="D3D3D3"/>
            <w:vAlign w:val="center"/>
          </w:tcPr>
          <w:p w14:paraId="5E7E7657">
            <w:pPr>
              <w:spacing w:before="40" w:after="40" w:line="240" w:lineRule="exact"/>
              <w:jc w:val="left"/>
              <w:rPr>
                <w:rFonts w:ascii="宋体" w:hAnsi="宋体" w:eastAsia="宋体" w:cs="宋体"/>
                <w:sz w:val="18"/>
                <w:szCs w:val="18"/>
              </w:rPr>
            </w:pPr>
            <w:r>
              <w:rPr>
                <w:rFonts w:ascii="宋体" w:hAnsi="宋体" w:eastAsia="宋体" w:cs="宋体"/>
                <w:sz w:val="18"/>
                <w:szCs w:val="18"/>
              </w:rPr>
              <w:t>报告期末普通股股东总数</w:t>
            </w:r>
          </w:p>
        </w:tc>
        <w:tc>
          <w:tcPr>
            <w:tcW w:w="885" w:type="dxa"/>
            <w:tcBorders>
              <w:top w:val="single" w:color="auto" w:sz="2" w:space="0"/>
              <w:left w:val="single" w:color="auto" w:sz="2" w:space="0"/>
              <w:bottom w:val="single" w:color="auto" w:sz="2" w:space="0"/>
              <w:right w:val="single" w:color="auto" w:sz="2" w:space="0"/>
            </w:tcBorders>
            <w:vAlign w:val="center"/>
          </w:tcPr>
          <w:p w14:paraId="184E10E2">
            <w:pPr>
              <w:spacing w:before="0" w:after="0" w:line="240" w:lineRule="exact"/>
              <w:jc w:val="right"/>
              <w:rPr>
                <w:rFonts w:ascii="宋体" w:hAnsi="宋体" w:eastAsia="宋体" w:cs="宋体"/>
                <w:sz w:val="18"/>
                <w:szCs w:val="18"/>
              </w:rPr>
            </w:pPr>
            <w:r>
              <w:rPr>
                <w:rFonts w:ascii="宋体" w:hAnsi="宋体" w:eastAsia="宋体" w:cs="宋体"/>
                <w:sz w:val="18"/>
                <w:szCs w:val="18"/>
              </w:rPr>
              <w:t>16,569</w:t>
            </w:r>
          </w:p>
        </w:tc>
        <w:tc>
          <w:tcPr>
            <w:tcW w:w="1215"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C0C952E">
            <w:pPr>
              <w:spacing w:before="40" w:after="40" w:line="240" w:lineRule="exact"/>
              <w:jc w:val="left"/>
              <w:rPr>
                <w:rFonts w:ascii="宋体" w:hAnsi="宋体" w:eastAsia="宋体" w:cs="宋体"/>
                <w:sz w:val="18"/>
                <w:szCs w:val="18"/>
              </w:rPr>
            </w:pPr>
            <w:r>
              <w:rPr>
                <w:rFonts w:ascii="宋体" w:hAnsi="宋体" w:eastAsia="宋体" w:cs="宋体"/>
                <w:sz w:val="18"/>
                <w:szCs w:val="18"/>
              </w:rPr>
              <w:t>年度报告披露日前上一月末普通股股东总数</w:t>
            </w:r>
          </w:p>
        </w:tc>
        <w:tc>
          <w:tcPr>
            <w:tcW w:w="770" w:type="dxa"/>
            <w:gridSpan w:val="3"/>
            <w:tcBorders>
              <w:top w:val="single" w:color="auto" w:sz="2" w:space="0"/>
              <w:left w:val="single" w:color="auto" w:sz="2" w:space="0"/>
              <w:bottom w:val="single" w:color="auto" w:sz="2" w:space="0"/>
              <w:right w:val="single" w:color="auto" w:sz="2" w:space="0"/>
            </w:tcBorders>
            <w:vAlign w:val="center"/>
          </w:tcPr>
          <w:p w14:paraId="0B6C6768">
            <w:pPr>
              <w:spacing w:before="0" w:after="0" w:line="240" w:lineRule="exact"/>
              <w:jc w:val="right"/>
              <w:rPr>
                <w:rFonts w:ascii="宋体" w:hAnsi="宋体" w:eastAsia="宋体" w:cs="宋体"/>
                <w:sz w:val="18"/>
                <w:szCs w:val="18"/>
              </w:rPr>
            </w:pPr>
            <w:r>
              <w:rPr>
                <w:rFonts w:ascii="宋体" w:hAnsi="宋体" w:eastAsia="宋体" w:cs="宋体"/>
                <w:sz w:val="18"/>
                <w:szCs w:val="18"/>
              </w:rPr>
              <w:t>14,003</w:t>
            </w:r>
          </w:p>
        </w:tc>
        <w:tc>
          <w:tcPr>
            <w:tcW w:w="151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1758CE7">
            <w:pPr>
              <w:spacing w:before="40" w:after="40" w:line="240" w:lineRule="exact"/>
              <w:jc w:val="left"/>
              <w:rPr>
                <w:rFonts w:ascii="宋体" w:hAnsi="宋体" w:eastAsia="宋体" w:cs="宋体"/>
                <w:sz w:val="18"/>
                <w:szCs w:val="18"/>
              </w:rPr>
            </w:pPr>
            <w:r>
              <w:rPr>
                <w:rFonts w:ascii="宋体" w:hAnsi="宋体" w:eastAsia="宋体" w:cs="宋体"/>
                <w:sz w:val="18"/>
                <w:szCs w:val="18"/>
              </w:rPr>
              <w:t>报告期末表决权恢复的优先股股东总数（如有）（参见注9）</w:t>
            </w:r>
          </w:p>
        </w:tc>
        <w:tc>
          <w:tcPr>
            <w:tcW w:w="511" w:type="dxa"/>
            <w:gridSpan w:val="2"/>
            <w:tcBorders>
              <w:top w:val="single" w:color="auto" w:sz="2" w:space="0"/>
              <w:left w:val="single" w:color="auto" w:sz="2" w:space="0"/>
              <w:bottom w:val="single" w:color="auto" w:sz="2" w:space="0"/>
              <w:right w:val="single" w:color="auto" w:sz="2" w:space="0"/>
            </w:tcBorders>
            <w:vAlign w:val="center"/>
          </w:tcPr>
          <w:p w14:paraId="1F7DFB94">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900"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33B1D2DF">
            <w:pPr>
              <w:spacing w:before="40" w:after="40" w:line="240" w:lineRule="exact"/>
              <w:jc w:val="left"/>
              <w:rPr>
                <w:rFonts w:ascii="宋体" w:hAnsi="宋体" w:eastAsia="宋体" w:cs="宋体"/>
                <w:sz w:val="18"/>
                <w:szCs w:val="18"/>
              </w:rPr>
            </w:pPr>
            <w:r>
              <w:rPr>
                <w:rFonts w:ascii="宋体" w:hAnsi="宋体" w:eastAsia="宋体" w:cs="宋体"/>
                <w:sz w:val="18"/>
                <w:szCs w:val="18"/>
              </w:rPr>
              <w:t>年度报告披露日前上一月末表决权恢复的优先股股东总数（如有）（参见注9）</w:t>
            </w:r>
          </w:p>
        </w:tc>
        <w:tc>
          <w:tcPr>
            <w:tcW w:w="370" w:type="dxa"/>
            <w:gridSpan w:val="2"/>
            <w:tcBorders>
              <w:top w:val="single" w:color="auto" w:sz="2" w:space="0"/>
              <w:left w:val="single" w:color="auto" w:sz="2" w:space="0"/>
              <w:bottom w:val="single" w:color="auto" w:sz="2" w:space="0"/>
              <w:right w:val="single" w:color="auto" w:sz="2" w:space="0"/>
            </w:tcBorders>
            <w:vAlign w:val="center"/>
          </w:tcPr>
          <w:p w14:paraId="10BEF8D9">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26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313D087">
            <w:pPr>
              <w:spacing w:before="40" w:after="40" w:line="240" w:lineRule="exact"/>
              <w:jc w:val="left"/>
              <w:rPr>
                <w:rFonts w:ascii="宋体" w:hAnsi="宋体" w:eastAsia="宋体" w:cs="宋体"/>
                <w:sz w:val="18"/>
                <w:szCs w:val="18"/>
              </w:rPr>
            </w:pPr>
            <w:r>
              <w:rPr>
                <w:rFonts w:ascii="宋体" w:hAnsi="宋体" w:eastAsia="宋体" w:cs="宋体"/>
                <w:sz w:val="18"/>
                <w:szCs w:val="18"/>
              </w:rPr>
              <w:t>持有特别表决权股份的股东总数（如有）</w:t>
            </w:r>
          </w:p>
        </w:tc>
        <w:tc>
          <w:tcPr>
            <w:tcW w:w="339" w:type="dxa"/>
            <w:tcBorders>
              <w:top w:val="single" w:color="auto" w:sz="2" w:space="0"/>
              <w:left w:val="single" w:color="auto" w:sz="2" w:space="0"/>
              <w:bottom w:val="single" w:color="auto" w:sz="2" w:space="0"/>
              <w:right w:val="single" w:color="auto" w:sz="2" w:space="0"/>
            </w:tcBorders>
            <w:vAlign w:val="center"/>
          </w:tcPr>
          <w:p w14:paraId="27BBE956">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378F89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6" w:type="dxa"/>
            <w:gridSpan w:val="20"/>
            <w:tcBorders>
              <w:top w:val="single" w:color="auto" w:sz="2" w:space="0"/>
              <w:left w:val="single" w:color="auto" w:sz="2" w:space="0"/>
              <w:bottom w:val="single" w:color="auto" w:sz="2" w:space="0"/>
              <w:right w:val="single" w:color="auto" w:sz="2" w:space="0"/>
            </w:tcBorders>
            <w:shd w:val="clear" w:color="auto" w:fill="D3D3D3"/>
            <w:vAlign w:val="center"/>
          </w:tcPr>
          <w:p w14:paraId="32974FD1">
            <w:pPr>
              <w:spacing w:before="40" w:after="40" w:line="240" w:lineRule="exact"/>
              <w:jc w:val="center"/>
              <w:rPr>
                <w:rFonts w:ascii="宋体" w:hAnsi="宋体" w:eastAsia="宋体" w:cs="宋体"/>
                <w:sz w:val="18"/>
                <w:szCs w:val="18"/>
              </w:rPr>
            </w:pPr>
            <w:r>
              <w:rPr>
                <w:rFonts w:ascii="宋体" w:hAnsi="宋体" w:eastAsia="宋体" w:cs="宋体"/>
                <w:sz w:val="18"/>
                <w:szCs w:val="18"/>
              </w:rPr>
              <w:t>持股5%以上的股东或前10名股东持股情况（不含通过转融通出借股份）</w:t>
            </w:r>
          </w:p>
        </w:tc>
      </w:tr>
      <w:tr w14:paraId="607215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88E4798">
            <w:pPr>
              <w:spacing w:before="40" w:after="40" w:line="240" w:lineRule="exact"/>
              <w:jc w:val="center"/>
              <w:rPr>
                <w:rFonts w:ascii="宋体" w:hAnsi="宋体" w:eastAsia="宋体" w:cs="宋体"/>
                <w:sz w:val="18"/>
                <w:szCs w:val="18"/>
              </w:rPr>
            </w:pPr>
            <w:r>
              <w:rPr>
                <w:rFonts w:ascii="宋体" w:hAnsi="宋体" w:eastAsia="宋体" w:cs="宋体"/>
                <w:sz w:val="18"/>
                <w:szCs w:val="18"/>
              </w:rPr>
              <w:t>股东名称</w:t>
            </w:r>
          </w:p>
        </w:tc>
        <w:tc>
          <w:tcPr>
            <w:tcW w:w="85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6F6120B">
            <w:pPr>
              <w:spacing w:before="40" w:after="40" w:line="240" w:lineRule="exact"/>
              <w:jc w:val="center"/>
              <w:rPr>
                <w:rFonts w:ascii="宋体" w:hAnsi="宋体" w:eastAsia="宋体" w:cs="宋体"/>
                <w:sz w:val="18"/>
                <w:szCs w:val="18"/>
              </w:rPr>
            </w:pPr>
            <w:r>
              <w:rPr>
                <w:rFonts w:ascii="宋体" w:hAnsi="宋体" w:eastAsia="宋体" w:cs="宋体"/>
                <w:sz w:val="18"/>
                <w:szCs w:val="18"/>
              </w:rPr>
              <w:t>股东性质</w:t>
            </w:r>
          </w:p>
        </w:tc>
        <w:tc>
          <w:tcPr>
            <w:tcW w:w="780" w:type="dxa"/>
            <w:gridSpan w:val="3"/>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82B60E2">
            <w:pPr>
              <w:spacing w:before="40" w:after="40" w:line="240" w:lineRule="exact"/>
              <w:jc w:val="center"/>
              <w:rPr>
                <w:rFonts w:ascii="宋体" w:hAnsi="宋体" w:eastAsia="宋体" w:cs="宋体"/>
                <w:sz w:val="18"/>
                <w:szCs w:val="18"/>
              </w:rPr>
            </w:pPr>
            <w:r>
              <w:rPr>
                <w:rFonts w:ascii="宋体" w:hAnsi="宋体" w:eastAsia="宋体" w:cs="宋体"/>
                <w:sz w:val="18"/>
                <w:szCs w:val="18"/>
              </w:rPr>
              <w:t>持股比例</w:t>
            </w:r>
          </w:p>
        </w:tc>
        <w:tc>
          <w:tcPr>
            <w:tcW w:w="1220"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92AA13E">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报告期末持股数量</w:t>
            </w:r>
          </w:p>
        </w:tc>
        <w:tc>
          <w:tcPr>
            <w:tcW w:w="1040"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D45DD11">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报告期内增减变动情况</w:t>
            </w:r>
          </w:p>
        </w:tc>
        <w:tc>
          <w:tcPr>
            <w:tcW w:w="1130" w:type="dxa"/>
            <w:gridSpan w:val="3"/>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CA01204">
            <w:pPr>
              <w:spacing w:before="40" w:after="40" w:line="240" w:lineRule="exact"/>
              <w:jc w:val="center"/>
              <w:rPr>
                <w:rFonts w:ascii="宋体" w:hAnsi="宋体" w:eastAsia="宋体" w:cs="宋体"/>
                <w:sz w:val="18"/>
                <w:szCs w:val="18"/>
              </w:rPr>
            </w:pPr>
            <w:r>
              <w:rPr>
                <w:rFonts w:ascii="宋体" w:hAnsi="宋体" w:eastAsia="宋体" w:cs="宋体"/>
                <w:sz w:val="18"/>
                <w:szCs w:val="18"/>
              </w:rPr>
              <w:t>持有有限售条件的股份数量</w:t>
            </w:r>
          </w:p>
        </w:tc>
        <w:tc>
          <w:tcPr>
            <w:tcW w:w="1120" w:type="dxa"/>
            <w:gridSpan w:val="3"/>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9F15603">
            <w:pPr>
              <w:spacing w:before="40" w:after="40" w:line="240" w:lineRule="exact"/>
              <w:jc w:val="center"/>
              <w:rPr>
                <w:rFonts w:ascii="宋体" w:hAnsi="宋体" w:eastAsia="宋体" w:cs="宋体"/>
                <w:sz w:val="18"/>
                <w:szCs w:val="18"/>
              </w:rPr>
            </w:pPr>
            <w:r>
              <w:rPr>
                <w:rFonts w:ascii="宋体" w:hAnsi="宋体" w:eastAsia="宋体" w:cs="宋体"/>
                <w:sz w:val="18"/>
                <w:szCs w:val="18"/>
              </w:rPr>
              <w:t>持有无限售条件的股份数量</w:t>
            </w:r>
          </w:p>
        </w:tc>
        <w:tc>
          <w:tcPr>
            <w:tcW w:w="1739"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155FD75A">
            <w:pPr>
              <w:spacing w:before="40" w:after="40" w:line="240" w:lineRule="exact"/>
              <w:jc w:val="center"/>
              <w:rPr>
                <w:rFonts w:ascii="宋体" w:hAnsi="宋体" w:eastAsia="宋体" w:cs="宋体"/>
                <w:sz w:val="18"/>
                <w:szCs w:val="18"/>
              </w:rPr>
            </w:pPr>
            <w:r>
              <w:rPr>
                <w:rFonts w:ascii="宋体" w:hAnsi="宋体" w:eastAsia="宋体" w:cs="宋体"/>
                <w:sz w:val="18"/>
                <w:szCs w:val="18"/>
              </w:rPr>
              <w:t>质押、标记或冻结情况</w:t>
            </w:r>
          </w:p>
        </w:tc>
      </w:tr>
      <w:tr w14:paraId="75CF3A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ECECE9A"/>
        </w:tc>
        <w:tc>
          <w:tcPr>
            <w:tcW w:w="85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6D33778"/>
        </w:tc>
        <w:tc>
          <w:tcPr>
            <w:tcW w:w="780" w:type="dxa"/>
            <w:gridSpan w:val="3"/>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70D8913"/>
        </w:tc>
        <w:tc>
          <w:tcPr>
            <w:tcW w:w="1220"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38DC574"/>
        </w:tc>
        <w:tc>
          <w:tcPr>
            <w:tcW w:w="1040"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51FFE07"/>
        </w:tc>
        <w:tc>
          <w:tcPr>
            <w:tcW w:w="1130" w:type="dxa"/>
            <w:gridSpan w:val="3"/>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68F4476"/>
        </w:tc>
        <w:tc>
          <w:tcPr>
            <w:tcW w:w="1120" w:type="dxa"/>
            <w:gridSpan w:val="3"/>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37A5591"/>
        </w:tc>
        <w:tc>
          <w:tcPr>
            <w:tcW w:w="60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3B24DF1D">
            <w:pPr>
              <w:spacing w:before="40" w:after="40" w:line="240" w:lineRule="exact"/>
              <w:jc w:val="center"/>
              <w:rPr>
                <w:rFonts w:ascii="宋体" w:hAnsi="宋体" w:eastAsia="宋体" w:cs="宋体"/>
                <w:sz w:val="18"/>
                <w:szCs w:val="18"/>
              </w:rPr>
            </w:pPr>
            <w:r>
              <w:rPr>
                <w:rFonts w:ascii="宋体" w:hAnsi="宋体" w:eastAsia="宋体" w:cs="宋体"/>
                <w:sz w:val="18"/>
                <w:szCs w:val="18"/>
              </w:rPr>
              <w:t>股份状态</w:t>
            </w:r>
          </w:p>
        </w:tc>
        <w:tc>
          <w:tcPr>
            <w:tcW w:w="11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6826F7E">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r>
      <w:tr w14:paraId="0B3682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14:paraId="15C8A1C6">
            <w:pPr>
              <w:spacing w:before="0" w:after="0" w:line="240" w:lineRule="exact"/>
              <w:jc w:val="left"/>
              <w:rPr>
                <w:rFonts w:ascii="宋体" w:hAnsi="宋体" w:eastAsia="宋体" w:cs="宋体"/>
                <w:sz w:val="18"/>
                <w:szCs w:val="18"/>
              </w:rPr>
            </w:pPr>
            <w:r>
              <w:rPr>
                <w:rFonts w:ascii="宋体" w:hAnsi="宋体" w:eastAsia="宋体" w:cs="宋体"/>
                <w:sz w:val="18"/>
                <w:szCs w:val="18"/>
              </w:rPr>
              <w:t>福建奥华集团有限公司</w:t>
            </w:r>
          </w:p>
        </w:tc>
        <w:tc>
          <w:tcPr>
            <w:tcW w:w="855" w:type="dxa"/>
            <w:tcBorders>
              <w:top w:val="single" w:color="auto" w:sz="2" w:space="0"/>
              <w:left w:val="single" w:color="auto" w:sz="2" w:space="0"/>
              <w:bottom w:val="single" w:color="auto" w:sz="2" w:space="0"/>
              <w:right w:val="single" w:color="auto" w:sz="2" w:space="0"/>
            </w:tcBorders>
            <w:vAlign w:val="center"/>
          </w:tcPr>
          <w:p w14:paraId="1628776D">
            <w:pPr>
              <w:spacing w:before="0" w:after="0" w:line="240" w:lineRule="exact"/>
              <w:jc w:val="left"/>
              <w:rPr>
                <w:rFonts w:ascii="宋体" w:hAnsi="宋体" w:eastAsia="宋体" w:cs="宋体"/>
                <w:sz w:val="18"/>
                <w:szCs w:val="18"/>
              </w:rPr>
            </w:pPr>
            <w:r>
              <w:rPr>
                <w:rFonts w:ascii="宋体" w:hAnsi="宋体" w:eastAsia="宋体" w:cs="宋体"/>
                <w:sz w:val="18"/>
                <w:szCs w:val="18"/>
              </w:rPr>
              <w:t>境内非国有法人</w:t>
            </w:r>
          </w:p>
        </w:tc>
        <w:tc>
          <w:tcPr>
            <w:tcW w:w="780" w:type="dxa"/>
            <w:gridSpan w:val="3"/>
            <w:tcBorders>
              <w:top w:val="single" w:color="auto" w:sz="2" w:space="0"/>
              <w:left w:val="single" w:color="auto" w:sz="2" w:space="0"/>
              <w:bottom w:val="single" w:color="auto" w:sz="2" w:space="0"/>
              <w:right w:val="single" w:color="auto" w:sz="2" w:space="0"/>
            </w:tcBorders>
            <w:vAlign w:val="center"/>
          </w:tcPr>
          <w:p w14:paraId="09B3700C">
            <w:pPr>
              <w:spacing w:before="0" w:after="0" w:line="240" w:lineRule="exact"/>
              <w:jc w:val="right"/>
              <w:rPr>
                <w:rFonts w:ascii="宋体" w:hAnsi="宋体" w:eastAsia="宋体" w:cs="宋体"/>
                <w:sz w:val="18"/>
                <w:szCs w:val="18"/>
              </w:rPr>
            </w:pPr>
            <w:r>
              <w:rPr>
                <w:rFonts w:ascii="宋体" w:hAnsi="宋体" w:eastAsia="宋体" w:cs="宋体"/>
                <w:sz w:val="18"/>
                <w:szCs w:val="18"/>
              </w:rPr>
              <w:t>22.02%</w:t>
            </w:r>
          </w:p>
        </w:tc>
        <w:tc>
          <w:tcPr>
            <w:tcW w:w="1220" w:type="dxa"/>
            <w:gridSpan w:val="2"/>
            <w:tcBorders>
              <w:top w:val="single" w:color="auto" w:sz="2" w:space="0"/>
              <w:left w:val="single" w:color="auto" w:sz="2" w:space="0"/>
              <w:bottom w:val="single" w:color="auto" w:sz="2" w:space="0"/>
              <w:right w:val="single" w:color="auto" w:sz="2" w:space="0"/>
            </w:tcBorders>
            <w:vAlign w:val="center"/>
          </w:tcPr>
          <w:p w14:paraId="4BB982A4">
            <w:pPr>
              <w:spacing w:before="0" w:after="0" w:line="240" w:lineRule="exact"/>
              <w:jc w:val="right"/>
              <w:rPr>
                <w:rFonts w:ascii="宋体" w:hAnsi="宋体" w:eastAsia="宋体" w:cs="宋体"/>
                <w:sz w:val="18"/>
                <w:szCs w:val="18"/>
              </w:rPr>
            </w:pPr>
            <w:r>
              <w:rPr>
                <w:rFonts w:ascii="宋体" w:hAnsi="宋体" w:eastAsia="宋体" w:cs="宋体"/>
                <w:sz w:val="18"/>
                <w:szCs w:val="18"/>
              </w:rPr>
              <w:t>35,068,651</w:t>
            </w:r>
          </w:p>
        </w:tc>
        <w:tc>
          <w:tcPr>
            <w:tcW w:w="1040" w:type="dxa"/>
            <w:gridSpan w:val="2"/>
            <w:tcBorders>
              <w:top w:val="single" w:color="auto" w:sz="2" w:space="0"/>
              <w:left w:val="single" w:color="auto" w:sz="2" w:space="0"/>
              <w:bottom w:val="single" w:color="auto" w:sz="2" w:space="0"/>
              <w:right w:val="single" w:color="auto" w:sz="2" w:space="0"/>
            </w:tcBorders>
            <w:vAlign w:val="center"/>
          </w:tcPr>
          <w:p w14:paraId="0706CB59">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30" w:type="dxa"/>
            <w:gridSpan w:val="3"/>
            <w:tcBorders>
              <w:top w:val="single" w:color="auto" w:sz="2" w:space="0"/>
              <w:left w:val="single" w:color="auto" w:sz="2" w:space="0"/>
              <w:bottom w:val="single" w:color="auto" w:sz="2" w:space="0"/>
              <w:right w:val="single" w:color="auto" w:sz="2" w:space="0"/>
            </w:tcBorders>
            <w:vAlign w:val="center"/>
          </w:tcPr>
          <w:p w14:paraId="375D8E0C">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20" w:type="dxa"/>
            <w:gridSpan w:val="3"/>
            <w:tcBorders>
              <w:top w:val="single" w:color="auto" w:sz="2" w:space="0"/>
              <w:left w:val="single" w:color="auto" w:sz="2" w:space="0"/>
              <w:bottom w:val="single" w:color="auto" w:sz="2" w:space="0"/>
              <w:right w:val="single" w:color="auto" w:sz="2" w:space="0"/>
            </w:tcBorders>
            <w:vAlign w:val="center"/>
          </w:tcPr>
          <w:p w14:paraId="516E4A92">
            <w:pPr>
              <w:spacing w:before="0" w:after="0" w:line="240" w:lineRule="exact"/>
              <w:jc w:val="right"/>
              <w:rPr>
                <w:rFonts w:ascii="宋体" w:hAnsi="宋体" w:eastAsia="宋体" w:cs="宋体"/>
                <w:sz w:val="18"/>
                <w:szCs w:val="18"/>
              </w:rPr>
            </w:pPr>
            <w:r>
              <w:rPr>
                <w:rFonts w:ascii="宋体" w:hAnsi="宋体" w:eastAsia="宋体" w:cs="宋体"/>
                <w:sz w:val="18"/>
                <w:szCs w:val="18"/>
              </w:rPr>
              <w:t>35,068,651</w:t>
            </w:r>
          </w:p>
        </w:tc>
        <w:tc>
          <w:tcPr>
            <w:tcW w:w="600" w:type="dxa"/>
            <w:gridSpan w:val="2"/>
            <w:tcBorders>
              <w:top w:val="single" w:color="auto" w:sz="2" w:space="0"/>
              <w:left w:val="single" w:color="auto" w:sz="2" w:space="0"/>
              <w:bottom w:val="single" w:color="auto" w:sz="2" w:space="0"/>
              <w:right w:val="single" w:color="auto" w:sz="2" w:space="0"/>
            </w:tcBorders>
            <w:vAlign w:val="center"/>
          </w:tcPr>
          <w:p w14:paraId="73A2D446">
            <w:pPr>
              <w:spacing w:before="0" w:after="0" w:line="240" w:lineRule="exact"/>
              <w:jc w:val="left"/>
              <w:rPr>
                <w:rFonts w:ascii="宋体" w:hAnsi="宋体" w:eastAsia="宋体" w:cs="宋体"/>
                <w:sz w:val="18"/>
                <w:szCs w:val="18"/>
              </w:rPr>
            </w:pPr>
            <w:r>
              <w:rPr>
                <w:rFonts w:ascii="宋体" w:hAnsi="宋体" w:eastAsia="宋体" w:cs="宋体"/>
                <w:sz w:val="18"/>
                <w:szCs w:val="18"/>
              </w:rPr>
              <w:t>质押</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1086E39E">
            <w:pPr>
              <w:spacing w:before="0" w:after="0" w:line="240" w:lineRule="exact"/>
              <w:jc w:val="right"/>
              <w:rPr>
                <w:rFonts w:ascii="宋体" w:hAnsi="宋体" w:eastAsia="宋体" w:cs="宋体"/>
                <w:sz w:val="18"/>
                <w:szCs w:val="18"/>
              </w:rPr>
            </w:pPr>
            <w:r>
              <w:rPr>
                <w:rFonts w:ascii="宋体" w:hAnsi="宋体" w:eastAsia="宋体" w:cs="宋体"/>
                <w:sz w:val="18"/>
                <w:szCs w:val="18"/>
              </w:rPr>
              <w:t>26,110,000</w:t>
            </w:r>
          </w:p>
        </w:tc>
      </w:tr>
      <w:tr w14:paraId="43F035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14:paraId="272BB6E4">
            <w:pPr>
              <w:spacing w:before="0" w:after="0" w:line="240" w:lineRule="exact"/>
              <w:jc w:val="left"/>
              <w:rPr>
                <w:rFonts w:ascii="宋体" w:hAnsi="宋体" w:eastAsia="宋体" w:cs="宋体"/>
                <w:sz w:val="18"/>
                <w:szCs w:val="18"/>
              </w:rPr>
            </w:pPr>
            <w:r>
              <w:rPr>
                <w:rFonts w:ascii="宋体" w:hAnsi="宋体" w:eastAsia="宋体" w:cs="宋体"/>
                <w:sz w:val="18"/>
                <w:szCs w:val="18"/>
              </w:rPr>
              <w:t>叶理青</w:t>
            </w:r>
          </w:p>
        </w:tc>
        <w:tc>
          <w:tcPr>
            <w:tcW w:w="855" w:type="dxa"/>
            <w:tcBorders>
              <w:top w:val="single" w:color="auto" w:sz="2" w:space="0"/>
              <w:left w:val="single" w:color="auto" w:sz="2" w:space="0"/>
              <w:bottom w:val="single" w:color="auto" w:sz="2" w:space="0"/>
              <w:right w:val="single" w:color="auto" w:sz="2" w:space="0"/>
            </w:tcBorders>
            <w:vAlign w:val="center"/>
          </w:tcPr>
          <w:p w14:paraId="2AF18237">
            <w:pPr>
              <w:spacing w:before="0" w:after="0" w:line="240" w:lineRule="exact"/>
              <w:jc w:val="left"/>
              <w:rPr>
                <w:rFonts w:ascii="宋体" w:hAnsi="宋体" w:eastAsia="宋体" w:cs="宋体"/>
                <w:sz w:val="18"/>
                <w:szCs w:val="18"/>
              </w:rPr>
            </w:pPr>
            <w:r>
              <w:rPr>
                <w:rFonts w:ascii="宋体" w:hAnsi="宋体" w:eastAsia="宋体" w:cs="宋体"/>
                <w:sz w:val="18"/>
                <w:szCs w:val="18"/>
              </w:rPr>
              <w:t>境内自然人</w:t>
            </w:r>
          </w:p>
        </w:tc>
        <w:tc>
          <w:tcPr>
            <w:tcW w:w="780" w:type="dxa"/>
            <w:gridSpan w:val="3"/>
            <w:tcBorders>
              <w:top w:val="single" w:color="auto" w:sz="2" w:space="0"/>
              <w:left w:val="single" w:color="auto" w:sz="2" w:space="0"/>
              <w:bottom w:val="single" w:color="auto" w:sz="2" w:space="0"/>
              <w:right w:val="single" w:color="auto" w:sz="2" w:space="0"/>
            </w:tcBorders>
            <w:vAlign w:val="center"/>
          </w:tcPr>
          <w:p w14:paraId="22698D8B">
            <w:pPr>
              <w:spacing w:before="0" w:after="0" w:line="240" w:lineRule="exact"/>
              <w:jc w:val="right"/>
              <w:rPr>
                <w:rFonts w:ascii="宋体" w:hAnsi="宋体" w:eastAsia="宋体" w:cs="宋体"/>
                <w:sz w:val="18"/>
                <w:szCs w:val="18"/>
              </w:rPr>
            </w:pPr>
            <w:r>
              <w:rPr>
                <w:rFonts w:ascii="宋体" w:hAnsi="宋体" w:eastAsia="宋体" w:cs="宋体"/>
                <w:sz w:val="18"/>
                <w:szCs w:val="18"/>
              </w:rPr>
              <w:t>8.50%</w:t>
            </w:r>
          </w:p>
        </w:tc>
        <w:tc>
          <w:tcPr>
            <w:tcW w:w="1220" w:type="dxa"/>
            <w:gridSpan w:val="2"/>
            <w:tcBorders>
              <w:top w:val="single" w:color="auto" w:sz="2" w:space="0"/>
              <w:left w:val="single" w:color="auto" w:sz="2" w:space="0"/>
              <w:bottom w:val="single" w:color="auto" w:sz="2" w:space="0"/>
              <w:right w:val="single" w:color="auto" w:sz="2" w:space="0"/>
            </w:tcBorders>
            <w:vAlign w:val="center"/>
          </w:tcPr>
          <w:p w14:paraId="6E2329A3">
            <w:pPr>
              <w:spacing w:before="0" w:after="0" w:line="240" w:lineRule="exact"/>
              <w:jc w:val="right"/>
              <w:rPr>
                <w:rFonts w:ascii="宋体" w:hAnsi="宋体" w:eastAsia="宋体" w:cs="宋体"/>
                <w:sz w:val="18"/>
                <w:szCs w:val="18"/>
              </w:rPr>
            </w:pPr>
            <w:r>
              <w:rPr>
                <w:rFonts w:ascii="宋体" w:hAnsi="宋体" w:eastAsia="宋体" w:cs="宋体"/>
                <w:sz w:val="18"/>
                <w:szCs w:val="18"/>
              </w:rPr>
              <w:t>13,536,700</w:t>
            </w:r>
          </w:p>
        </w:tc>
        <w:tc>
          <w:tcPr>
            <w:tcW w:w="1040" w:type="dxa"/>
            <w:gridSpan w:val="2"/>
            <w:tcBorders>
              <w:top w:val="single" w:color="auto" w:sz="2" w:space="0"/>
              <w:left w:val="single" w:color="auto" w:sz="2" w:space="0"/>
              <w:bottom w:val="single" w:color="auto" w:sz="2" w:space="0"/>
              <w:right w:val="single" w:color="auto" w:sz="2" w:space="0"/>
            </w:tcBorders>
            <w:vAlign w:val="center"/>
          </w:tcPr>
          <w:p w14:paraId="2E280936">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30" w:type="dxa"/>
            <w:gridSpan w:val="3"/>
            <w:tcBorders>
              <w:top w:val="single" w:color="auto" w:sz="2" w:space="0"/>
              <w:left w:val="single" w:color="auto" w:sz="2" w:space="0"/>
              <w:bottom w:val="single" w:color="auto" w:sz="2" w:space="0"/>
              <w:right w:val="single" w:color="auto" w:sz="2" w:space="0"/>
            </w:tcBorders>
            <w:vAlign w:val="center"/>
          </w:tcPr>
          <w:p w14:paraId="105DE4F7">
            <w:pPr>
              <w:spacing w:before="0" w:after="0" w:line="240" w:lineRule="exact"/>
              <w:jc w:val="right"/>
              <w:rPr>
                <w:rFonts w:ascii="宋体" w:hAnsi="宋体" w:eastAsia="宋体" w:cs="宋体"/>
                <w:sz w:val="18"/>
                <w:szCs w:val="18"/>
              </w:rPr>
            </w:pPr>
            <w:r>
              <w:rPr>
                <w:rFonts w:ascii="宋体" w:hAnsi="宋体" w:eastAsia="宋体" w:cs="宋体"/>
                <w:sz w:val="18"/>
                <w:szCs w:val="18"/>
              </w:rPr>
              <w:t>10,152,525</w:t>
            </w:r>
          </w:p>
        </w:tc>
        <w:tc>
          <w:tcPr>
            <w:tcW w:w="1120" w:type="dxa"/>
            <w:gridSpan w:val="3"/>
            <w:tcBorders>
              <w:top w:val="single" w:color="auto" w:sz="2" w:space="0"/>
              <w:left w:val="single" w:color="auto" w:sz="2" w:space="0"/>
              <w:bottom w:val="single" w:color="auto" w:sz="2" w:space="0"/>
              <w:right w:val="single" w:color="auto" w:sz="2" w:space="0"/>
            </w:tcBorders>
            <w:vAlign w:val="center"/>
          </w:tcPr>
          <w:p w14:paraId="4856C6D4">
            <w:pPr>
              <w:spacing w:before="0" w:after="0" w:line="240" w:lineRule="exact"/>
              <w:jc w:val="right"/>
              <w:rPr>
                <w:rFonts w:ascii="宋体" w:hAnsi="宋体" w:eastAsia="宋体" w:cs="宋体"/>
                <w:sz w:val="18"/>
                <w:szCs w:val="18"/>
              </w:rPr>
            </w:pPr>
            <w:r>
              <w:rPr>
                <w:rFonts w:ascii="宋体" w:hAnsi="宋体" w:eastAsia="宋体" w:cs="宋体"/>
                <w:sz w:val="18"/>
                <w:szCs w:val="18"/>
              </w:rPr>
              <w:t>3,384,175</w:t>
            </w:r>
          </w:p>
        </w:tc>
        <w:tc>
          <w:tcPr>
            <w:tcW w:w="600" w:type="dxa"/>
            <w:gridSpan w:val="2"/>
            <w:tcBorders>
              <w:top w:val="single" w:color="auto" w:sz="2" w:space="0"/>
              <w:left w:val="single" w:color="auto" w:sz="2" w:space="0"/>
              <w:bottom w:val="single" w:color="auto" w:sz="2" w:space="0"/>
              <w:right w:val="single" w:color="auto" w:sz="2" w:space="0"/>
            </w:tcBorders>
            <w:vAlign w:val="center"/>
          </w:tcPr>
          <w:p w14:paraId="1623F4FC">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5746603B">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1DCBA5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vMerge w:val="restart"/>
            <w:tcBorders>
              <w:top w:val="single" w:color="auto" w:sz="2" w:space="0"/>
              <w:left w:val="single" w:color="auto" w:sz="2" w:space="0"/>
              <w:bottom w:val="single" w:color="auto" w:sz="2" w:space="0"/>
              <w:right w:val="single" w:color="auto" w:sz="2" w:space="0"/>
            </w:tcBorders>
            <w:vAlign w:val="center"/>
          </w:tcPr>
          <w:p w14:paraId="7FD8763E">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855" w:type="dxa"/>
            <w:vMerge w:val="restart"/>
            <w:tcBorders>
              <w:top w:val="single" w:color="auto" w:sz="2" w:space="0"/>
              <w:left w:val="single" w:color="auto" w:sz="2" w:space="0"/>
              <w:bottom w:val="single" w:color="auto" w:sz="2" w:space="0"/>
              <w:right w:val="single" w:color="auto" w:sz="2" w:space="0"/>
            </w:tcBorders>
            <w:vAlign w:val="center"/>
          </w:tcPr>
          <w:p w14:paraId="2B08BC00">
            <w:pPr>
              <w:spacing w:before="0" w:after="0" w:line="240" w:lineRule="exact"/>
              <w:jc w:val="left"/>
              <w:rPr>
                <w:rFonts w:ascii="宋体" w:hAnsi="宋体" w:eastAsia="宋体" w:cs="宋体"/>
                <w:sz w:val="18"/>
                <w:szCs w:val="18"/>
              </w:rPr>
            </w:pPr>
            <w:r>
              <w:rPr>
                <w:rFonts w:ascii="宋体" w:hAnsi="宋体" w:eastAsia="宋体" w:cs="宋体"/>
                <w:sz w:val="18"/>
                <w:szCs w:val="18"/>
              </w:rPr>
              <w:t>境内自然人</w:t>
            </w:r>
          </w:p>
        </w:tc>
        <w:tc>
          <w:tcPr>
            <w:tcW w:w="780" w:type="dxa"/>
            <w:gridSpan w:val="3"/>
            <w:vMerge w:val="restart"/>
            <w:tcBorders>
              <w:top w:val="single" w:color="auto" w:sz="2" w:space="0"/>
              <w:left w:val="single" w:color="auto" w:sz="2" w:space="0"/>
              <w:bottom w:val="single" w:color="auto" w:sz="2" w:space="0"/>
              <w:right w:val="single" w:color="auto" w:sz="2" w:space="0"/>
            </w:tcBorders>
            <w:vAlign w:val="center"/>
          </w:tcPr>
          <w:p w14:paraId="03B0A94B">
            <w:pPr>
              <w:spacing w:before="0" w:after="0" w:line="240" w:lineRule="exact"/>
              <w:jc w:val="right"/>
              <w:rPr>
                <w:rFonts w:ascii="宋体" w:hAnsi="宋体" w:eastAsia="宋体" w:cs="宋体"/>
                <w:sz w:val="18"/>
                <w:szCs w:val="18"/>
              </w:rPr>
            </w:pPr>
            <w:r>
              <w:rPr>
                <w:rFonts w:ascii="宋体" w:hAnsi="宋体" w:eastAsia="宋体" w:cs="宋体"/>
                <w:sz w:val="18"/>
                <w:szCs w:val="18"/>
              </w:rPr>
              <w:t>5.65%</w:t>
            </w:r>
          </w:p>
        </w:tc>
        <w:tc>
          <w:tcPr>
            <w:tcW w:w="1220" w:type="dxa"/>
            <w:gridSpan w:val="2"/>
            <w:vMerge w:val="restart"/>
            <w:tcBorders>
              <w:top w:val="single" w:color="auto" w:sz="2" w:space="0"/>
              <w:left w:val="single" w:color="auto" w:sz="2" w:space="0"/>
              <w:bottom w:val="single" w:color="auto" w:sz="2" w:space="0"/>
              <w:right w:val="single" w:color="auto" w:sz="2" w:space="0"/>
            </w:tcBorders>
            <w:vAlign w:val="center"/>
          </w:tcPr>
          <w:p w14:paraId="1501206C">
            <w:pPr>
              <w:spacing w:before="0" w:after="0" w:line="240" w:lineRule="exact"/>
              <w:jc w:val="right"/>
              <w:rPr>
                <w:rFonts w:ascii="宋体" w:hAnsi="宋体" w:eastAsia="宋体" w:cs="宋体"/>
                <w:sz w:val="18"/>
                <w:szCs w:val="18"/>
              </w:rPr>
            </w:pPr>
            <w:r>
              <w:rPr>
                <w:rFonts w:ascii="宋体" w:hAnsi="宋体" w:eastAsia="宋体" w:cs="宋体"/>
                <w:sz w:val="18"/>
                <w:szCs w:val="18"/>
              </w:rPr>
              <w:t>9,000,941</w:t>
            </w:r>
          </w:p>
        </w:tc>
        <w:tc>
          <w:tcPr>
            <w:tcW w:w="1040" w:type="dxa"/>
            <w:gridSpan w:val="2"/>
            <w:vMerge w:val="restart"/>
            <w:tcBorders>
              <w:top w:val="single" w:color="auto" w:sz="2" w:space="0"/>
              <w:left w:val="single" w:color="auto" w:sz="2" w:space="0"/>
              <w:bottom w:val="single" w:color="auto" w:sz="2" w:space="0"/>
              <w:right w:val="single" w:color="auto" w:sz="2" w:space="0"/>
            </w:tcBorders>
            <w:vAlign w:val="center"/>
          </w:tcPr>
          <w:p w14:paraId="59925900">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30" w:type="dxa"/>
            <w:gridSpan w:val="3"/>
            <w:vMerge w:val="restart"/>
            <w:tcBorders>
              <w:top w:val="single" w:color="auto" w:sz="2" w:space="0"/>
              <w:left w:val="single" w:color="auto" w:sz="2" w:space="0"/>
              <w:bottom w:val="single" w:color="auto" w:sz="2" w:space="0"/>
              <w:right w:val="single" w:color="auto" w:sz="2" w:space="0"/>
            </w:tcBorders>
            <w:vAlign w:val="center"/>
          </w:tcPr>
          <w:p w14:paraId="1138A4A5">
            <w:pPr>
              <w:spacing w:before="0" w:after="0" w:line="240" w:lineRule="exact"/>
              <w:jc w:val="right"/>
              <w:rPr>
                <w:rFonts w:ascii="宋体" w:hAnsi="宋体" w:eastAsia="宋体" w:cs="宋体"/>
                <w:sz w:val="18"/>
                <w:szCs w:val="18"/>
              </w:rPr>
            </w:pPr>
            <w:r>
              <w:rPr>
                <w:rFonts w:ascii="宋体" w:hAnsi="宋体" w:eastAsia="宋体" w:cs="宋体"/>
                <w:sz w:val="18"/>
                <w:szCs w:val="18"/>
              </w:rPr>
              <w:t>6,750,706</w:t>
            </w:r>
          </w:p>
        </w:tc>
        <w:tc>
          <w:tcPr>
            <w:tcW w:w="1120" w:type="dxa"/>
            <w:gridSpan w:val="3"/>
            <w:vMerge w:val="restart"/>
            <w:tcBorders>
              <w:top w:val="single" w:color="auto" w:sz="2" w:space="0"/>
              <w:left w:val="single" w:color="auto" w:sz="2" w:space="0"/>
              <w:bottom w:val="single" w:color="auto" w:sz="2" w:space="0"/>
              <w:right w:val="single" w:color="auto" w:sz="2" w:space="0"/>
            </w:tcBorders>
            <w:vAlign w:val="center"/>
          </w:tcPr>
          <w:p w14:paraId="79313D6E">
            <w:pPr>
              <w:spacing w:before="0" w:after="0" w:line="240" w:lineRule="exact"/>
              <w:jc w:val="right"/>
              <w:rPr>
                <w:rFonts w:ascii="宋体" w:hAnsi="宋体" w:eastAsia="宋体" w:cs="宋体"/>
                <w:sz w:val="18"/>
                <w:szCs w:val="18"/>
              </w:rPr>
            </w:pPr>
            <w:r>
              <w:rPr>
                <w:rFonts w:ascii="宋体" w:hAnsi="宋体" w:eastAsia="宋体" w:cs="宋体"/>
                <w:sz w:val="18"/>
                <w:szCs w:val="18"/>
              </w:rPr>
              <w:t>2,250,235</w:t>
            </w:r>
          </w:p>
        </w:tc>
        <w:tc>
          <w:tcPr>
            <w:tcW w:w="600" w:type="dxa"/>
            <w:gridSpan w:val="2"/>
            <w:tcBorders>
              <w:top w:val="single" w:color="auto" w:sz="2" w:space="0"/>
              <w:left w:val="single" w:color="auto" w:sz="2" w:space="0"/>
              <w:bottom w:val="single" w:color="auto" w:sz="2" w:space="0"/>
              <w:right w:val="single" w:color="auto" w:sz="2" w:space="0"/>
            </w:tcBorders>
            <w:vAlign w:val="center"/>
          </w:tcPr>
          <w:p w14:paraId="11363E44">
            <w:pPr>
              <w:spacing w:before="0" w:after="0" w:line="240" w:lineRule="exact"/>
              <w:jc w:val="left"/>
              <w:rPr>
                <w:rFonts w:ascii="宋体" w:hAnsi="宋体" w:eastAsia="宋体" w:cs="宋体"/>
                <w:sz w:val="18"/>
                <w:szCs w:val="18"/>
              </w:rPr>
            </w:pPr>
            <w:r>
              <w:rPr>
                <w:rFonts w:ascii="宋体" w:hAnsi="宋体" w:eastAsia="宋体" w:cs="宋体"/>
                <w:sz w:val="18"/>
                <w:szCs w:val="18"/>
              </w:rPr>
              <w:t>质押</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526C375A">
            <w:pPr>
              <w:spacing w:before="0" w:after="0" w:line="240" w:lineRule="exact"/>
              <w:jc w:val="right"/>
              <w:rPr>
                <w:rFonts w:ascii="宋体" w:hAnsi="宋体" w:eastAsia="宋体" w:cs="宋体"/>
                <w:sz w:val="18"/>
                <w:szCs w:val="18"/>
              </w:rPr>
            </w:pPr>
            <w:r>
              <w:rPr>
                <w:rFonts w:ascii="宋体" w:hAnsi="宋体" w:eastAsia="宋体" w:cs="宋体"/>
                <w:sz w:val="18"/>
                <w:szCs w:val="18"/>
              </w:rPr>
              <w:t>5,280,000</w:t>
            </w:r>
          </w:p>
        </w:tc>
      </w:tr>
      <w:tr w14:paraId="06DFCA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vMerge w:val="continue"/>
            <w:tcBorders>
              <w:top w:val="single" w:color="auto" w:sz="2" w:space="0"/>
              <w:left w:val="single" w:color="auto" w:sz="2" w:space="0"/>
              <w:bottom w:val="single" w:color="auto" w:sz="2" w:space="0"/>
              <w:right w:val="single" w:color="auto" w:sz="2" w:space="0"/>
            </w:tcBorders>
            <w:vAlign w:val="center"/>
          </w:tcPr>
          <w:p w14:paraId="7FF98440">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855" w:type="dxa"/>
            <w:vMerge w:val="continue"/>
            <w:tcBorders>
              <w:top w:val="single" w:color="auto" w:sz="2" w:space="0"/>
              <w:left w:val="single" w:color="auto" w:sz="2" w:space="0"/>
              <w:bottom w:val="single" w:color="auto" w:sz="2" w:space="0"/>
              <w:right w:val="single" w:color="auto" w:sz="2" w:space="0"/>
            </w:tcBorders>
            <w:vAlign w:val="center"/>
          </w:tcPr>
          <w:p w14:paraId="33DBFEF5">
            <w:pPr>
              <w:spacing w:before="0" w:after="0" w:line="240" w:lineRule="exact"/>
              <w:jc w:val="left"/>
              <w:rPr>
                <w:rFonts w:ascii="宋体" w:hAnsi="宋体" w:eastAsia="宋体" w:cs="宋体"/>
                <w:sz w:val="18"/>
                <w:szCs w:val="18"/>
              </w:rPr>
            </w:pPr>
            <w:r>
              <w:rPr>
                <w:rFonts w:ascii="宋体" w:hAnsi="宋体" w:eastAsia="宋体" w:cs="宋体"/>
                <w:sz w:val="18"/>
                <w:szCs w:val="18"/>
              </w:rPr>
              <w:t>境内自然人</w:t>
            </w:r>
          </w:p>
        </w:tc>
        <w:tc>
          <w:tcPr>
            <w:tcW w:w="780" w:type="dxa"/>
            <w:gridSpan w:val="3"/>
            <w:vMerge w:val="continue"/>
            <w:tcBorders>
              <w:top w:val="single" w:color="auto" w:sz="2" w:space="0"/>
              <w:left w:val="single" w:color="auto" w:sz="2" w:space="0"/>
              <w:bottom w:val="single" w:color="auto" w:sz="2" w:space="0"/>
              <w:right w:val="single" w:color="auto" w:sz="2" w:space="0"/>
            </w:tcBorders>
            <w:vAlign w:val="center"/>
          </w:tcPr>
          <w:p w14:paraId="11CC2171">
            <w:pPr>
              <w:spacing w:before="0" w:after="0" w:line="240" w:lineRule="exact"/>
              <w:jc w:val="right"/>
              <w:rPr>
                <w:rFonts w:ascii="宋体" w:hAnsi="宋体" w:eastAsia="宋体" w:cs="宋体"/>
                <w:sz w:val="18"/>
                <w:szCs w:val="18"/>
              </w:rPr>
            </w:pPr>
            <w:r>
              <w:rPr>
                <w:rFonts w:ascii="宋体" w:hAnsi="宋体" w:eastAsia="宋体" w:cs="宋体"/>
                <w:sz w:val="18"/>
                <w:szCs w:val="18"/>
              </w:rPr>
              <w:t>5.65%</w:t>
            </w:r>
          </w:p>
        </w:tc>
        <w:tc>
          <w:tcPr>
            <w:tcW w:w="1220" w:type="dxa"/>
            <w:gridSpan w:val="2"/>
            <w:vMerge w:val="continue"/>
            <w:tcBorders>
              <w:top w:val="single" w:color="auto" w:sz="2" w:space="0"/>
              <w:left w:val="single" w:color="auto" w:sz="2" w:space="0"/>
              <w:bottom w:val="single" w:color="auto" w:sz="2" w:space="0"/>
              <w:right w:val="single" w:color="auto" w:sz="2" w:space="0"/>
            </w:tcBorders>
            <w:vAlign w:val="center"/>
          </w:tcPr>
          <w:p w14:paraId="3D56FAD1">
            <w:pPr>
              <w:spacing w:before="0" w:after="0" w:line="240" w:lineRule="exact"/>
              <w:jc w:val="right"/>
              <w:rPr>
                <w:rFonts w:ascii="宋体" w:hAnsi="宋体" w:eastAsia="宋体" w:cs="宋体"/>
                <w:sz w:val="18"/>
                <w:szCs w:val="18"/>
              </w:rPr>
            </w:pPr>
            <w:r>
              <w:rPr>
                <w:rFonts w:ascii="宋体" w:hAnsi="宋体" w:eastAsia="宋体" w:cs="宋体"/>
                <w:sz w:val="18"/>
                <w:szCs w:val="18"/>
              </w:rPr>
              <w:t>9,000,941</w:t>
            </w:r>
          </w:p>
        </w:tc>
        <w:tc>
          <w:tcPr>
            <w:tcW w:w="1040" w:type="dxa"/>
            <w:gridSpan w:val="2"/>
            <w:vMerge w:val="continue"/>
            <w:tcBorders>
              <w:top w:val="single" w:color="auto" w:sz="2" w:space="0"/>
              <w:left w:val="single" w:color="auto" w:sz="2" w:space="0"/>
              <w:bottom w:val="single" w:color="auto" w:sz="2" w:space="0"/>
              <w:right w:val="single" w:color="auto" w:sz="2" w:space="0"/>
            </w:tcBorders>
            <w:vAlign w:val="center"/>
          </w:tcPr>
          <w:p w14:paraId="29958D68">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30" w:type="dxa"/>
            <w:gridSpan w:val="3"/>
            <w:vMerge w:val="continue"/>
            <w:tcBorders>
              <w:top w:val="single" w:color="auto" w:sz="2" w:space="0"/>
              <w:left w:val="single" w:color="auto" w:sz="2" w:space="0"/>
              <w:bottom w:val="single" w:color="auto" w:sz="2" w:space="0"/>
              <w:right w:val="single" w:color="auto" w:sz="2" w:space="0"/>
            </w:tcBorders>
            <w:vAlign w:val="center"/>
          </w:tcPr>
          <w:p w14:paraId="37C8D57C">
            <w:pPr>
              <w:spacing w:before="0" w:after="0" w:line="240" w:lineRule="exact"/>
              <w:jc w:val="right"/>
              <w:rPr>
                <w:rFonts w:ascii="宋体" w:hAnsi="宋体" w:eastAsia="宋体" w:cs="宋体"/>
                <w:sz w:val="18"/>
                <w:szCs w:val="18"/>
              </w:rPr>
            </w:pPr>
            <w:r>
              <w:rPr>
                <w:rFonts w:ascii="宋体" w:hAnsi="宋体" w:eastAsia="宋体" w:cs="宋体"/>
                <w:sz w:val="18"/>
                <w:szCs w:val="18"/>
              </w:rPr>
              <w:t>6,750,706</w:t>
            </w:r>
          </w:p>
        </w:tc>
        <w:tc>
          <w:tcPr>
            <w:tcW w:w="1120" w:type="dxa"/>
            <w:gridSpan w:val="3"/>
            <w:vMerge w:val="continue"/>
            <w:tcBorders>
              <w:top w:val="single" w:color="auto" w:sz="2" w:space="0"/>
              <w:left w:val="single" w:color="auto" w:sz="2" w:space="0"/>
              <w:bottom w:val="single" w:color="auto" w:sz="2" w:space="0"/>
              <w:right w:val="single" w:color="auto" w:sz="2" w:space="0"/>
            </w:tcBorders>
            <w:vAlign w:val="center"/>
          </w:tcPr>
          <w:p w14:paraId="5AC0D2E8">
            <w:pPr>
              <w:spacing w:before="0" w:after="0" w:line="240" w:lineRule="exact"/>
              <w:jc w:val="right"/>
              <w:rPr>
                <w:rFonts w:ascii="宋体" w:hAnsi="宋体" w:eastAsia="宋体" w:cs="宋体"/>
                <w:sz w:val="18"/>
                <w:szCs w:val="18"/>
              </w:rPr>
            </w:pPr>
            <w:r>
              <w:rPr>
                <w:rFonts w:ascii="宋体" w:hAnsi="宋体" w:eastAsia="宋体" w:cs="宋体"/>
                <w:sz w:val="18"/>
                <w:szCs w:val="18"/>
              </w:rPr>
              <w:t>2,250,235</w:t>
            </w:r>
          </w:p>
        </w:tc>
        <w:tc>
          <w:tcPr>
            <w:tcW w:w="600" w:type="dxa"/>
            <w:gridSpan w:val="2"/>
            <w:tcBorders>
              <w:top w:val="single" w:color="auto" w:sz="2" w:space="0"/>
              <w:left w:val="single" w:color="auto" w:sz="2" w:space="0"/>
              <w:bottom w:val="single" w:color="auto" w:sz="2" w:space="0"/>
              <w:right w:val="single" w:color="auto" w:sz="2" w:space="0"/>
            </w:tcBorders>
            <w:vAlign w:val="center"/>
          </w:tcPr>
          <w:p w14:paraId="0C2B8BA4">
            <w:pPr>
              <w:spacing w:before="0" w:after="0" w:line="240" w:lineRule="exact"/>
              <w:jc w:val="left"/>
              <w:rPr>
                <w:rFonts w:ascii="宋体" w:hAnsi="宋体" w:eastAsia="宋体" w:cs="宋体"/>
                <w:sz w:val="18"/>
                <w:szCs w:val="18"/>
              </w:rPr>
            </w:pPr>
            <w:r>
              <w:rPr>
                <w:rFonts w:ascii="宋体" w:hAnsi="宋体" w:eastAsia="宋体" w:cs="宋体"/>
                <w:sz w:val="18"/>
                <w:szCs w:val="18"/>
              </w:rPr>
              <w:t>冻结</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4BD93641">
            <w:pPr>
              <w:spacing w:before="0" w:after="0" w:line="240" w:lineRule="exact"/>
              <w:jc w:val="right"/>
              <w:rPr>
                <w:rFonts w:ascii="宋体" w:hAnsi="宋体" w:eastAsia="宋体" w:cs="宋体"/>
                <w:sz w:val="18"/>
                <w:szCs w:val="18"/>
              </w:rPr>
            </w:pPr>
            <w:r>
              <w:rPr>
                <w:rFonts w:ascii="宋体" w:hAnsi="宋体" w:eastAsia="宋体" w:cs="宋体"/>
                <w:sz w:val="18"/>
                <w:szCs w:val="18"/>
              </w:rPr>
              <w:t>3,100,000</w:t>
            </w:r>
          </w:p>
        </w:tc>
      </w:tr>
      <w:tr w14:paraId="7DBFE4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14:paraId="3C23C417">
            <w:pPr>
              <w:spacing w:before="0" w:after="0" w:line="240" w:lineRule="exact"/>
              <w:jc w:val="left"/>
              <w:rPr>
                <w:rFonts w:ascii="宋体" w:hAnsi="宋体" w:eastAsia="宋体" w:cs="宋体"/>
                <w:sz w:val="18"/>
                <w:szCs w:val="18"/>
              </w:rPr>
            </w:pPr>
            <w:r>
              <w:rPr>
                <w:rFonts w:ascii="宋体" w:hAnsi="宋体" w:eastAsia="宋体" w:cs="宋体"/>
                <w:sz w:val="18"/>
                <w:szCs w:val="18"/>
              </w:rPr>
              <w:t>福建平潭奥泰科技投资中心（有限合伙）</w:t>
            </w:r>
          </w:p>
        </w:tc>
        <w:tc>
          <w:tcPr>
            <w:tcW w:w="855" w:type="dxa"/>
            <w:tcBorders>
              <w:top w:val="single" w:color="auto" w:sz="2" w:space="0"/>
              <w:left w:val="single" w:color="auto" w:sz="2" w:space="0"/>
              <w:bottom w:val="single" w:color="auto" w:sz="2" w:space="0"/>
              <w:right w:val="single" w:color="auto" w:sz="2" w:space="0"/>
            </w:tcBorders>
            <w:vAlign w:val="center"/>
          </w:tcPr>
          <w:p w14:paraId="6D3AD05C">
            <w:pPr>
              <w:spacing w:before="0" w:after="0" w:line="240" w:lineRule="exact"/>
              <w:jc w:val="left"/>
              <w:rPr>
                <w:rFonts w:ascii="宋体" w:hAnsi="宋体" w:eastAsia="宋体" w:cs="宋体"/>
                <w:sz w:val="18"/>
                <w:szCs w:val="18"/>
              </w:rPr>
            </w:pPr>
            <w:r>
              <w:rPr>
                <w:rFonts w:ascii="宋体" w:hAnsi="宋体" w:eastAsia="宋体" w:cs="宋体"/>
                <w:sz w:val="18"/>
                <w:szCs w:val="18"/>
              </w:rPr>
              <w:t>境内非国有法人</w:t>
            </w:r>
          </w:p>
        </w:tc>
        <w:tc>
          <w:tcPr>
            <w:tcW w:w="780" w:type="dxa"/>
            <w:gridSpan w:val="3"/>
            <w:tcBorders>
              <w:top w:val="single" w:color="auto" w:sz="2" w:space="0"/>
              <w:left w:val="single" w:color="auto" w:sz="2" w:space="0"/>
              <w:bottom w:val="single" w:color="auto" w:sz="2" w:space="0"/>
              <w:right w:val="single" w:color="auto" w:sz="2" w:space="0"/>
            </w:tcBorders>
            <w:vAlign w:val="center"/>
          </w:tcPr>
          <w:p w14:paraId="6534D709">
            <w:pPr>
              <w:spacing w:before="0" w:after="0" w:line="240" w:lineRule="exact"/>
              <w:jc w:val="right"/>
              <w:rPr>
                <w:rFonts w:ascii="宋体" w:hAnsi="宋体" w:eastAsia="宋体" w:cs="宋体"/>
                <w:sz w:val="18"/>
                <w:szCs w:val="18"/>
              </w:rPr>
            </w:pPr>
            <w:r>
              <w:rPr>
                <w:rFonts w:ascii="宋体" w:hAnsi="宋体" w:eastAsia="宋体" w:cs="宋体"/>
                <w:sz w:val="18"/>
                <w:szCs w:val="18"/>
              </w:rPr>
              <w:t>5.04%</w:t>
            </w:r>
          </w:p>
        </w:tc>
        <w:tc>
          <w:tcPr>
            <w:tcW w:w="1220" w:type="dxa"/>
            <w:gridSpan w:val="2"/>
            <w:tcBorders>
              <w:top w:val="single" w:color="auto" w:sz="2" w:space="0"/>
              <w:left w:val="single" w:color="auto" w:sz="2" w:space="0"/>
              <w:bottom w:val="single" w:color="auto" w:sz="2" w:space="0"/>
              <w:right w:val="single" w:color="auto" w:sz="2" w:space="0"/>
            </w:tcBorders>
            <w:vAlign w:val="center"/>
          </w:tcPr>
          <w:p w14:paraId="064D3922">
            <w:pPr>
              <w:spacing w:before="0" w:after="0" w:line="240" w:lineRule="exact"/>
              <w:jc w:val="right"/>
              <w:rPr>
                <w:rFonts w:ascii="宋体" w:hAnsi="宋体" w:eastAsia="宋体" w:cs="宋体"/>
                <w:sz w:val="18"/>
                <w:szCs w:val="18"/>
              </w:rPr>
            </w:pPr>
            <w:r>
              <w:rPr>
                <w:rFonts w:ascii="宋体" w:hAnsi="宋体" w:eastAsia="宋体" w:cs="宋体"/>
                <w:sz w:val="18"/>
                <w:szCs w:val="18"/>
              </w:rPr>
              <w:t>8,025,000</w:t>
            </w:r>
          </w:p>
        </w:tc>
        <w:tc>
          <w:tcPr>
            <w:tcW w:w="1040" w:type="dxa"/>
            <w:gridSpan w:val="2"/>
            <w:tcBorders>
              <w:top w:val="single" w:color="auto" w:sz="2" w:space="0"/>
              <w:left w:val="single" w:color="auto" w:sz="2" w:space="0"/>
              <w:bottom w:val="single" w:color="auto" w:sz="2" w:space="0"/>
              <w:right w:val="single" w:color="auto" w:sz="2" w:space="0"/>
            </w:tcBorders>
            <w:vAlign w:val="center"/>
          </w:tcPr>
          <w:p w14:paraId="45F9B392">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30" w:type="dxa"/>
            <w:gridSpan w:val="3"/>
            <w:tcBorders>
              <w:top w:val="single" w:color="auto" w:sz="2" w:space="0"/>
              <w:left w:val="single" w:color="auto" w:sz="2" w:space="0"/>
              <w:bottom w:val="single" w:color="auto" w:sz="2" w:space="0"/>
              <w:right w:val="single" w:color="auto" w:sz="2" w:space="0"/>
            </w:tcBorders>
            <w:vAlign w:val="center"/>
          </w:tcPr>
          <w:p w14:paraId="65D2D8CD">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20" w:type="dxa"/>
            <w:gridSpan w:val="3"/>
            <w:tcBorders>
              <w:top w:val="single" w:color="auto" w:sz="2" w:space="0"/>
              <w:left w:val="single" w:color="auto" w:sz="2" w:space="0"/>
              <w:bottom w:val="single" w:color="auto" w:sz="2" w:space="0"/>
              <w:right w:val="single" w:color="auto" w:sz="2" w:space="0"/>
            </w:tcBorders>
            <w:vAlign w:val="center"/>
          </w:tcPr>
          <w:p w14:paraId="439869F8">
            <w:pPr>
              <w:spacing w:before="0" w:after="0" w:line="240" w:lineRule="exact"/>
              <w:jc w:val="right"/>
              <w:rPr>
                <w:rFonts w:ascii="宋体" w:hAnsi="宋体" w:eastAsia="宋体" w:cs="宋体"/>
                <w:sz w:val="18"/>
                <w:szCs w:val="18"/>
              </w:rPr>
            </w:pPr>
            <w:r>
              <w:rPr>
                <w:rFonts w:ascii="宋体" w:hAnsi="宋体" w:eastAsia="宋体" w:cs="宋体"/>
                <w:sz w:val="18"/>
                <w:szCs w:val="18"/>
              </w:rPr>
              <w:t>8,025,000</w:t>
            </w:r>
          </w:p>
        </w:tc>
        <w:tc>
          <w:tcPr>
            <w:tcW w:w="600" w:type="dxa"/>
            <w:gridSpan w:val="2"/>
            <w:tcBorders>
              <w:top w:val="single" w:color="auto" w:sz="2" w:space="0"/>
              <w:left w:val="single" w:color="auto" w:sz="2" w:space="0"/>
              <w:bottom w:val="single" w:color="auto" w:sz="2" w:space="0"/>
              <w:right w:val="single" w:color="auto" w:sz="2" w:space="0"/>
            </w:tcBorders>
            <w:vAlign w:val="center"/>
          </w:tcPr>
          <w:p w14:paraId="6449BBFB">
            <w:pPr>
              <w:spacing w:before="0" w:after="0" w:line="240" w:lineRule="exact"/>
              <w:jc w:val="left"/>
              <w:rPr>
                <w:rFonts w:ascii="宋体" w:hAnsi="宋体" w:eastAsia="宋体" w:cs="宋体"/>
                <w:sz w:val="18"/>
                <w:szCs w:val="18"/>
              </w:rPr>
            </w:pPr>
            <w:r>
              <w:rPr>
                <w:rFonts w:ascii="宋体" w:hAnsi="宋体" w:eastAsia="宋体" w:cs="宋体"/>
                <w:sz w:val="18"/>
                <w:szCs w:val="18"/>
              </w:rPr>
              <w:t>质押</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55911251">
            <w:pPr>
              <w:spacing w:before="0" w:after="0" w:line="240" w:lineRule="exact"/>
              <w:jc w:val="right"/>
              <w:rPr>
                <w:rFonts w:ascii="宋体" w:hAnsi="宋体" w:eastAsia="宋体" w:cs="宋体"/>
                <w:sz w:val="18"/>
                <w:szCs w:val="18"/>
              </w:rPr>
            </w:pPr>
            <w:r>
              <w:rPr>
                <w:rFonts w:ascii="宋体" w:hAnsi="宋体" w:eastAsia="宋体" w:cs="宋体"/>
                <w:sz w:val="18"/>
                <w:szCs w:val="18"/>
              </w:rPr>
              <w:t>6,000,000</w:t>
            </w:r>
          </w:p>
        </w:tc>
      </w:tr>
      <w:tr w14:paraId="1AB6B0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14:paraId="1EE07EF8">
            <w:pPr>
              <w:spacing w:before="0" w:after="0" w:line="240" w:lineRule="exact"/>
              <w:jc w:val="left"/>
              <w:rPr>
                <w:rFonts w:ascii="宋体" w:hAnsi="宋体" w:eastAsia="宋体" w:cs="宋体"/>
                <w:sz w:val="18"/>
                <w:szCs w:val="18"/>
              </w:rPr>
            </w:pPr>
            <w:r>
              <w:rPr>
                <w:rFonts w:ascii="宋体" w:hAnsi="宋体" w:eastAsia="宋体" w:cs="宋体"/>
                <w:sz w:val="18"/>
                <w:szCs w:val="18"/>
              </w:rPr>
              <w:t>李国栋</w:t>
            </w:r>
          </w:p>
        </w:tc>
        <w:tc>
          <w:tcPr>
            <w:tcW w:w="855" w:type="dxa"/>
            <w:tcBorders>
              <w:top w:val="single" w:color="auto" w:sz="2" w:space="0"/>
              <w:left w:val="single" w:color="auto" w:sz="2" w:space="0"/>
              <w:bottom w:val="single" w:color="auto" w:sz="2" w:space="0"/>
              <w:right w:val="single" w:color="auto" w:sz="2" w:space="0"/>
            </w:tcBorders>
            <w:vAlign w:val="center"/>
          </w:tcPr>
          <w:p w14:paraId="35F441FB">
            <w:pPr>
              <w:spacing w:before="0" w:after="0" w:line="240" w:lineRule="exact"/>
              <w:jc w:val="left"/>
              <w:rPr>
                <w:rFonts w:ascii="宋体" w:hAnsi="宋体" w:eastAsia="宋体" w:cs="宋体"/>
                <w:sz w:val="18"/>
                <w:szCs w:val="18"/>
              </w:rPr>
            </w:pPr>
            <w:r>
              <w:rPr>
                <w:rFonts w:ascii="宋体" w:hAnsi="宋体" w:eastAsia="宋体" w:cs="宋体"/>
                <w:sz w:val="18"/>
                <w:szCs w:val="18"/>
              </w:rPr>
              <w:t>境内自然人</w:t>
            </w:r>
          </w:p>
        </w:tc>
        <w:tc>
          <w:tcPr>
            <w:tcW w:w="780" w:type="dxa"/>
            <w:gridSpan w:val="3"/>
            <w:tcBorders>
              <w:top w:val="single" w:color="auto" w:sz="2" w:space="0"/>
              <w:left w:val="single" w:color="auto" w:sz="2" w:space="0"/>
              <w:bottom w:val="single" w:color="auto" w:sz="2" w:space="0"/>
              <w:right w:val="single" w:color="auto" w:sz="2" w:space="0"/>
            </w:tcBorders>
            <w:vAlign w:val="center"/>
          </w:tcPr>
          <w:p w14:paraId="044E128B">
            <w:pPr>
              <w:spacing w:before="0" w:after="0" w:line="240" w:lineRule="exact"/>
              <w:jc w:val="right"/>
              <w:rPr>
                <w:rFonts w:ascii="宋体" w:hAnsi="宋体" w:eastAsia="宋体" w:cs="宋体"/>
                <w:sz w:val="18"/>
                <w:szCs w:val="18"/>
              </w:rPr>
            </w:pPr>
            <w:r>
              <w:rPr>
                <w:rFonts w:ascii="宋体" w:hAnsi="宋体" w:eastAsia="宋体" w:cs="宋体"/>
                <w:sz w:val="18"/>
                <w:szCs w:val="18"/>
              </w:rPr>
              <w:t>4.71%</w:t>
            </w:r>
          </w:p>
        </w:tc>
        <w:tc>
          <w:tcPr>
            <w:tcW w:w="1220" w:type="dxa"/>
            <w:gridSpan w:val="2"/>
            <w:tcBorders>
              <w:top w:val="single" w:color="auto" w:sz="2" w:space="0"/>
              <w:left w:val="single" w:color="auto" w:sz="2" w:space="0"/>
              <w:bottom w:val="single" w:color="auto" w:sz="2" w:space="0"/>
              <w:right w:val="single" w:color="auto" w:sz="2" w:space="0"/>
            </w:tcBorders>
            <w:vAlign w:val="center"/>
          </w:tcPr>
          <w:p w14:paraId="17135628">
            <w:pPr>
              <w:spacing w:before="0" w:after="0" w:line="240" w:lineRule="exact"/>
              <w:jc w:val="right"/>
              <w:rPr>
                <w:rFonts w:ascii="宋体" w:hAnsi="宋体" w:eastAsia="宋体" w:cs="宋体"/>
                <w:sz w:val="18"/>
                <w:szCs w:val="18"/>
              </w:rPr>
            </w:pPr>
            <w:r>
              <w:rPr>
                <w:rFonts w:ascii="宋体" w:hAnsi="宋体" w:eastAsia="宋体" w:cs="宋体"/>
                <w:sz w:val="18"/>
                <w:szCs w:val="18"/>
              </w:rPr>
              <w:t>7,500,000</w:t>
            </w:r>
          </w:p>
        </w:tc>
        <w:tc>
          <w:tcPr>
            <w:tcW w:w="1040" w:type="dxa"/>
            <w:gridSpan w:val="2"/>
            <w:tcBorders>
              <w:top w:val="single" w:color="auto" w:sz="2" w:space="0"/>
              <w:left w:val="single" w:color="auto" w:sz="2" w:space="0"/>
              <w:bottom w:val="single" w:color="auto" w:sz="2" w:space="0"/>
              <w:right w:val="single" w:color="auto" w:sz="2" w:space="0"/>
            </w:tcBorders>
            <w:vAlign w:val="center"/>
          </w:tcPr>
          <w:p w14:paraId="5A26744C">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30" w:type="dxa"/>
            <w:gridSpan w:val="3"/>
            <w:tcBorders>
              <w:top w:val="single" w:color="auto" w:sz="2" w:space="0"/>
              <w:left w:val="single" w:color="auto" w:sz="2" w:space="0"/>
              <w:bottom w:val="single" w:color="auto" w:sz="2" w:space="0"/>
              <w:right w:val="single" w:color="auto" w:sz="2" w:space="0"/>
            </w:tcBorders>
            <w:vAlign w:val="center"/>
          </w:tcPr>
          <w:p w14:paraId="00D7794D">
            <w:pPr>
              <w:spacing w:before="0" w:after="0" w:line="240" w:lineRule="exact"/>
              <w:jc w:val="right"/>
              <w:rPr>
                <w:rFonts w:ascii="宋体" w:hAnsi="宋体" w:eastAsia="宋体" w:cs="宋体"/>
                <w:sz w:val="18"/>
                <w:szCs w:val="18"/>
              </w:rPr>
            </w:pPr>
            <w:r>
              <w:rPr>
                <w:rFonts w:ascii="宋体" w:hAnsi="宋体" w:eastAsia="宋体" w:cs="宋体"/>
                <w:sz w:val="18"/>
                <w:szCs w:val="18"/>
              </w:rPr>
              <w:t>5,625,000</w:t>
            </w:r>
          </w:p>
        </w:tc>
        <w:tc>
          <w:tcPr>
            <w:tcW w:w="1120" w:type="dxa"/>
            <w:gridSpan w:val="3"/>
            <w:tcBorders>
              <w:top w:val="single" w:color="auto" w:sz="2" w:space="0"/>
              <w:left w:val="single" w:color="auto" w:sz="2" w:space="0"/>
              <w:bottom w:val="single" w:color="auto" w:sz="2" w:space="0"/>
              <w:right w:val="single" w:color="auto" w:sz="2" w:space="0"/>
            </w:tcBorders>
            <w:vAlign w:val="center"/>
          </w:tcPr>
          <w:p w14:paraId="0E27623E">
            <w:pPr>
              <w:spacing w:before="0" w:after="0" w:line="240" w:lineRule="exact"/>
              <w:jc w:val="right"/>
              <w:rPr>
                <w:rFonts w:ascii="宋体" w:hAnsi="宋体" w:eastAsia="宋体" w:cs="宋体"/>
                <w:sz w:val="18"/>
                <w:szCs w:val="18"/>
              </w:rPr>
            </w:pPr>
            <w:r>
              <w:rPr>
                <w:rFonts w:ascii="宋体" w:hAnsi="宋体" w:eastAsia="宋体" w:cs="宋体"/>
                <w:sz w:val="18"/>
                <w:szCs w:val="18"/>
              </w:rPr>
              <w:t>1,875,000</w:t>
            </w:r>
          </w:p>
        </w:tc>
        <w:tc>
          <w:tcPr>
            <w:tcW w:w="600" w:type="dxa"/>
            <w:gridSpan w:val="2"/>
            <w:tcBorders>
              <w:top w:val="single" w:color="auto" w:sz="2" w:space="0"/>
              <w:left w:val="single" w:color="auto" w:sz="2" w:space="0"/>
              <w:bottom w:val="single" w:color="auto" w:sz="2" w:space="0"/>
              <w:right w:val="single" w:color="auto" w:sz="2" w:space="0"/>
            </w:tcBorders>
            <w:vAlign w:val="center"/>
          </w:tcPr>
          <w:p w14:paraId="01FC062F">
            <w:pPr>
              <w:spacing w:before="0" w:after="0" w:line="240" w:lineRule="exact"/>
              <w:jc w:val="left"/>
              <w:rPr>
                <w:rFonts w:ascii="宋体" w:hAnsi="宋体" w:eastAsia="宋体" w:cs="宋体"/>
                <w:sz w:val="18"/>
                <w:szCs w:val="18"/>
              </w:rPr>
            </w:pPr>
            <w:r>
              <w:rPr>
                <w:rFonts w:ascii="宋体" w:hAnsi="宋体" w:eastAsia="宋体" w:cs="宋体"/>
                <w:sz w:val="18"/>
                <w:szCs w:val="18"/>
              </w:rPr>
              <w:t>质押</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27501FFE">
            <w:pPr>
              <w:spacing w:before="0" w:after="0" w:line="240" w:lineRule="exact"/>
              <w:jc w:val="right"/>
              <w:rPr>
                <w:rFonts w:ascii="宋体" w:hAnsi="宋体" w:eastAsia="宋体" w:cs="宋体"/>
                <w:sz w:val="18"/>
                <w:szCs w:val="18"/>
              </w:rPr>
            </w:pPr>
            <w:r>
              <w:rPr>
                <w:rFonts w:ascii="宋体" w:hAnsi="宋体" w:eastAsia="宋体" w:cs="宋体"/>
                <w:sz w:val="18"/>
                <w:szCs w:val="18"/>
              </w:rPr>
              <w:t>3,000,000</w:t>
            </w:r>
          </w:p>
        </w:tc>
      </w:tr>
      <w:tr w14:paraId="3605F5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14:paraId="14681D28">
            <w:pPr>
              <w:spacing w:before="0" w:after="0" w:line="240" w:lineRule="exact"/>
              <w:jc w:val="left"/>
              <w:rPr>
                <w:rFonts w:ascii="宋体" w:hAnsi="宋体" w:eastAsia="宋体" w:cs="宋体"/>
                <w:sz w:val="18"/>
                <w:szCs w:val="18"/>
              </w:rPr>
            </w:pPr>
            <w:r>
              <w:rPr>
                <w:rFonts w:ascii="宋体" w:hAnsi="宋体" w:eastAsia="宋体" w:cs="宋体"/>
                <w:sz w:val="18"/>
                <w:szCs w:val="18"/>
              </w:rPr>
              <w:t>渤海银行股份有限公司－中信建投医改灵活配置混合型证券投资基金</w:t>
            </w:r>
          </w:p>
        </w:tc>
        <w:tc>
          <w:tcPr>
            <w:tcW w:w="855" w:type="dxa"/>
            <w:tcBorders>
              <w:top w:val="single" w:color="auto" w:sz="2" w:space="0"/>
              <w:left w:val="single" w:color="auto" w:sz="2" w:space="0"/>
              <w:bottom w:val="single" w:color="auto" w:sz="2" w:space="0"/>
              <w:right w:val="single" w:color="auto" w:sz="2" w:space="0"/>
            </w:tcBorders>
            <w:vAlign w:val="center"/>
          </w:tcPr>
          <w:p w14:paraId="3147DA2F">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780" w:type="dxa"/>
            <w:gridSpan w:val="3"/>
            <w:tcBorders>
              <w:top w:val="single" w:color="auto" w:sz="2" w:space="0"/>
              <w:left w:val="single" w:color="auto" w:sz="2" w:space="0"/>
              <w:bottom w:val="single" w:color="auto" w:sz="2" w:space="0"/>
              <w:right w:val="single" w:color="auto" w:sz="2" w:space="0"/>
            </w:tcBorders>
            <w:vAlign w:val="center"/>
          </w:tcPr>
          <w:p w14:paraId="5C3DAA17">
            <w:pPr>
              <w:spacing w:before="0" w:after="0" w:line="240" w:lineRule="exact"/>
              <w:jc w:val="right"/>
              <w:rPr>
                <w:rFonts w:ascii="宋体" w:hAnsi="宋体" w:eastAsia="宋体" w:cs="宋体"/>
                <w:sz w:val="18"/>
                <w:szCs w:val="18"/>
              </w:rPr>
            </w:pPr>
            <w:r>
              <w:rPr>
                <w:rFonts w:ascii="宋体" w:hAnsi="宋体" w:eastAsia="宋体" w:cs="宋体"/>
                <w:sz w:val="18"/>
                <w:szCs w:val="18"/>
              </w:rPr>
              <w:t>1.44%</w:t>
            </w:r>
          </w:p>
        </w:tc>
        <w:tc>
          <w:tcPr>
            <w:tcW w:w="1220" w:type="dxa"/>
            <w:gridSpan w:val="2"/>
            <w:tcBorders>
              <w:top w:val="single" w:color="auto" w:sz="2" w:space="0"/>
              <w:left w:val="single" w:color="auto" w:sz="2" w:space="0"/>
              <w:bottom w:val="single" w:color="auto" w:sz="2" w:space="0"/>
              <w:right w:val="single" w:color="auto" w:sz="2" w:space="0"/>
            </w:tcBorders>
            <w:vAlign w:val="center"/>
          </w:tcPr>
          <w:p w14:paraId="5B1E3BB7">
            <w:pPr>
              <w:spacing w:before="0" w:after="0" w:line="240" w:lineRule="exact"/>
              <w:jc w:val="right"/>
              <w:rPr>
                <w:rFonts w:ascii="宋体" w:hAnsi="宋体" w:eastAsia="宋体" w:cs="宋体"/>
                <w:sz w:val="18"/>
                <w:szCs w:val="18"/>
              </w:rPr>
            </w:pPr>
            <w:r>
              <w:rPr>
                <w:rFonts w:ascii="宋体" w:hAnsi="宋体" w:eastAsia="宋体" w:cs="宋体"/>
                <w:sz w:val="18"/>
                <w:szCs w:val="18"/>
              </w:rPr>
              <w:t>2,300,000</w:t>
            </w:r>
          </w:p>
        </w:tc>
        <w:tc>
          <w:tcPr>
            <w:tcW w:w="1040" w:type="dxa"/>
            <w:gridSpan w:val="2"/>
            <w:tcBorders>
              <w:top w:val="single" w:color="auto" w:sz="2" w:space="0"/>
              <w:left w:val="single" w:color="auto" w:sz="2" w:space="0"/>
              <w:bottom w:val="single" w:color="auto" w:sz="2" w:space="0"/>
              <w:right w:val="single" w:color="auto" w:sz="2" w:space="0"/>
            </w:tcBorders>
            <w:vAlign w:val="center"/>
          </w:tcPr>
          <w:p w14:paraId="2630EFF9">
            <w:pPr>
              <w:spacing w:before="0" w:after="0" w:line="240" w:lineRule="exact"/>
              <w:jc w:val="right"/>
              <w:rPr>
                <w:rFonts w:ascii="宋体" w:hAnsi="宋体" w:eastAsia="宋体" w:cs="宋体"/>
                <w:sz w:val="18"/>
                <w:szCs w:val="18"/>
              </w:rPr>
            </w:pPr>
            <w:r>
              <w:rPr>
                <w:rFonts w:ascii="宋体" w:hAnsi="宋体" w:eastAsia="宋体" w:cs="宋体"/>
                <w:sz w:val="18"/>
                <w:szCs w:val="18"/>
              </w:rPr>
              <w:t>2</w:t>
            </w:r>
            <w:r>
              <w:rPr>
                <w:rFonts w:hint="eastAsia" w:ascii="宋体" w:hAnsi="宋体" w:eastAsia="宋体" w:cs="宋体"/>
                <w:sz w:val="18"/>
                <w:szCs w:val="18"/>
                <w:lang w:val="en-US" w:eastAsia="zh-CN"/>
              </w:rPr>
              <w:t>,</w:t>
            </w:r>
            <w:r>
              <w:rPr>
                <w:rFonts w:ascii="宋体" w:hAnsi="宋体" w:eastAsia="宋体" w:cs="宋体"/>
                <w:sz w:val="18"/>
                <w:szCs w:val="18"/>
              </w:rPr>
              <w:t>300</w:t>
            </w:r>
            <w:r>
              <w:rPr>
                <w:rFonts w:hint="eastAsia" w:ascii="宋体" w:hAnsi="宋体" w:eastAsia="宋体" w:cs="宋体"/>
                <w:sz w:val="18"/>
                <w:szCs w:val="18"/>
                <w:lang w:val="en-US" w:eastAsia="zh-CN"/>
              </w:rPr>
              <w:t>,</w:t>
            </w:r>
            <w:r>
              <w:rPr>
                <w:rFonts w:ascii="宋体" w:hAnsi="宋体" w:eastAsia="宋体" w:cs="宋体"/>
                <w:sz w:val="18"/>
                <w:szCs w:val="18"/>
              </w:rPr>
              <w:t>000</w:t>
            </w:r>
          </w:p>
        </w:tc>
        <w:tc>
          <w:tcPr>
            <w:tcW w:w="1130" w:type="dxa"/>
            <w:gridSpan w:val="3"/>
            <w:tcBorders>
              <w:top w:val="single" w:color="auto" w:sz="2" w:space="0"/>
              <w:left w:val="single" w:color="auto" w:sz="2" w:space="0"/>
              <w:bottom w:val="single" w:color="auto" w:sz="2" w:space="0"/>
              <w:right w:val="single" w:color="auto" w:sz="2" w:space="0"/>
            </w:tcBorders>
            <w:vAlign w:val="center"/>
          </w:tcPr>
          <w:p w14:paraId="0D99F4B1">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20" w:type="dxa"/>
            <w:gridSpan w:val="3"/>
            <w:tcBorders>
              <w:top w:val="single" w:color="auto" w:sz="2" w:space="0"/>
              <w:left w:val="single" w:color="auto" w:sz="2" w:space="0"/>
              <w:bottom w:val="single" w:color="auto" w:sz="2" w:space="0"/>
              <w:right w:val="single" w:color="auto" w:sz="2" w:space="0"/>
            </w:tcBorders>
            <w:vAlign w:val="center"/>
          </w:tcPr>
          <w:p w14:paraId="095F6B31">
            <w:pPr>
              <w:spacing w:before="0" w:after="0" w:line="240" w:lineRule="exact"/>
              <w:jc w:val="right"/>
              <w:rPr>
                <w:rFonts w:ascii="宋体" w:hAnsi="宋体" w:eastAsia="宋体" w:cs="宋体"/>
                <w:sz w:val="18"/>
                <w:szCs w:val="18"/>
              </w:rPr>
            </w:pPr>
            <w:r>
              <w:rPr>
                <w:rFonts w:ascii="宋体" w:hAnsi="宋体" w:eastAsia="宋体" w:cs="宋体"/>
                <w:sz w:val="18"/>
                <w:szCs w:val="18"/>
              </w:rPr>
              <w:t>2,300,000</w:t>
            </w:r>
          </w:p>
        </w:tc>
        <w:tc>
          <w:tcPr>
            <w:tcW w:w="600" w:type="dxa"/>
            <w:gridSpan w:val="2"/>
            <w:tcBorders>
              <w:top w:val="single" w:color="auto" w:sz="2" w:space="0"/>
              <w:left w:val="single" w:color="auto" w:sz="2" w:space="0"/>
              <w:bottom w:val="single" w:color="auto" w:sz="2" w:space="0"/>
              <w:right w:val="single" w:color="auto" w:sz="2" w:space="0"/>
            </w:tcBorders>
            <w:vAlign w:val="center"/>
          </w:tcPr>
          <w:p w14:paraId="4C39BDDE">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00EECC05">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2BBAA5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14:paraId="3566C7EC">
            <w:pPr>
              <w:spacing w:before="0" w:after="0" w:line="240" w:lineRule="exact"/>
              <w:jc w:val="left"/>
              <w:rPr>
                <w:rFonts w:ascii="宋体" w:hAnsi="宋体" w:eastAsia="宋体" w:cs="宋体"/>
                <w:sz w:val="18"/>
                <w:szCs w:val="18"/>
              </w:rPr>
            </w:pPr>
            <w:r>
              <w:rPr>
                <w:rFonts w:ascii="宋体" w:hAnsi="宋体" w:eastAsia="宋体" w:cs="宋体"/>
                <w:sz w:val="18"/>
                <w:szCs w:val="18"/>
              </w:rPr>
              <w:t>蔡云霞</w:t>
            </w:r>
          </w:p>
        </w:tc>
        <w:tc>
          <w:tcPr>
            <w:tcW w:w="855" w:type="dxa"/>
            <w:tcBorders>
              <w:top w:val="single" w:color="auto" w:sz="2" w:space="0"/>
              <w:left w:val="single" w:color="auto" w:sz="2" w:space="0"/>
              <w:bottom w:val="single" w:color="auto" w:sz="2" w:space="0"/>
              <w:right w:val="single" w:color="auto" w:sz="2" w:space="0"/>
            </w:tcBorders>
            <w:vAlign w:val="center"/>
          </w:tcPr>
          <w:p w14:paraId="6E5D1B1D">
            <w:pPr>
              <w:spacing w:before="0" w:after="0" w:line="240" w:lineRule="exact"/>
              <w:jc w:val="left"/>
              <w:rPr>
                <w:rFonts w:ascii="宋体" w:hAnsi="宋体" w:eastAsia="宋体" w:cs="宋体"/>
                <w:sz w:val="18"/>
                <w:szCs w:val="18"/>
              </w:rPr>
            </w:pPr>
            <w:r>
              <w:rPr>
                <w:rFonts w:ascii="宋体" w:hAnsi="宋体" w:eastAsia="宋体" w:cs="宋体"/>
                <w:sz w:val="18"/>
                <w:szCs w:val="18"/>
              </w:rPr>
              <w:t>境内自然人</w:t>
            </w:r>
          </w:p>
        </w:tc>
        <w:tc>
          <w:tcPr>
            <w:tcW w:w="780" w:type="dxa"/>
            <w:gridSpan w:val="3"/>
            <w:tcBorders>
              <w:top w:val="single" w:color="auto" w:sz="2" w:space="0"/>
              <w:left w:val="single" w:color="auto" w:sz="2" w:space="0"/>
              <w:bottom w:val="single" w:color="auto" w:sz="2" w:space="0"/>
              <w:right w:val="single" w:color="auto" w:sz="2" w:space="0"/>
            </w:tcBorders>
            <w:vAlign w:val="center"/>
          </w:tcPr>
          <w:p w14:paraId="78D66A28">
            <w:pPr>
              <w:spacing w:before="0" w:after="0" w:line="240" w:lineRule="exact"/>
              <w:jc w:val="right"/>
              <w:rPr>
                <w:rFonts w:ascii="宋体" w:hAnsi="宋体" w:eastAsia="宋体" w:cs="宋体"/>
                <w:sz w:val="18"/>
                <w:szCs w:val="18"/>
              </w:rPr>
            </w:pPr>
            <w:r>
              <w:rPr>
                <w:rFonts w:ascii="宋体" w:hAnsi="宋体" w:eastAsia="宋体" w:cs="宋体"/>
                <w:sz w:val="18"/>
                <w:szCs w:val="18"/>
              </w:rPr>
              <w:t>1.35%</w:t>
            </w:r>
          </w:p>
        </w:tc>
        <w:tc>
          <w:tcPr>
            <w:tcW w:w="1220" w:type="dxa"/>
            <w:gridSpan w:val="2"/>
            <w:tcBorders>
              <w:top w:val="single" w:color="auto" w:sz="2" w:space="0"/>
              <w:left w:val="single" w:color="auto" w:sz="2" w:space="0"/>
              <w:bottom w:val="single" w:color="auto" w:sz="2" w:space="0"/>
              <w:right w:val="single" w:color="auto" w:sz="2" w:space="0"/>
            </w:tcBorders>
            <w:vAlign w:val="center"/>
          </w:tcPr>
          <w:p w14:paraId="46C19880">
            <w:pPr>
              <w:spacing w:before="0" w:after="0" w:line="240" w:lineRule="exact"/>
              <w:jc w:val="right"/>
              <w:rPr>
                <w:rFonts w:ascii="宋体" w:hAnsi="宋体" w:eastAsia="宋体" w:cs="宋体"/>
                <w:sz w:val="18"/>
                <w:szCs w:val="18"/>
              </w:rPr>
            </w:pPr>
            <w:r>
              <w:rPr>
                <w:rFonts w:ascii="宋体" w:hAnsi="宋体" w:eastAsia="宋体" w:cs="宋体"/>
                <w:sz w:val="18"/>
                <w:szCs w:val="18"/>
              </w:rPr>
              <w:t>2,150,527</w:t>
            </w:r>
          </w:p>
        </w:tc>
        <w:tc>
          <w:tcPr>
            <w:tcW w:w="1040" w:type="dxa"/>
            <w:gridSpan w:val="2"/>
            <w:tcBorders>
              <w:top w:val="single" w:color="auto" w:sz="2" w:space="0"/>
              <w:left w:val="single" w:color="auto" w:sz="2" w:space="0"/>
              <w:bottom w:val="single" w:color="auto" w:sz="2" w:space="0"/>
              <w:right w:val="single" w:color="auto" w:sz="2" w:space="0"/>
            </w:tcBorders>
            <w:vAlign w:val="center"/>
          </w:tcPr>
          <w:p w14:paraId="7488F3B2">
            <w:pPr>
              <w:spacing w:before="0" w:after="0" w:line="240" w:lineRule="exact"/>
              <w:jc w:val="right"/>
              <w:rPr>
                <w:rFonts w:ascii="宋体" w:hAnsi="宋体" w:eastAsia="宋体" w:cs="宋体"/>
                <w:sz w:val="18"/>
                <w:szCs w:val="18"/>
              </w:rPr>
            </w:pPr>
            <w:r>
              <w:rPr>
                <w:rFonts w:ascii="宋体" w:hAnsi="宋体" w:eastAsia="宋体" w:cs="宋体"/>
                <w:sz w:val="18"/>
                <w:szCs w:val="18"/>
              </w:rPr>
              <w:t>50</w:t>
            </w:r>
            <w:r>
              <w:rPr>
                <w:rFonts w:hint="eastAsia" w:ascii="宋体" w:hAnsi="宋体" w:eastAsia="宋体" w:cs="宋体"/>
                <w:sz w:val="18"/>
                <w:szCs w:val="18"/>
                <w:lang w:val="en-US" w:eastAsia="zh-CN"/>
              </w:rPr>
              <w:t>,</w:t>
            </w:r>
            <w:r>
              <w:rPr>
                <w:rFonts w:ascii="宋体" w:hAnsi="宋体" w:eastAsia="宋体" w:cs="宋体"/>
                <w:sz w:val="18"/>
                <w:szCs w:val="18"/>
              </w:rPr>
              <w:t>000</w:t>
            </w:r>
          </w:p>
        </w:tc>
        <w:tc>
          <w:tcPr>
            <w:tcW w:w="1130" w:type="dxa"/>
            <w:gridSpan w:val="3"/>
            <w:tcBorders>
              <w:top w:val="single" w:color="auto" w:sz="2" w:space="0"/>
              <w:left w:val="single" w:color="auto" w:sz="2" w:space="0"/>
              <w:bottom w:val="single" w:color="auto" w:sz="2" w:space="0"/>
              <w:right w:val="single" w:color="auto" w:sz="2" w:space="0"/>
            </w:tcBorders>
            <w:vAlign w:val="center"/>
          </w:tcPr>
          <w:p w14:paraId="44BFD7CB">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20" w:type="dxa"/>
            <w:gridSpan w:val="3"/>
            <w:tcBorders>
              <w:top w:val="single" w:color="auto" w:sz="2" w:space="0"/>
              <w:left w:val="single" w:color="auto" w:sz="2" w:space="0"/>
              <w:bottom w:val="single" w:color="auto" w:sz="2" w:space="0"/>
              <w:right w:val="single" w:color="auto" w:sz="2" w:space="0"/>
            </w:tcBorders>
            <w:vAlign w:val="center"/>
          </w:tcPr>
          <w:p w14:paraId="307CE671">
            <w:pPr>
              <w:spacing w:before="0" w:after="0" w:line="240" w:lineRule="exact"/>
              <w:jc w:val="right"/>
              <w:rPr>
                <w:rFonts w:ascii="宋体" w:hAnsi="宋体" w:eastAsia="宋体" w:cs="宋体"/>
                <w:sz w:val="18"/>
                <w:szCs w:val="18"/>
              </w:rPr>
            </w:pPr>
            <w:r>
              <w:rPr>
                <w:rFonts w:ascii="宋体" w:hAnsi="宋体" w:eastAsia="宋体" w:cs="宋体"/>
                <w:sz w:val="18"/>
                <w:szCs w:val="18"/>
              </w:rPr>
              <w:t>2,150,527</w:t>
            </w:r>
          </w:p>
        </w:tc>
        <w:tc>
          <w:tcPr>
            <w:tcW w:w="600" w:type="dxa"/>
            <w:gridSpan w:val="2"/>
            <w:tcBorders>
              <w:top w:val="single" w:color="auto" w:sz="2" w:space="0"/>
              <w:left w:val="single" w:color="auto" w:sz="2" w:space="0"/>
              <w:bottom w:val="single" w:color="auto" w:sz="2" w:space="0"/>
              <w:right w:val="single" w:color="auto" w:sz="2" w:space="0"/>
            </w:tcBorders>
            <w:vAlign w:val="center"/>
          </w:tcPr>
          <w:p w14:paraId="495874E0">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0BD98D5C">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03795F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14:paraId="297BC80B">
            <w:pPr>
              <w:spacing w:before="0" w:after="0" w:line="240" w:lineRule="exact"/>
              <w:jc w:val="left"/>
              <w:rPr>
                <w:rFonts w:ascii="宋体" w:hAnsi="宋体" w:eastAsia="宋体" w:cs="宋体"/>
                <w:sz w:val="18"/>
                <w:szCs w:val="18"/>
              </w:rPr>
            </w:pPr>
            <w:r>
              <w:rPr>
                <w:rFonts w:ascii="宋体" w:hAnsi="宋体" w:eastAsia="宋体" w:cs="宋体"/>
                <w:sz w:val="18"/>
                <w:szCs w:val="18"/>
              </w:rPr>
              <w:t>黄彩艳</w:t>
            </w:r>
          </w:p>
        </w:tc>
        <w:tc>
          <w:tcPr>
            <w:tcW w:w="855" w:type="dxa"/>
            <w:tcBorders>
              <w:top w:val="single" w:color="auto" w:sz="2" w:space="0"/>
              <w:left w:val="single" w:color="auto" w:sz="2" w:space="0"/>
              <w:bottom w:val="single" w:color="auto" w:sz="2" w:space="0"/>
              <w:right w:val="single" w:color="auto" w:sz="2" w:space="0"/>
            </w:tcBorders>
            <w:vAlign w:val="center"/>
          </w:tcPr>
          <w:p w14:paraId="48027D6B">
            <w:pPr>
              <w:spacing w:before="0" w:after="0" w:line="240" w:lineRule="exact"/>
              <w:jc w:val="left"/>
              <w:rPr>
                <w:rFonts w:ascii="宋体" w:hAnsi="宋体" w:eastAsia="宋体" w:cs="宋体"/>
                <w:sz w:val="18"/>
                <w:szCs w:val="18"/>
              </w:rPr>
            </w:pPr>
            <w:r>
              <w:rPr>
                <w:rFonts w:ascii="宋体" w:hAnsi="宋体" w:eastAsia="宋体" w:cs="宋体"/>
                <w:sz w:val="18"/>
                <w:szCs w:val="18"/>
              </w:rPr>
              <w:t>境内自然人</w:t>
            </w:r>
          </w:p>
        </w:tc>
        <w:tc>
          <w:tcPr>
            <w:tcW w:w="780" w:type="dxa"/>
            <w:gridSpan w:val="3"/>
            <w:tcBorders>
              <w:top w:val="single" w:color="auto" w:sz="2" w:space="0"/>
              <w:left w:val="single" w:color="auto" w:sz="2" w:space="0"/>
              <w:bottom w:val="single" w:color="auto" w:sz="2" w:space="0"/>
              <w:right w:val="single" w:color="auto" w:sz="2" w:space="0"/>
            </w:tcBorders>
            <w:vAlign w:val="center"/>
          </w:tcPr>
          <w:p w14:paraId="195D06EB">
            <w:pPr>
              <w:spacing w:before="0" w:after="0" w:line="240" w:lineRule="exact"/>
              <w:jc w:val="right"/>
              <w:rPr>
                <w:rFonts w:ascii="宋体" w:hAnsi="宋体" w:eastAsia="宋体" w:cs="宋体"/>
                <w:sz w:val="18"/>
                <w:szCs w:val="18"/>
              </w:rPr>
            </w:pPr>
            <w:r>
              <w:rPr>
                <w:rFonts w:ascii="宋体" w:hAnsi="宋体" w:eastAsia="宋体" w:cs="宋体"/>
                <w:sz w:val="18"/>
                <w:szCs w:val="18"/>
              </w:rPr>
              <w:t>1.12%</w:t>
            </w:r>
          </w:p>
        </w:tc>
        <w:tc>
          <w:tcPr>
            <w:tcW w:w="1220" w:type="dxa"/>
            <w:gridSpan w:val="2"/>
            <w:tcBorders>
              <w:top w:val="single" w:color="auto" w:sz="2" w:space="0"/>
              <w:left w:val="single" w:color="auto" w:sz="2" w:space="0"/>
              <w:bottom w:val="single" w:color="auto" w:sz="2" w:space="0"/>
              <w:right w:val="single" w:color="auto" w:sz="2" w:space="0"/>
            </w:tcBorders>
            <w:vAlign w:val="center"/>
          </w:tcPr>
          <w:p w14:paraId="4B586212">
            <w:pPr>
              <w:spacing w:before="0" w:after="0" w:line="240" w:lineRule="exact"/>
              <w:jc w:val="right"/>
              <w:rPr>
                <w:rFonts w:ascii="宋体" w:hAnsi="宋体" w:eastAsia="宋体" w:cs="宋体"/>
                <w:sz w:val="18"/>
                <w:szCs w:val="18"/>
              </w:rPr>
            </w:pPr>
            <w:r>
              <w:rPr>
                <w:rFonts w:ascii="宋体" w:hAnsi="宋体" w:eastAsia="宋体" w:cs="宋体"/>
                <w:sz w:val="18"/>
                <w:szCs w:val="18"/>
              </w:rPr>
              <w:t>1,788,000</w:t>
            </w:r>
          </w:p>
        </w:tc>
        <w:tc>
          <w:tcPr>
            <w:tcW w:w="1040" w:type="dxa"/>
            <w:gridSpan w:val="2"/>
            <w:tcBorders>
              <w:top w:val="single" w:color="auto" w:sz="2" w:space="0"/>
              <w:left w:val="single" w:color="auto" w:sz="2" w:space="0"/>
              <w:bottom w:val="single" w:color="auto" w:sz="2" w:space="0"/>
              <w:right w:val="single" w:color="auto" w:sz="2" w:space="0"/>
            </w:tcBorders>
            <w:vAlign w:val="center"/>
          </w:tcPr>
          <w:p w14:paraId="1429E8FF">
            <w:pPr>
              <w:spacing w:before="0" w:after="0" w:line="240" w:lineRule="exact"/>
              <w:jc w:val="right"/>
              <w:rPr>
                <w:rFonts w:ascii="宋体" w:hAnsi="宋体" w:eastAsia="宋体" w:cs="宋体"/>
                <w:sz w:val="18"/>
                <w:szCs w:val="18"/>
              </w:rPr>
            </w:pPr>
            <w:r>
              <w:rPr>
                <w:rFonts w:ascii="宋体" w:hAnsi="宋体" w:eastAsia="宋体" w:cs="宋体"/>
                <w:sz w:val="18"/>
                <w:szCs w:val="18"/>
              </w:rPr>
              <w:t>99</w:t>
            </w:r>
            <w:r>
              <w:rPr>
                <w:rFonts w:hint="eastAsia" w:ascii="宋体" w:hAnsi="宋体" w:eastAsia="宋体" w:cs="宋体"/>
                <w:sz w:val="18"/>
                <w:szCs w:val="18"/>
                <w:lang w:val="en-US" w:eastAsia="zh-CN"/>
              </w:rPr>
              <w:t>,</w:t>
            </w:r>
            <w:r>
              <w:rPr>
                <w:rFonts w:ascii="宋体" w:hAnsi="宋体" w:eastAsia="宋体" w:cs="宋体"/>
                <w:sz w:val="18"/>
                <w:szCs w:val="18"/>
              </w:rPr>
              <w:t>674</w:t>
            </w:r>
          </w:p>
        </w:tc>
        <w:tc>
          <w:tcPr>
            <w:tcW w:w="1130" w:type="dxa"/>
            <w:gridSpan w:val="3"/>
            <w:tcBorders>
              <w:top w:val="single" w:color="auto" w:sz="2" w:space="0"/>
              <w:left w:val="single" w:color="auto" w:sz="2" w:space="0"/>
              <w:bottom w:val="single" w:color="auto" w:sz="2" w:space="0"/>
              <w:right w:val="single" w:color="auto" w:sz="2" w:space="0"/>
            </w:tcBorders>
            <w:vAlign w:val="center"/>
          </w:tcPr>
          <w:p w14:paraId="1DE4E735">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20" w:type="dxa"/>
            <w:gridSpan w:val="3"/>
            <w:tcBorders>
              <w:top w:val="single" w:color="auto" w:sz="2" w:space="0"/>
              <w:left w:val="single" w:color="auto" w:sz="2" w:space="0"/>
              <w:bottom w:val="single" w:color="auto" w:sz="2" w:space="0"/>
              <w:right w:val="single" w:color="auto" w:sz="2" w:space="0"/>
            </w:tcBorders>
            <w:vAlign w:val="center"/>
          </w:tcPr>
          <w:p w14:paraId="38043BC7">
            <w:pPr>
              <w:spacing w:before="0" w:after="0" w:line="240" w:lineRule="exact"/>
              <w:jc w:val="right"/>
              <w:rPr>
                <w:rFonts w:ascii="宋体" w:hAnsi="宋体" w:eastAsia="宋体" w:cs="宋体"/>
                <w:sz w:val="18"/>
                <w:szCs w:val="18"/>
              </w:rPr>
            </w:pPr>
            <w:r>
              <w:rPr>
                <w:rFonts w:ascii="宋体" w:hAnsi="宋体" w:eastAsia="宋体" w:cs="宋体"/>
                <w:sz w:val="18"/>
                <w:szCs w:val="18"/>
              </w:rPr>
              <w:t>1,788,000</w:t>
            </w:r>
          </w:p>
        </w:tc>
        <w:tc>
          <w:tcPr>
            <w:tcW w:w="600" w:type="dxa"/>
            <w:gridSpan w:val="2"/>
            <w:tcBorders>
              <w:top w:val="single" w:color="auto" w:sz="2" w:space="0"/>
              <w:left w:val="single" w:color="auto" w:sz="2" w:space="0"/>
              <w:bottom w:val="single" w:color="auto" w:sz="2" w:space="0"/>
              <w:right w:val="single" w:color="auto" w:sz="2" w:space="0"/>
            </w:tcBorders>
            <w:vAlign w:val="center"/>
          </w:tcPr>
          <w:p w14:paraId="14845F99">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27F347A0">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3CD4BC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14:paraId="51BEC44E">
            <w:pPr>
              <w:spacing w:before="0" w:after="0" w:line="240" w:lineRule="exact"/>
              <w:jc w:val="left"/>
              <w:rPr>
                <w:rFonts w:ascii="宋体" w:hAnsi="宋体" w:eastAsia="宋体" w:cs="宋体"/>
                <w:sz w:val="18"/>
                <w:szCs w:val="18"/>
              </w:rPr>
            </w:pPr>
            <w:r>
              <w:rPr>
                <w:rFonts w:ascii="宋体" w:hAnsi="宋体" w:eastAsia="宋体" w:cs="宋体"/>
                <w:sz w:val="18"/>
                <w:szCs w:val="18"/>
              </w:rPr>
              <w:t>林凤鸣</w:t>
            </w:r>
          </w:p>
        </w:tc>
        <w:tc>
          <w:tcPr>
            <w:tcW w:w="855" w:type="dxa"/>
            <w:tcBorders>
              <w:top w:val="single" w:color="auto" w:sz="2" w:space="0"/>
              <w:left w:val="single" w:color="auto" w:sz="2" w:space="0"/>
              <w:bottom w:val="single" w:color="auto" w:sz="2" w:space="0"/>
              <w:right w:val="single" w:color="auto" w:sz="2" w:space="0"/>
            </w:tcBorders>
            <w:vAlign w:val="center"/>
          </w:tcPr>
          <w:p w14:paraId="21CDA0EF">
            <w:pPr>
              <w:spacing w:before="0" w:after="0" w:line="240" w:lineRule="exact"/>
              <w:jc w:val="left"/>
              <w:rPr>
                <w:rFonts w:ascii="宋体" w:hAnsi="宋体" w:eastAsia="宋体" w:cs="宋体"/>
                <w:sz w:val="18"/>
                <w:szCs w:val="18"/>
              </w:rPr>
            </w:pPr>
            <w:r>
              <w:rPr>
                <w:rFonts w:ascii="宋体" w:hAnsi="宋体" w:eastAsia="宋体" w:cs="宋体"/>
                <w:sz w:val="18"/>
                <w:szCs w:val="18"/>
              </w:rPr>
              <w:t>境内自然人</w:t>
            </w:r>
          </w:p>
        </w:tc>
        <w:tc>
          <w:tcPr>
            <w:tcW w:w="780" w:type="dxa"/>
            <w:gridSpan w:val="3"/>
            <w:tcBorders>
              <w:top w:val="single" w:color="auto" w:sz="2" w:space="0"/>
              <w:left w:val="single" w:color="auto" w:sz="2" w:space="0"/>
              <w:bottom w:val="single" w:color="auto" w:sz="2" w:space="0"/>
              <w:right w:val="single" w:color="auto" w:sz="2" w:space="0"/>
            </w:tcBorders>
            <w:vAlign w:val="center"/>
          </w:tcPr>
          <w:p w14:paraId="10DE4A3D">
            <w:pPr>
              <w:spacing w:before="0" w:after="0" w:line="240" w:lineRule="exact"/>
              <w:jc w:val="right"/>
              <w:rPr>
                <w:rFonts w:ascii="宋体" w:hAnsi="宋体" w:eastAsia="宋体" w:cs="宋体"/>
                <w:sz w:val="18"/>
                <w:szCs w:val="18"/>
              </w:rPr>
            </w:pPr>
            <w:r>
              <w:rPr>
                <w:rFonts w:ascii="宋体" w:hAnsi="宋体" w:eastAsia="宋体" w:cs="宋体"/>
                <w:sz w:val="18"/>
                <w:szCs w:val="18"/>
              </w:rPr>
              <w:t>0.85%</w:t>
            </w:r>
          </w:p>
        </w:tc>
        <w:tc>
          <w:tcPr>
            <w:tcW w:w="1220" w:type="dxa"/>
            <w:gridSpan w:val="2"/>
            <w:tcBorders>
              <w:top w:val="single" w:color="auto" w:sz="2" w:space="0"/>
              <w:left w:val="single" w:color="auto" w:sz="2" w:space="0"/>
              <w:bottom w:val="single" w:color="auto" w:sz="2" w:space="0"/>
              <w:right w:val="single" w:color="auto" w:sz="2" w:space="0"/>
            </w:tcBorders>
            <w:vAlign w:val="center"/>
          </w:tcPr>
          <w:p w14:paraId="367A4604">
            <w:pPr>
              <w:spacing w:before="0" w:after="0" w:line="240" w:lineRule="exact"/>
              <w:jc w:val="right"/>
              <w:rPr>
                <w:rFonts w:ascii="宋体" w:hAnsi="宋体" w:eastAsia="宋体" w:cs="宋体"/>
                <w:sz w:val="18"/>
                <w:szCs w:val="18"/>
              </w:rPr>
            </w:pPr>
            <w:r>
              <w:rPr>
                <w:rFonts w:ascii="宋体" w:hAnsi="宋体" w:eastAsia="宋体" w:cs="宋体"/>
                <w:sz w:val="18"/>
                <w:szCs w:val="18"/>
              </w:rPr>
              <w:t>1,360,636</w:t>
            </w:r>
          </w:p>
        </w:tc>
        <w:tc>
          <w:tcPr>
            <w:tcW w:w="1040" w:type="dxa"/>
            <w:gridSpan w:val="2"/>
            <w:tcBorders>
              <w:top w:val="single" w:color="auto" w:sz="2" w:space="0"/>
              <w:left w:val="single" w:color="auto" w:sz="2" w:space="0"/>
              <w:bottom w:val="single" w:color="auto" w:sz="2" w:space="0"/>
              <w:right w:val="single" w:color="auto" w:sz="2" w:space="0"/>
            </w:tcBorders>
            <w:vAlign w:val="center"/>
          </w:tcPr>
          <w:p w14:paraId="435930CF">
            <w:pPr>
              <w:spacing w:before="0" w:after="0" w:line="240" w:lineRule="exact"/>
              <w:jc w:val="right"/>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lang w:val="en-US" w:eastAsia="zh-CN"/>
              </w:rPr>
              <w:t>,</w:t>
            </w:r>
            <w:r>
              <w:rPr>
                <w:rFonts w:ascii="宋体" w:hAnsi="宋体" w:eastAsia="宋体" w:cs="宋体"/>
                <w:sz w:val="18"/>
                <w:szCs w:val="18"/>
              </w:rPr>
              <w:t>360</w:t>
            </w:r>
            <w:r>
              <w:rPr>
                <w:rFonts w:hint="eastAsia" w:ascii="宋体" w:hAnsi="宋体" w:eastAsia="宋体" w:cs="宋体"/>
                <w:sz w:val="18"/>
                <w:szCs w:val="18"/>
                <w:lang w:val="en-US" w:eastAsia="zh-CN"/>
              </w:rPr>
              <w:t>,</w:t>
            </w:r>
            <w:r>
              <w:rPr>
                <w:rFonts w:ascii="宋体" w:hAnsi="宋体" w:eastAsia="宋体" w:cs="宋体"/>
                <w:sz w:val="18"/>
                <w:szCs w:val="18"/>
              </w:rPr>
              <w:t>636</w:t>
            </w:r>
          </w:p>
        </w:tc>
        <w:tc>
          <w:tcPr>
            <w:tcW w:w="1130" w:type="dxa"/>
            <w:gridSpan w:val="3"/>
            <w:tcBorders>
              <w:top w:val="single" w:color="auto" w:sz="2" w:space="0"/>
              <w:left w:val="single" w:color="auto" w:sz="2" w:space="0"/>
              <w:bottom w:val="single" w:color="auto" w:sz="2" w:space="0"/>
              <w:right w:val="single" w:color="auto" w:sz="2" w:space="0"/>
            </w:tcBorders>
            <w:vAlign w:val="center"/>
          </w:tcPr>
          <w:p w14:paraId="650954FA">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20" w:type="dxa"/>
            <w:gridSpan w:val="3"/>
            <w:tcBorders>
              <w:top w:val="single" w:color="auto" w:sz="2" w:space="0"/>
              <w:left w:val="single" w:color="auto" w:sz="2" w:space="0"/>
              <w:bottom w:val="single" w:color="auto" w:sz="2" w:space="0"/>
              <w:right w:val="single" w:color="auto" w:sz="2" w:space="0"/>
            </w:tcBorders>
            <w:vAlign w:val="center"/>
          </w:tcPr>
          <w:p w14:paraId="5DB741AB">
            <w:pPr>
              <w:spacing w:before="0" w:after="0" w:line="240" w:lineRule="exact"/>
              <w:jc w:val="right"/>
              <w:rPr>
                <w:rFonts w:ascii="宋体" w:hAnsi="宋体" w:eastAsia="宋体" w:cs="宋体"/>
                <w:sz w:val="18"/>
                <w:szCs w:val="18"/>
              </w:rPr>
            </w:pPr>
            <w:r>
              <w:rPr>
                <w:rFonts w:ascii="宋体" w:hAnsi="宋体" w:eastAsia="宋体" w:cs="宋体"/>
                <w:sz w:val="18"/>
                <w:szCs w:val="18"/>
              </w:rPr>
              <w:t>1,360,636</w:t>
            </w:r>
          </w:p>
        </w:tc>
        <w:tc>
          <w:tcPr>
            <w:tcW w:w="600" w:type="dxa"/>
            <w:gridSpan w:val="2"/>
            <w:tcBorders>
              <w:top w:val="single" w:color="auto" w:sz="2" w:space="0"/>
              <w:left w:val="single" w:color="auto" w:sz="2" w:space="0"/>
              <w:bottom w:val="single" w:color="auto" w:sz="2" w:space="0"/>
              <w:right w:val="single" w:color="auto" w:sz="2" w:space="0"/>
            </w:tcBorders>
            <w:vAlign w:val="center"/>
          </w:tcPr>
          <w:p w14:paraId="02009139">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53CCEE5F">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272222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14:paraId="1F57FC04">
            <w:pPr>
              <w:spacing w:before="0" w:after="0" w:line="240" w:lineRule="exact"/>
              <w:jc w:val="left"/>
              <w:rPr>
                <w:rFonts w:ascii="宋体" w:hAnsi="宋体" w:eastAsia="宋体" w:cs="宋体"/>
                <w:sz w:val="18"/>
                <w:szCs w:val="18"/>
              </w:rPr>
            </w:pPr>
            <w:r>
              <w:rPr>
                <w:rFonts w:ascii="宋体" w:hAnsi="宋体" w:eastAsia="宋体" w:cs="宋体"/>
                <w:sz w:val="18"/>
                <w:szCs w:val="18"/>
              </w:rPr>
              <w:t>福建千寻私募基金管理有限公司－千寻朴润成长私募证券投资基金</w:t>
            </w:r>
          </w:p>
        </w:tc>
        <w:tc>
          <w:tcPr>
            <w:tcW w:w="855" w:type="dxa"/>
            <w:tcBorders>
              <w:top w:val="single" w:color="auto" w:sz="2" w:space="0"/>
              <w:left w:val="single" w:color="auto" w:sz="2" w:space="0"/>
              <w:bottom w:val="single" w:color="auto" w:sz="2" w:space="0"/>
              <w:right w:val="single" w:color="auto" w:sz="2" w:space="0"/>
            </w:tcBorders>
            <w:vAlign w:val="center"/>
          </w:tcPr>
          <w:p w14:paraId="0925985C">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780" w:type="dxa"/>
            <w:gridSpan w:val="3"/>
            <w:tcBorders>
              <w:top w:val="single" w:color="auto" w:sz="2" w:space="0"/>
              <w:left w:val="single" w:color="auto" w:sz="2" w:space="0"/>
              <w:bottom w:val="single" w:color="auto" w:sz="2" w:space="0"/>
              <w:right w:val="single" w:color="auto" w:sz="2" w:space="0"/>
            </w:tcBorders>
            <w:vAlign w:val="center"/>
          </w:tcPr>
          <w:p w14:paraId="6436411D">
            <w:pPr>
              <w:spacing w:before="0" w:after="0" w:line="240" w:lineRule="exact"/>
              <w:jc w:val="right"/>
              <w:rPr>
                <w:rFonts w:ascii="宋体" w:hAnsi="宋体" w:eastAsia="宋体" w:cs="宋体"/>
                <w:sz w:val="18"/>
                <w:szCs w:val="18"/>
              </w:rPr>
            </w:pPr>
            <w:r>
              <w:rPr>
                <w:rFonts w:ascii="宋体" w:hAnsi="宋体" w:eastAsia="宋体" w:cs="宋体"/>
                <w:sz w:val="18"/>
                <w:szCs w:val="18"/>
              </w:rPr>
              <w:t>0.72%</w:t>
            </w:r>
          </w:p>
        </w:tc>
        <w:tc>
          <w:tcPr>
            <w:tcW w:w="1220" w:type="dxa"/>
            <w:gridSpan w:val="2"/>
            <w:tcBorders>
              <w:top w:val="single" w:color="auto" w:sz="2" w:space="0"/>
              <w:left w:val="single" w:color="auto" w:sz="2" w:space="0"/>
              <w:bottom w:val="single" w:color="auto" w:sz="2" w:space="0"/>
              <w:right w:val="single" w:color="auto" w:sz="2" w:space="0"/>
            </w:tcBorders>
            <w:vAlign w:val="center"/>
          </w:tcPr>
          <w:p w14:paraId="10237BC6">
            <w:pPr>
              <w:spacing w:before="0" w:after="0" w:line="240" w:lineRule="exact"/>
              <w:jc w:val="right"/>
              <w:rPr>
                <w:rFonts w:ascii="宋体" w:hAnsi="宋体" w:eastAsia="宋体" w:cs="宋体"/>
                <w:sz w:val="18"/>
                <w:szCs w:val="18"/>
              </w:rPr>
            </w:pPr>
            <w:r>
              <w:rPr>
                <w:rFonts w:ascii="宋体" w:hAnsi="宋体" w:eastAsia="宋体" w:cs="宋体"/>
                <w:sz w:val="18"/>
                <w:szCs w:val="18"/>
              </w:rPr>
              <w:t>1,146,300</w:t>
            </w:r>
          </w:p>
        </w:tc>
        <w:tc>
          <w:tcPr>
            <w:tcW w:w="1040" w:type="dxa"/>
            <w:gridSpan w:val="2"/>
            <w:tcBorders>
              <w:top w:val="single" w:color="auto" w:sz="2" w:space="0"/>
              <w:left w:val="single" w:color="auto" w:sz="2" w:space="0"/>
              <w:bottom w:val="single" w:color="auto" w:sz="2" w:space="0"/>
              <w:right w:val="single" w:color="auto" w:sz="2" w:space="0"/>
            </w:tcBorders>
            <w:vAlign w:val="center"/>
          </w:tcPr>
          <w:p w14:paraId="1E2E0056">
            <w:pPr>
              <w:spacing w:before="0" w:after="0" w:line="240" w:lineRule="exact"/>
              <w:jc w:val="right"/>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lang w:val="en-US" w:eastAsia="zh-CN"/>
              </w:rPr>
              <w:t>,</w:t>
            </w:r>
            <w:r>
              <w:rPr>
                <w:rFonts w:ascii="宋体" w:hAnsi="宋体" w:eastAsia="宋体" w:cs="宋体"/>
                <w:sz w:val="18"/>
                <w:szCs w:val="18"/>
              </w:rPr>
              <w:t>146</w:t>
            </w:r>
            <w:r>
              <w:rPr>
                <w:rFonts w:hint="eastAsia" w:ascii="宋体" w:hAnsi="宋体" w:eastAsia="宋体" w:cs="宋体"/>
                <w:sz w:val="18"/>
                <w:szCs w:val="18"/>
                <w:lang w:val="en-US" w:eastAsia="zh-CN"/>
              </w:rPr>
              <w:t>,</w:t>
            </w:r>
            <w:r>
              <w:rPr>
                <w:rFonts w:ascii="宋体" w:hAnsi="宋体" w:eastAsia="宋体" w:cs="宋体"/>
                <w:sz w:val="18"/>
                <w:szCs w:val="18"/>
              </w:rPr>
              <w:t>300</w:t>
            </w:r>
          </w:p>
        </w:tc>
        <w:tc>
          <w:tcPr>
            <w:tcW w:w="1130" w:type="dxa"/>
            <w:gridSpan w:val="3"/>
            <w:tcBorders>
              <w:top w:val="single" w:color="auto" w:sz="2" w:space="0"/>
              <w:left w:val="single" w:color="auto" w:sz="2" w:space="0"/>
              <w:bottom w:val="single" w:color="auto" w:sz="2" w:space="0"/>
              <w:right w:val="single" w:color="auto" w:sz="2" w:space="0"/>
            </w:tcBorders>
            <w:vAlign w:val="center"/>
          </w:tcPr>
          <w:p w14:paraId="74ACBCFA">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c>
          <w:tcPr>
            <w:tcW w:w="1120" w:type="dxa"/>
            <w:gridSpan w:val="3"/>
            <w:tcBorders>
              <w:top w:val="single" w:color="auto" w:sz="2" w:space="0"/>
              <w:left w:val="single" w:color="auto" w:sz="2" w:space="0"/>
              <w:bottom w:val="single" w:color="auto" w:sz="2" w:space="0"/>
              <w:right w:val="single" w:color="auto" w:sz="2" w:space="0"/>
            </w:tcBorders>
            <w:vAlign w:val="center"/>
          </w:tcPr>
          <w:p w14:paraId="5997BE3E">
            <w:pPr>
              <w:spacing w:before="0" w:after="0" w:line="240" w:lineRule="exact"/>
              <w:jc w:val="right"/>
              <w:rPr>
                <w:rFonts w:ascii="宋体" w:hAnsi="宋体" w:eastAsia="宋体" w:cs="宋体"/>
                <w:sz w:val="18"/>
                <w:szCs w:val="18"/>
              </w:rPr>
            </w:pPr>
            <w:r>
              <w:rPr>
                <w:rFonts w:ascii="宋体" w:hAnsi="宋体" w:eastAsia="宋体" w:cs="宋体"/>
                <w:sz w:val="18"/>
                <w:szCs w:val="18"/>
              </w:rPr>
              <w:t>1,146,300</w:t>
            </w:r>
          </w:p>
        </w:tc>
        <w:tc>
          <w:tcPr>
            <w:tcW w:w="600" w:type="dxa"/>
            <w:gridSpan w:val="2"/>
            <w:tcBorders>
              <w:top w:val="single" w:color="auto" w:sz="2" w:space="0"/>
              <w:left w:val="single" w:color="auto" w:sz="2" w:space="0"/>
              <w:bottom w:val="single" w:color="auto" w:sz="2" w:space="0"/>
              <w:right w:val="single" w:color="auto" w:sz="2" w:space="0"/>
            </w:tcBorders>
            <w:vAlign w:val="center"/>
          </w:tcPr>
          <w:p w14:paraId="6C7BFB7C">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3C4F314F">
            <w:pPr>
              <w:spacing w:before="0" w:after="0" w:line="240" w:lineRule="exact"/>
              <w:jc w:val="right"/>
              <w:rPr>
                <w:rFonts w:ascii="宋体" w:hAnsi="宋体" w:eastAsia="宋体" w:cs="宋体"/>
                <w:sz w:val="18"/>
                <w:szCs w:val="18"/>
              </w:rPr>
            </w:pPr>
            <w:r>
              <w:rPr>
                <w:rFonts w:ascii="宋体" w:hAnsi="宋体" w:eastAsia="宋体" w:cs="宋体"/>
                <w:sz w:val="18"/>
                <w:szCs w:val="18"/>
              </w:rPr>
              <w:t>0</w:t>
            </w:r>
          </w:p>
        </w:tc>
      </w:tr>
      <w:tr w14:paraId="65DE95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387"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272D7993">
            <w:pPr>
              <w:spacing w:before="40" w:after="40" w:line="240" w:lineRule="exact"/>
              <w:jc w:val="left"/>
              <w:rPr>
                <w:rFonts w:ascii="宋体" w:hAnsi="宋体" w:eastAsia="宋体" w:cs="宋体"/>
                <w:sz w:val="18"/>
                <w:szCs w:val="18"/>
              </w:rPr>
            </w:pPr>
            <w:r>
              <w:rPr>
                <w:rFonts w:ascii="宋体" w:hAnsi="宋体" w:eastAsia="宋体" w:cs="宋体"/>
                <w:sz w:val="18"/>
                <w:szCs w:val="18"/>
              </w:rPr>
              <w:t>战略投资者或一般法人因配售新股成为前10名股东的情况（如有）（参见注4）</w:t>
            </w:r>
          </w:p>
        </w:tc>
        <w:tc>
          <w:tcPr>
            <w:tcW w:w="6249" w:type="dxa"/>
            <w:gridSpan w:val="14"/>
            <w:tcBorders>
              <w:top w:val="single" w:color="auto" w:sz="2" w:space="0"/>
              <w:left w:val="single" w:color="auto" w:sz="2" w:space="0"/>
              <w:bottom w:val="single" w:color="auto" w:sz="2" w:space="0"/>
              <w:right w:val="single" w:color="auto" w:sz="2" w:space="0"/>
            </w:tcBorders>
            <w:vAlign w:val="center"/>
          </w:tcPr>
          <w:p w14:paraId="137AE26C">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413789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387"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5A305C51">
            <w:pPr>
              <w:spacing w:before="40" w:after="40" w:line="240" w:lineRule="exact"/>
              <w:jc w:val="left"/>
              <w:rPr>
                <w:rFonts w:ascii="宋体" w:hAnsi="宋体" w:eastAsia="宋体" w:cs="宋体"/>
                <w:sz w:val="18"/>
                <w:szCs w:val="18"/>
              </w:rPr>
            </w:pPr>
            <w:r>
              <w:rPr>
                <w:rFonts w:ascii="宋体" w:hAnsi="宋体" w:eastAsia="宋体" w:cs="宋体"/>
                <w:sz w:val="18"/>
                <w:szCs w:val="18"/>
              </w:rPr>
              <w:t>上述股东关联关系或一致行动的说明</w:t>
            </w:r>
          </w:p>
        </w:tc>
        <w:tc>
          <w:tcPr>
            <w:tcW w:w="6249" w:type="dxa"/>
            <w:gridSpan w:val="14"/>
            <w:tcBorders>
              <w:top w:val="single" w:color="auto" w:sz="2" w:space="0"/>
              <w:left w:val="single" w:color="auto" w:sz="2" w:space="0"/>
              <w:bottom w:val="single" w:color="auto" w:sz="2" w:space="0"/>
              <w:right w:val="single" w:color="auto" w:sz="2" w:space="0"/>
            </w:tcBorders>
            <w:vAlign w:val="center"/>
          </w:tcPr>
          <w:p w14:paraId="1DDDED79">
            <w:pPr>
              <w:spacing w:before="0" w:after="0" w:line="240" w:lineRule="exact"/>
              <w:jc w:val="left"/>
              <w:rPr>
                <w:rFonts w:ascii="宋体" w:hAnsi="宋体" w:eastAsia="宋体" w:cs="宋体"/>
                <w:sz w:val="18"/>
                <w:szCs w:val="18"/>
              </w:rPr>
            </w:pPr>
            <w:r>
              <w:rPr>
                <w:rFonts w:ascii="宋体" w:hAnsi="宋体" w:eastAsia="宋体" w:cs="宋体"/>
                <w:sz w:val="18"/>
                <w:szCs w:val="18"/>
              </w:rPr>
              <w:t>1、福建奥华集团有限公司、福建平潭奥泰科技投资中心（有限合伙）为李国平控制的企业，叶理青与李国平为配偶关系，李国栋与李国平为兄弟关系；</w:t>
            </w:r>
          </w:p>
          <w:p w14:paraId="5F990B3C">
            <w:pPr>
              <w:spacing w:before="0" w:after="0" w:line="240" w:lineRule="exact"/>
              <w:jc w:val="left"/>
              <w:rPr>
                <w:rFonts w:ascii="宋体" w:hAnsi="宋体" w:eastAsia="宋体" w:cs="宋体"/>
                <w:sz w:val="18"/>
                <w:szCs w:val="18"/>
              </w:rPr>
            </w:pPr>
            <w:r>
              <w:rPr>
                <w:rFonts w:ascii="宋体" w:hAnsi="宋体" w:eastAsia="宋体" w:cs="宋体"/>
                <w:sz w:val="18"/>
                <w:szCs w:val="18"/>
              </w:rPr>
              <w:t>2、本公司未知除上述外其他股东之间是否存在关联关系，也未知是否属于一致行动人。</w:t>
            </w:r>
          </w:p>
        </w:tc>
      </w:tr>
      <w:tr w14:paraId="6051CC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387"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7EB045EA">
            <w:pPr>
              <w:spacing w:before="40" w:after="40" w:line="240" w:lineRule="exact"/>
              <w:jc w:val="left"/>
              <w:rPr>
                <w:rFonts w:ascii="宋体" w:hAnsi="宋体" w:eastAsia="宋体" w:cs="宋体"/>
                <w:sz w:val="18"/>
                <w:szCs w:val="18"/>
              </w:rPr>
            </w:pPr>
            <w:r>
              <w:rPr>
                <w:rFonts w:ascii="宋体" w:hAnsi="宋体" w:eastAsia="宋体" w:cs="宋体"/>
                <w:sz w:val="18"/>
                <w:szCs w:val="18"/>
              </w:rPr>
              <w:t>上述股东涉及委托/受托表决权、放弃表决权情况的说明</w:t>
            </w:r>
          </w:p>
        </w:tc>
        <w:tc>
          <w:tcPr>
            <w:tcW w:w="6249" w:type="dxa"/>
            <w:gridSpan w:val="14"/>
            <w:tcBorders>
              <w:top w:val="single" w:color="auto" w:sz="2" w:space="0"/>
              <w:left w:val="single" w:color="auto" w:sz="2" w:space="0"/>
              <w:bottom w:val="single" w:color="auto" w:sz="2" w:space="0"/>
              <w:right w:val="single" w:color="auto" w:sz="2" w:space="0"/>
            </w:tcBorders>
            <w:vAlign w:val="center"/>
          </w:tcPr>
          <w:p w14:paraId="2B110743">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5F74F5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387"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45FB90F4">
            <w:pPr>
              <w:spacing w:before="40" w:after="40" w:line="240" w:lineRule="exact"/>
              <w:jc w:val="left"/>
              <w:rPr>
                <w:rFonts w:ascii="宋体" w:hAnsi="宋体" w:eastAsia="宋体" w:cs="宋体"/>
                <w:sz w:val="18"/>
                <w:szCs w:val="18"/>
              </w:rPr>
            </w:pPr>
            <w:r>
              <w:rPr>
                <w:rFonts w:ascii="宋体" w:hAnsi="宋体" w:eastAsia="宋体" w:cs="宋体"/>
                <w:sz w:val="18"/>
                <w:szCs w:val="18"/>
              </w:rPr>
              <w:t>前10名股东中存在回购专户的特别说明（如有）（参见注10）</w:t>
            </w:r>
          </w:p>
        </w:tc>
        <w:tc>
          <w:tcPr>
            <w:tcW w:w="6249" w:type="dxa"/>
            <w:gridSpan w:val="14"/>
            <w:tcBorders>
              <w:top w:val="single" w:color="auto" w:sz="2" w:space="0"/>
              <w:left w:val="single" w:color="auto" w:sz="2" w:space="0"/>
              <w:bottom w:val="single" w:color="auto" w:sz="2" w:space="0"/>
              <w:right w:val="single" w:color="auto" w:sz="2" w:space="0"/>
            </w:tcBorders>
            <w:vAlign w:val="center"/>
          </w:tcPr>
          <w:p w14:paraId="2206DD6B">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r w14:paraId="0D4E4A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6" w:type="dxa"/>
            <w:gridSpan w:val="20"/>
            <w:tcBorders>
              <w:top w:val="single" w:color="auto" w:sz="2" w:space="0"/>
              <w:left w:val="single" w:color="auto" w:sz="2" w:space="0"/>
              <w:bottom w:val="single" w:color="auto" w:sz="2" w:space="0"/>
              <w:right w:val="single" w:color="auto" w:sz="2" w:space="0"/>
            </w:tcBorders>
            <w:shd w:val="clear" w:color="auto" w:fill="D3D3D3"/>
            <w:vAlign w:val="center"/>
          </w:tcPr>
          <w:p w14:paraId="0BF7D6C0">
            <w:pPr>
              <w:spacing w:before="40" w:after="40" w:line="240" w:lineRule="exact"/>
              <w:jc w:val="center"/>
              <w:rPr>
                <w:rFonts w:ascii="宋体" w:hAnsi="宋体" w:eastAsia="宋体" w:cs="宋体"/>
                <w:sz w:val="18"/>
                <w:szCs w:val="18"/>
              </w:rPr>
            </w:pPr>
            <w:r>
              <w:rPr>
                <w:rFonts w:ascii="宋体" w:hAnsi="宋体" w:eastAsia="宋体" w:cs="宋体"/>
                <w:sz w:val="18"/>
                <w:szCs w:val="18"/>
              </w:rPr>
              <w:t>前10名无限售条件股东持股情况（不含通过转融通出借股份、高管锁定股）</w:t>
            </w:r>
          </w:p>
        </w:tc>
      </w:tr>
      <w:tr w14:paraId="467290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83AB97D">
            <w:pPr>
              <w:spacing w:before="40" w:after="40" w:line="240" w:lineRule="exact"/>
              <w:jc w:val="center"/>
              <w:rPr>
                <w:rFonts w:ascii="宋体" w:hAnsi="宋体" w:eastAsia="宋体" w:cs="宋体"/>
                <w:sz w:val="18"/>
                <w:szCs w:val="18"/>
              </w:rPr>
            </w:pPr>
            <w:r>
              <w:rPr>
                <w:rFonts w:ascii="宋体" w:hAnsi="宋体" w:eastAsia="宋体" w:cs="宋体"/>
                <w:sz w:val="18"/>
                <w:szCs w:val="18"/>
              </w:rPr>
              <w:t>股东名称</w:t>
            </w:r>
          </w:p>
        </w:tc>
        <w:tc>
          <w:tcPr>
            <w:tcW w:w="1230"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3C72A11">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报告期末持有无限售条件股份数量</w:t>
            </w:r>
          </w:p>
        </w:tc>
        <w:tc>
          <w:tcPr>
            <w:tcW w:w="249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0B8DBE79">
            <w:pPr>
              <w:spacing w:before="40" w:after="40" w:line="240" w:lineRule="exact"/>
              <w:jc w:val="center"/>
              <w:rPr>
                <w:rFonts w:ascii="宋体" w:hAnsi="宋体" w:eastAsia="宋体" w:cs="宋体"/>
                <w:sz w:val="18"/>
                <w:szCs w:val="18"/>
              </w:rPr>
            </w:pPr>
            <w:r>
              <w:rPr>
                <w:rFonts w:ascii="宋体" w:hAnsi="宋体" w:eastAsia="宋体" w:cs="宋体"/>
                <w:sz w:val="18"/>
                <w:szCs w:val="18"/>
              </w:rPr>
              <w:t>股份种类</w:t>
            </w:r>
          </w:p>
        </w:tc>
      </w:tr>
      <w:tr w14:paraId="73D892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B03FE69"/>
        </w:tc>
        <w:tc>
          <w:tcPr>
            <w:tcW w:w="1230"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1E25F2F"/>
        </w:tc>
        <w:tc>
          <w:tcPr>
            <w:tcW w:w="1360"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0E5A71F9">
            <w:pPr>
              <w:spacing w:before="40" w:after="40" w:line="240" w:lineRule="exact"/>
              <w:jc w:val="center"/>
              <w:rPr>
                <w:rFonts w:ascii="宋体" w:hAnsi="宋体" w:eastAsia="宋体" w:cs="宋体"/>
                <w:sz w:val="18"/>
                <w:szCs w:val="18"/>
              </w:rPr>
            </w:pPr>
            <w:r>
              <w:rPr>
                <w:rFonts w:ascii="宋体" w:hAnsi="宋体" w:eastAsia="宋体" w:cs="宋体"/>
                <w:sz w:val="18"/>
                <w:szCs w:val="18"/>
              </w:rPr>
              <w:t>股份种类</w:t>
            </w:r>
          </w:p>
        </w:tc>
        <w:tc>
          <w:tcPr>
            <w:tcW w:w="11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36F1B1C9">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r>
      <w:tr w14:paraId="51F30B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tcBorders>
              <w:top w:val="single" w:color="auto" w:sz="2" w:space="0"/>
              <w:left w:val="single" w:color="auto" w:sz="2" w:space="0"/>
              <w:bottom w:val="single" w:color="auto" w:sz="2" w:space="0"/>
              <w:right w:val="single" w:color="auto" w:sz="2" w:space="0"/>
            </w:tcBorders>
            <w:vAlign w:val="center"/>
          </w:tcPr>
          <w:p w14:paraId="03A65F28">
            <w:pPr>
              <w:spacing w:before="0" w:after="0" w:line="240" w:lineRule="exact"/>
              <w:jc w:val="left"/>
              <w:rPr>
                <w:rFonts w:ascii="宋体" w:hAnsi="宋体" w:eastAsia="宋体" w:cs="宋体"/>
                <w:sz w:val="18"/>
                <w:szCs w:val="18"/>
              </w:rPr>
            </w:pPr>
            <w:r>
              <w:rPr>
                <w:rFonts w:ascii="宋体" w:hAnsi="宋体" w:eastAsia="宋体" w:cs="宋体"/>
                <w:sz w:val="18"/>
                <w:szCs w:val="18"/>
              </w:rPr>
              <w:t>福建奥华集团有限公司</w:t>
            </w:r>
          </w:p>
        </w:tc>
        <w:tc>
          <w:tcPr>
            <w:tcW w:w="1230" w:type="dxa"/>
            <w:gridSpan w:val="2"/>
            <w:tcBorders>
              <w:top w:val="single" w:color="auto" w:sz="2" w:space="0"/>
              <w:left w:val="single" w:color="auto" w:sz="2" w:space="0"/>
              <w:bottom w:val="single" w:color="auto" w:sz="2" w:space="0"/>
              <w:right w:val="single" w:color="auto" w:sz="2" w:space="0"/>
            </w:tcBorders>
            <w:vAlign w:val="center"/>
          </w:tcPr>
          <w:p w14:paraId="5245681A">
            <w:pPr>
              <w:spacing w:before="0" w:after="0" w:line="240" w:lineRule="exact"/>
              <w:jc w:val="right"/>
              <w:rPr>
                <w:rFonts w:ascii="宋体" w:hAnsi="宋体" w:eastAsia="宋体" w:cs="宋体"/>
                <w:sz w:val="18"/>
                <w:szCs w:val="18"/>
              </w:rPr>
            </w:pPr>
            <w:r>
              <w:rPr>
                <w:rFonts w:ascii="宋体" w:hAnsi="宋体" w:eastAsia="宋体" w:cs="宋体"/>
                <w:sz w:val="18"/>
                <w:szCs w:val="18"/>
              </w:rPr>
              <w:t>35,068,651</w:t>
            </w:r>
          </w:p>
        </w:tc>
        <w:tc>
          <w:tcPr>
            <w:tcW w:w="1360" w:type="dxa"/>
            <w:gridSpan w:val="4"/>
            <w:tcBorders>
              <w:top w:val="single" w:color="auto" w:sz="2" w:space="0"/>
              <w:left w:val="single" w:color="auto" w:sz="2" w:space="0"/>
              <w:bottom w:val="single" w:color="auto" w:sz="2" w:space="0"/>
              <w:right w:val="single" w:color="auto" w:sz="2" w:space="0"/>
            </w:tcBorders>
            <w:vAlign w:val="center"/>
          </w:tcPr>
          <w:p w14:paraId="1F21B638">
            <w:pPr>
              <w:spacing w:before="0" w:after="0" w:line="240" w:lineRule="exact"/>
              <w:jc w:val="left"/>
              <w:rPr>
                <w:rFonts w:ascii="宋体" w:hAnsi="宋体" w:eastAsia="宋体" w:cs="宋体"/>
                <w:sz w:val="18"/>
                <w:szCs w:val="18"/>
              </w:rPr>
            </w:pPr>
            <w:r>
              <w:rPr>
                <w:rFonts w:ascii="宋体" w:hAnsi="宋体" w:eastAsia="宋体" w:cs="宋体"/>
                <w:sz w:val="18"/>
                <w:szCs w:val="18"/>
              </w:rPr>
              <w:t>人民币普通股</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30DF93E1">
            <w:pPr>
              <w:spacing w:before="0" w:after="0" w:line="240" w:lineRule="exact"/>
              <w:jc w:val="right"/>
              <w:rPr>
                <w:rFonts w:ascii="宋体" w:hAnsi="宋体" w:eastAsia="宋体" w:cs="宋体"/>
                <w:sz w:val="18"/>
                <w:szCs w:val="18"/>
              </w:rPr>
            </w:pPr>
            <w:r>
              <w:rPr>
                <w:rFonts w:ascii="宋体" w:hAnsi="宋体" w:eastAsia="宋体" w:cs="宋体"/>
                <w:sz w:val="18"/>
                <w:szCs w:val="18"/>
              </w:rPr>
              <w:t>35,068,651</w:t>
            </w:r>
          </w:p>
        </w:tc>
      </w:tr>
      <w:tr w14:paraId="7C776A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tcBorders>
              <w:top w:val="single" w:color="auto" w:sz="2" w:space="0"/>
              <w:left w:val="single" w:color="auto" w:sz="2" w:space="0"/>
              <w:bottom w:val="single" w:color="auto" w:sz="2" w:space="0"/>
              <w:right w:val="single" w:color="auto" w:sz="2" w:space="0"/>
            </w:tcBorders>
            <w:vAlign w:val="center"/>
          </w:tcPr>
          <w:p w14:paraId="664D7FA0">
            <w:pPr>
              <w:spacing w:before="0" w:after="0" w:line="240" w:lineRule="exact"/>
              <w:jc w:val="left"/>
              <w:rPr>
                <w:rFonts w:ascii="宋体" w:hAnsi="宋体" w:eastAsia="宋体" w:cs="宋体"/>
                <w:sz w:val="18"/>
                <w:szCs w:val="18"/>
              </w:rPr>
            </w:pPr>
            <w:r>
              <w:rPr>
                <w:rFonts w:ascii="宋体" w:hAnsi="宋体" w:eastAsia="宋体" w:cs="宋体"/>
                <w:sz w:val="18"/>
                <w:szCs w:val="18"/>
              </w:rPr>
              <w:t>福建平潭奥泰科技投资中心（有限合伙）</w:t>
            </w:r>
          </w:p>
        </w:tc>
        <w:tc>
          <w:tcPr>
            <w:tcW w:w="1230" w:type="dxa"/>
            <w:gridSpan w:val="2"/>
            <w:tcBorders>
              <w:top w:val="single" w:color="auto" w:sz="2" w:space="0"/>
              <w:left w:val="single" w:color="auto" w:sz="2" w:space="0"/>
              <w:bottom w:val="single" w:color="auto" w:sz="2" w:space="0"/>
              <w:right w:val="single" w:color="auto" w:sz="2" w:space="0"/>
            </w:tcBorders>
            <w:vAlign w:val="center"/>
          </w:tcPr>
          <w:p w14:paraId="16741396">
            <w:pPr>
              <w:spacing w:before="0" w:after="0" w:line="240" w:lineRule="exact"/>
              <w:jc w:val="right"/>
              <w:rPr>
                <w:rFonts w:ascii="宋体" w:hAnsi="宋体" w:eastAsia="宋体" w:cs="宋体"/>
                <w:sz w:val="18"/>
                <w:szCs w:val="18"/>
              </w:rPr>
            </w:pPr>
            <w:r>
              <w:rPr>
                <w:rFonts w:ascii="宋体" w:hAnsi="宋体" w:eastAsia="宋体" w:cs="宋体"/>
                <w:sz w:val="18"/>
                <w:szCs w:val="18"/>
              </w:rPr>
              <w:t>8,025,000</w:t>
            </w:r>
          </w:p>
        </w:tc>
        <w:tc>
          <w:tcPr>
            <w:tcW w:w="1360" w:type="dxa"/>
            <w:gridSpan w:val="4"/>
            <w:tcBorders>
              <w:top w:val="single" w:color="auto" w:sz="2" w:space="0"/>
              <w:left w:val="single" w:color="auto" w:sz="2" w:space="0"/>
              <w:bottom w:val="single" w:color="auto" w:sz="2" w:space="0"/>
              <w:right w:val="single" w:color="auto" w:sz="2" w:space="0"/>
            </w:tcBorders>
            <w:vAlign w:val="center"/>
          </w:tcPr>
          <w:p w14:paraId="72EAC89C">
            <w:pPr>
              <w:spacing w:before="0" w:after="0" w:line="240" w:lineRule="exact"/>
              <w:jc w:val="left"/>
              <w:rPr>
                <w:rFonts w:ascii="宋体" w:hAnsi="宋体" w:eastAsia="宋体" w:cs="宋体"/>
                <w:sz w:val="18"/>
                <w:szCs w:val="18"/>
              </w:rPr>
            </w:pPr>
            <w:r>
              <w:rPr>
                <w:rFonts w:ascii="宋体" w:hAnsi="宋体" w:eastAsia="宋体" w:cs="宋体"/>
                <w:sz w:val="18"/>
                <w:szCs w:val="18"/>
              </w:rPr>
              <w:t>人民币普通股</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43E001E9">
            <w:pPr>
              <w:spacing w:before="0" w:after="0" w:line="240" w:lineRule="exact"/>
              <w:jc w:val="right"/>
              <w:rPr>
                <w:rFonts w:ascii="宋体" w:hAnsi="宋体" w:eastAsia="宋体" w:cs="宋体"/>
                <w:sz w:val="18"/>
                <w:szCs w:val="18"/>
              </w:rPr>
            </w:pPr>
            <w:r>
              <w:rPr>
                <w:rFonts w:ascii="宋体" w:hAnsi="宋体" w:eastAsia="宋体" w:cs="宋体"/>
                <w:sz w:val="18"/>
                <w:szCs w:val="18"/>
              </w:rPr>
              <w:t>8,025,000</w:t>
            </w:r>
          </w:p>
        </w:tc>
      </w:tr>
      <w:tr w14:paraId="2D4FC5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tcBorders>
              <w:top w:val="single" w:color="auto" w:sz="2" w:space="0"/>
              <w:left w:val="single" w:color="auto" w:sz="2" w:space="0"/>
              <w:bottom w:val="single" w:color="auto" w:sz="2" w:space="0"/>
              <w:right w:val="single" w:color="auto" w:sz="2" w:space="0"/>
            </w:tcBorders>
            <w:vAlign w:val="center"/>
          </w:tcPr>
          <w:p w14:paraId="5BFBE277">
            <w:pPr>
              <w:spacing w:before="0" w:after="0" w:line="240" w:lineRule="exact"/>
              <w:jc w:val="left"/>
              <w:rPr>
                <w:rFonts w:ascii="宋体" w:hAnsi="宋体" w:eastAsia="宋体" w:cs="宋体"/>
                <w:sz w:val="18"/>
                <w:szCs w:val="18"/>
              </w:rPr>
            </w:pPr>
            <w:r>
              <w:rPr>
                <w:rFonts w:ascii="宋体" w:hAnsi="宋体" w:eastAsia="宋体" w:cs="宋体"/>
                <w:sz w:val="18"/>
                <w:szCs w:val="18"/>
              </w:rPr>
              <w:t>叶理青</w:t>
            </w:r>
          </w:p>
        </w:tc>
        <w:tc>
          <w:tcPr>
            <w:tcW w:w="1230" w:type="dxa"/>
            <w:gridSpan w:val="2"/>
            <w:tcBorders>
              <w:top w:val="single" w:color="auto" w:sz="2" w:space="0"/>
              <w:left w:val="single" w:color="auto" w:sz="2" w:space="0"/>
              <w:bottom w:val="single" w:color="auto" w:sz="2" w:space="0"/>
              <w:right w:val="single" w:color="auto" w:sz="2" w:space="0"/>
            </w:tcBorders>
            <w:vAlign w:val="center"/>
          </w:tcPr>
          <w:p w14:paraId="1D33D68A">
            <w:pPr>
              <w:spacing w:before="0" w:after="0" w:line="240" w:lineRule="exact"/>
              <w:jc w:val="right"/>
              <w:rPr>
                <w:rFonts w:ascii="宋体" w:hAnsi="宋体" w:eastAsia="宋体" w:cs="宋体"/>
                <w:sz w:val="18"/>
                <w:szCs w:val="18"/>
              </w:rPr>
            </w:pPr>
            <w:r>
              <w:rPr>
                <w:rFonts w:ascii="宋体" w:hAnsi="宋体" w:eastAsia="宋体" w:cs="宋体"/>
                <w:sz w:val="18"/>
                <w:szCs w:val="18"/>
              </w:rPr>
              <w:t>3,384,175</w:t>
            </w:r>
          </w:p>
        </w:tc>
        <w:tc>
          <w:tcPr>
            <w:tcW w:w="1360" w:type="dxa"/>
            <w:gridSpan w:val="4"/>
            <w:tcBorders>
              <w:top w:val="single" w:color="auto" w:sz="2" w:space="0"/>
              <w:left w:val="single" w:color="auto" w:sz="2" w:space="0"/>
              <w:bottom w:val="single" w:color="auto" w:sz="2" w:space="0"/>
              <w:right w:val="single" w:color="auto" w:sz="2" w:space="0"/>
            </w:tcBorders>
            <w:vAlign w:val="center"/>
          </w:tcPr>
          <w:p w14:paraId="4D72F6AB">
            <w:pPr>
              <w:spacing w:before="0" w:after="0" w:line="240" w:lineRule="exact"/>
              <w:jc w:val="left"/>
              <w:rPr>
                <w:rFonts w:ascii="宋体" w:hAnsi="宋体" w:eastAsia="宋体" w:cs="宋体"/>
                <w:sz w:val="18"/>
                <w:szCs w:val="18"/>
              </w:rPr>
            </w:pPr>
            <w:r>
              <w:rPr>
                <w:rFonts w:ascii="宋体" w:hAnsi="宋体" w:eastAsia="宋体" w:cs="宋体"/>
                <w:sz w:val="18"/>
                <w:szCs w:val="18"/>
              </w:rPr>
              <w:t>人民币普通股</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3FF05C07">
            <w:pPr>
              <w:spacing w:before="0" w:after="0" w:line="240" w:lineRule="exact"/>
              <w:jc w:val="right"/>
              <w:rPr>
                <w:rFonts w:ascii="宋体" w:hAnsi="宋体" w:eastAsia="宋体" w:cs="宋体"/>
                <w:sz w:val="18"/>
                <w:szCs w:val="18"/>
              </w:rPr>
            </w:pPr>
            <w:r>
              <w:rPr>
                <w:rFonts w:ascii="宋体" w:hAnsi="宋体" w:eastAsia="宋体" w:cs="宋体"/>
                <w:sz w:val="18"/>
                <w:szCs w:val="18"/>
              </w:rPr>
              <w:t>3,384,175</w:t>
            </w:r>
          </w:p>
        </w:tc>
      </w:tr>
      <w:tr w14:paraId="4FAD2C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tcBorders>
              <w:top w:val="single" w:color="auto" w:sz="2" w:space="0"/>
              <w:left w:val="single" w:color="auto" w:sz="2" w:space="0"/>
              <w:bottom w:val="single" w:color="auto" w:sz="2" w:space="0"/>
              <w:right w:val="single" w:color="auto" w:sz="2" w:space="0"/>
            </w:tcBorders>
            <w:vAlign w:val="center"/>
          </w:tcPr>
          <w:p w14:paraId="294A1C47">
            <w:pPr>
              <w:spacing w:before="0" w:after="0" w:line="240" w:lineRule="exact"/>
              <w:jc w:val="left"/>
              <w:rPr>
                <w:rFonts w:ascii="宋体" w:hAnsi="宋体" w:eastAsia="宋体" w:cs="宋体"/>
                <w:sz w:val="18"/>
                <w:szCs w:val="18"/>
              </w:rPr>
            </w:pPr>
            <w:r>
              <w:rPr>
                <w:rFonts w:ascii="宋体" w:hAnsi="宋体" w:eastAsia="宋体" w:cs="宋体"/>
                <w:sz w:val="18"/>
                <w:szCs w:val="18"/>
              </w:rPr>
              <w:t>渤海银行股份有限公司－中信建投医改灵活配置混合型证券投资基金</w:t>
            </w:r>
          </w:p>
        </w:tc>
        <w:tc>
          <w:tcPr>
            <w:tcW w:w="1230" w:type="dxa"/>
            <w:gridSpan w:val="2"/>
            <w:tcBorders>
              <w:top w:val="single" w:color="auto" w:sz="2" w:space="0"/>
              <w:left w:val="single" w:color="auto" w:sz="2" w:space="0"/>
              <w:bottom w:val="single" w:color="auto" w:sz="2" w:space="0"/>
              <w:right w:val="single" w:color="auto" w:sz="2" w:space="0"/>
            </w:tcBorders>
            <w:vAlign w:val="center"/>
          </w:tcPr>
          <w:p w14:paraId="2F9A7273">
            <w:pPr>
              <w:spacing w:before="0" w:after="0" w:line="240" w:lineRule="exact"/>
              <w:jc w:val="right"/>
              <w:rPr>
                <w:rFonts w:ascii="宋体" w:hAnsi="宋体" w:eastAsia="宋体" w:cs="宋体"/>
                <w:sz w:val="18"/>
                <w:szCs w:val="18"/>
              </w:rPr>
            </w:pPr>
            <w:r>
              <w:rPr>
                <w:rFonts w:ascii="宋体" w:hAnsi="宋体" w:eastAsia="宋体" w:cs="宋体"/>
                <w:sz w:val="18"/>
                <w:szCs w:val="18"/>
              </w:rPr>
              <w:t>2,300,000</w:t>
            </w:r>
          </w:p>
        </w:tc>
        <w:tc>
          <w:tcPr>
            <w:tcW w:w="1360" w:type="dxa"/>
            <w:gridSpan w:val="4"/>
            <w:tcBorders>
              <w:top w:val="single" w:color="auto" w:sz="2" w:space="0"/>
              <w:left w:val="single" w:color="auto" w:sz="2" w:space="0"/>
              <w:bottom w:val="single" w:color="auto" w:sz="2" w:space="0"/>
              <w:right w:val="single" w:color="auto" w:sz="2" w:space="0"/>
            </w:tcBorders>
            <w:vAlign w:val="center"/>
          </w:tcPr>
          <w:p w14:paraId="7B8CC0FD">
            <w:pPr>
              <w:spacing w:before="0" w:after="0" w:line="240" w:lineRule="exact"/>
              <w:jc w:val="left"/>
              <w:rPr>
                <w:rFonts w:ascii="宋体" w:hAnsi="宋体" w:eastAsia="宋体" w:cs="宋体"/>
                <w:sz w:val="18"/>
                <w:szCs w:val="18"/>
              </w:rPr>
            </w:pPr>
            <w:r>
              <w:rPr>
                <w:rFonts w:ascii="宋体" w:hAnsi="宋体" w:eastAsia="宋体" w:cs="宋体"/>
                <w:sz w:val="18"/>
                <w:szCs w:val="18"/>
              </w:rPr>
              <w:t>人民币普通股</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5CC2D5BB">
            <w:pPr>
              <w:spacing w:before="0" w:after="0" w:line="240" w:lineRule="exact"/>
              <w:jc w:val="right"/>
              <w:rPr>
                <w:rFonts w:ascii="宋体" w:hAnsi="宋体" w:eastAsia="宋体" w:cs="宋体"/>
                <w:sz w:val="18"/>
                <w:szCs w:val="18"/>
              </w:rPr>
            </w:pPr>
            <w:r>
              <w:rPr>
                <w:rFonts w:ascii="宋体" w:hAnsi="宋体" w:eastAsia="宋体" w:cs="宋体"/>
                <w:sz w:val="18"/>
                <w:szCs w:val="18"/>
              </w:rPr>
              <w:t>2,300,000</w:t>
            </w:r>
          </w:p>
        </w:tc>
      </w:tr>
      <w:tr w14:paraId="617020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tcBorders>
              <w:top w:val="single" w:color="auto" w:sz="2" w:space="0"/>
              <w:left w:val="single" w:color="auto" w:sz="2" w:space="0"/>
              <w:bottom w:val="single" w:color="auto" w:sz="2" w:space="0"/>
              <w:right w:val="single" w:color="auto" w:sz="2" w:space="0"/>
            </w:tcBorders>
            <w:vAlign w:val="center"/>
          </w:tcPr>
          <w:p w14:paraId="6A162CE1">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230" w:type="dxa"/>
            <w:gridSpan w:val="2"/>
            <w:tcBorders>
              <w:top w:val="single" w:color="auto" w:sz="2" w:space="0"/>
              <w:left w:val="single" w:color="auto" w:sz="2" w:space="0"/>
              <w:bottom w:val="single" w:color="auto" w:sz="2" w:space="0"/>
              <w:right w:val="single" w:color="auto" w:sz="2" w:space="0"/>
            </w:tcBorders>
            <w:vAlign w:val="center"/>
          </w:tcPr>
          <w:p w14:paraId="435C2479">
            <w:pPr>
              <w:spacing w:before="0" w:after="0" w:line="240" w:lineRule="exact"/>
              <w:jc w:val="right"/>
              <w:rPr>
                <w:rFonts w:ascii="宋体" w:hAnsi="宋体" w:eastAsia="宋体" w:cs="宋体"/>
                <w:sz w:val="18"/>
                <w:szCs w:val="18"/>
              </w:rPr>
            </w:pPr>
            <w:r>
              <w:rPr>
                <w:rFonts w:ascii="宋体" w:hAnsi="宋体" w:eastAsia="宋体" w:cs="宋体"/>
                <w:sz w:val="18"/>
                <w:szCs w:val="18"/>
              </w:rPr>
              <w:t>2,250,235</w:t>
            </w:r>
          </w:p>
        </w:tc>
        <w:tc>
          <w:tcPr>
            <w:tcW w:w="1360" w:type="dxa"/>
            <w:gridSpan w:val="4"/>
            <w:tcBorders>
              <w:top w:val="single" w:color="auto" w:sz="2" w:space="0"/>
              <w:left w:val="single" w:color="auto" w:sz="2" w:space="0"/>
              <w:bottom w:val="single" w:color="auto" w:sz="2" w:space="0"/>
              <w:right w:val="single" w:color="auto" w:sz="2" w:space="0"/>
            </w:tcBorders>
            <w:vAlign w:val="center"/>
          </w:tcPr>
          <w:p w14:paraId="77AB2966">
            <w:pPr>
              <w:spacing w:before="0" w:after="0" w:line="240" w:lineRule="exact"/>
              <w:jc w:val="left"/>
              <w:rPr>
                <w:rFonts w:ascii="宋体" w:hAnsi="宋体" w:eastAsia="宋体" w:cs="宋体"/>
                <w:sz w:val="18"/>
                <w:szCs w:val="18"/>
              </w:rPr>
            </w:pPr>
            <w:r>
              <w:rPr>
                <w:rFonts w:ascii="宋体" w:hAnsi="宋体" w:eastAsia="宋体" w:cs="宋体"/>
                <w:sz w:val="18"/>
                <w:szCs w:val="18"/>
              </w:rPr>
              <w:t>人民币普通股</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598D2914">
            <w:pPr>
              <w:spacing w:before="0" w:after="0" w:line="240" w:lineRule="exact"/>
              <w:jc w:val="right"/>
              <w:rPr>
                <w:rFonts w:ascii="宋体" w:hAnsi="宋体" w:eastAsia="宋体" w:cs="宋体"/>
                <w:sz w:val="18"/>
                <w:szCs w:val="18"/>
              </w:rPr>
            </w:pPr>
            <w:r>
              <w:rPr>
                <w:rFonts w:ascii="宋体" w:hAnsi="宋体" w:eastAsia="宋体" w:cs="宋体"/>
                <w:sz w:val="18"/>
                <w:szCs w:val="18"/>
              </w:rPr>
              <w:t>2,250,235</w:t>
            </w:r>
          </w:p>
        </w:tc>
      </w:tr>
      <w:tr w14:paraId="224622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tcBorders>
              <w:top w:val="single" w:color="auto" w:sz="2" w:space="0"/>
              <w:left w:val="single" w:color="auto" w:sz="2" w:space="0"/>
              <w:bottom w:val="single" w:color="auto" w:sz="2" w:space="0"/>
              <w:right w:val="single" w:color="auto" w:sz="2" w:space="0"/>
            </w:tcBorders>
            <w:vAlign w:val="center"/>
          </w:tcPr>
          <w:p w14:paraId="220055BD">
            <w:pPr>
              <w:spacing w:before="0" w:after="0" w:line="240" w:lineRule="exact"/>
              <w:jc w:val="left"/>
              <w:rPr>
                <w:rFonts w:ascii="宋体" w:hAnsi="宋体" w:eastAsia="宋体" w:cs="宋体"/>
                <w:sz w:val="18"/>
                <w:szCs w:val="18"/>
              </w:rPr>
            </w:pPr>
            <w:r>
              <w:rPr>
                <w:rFonts w:ascii="宋体" w:hAnsi="宋体" w:eastAsia="宋体" w:cs="宋体"/>
                <w:sz w:val="18"/>
                <w:szCs w:val="18"/>
              </w:rPr>
              <w:t>#蔡云霞</w:t>
            </w:r>
          </w:p>
        </w:tc>
        <w:tc>
          <w:tcPr>
            <w:tcW w:w="1230" w:type="dxa"/>
            <w:gridSpan w:val="2"/>
            <w:tcBorders>
              <w:top w:val="single" w:color="auto" w:sz="2" w:space="0"/>
              <w:left w:val="single" w:color="auto" w:sz="2" w:space="0"/>
              <w:bottom w:val="single" w:color="auto" w:sz="2" w:space="0"/>
              <w:right w:val="single" w:color="auto" w:sz="2" w:space="0"/>
            </w:tcBorders>
            <w:vAlign w:val="center"/>
          </w:tcPr>
          <w:p w14:paraId="72730356">
            <w:pPr>
              <w:spacing w:before="0" w:after="0" w:line="240" w:lineRule="exact"/>
              <w:jc w:val="right"/>
              <w:rPr>
                <w:rFonts w:ascii="宋体" w:hAnsi="宋体" w:eastAsia="宋体" w:cs="宋体"/>
                <w:sz w:val="18"/>
                <w:szCs w:val="18"/>
              </w:rPr>
            </w:pPr>
            <w:r>
              <w:rPr>
                <w:rFonts w:ascii="宋体" w:hAnsi="宋体" w:eastAsia="宋体" w:cs="宋体"/>
                <w:sz w:val="18"/>
                <w:szCs w:val="18"/>
              </w:rPr>
              <w:t>2,150,527</w:t>
            </w:r>
          </w:p>
        </w:tc>
        <w:tc>
          <w:tcPr>
            <w:tcW w:w="1360" w:type="dxa"/>
            <w:gridSpan w:val="4"/>
            <w:tcBorders>
              <w:top w:val="single" w:color="auto" w:sz="2" w:space="0"/>
              <w:left w:val="single" w:color="auto" w:sz="2" w:space="0"/>
              <w:bottom w:val="single" w:color="auto" w:sz="2" w:space="0"/>
              <w:right w:val="single" w:color="auto" w:sz="2" w:space="0"/>
            </w:tcBorders>
            <w:vAlign w:val="center"/>
          </w:tcPr>
          <w:p w14:paraId="326C8856">
            <w:pPr>
              <w:spacing w:before="0" w:after="0" w:line="240" w:lineRule="exact"/>
              <w:jc w:val="left"/>
              <w:rPr>
                <w:rFonts w:ascii="宋体" w:hAnsi="宋体" w:eastAsia="宋体" w:cs="宋体"/>
                <w:sz w:val="18"/>
                <w:szCs w:val="18"/>
              </w:rPr>
            </w:pPr>
            <w:r>
              <w:rPr>
                <w:rFonts w:ascii="宋体" w:hAnsi="宋体" w:eastAsia="宋体" w:cs="宋体"/>
                <w:sz w:val="18"/>
                <w:szCs w:val="18"/>
              </w:rPr>
              <w:t>人民币普通股</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610A179B">
            <w:pPr>
              <w:spacing w:before="0" w:after="0" w:line="240" w:lineRule="exact"/>
              <w:jc w:val="right"/>
              <w:rPr>
                <w:rFonts w:ascii="宋体" w:hAnsi="宋体" w:eastAsia="宋体" w:cs="宋体"/>
                <w:sz w:val="18"/>
                <w:szCs w:val="18"/>
              </w:rPr>
            </w:pPr>
            <w:r>
              <w:rPr>
                <w:rFonts w:ascii="宋体" w:hAnsi="宋体" w:eastAsia="宋体" w:cs="宋体"/>
                <w:sz w:val="18"/>
                <w:szCs w:val="18"/>
              </w:rPr>
              <w:t>2,150,527</w:t>
            </w:r>
          </w:p>
        </w:tc>
      </w:tr>
      <w:tr w14:paraId="35E811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tcBorders>
              <w:top w:val="single" w:color="auto" w:sz="2" w:space="0"/>
              <w:left w:val="single" w:color="auto" w:sz="2" w:space="0"/>
              <w:bottom w:val="single" w:color="auto" w:sz="2" w:space="0"/>
              <w:right w:val="single" w:color="auto" w:sz="2" w:space="0"/>
            </w:tcBorders>
            <w:vAlign w:val="center"/>
          </w:tcPr>
          <w:p w14:paraId="0FBAE77B">
            <w:pPr>
              <w:spacing w:before="0" w:after="0" w:line="240" w:lineRule="exact"/>
              <w:jc w:val="left"/>
              <w:rPr>
                <w:rFonts w:ascii="宋体" w:hAnsi="宋体" w:eastAsia="宋体" w:cs="宋体"/>
                <w:sz w:val="18"/>
                <w:szCs w:val="18"/>
              </w:rPr>
            </w:pPr>
            <w:r>
              <w:rPr>
                <w:rFonts w:ascii="宋体" w:hAnsi="宋体" w:eastAsia="宋体" w:cs="宋体"/>
                <w:sz w:val="18"/>
                <w:szCs w:val="18"/>
              </w:rPr>
              <w:t>李国栋</w:t>
            </w:r>
          </w:p>
        </w:tc>
        <w:tc>
          <w:tcPr>
            <w:tcW w:w="1230" w:type="dxa"/>
            <w:gridSpan w:val="2"/>
            <w:tcBorders>
              <w:top w:val="single" w:color="auto" w:sz="2" w:space="0"/>
              <w:left w:val="single" w:color="auto" w:sz="2" w:space="0"/>
              <w:bottom w:val="single" w:color="auto" w:sz="2" w:space="0"/>
              <w:right w:val="single" w:color="auto" w:sz="2" w:space="0"/>
            </w:tcBorders>
            <w:vAlign w:val="center"/>
          </w:tcPr>
          <w:p w14:paraId="5C8DF744">
            <w:pPr>
              <w:spacing w:before="0" w:after="0" w:line="240" w:lineRule="exact"/>
              <w:jc w:val="right"/>
              <w:rPr>
                <w:rFonts w:ascii="宋体" w:hAnsi="宋体" w:eastAsia="宋体" w:cs="宋体"/>
                <w:sz w:val="18"/>
                <w:szCs w:val="18"/>
              </w:rPr>
            </w:pPr>
            <w:r>
              <w:rPr>
                <w:rFonts w:ascii="宋体" w:hAnsi="宋体" w:eastAsia="宋体" w:cs="宋体"/>
                <w:sz w:val="18"/>
                <w:szCs w:val="18"/>
              </w:rPr>
              <w:t>1,875,000</w:t>
            </w:r>
          </w:p>
        </w:tc>
        <w:tc>
          <w:tcPr>
            <w:tcW w:w="1360" w:type="dxa"/>
            <w:gridSpan w:val="4"/>
            <w:tcBorders>
              <w:top w:val="single" w:color="auto" w:sz="2" w:space="0"/>
              <w:left w:val="single" w:color="auto" w:sz="2" w:space="0"/>
              <w:bottom w:val="single" w:color="auto" w:sz="2" w:space="0"/>
              <w:right w:val="single" w:color="auto" w:sz="2" w:space="0"/>
            </w:tcBorders>
            <w:vAlign w:val="center"/>
          </w:tcPr>
          <w:p w14:paraId="3EFC9D33">
            <w:pPr>
              <w:spacing w:before="0" w:after="0" w:line="240" w:lineRule="exact"/>
              <w:jc w:val="left"/>
              <w:rPr>
                <w:rFonts w:ascii="宋体" w:hAnsi="宋体" w:eastAsia="宋体" w:cs="宋体"/>
                <w:sz w:val="18"/>
                <w:szCs w:val="18"/>
              </w:rPr>
            </w:pPr>
            <w:r>
              <w:rPr>
                <w:rFonts w:ascii="宋体" w:hAnsi="宋体" w:eastAsia="宋体" w:cs="宋体"/>
                <w:sz w:val="18"/>
                <w:szCs w:val="18"/>
              </w:rPr>
              <w:t>人民币普通股</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125541B0">
            <w:pPr>
              <w:spacing w:before="0" w:after="0" w:line="240" w:lineRule="exact"/>
              <w:jc w:val="right"/>
              <w:rPr>
                <w:rFonts w:ascii="宋体" w:hAnsi="宋体" w:eastAsia="宋体" w:cs="宋体"/>
                <w:sz w:val="18"/>
                <w:szCs w:val="18"/>
              </w:rPr>
            </w:pPr>
            <w:r>
              <w:rPr>
                <w:rFonts w:ascii="宋体" w:hAnsi="宋体" w:eastAsia="宋体" w:cs="宋体"/>
                <w:sz w:val="18"/>
                <w:szCs w:val="18"/>
              </w:rPr>
              <w:t>1,875,000</w:t>
            </w:r>
          </w:p>
        </w:tc>
      </w:tr>
      <w:tr w14:paraId="29EC2D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tcBorders>
              <w:top w:val="single" w:color="auto" w:sz="2" w:space="0"/>
              <w:left w:val="single" w:color="auto" w:sz="2" w:space="0"/>
              <w:bottom w:val="single" w:color="auto" w:sz="2" w:space="0"/>
              <w:right w:val="single" w:color="auto" w:sz="2" w:space="0"/>
            </w:tcBorders>
            <w:vAlign w:val="center"/>
          </w:tcPr>
          <w:p w14:paraId="3FD52C0B">
            <w:pPr>
              <w:spacing w:before="0" w:after="0" w:line="240" w:lineRule="exact"/>
              <w:jc w:val="left"/>
              <w:rPr>
                <w:rFonts w:ascii="宋体" w:hAnsi="宋体" w:eastAsia="宋体" w:cs="宋体"/>
                <w:sz w:val="18"/>
                <w:szCs w:val="18"/>
              </w:rPr>
            </w:pPr>
            <w:r>
              <w:rPr>
                <w:rFonts w:ascii="宋体" w:hAnsi="宋体" w:eastAsia="宋体" w:cs="宋体"/>
                <w:sz w:val="18"/>
                <w:szCs w:val="18"/>
              </w:rPr>
              <w:t>黄彩艳</w:t>
            </w:r>
          </w:p>
        </w:tc>
        <w:tc>
          <w:tcPr>
            <w:tcW w:w="1230" w:type="dxa"/>
            <w:gridSpan w:val="2"/>
            <w:tcBorders>
              <w:top w:val="single" w:color="auto" w:sz="2" w:space="0"/>
              <w:left w:val="single" w:color="auto" w:sz="2" w:space="0"/>
              <w:bottom w:val="single" w:color="auto" w:sz="2" w:space="0"/>
              <w:right w:val="single" w:color="auto" w:sz="2" w:space="0"/>
            </w:tcBorders>
            <w:vAlign w:val="center"/>
          </w:tcPr>
          <w:p w14:paraId="4B13AD42">
            <w:pPr>
              <w:spacing w:before="0" w:after="0" w:line="240" w:lineRule="exact"/>
              <w:jc w:val="right"/>
              <w:rPr>
                <w:rFonts w:ascii="宋体" w:hAnsi="宋体" w:eastAsia="宋体" w:cs="宋体"/>
                <w:sz w:val="18"/>
                <w:szCs w:val="18"/>
              </w:rPr>
            </w:pPr>
            <w:r>
              <w:rPr>
                <w:rFonts w:ascii="宋体" w:hAnsi="宋体" w:eastAsia="宋体" w:cs="宋体"/>
                <w:sz w:val="18"/>
                <w:szCs w:val="18"/>
              </w:rPr>
              <w:t>1,788,000</w:t>
            </w:r>
          </w:p>
        </w:tc>
        <w:tc>
          <w:tcPr>
            <w:tcW w:w="1360" w:type="dxa"/>
            <w:gridSpan w:val="4"/>
            <w:tcBorders>
              <w:top w:val="single" w:color="auto" w:sz="2" w:space="0"/>
              <w:left w:val="single" w:color="auto" w:sz="2" w:space="0"/>
              <w:bottom w:val="single" w:color="auto" w:sz="2" w:space="0"/>
              <w:right w:val="single" w:color="auto" w:sz="2" w:space="0"/>
            </w:tcBorders>
            <w:vAlign w:val="center"/>
          </w:tcPr>
          <w:p w14:paraId="388DCD82">
            <w:pPr>
              <w:spacing w:before="0" w:after="0" w:line="240" w:lineRule="exact"/>
              <w:jc w:val="left"/>
              <w:rPr>
                <w:rFonts w:ascii="宋体" w:hAnsi="宋体" w:eastAsia="宋体" w:cs="宋体"/>
                <w:sz w:val="18"/>
                <w:szCs w:val="18"/>
              </w:rPr>
            </w:pPr>
            <w:r>
              <w:rPr>
                <w:rFonts w:ascii="宋体" w:hAnsi="宋体" w:eastAsia="宋体" w:cs="宋体"/>
                <w:sz w:val="18"/>
                <w:szCs w:val="18"/>
              </w:rPr>
              <w:t>人民币普通股</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623777BA">
            <w:pPr>
              <w:spacing w:before="0" w:after="0" w:line="240" w:lineRule="exact"/>
              <w:jc w:val="right"/>
              <w:rPr>
                <w:rFonts w:ascii="宋体" w:hAnsi="宋体" w:eastAsia="宋体" w:cs="宋体"/>
                <w:sz w:val="18"/>
                <w:szCs w:val="18"/>
              </w:rPr>
            </w:pPr>
            <w:r>
              <w:rPr>
                <w:rFonts w:ascii="宋体" w:hAnsi="宋体" w:eastAsia="宋体" w:cs="宋体"/>
                <w:sz w:val="18"/>
                <w:szCs w:val="18"/>
              </w:rPr>
              <w:t>1,788,000</w:t>
            </w:r>
          </w:p>
        </w:tc>
      </w:tr>
      <w:tr w14:paraId="7731B3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tcBorders>
              <w:top w:val="single" w:color="auto" w:sz="2" w:space="0"/>
              <w:left w:val="single" w:color="auto" w:sz="2" w:space="0"/>
              <w:bottom w:val="single" w:color="auto" w:sz="2" w:space="0"/>
              <w:right w:val="single" w:color="auto" w:sz="2" w:space="0"/>
            </w:tcBorders>
            <w:vAlign w:val="center"/>
          </w:tcPr>
          <w:p w14:paraId="68ED4974">
            <w:pPr>
              <w:spacing w:before="0" w:after="0" w:line="240" w:lineRule="exact"/>
              <w:jc w:val="left"/>
              <w:rPr>
                <w:rFonts w:ascii="宋体" w:hAnsi="宋体" w:eastAsia="宋体" w:cs="宋体"/>
                <w:sz w:val="18"/>
                <w:szCs w:val="18"/>
              </w:rPr>
            </w:pPr>
            <w:r>
              <w:rPr>
                <w:rFonts w:ascii="宋体" w:hAnsi="宋体" w:eastAsia="宋体" w:cs="宋体"/>
                <w:sz w:val="18"/>
                <w:szCs w:val="18"/>
              </w:rPr>
              <w:t>林凤鸣</w:t>
            </w:r>
          </w:p>
        </w:tc>
        <w:tc>
          <w:tcPr>
            <w:tcW w:w="1230" w:type="dxa"/>
            <w:gridSpan w:val="2"/>
            <w:tcBorders>
              <w:top w:val="single" w:color="auto" w:sz="2" w:space="0"/>
              <w:left w:val="single" w:color="auto" w:sz="2" w:space="0"/>
              <w:bottom w:val="single" w:color="auto" w:sz="2" w:space="0"/>
              <w:right w:val="single" w:color="auto" w:sz="2" w:space="0"/>
            </w:tcBorders>
            <w:vAlign w:val="center"/>
          </w:tcPr>
          <w:p w14:paraId="18F7EAF3">
            <w:pPr>
              <w:spacing w:before="0" w:after="0" w:line="240" w:lineRule="exact"/>
              <w:jc w:val="right"/>
              <w:rPr>
                <w:rFonts w:ascii="宋体" w:hAnsi="宋体" w:eastAsia="宋体" w:cs="宋体"/>
                <w:sz w:val="18"/>
                <w:szCs w:val="18"/>
              </w:rPr>
            </w:pPr>
            <w:r>
              <w:rPr>
                <w:rFonts w:ascii="宋体" w:hAnsi="宋体" w:eastAsia="宋体" w:cs="宋体"/>
                <w:sz w:val="18"/>
                <w:szCs w:val="18"/>
              </w:rPr>
              <w:t>1,360,636</w:t>
            </w:r>
          </w:p>
        </w:tc>
        <w:tc>
          <w:tcPr>
            <w:tcW w:w="1360" w:type="dxa"/>
            <w:gridSpan w:val="4"/>
            <w:tcBorders>
              <w:top w:val="single" w:color="auto" w:sz="2" w:space="0"/>
              <w:left w:val="single" w:color="auto" w:sz="2" w:space="0"/>
              <w:bottom w:val="single" w:color="auto" w:sz="2" w:space="0"/>
              <w:right w:val="single" w:color="auto" w:sz="2" w:space="0"/>
            </w:tcBorders>
            <w:vAlign w:val="center"/>
          </w:tcPr>
          <w:p w14:paraId="6FE00C55">
            <w:pPr>
              <w:spacing w:before="0" w:after="0" w:line="240" w:lineRule="exact"/>
              <w:jc w:val="left"/>
              <w:rPr>
                <w:rFonts w:ascii="宋体" w:hAnsi="宋体" w:eastAsia="宋体" w:cs="宋体"/>
                <w:sz w:val="18"/>
                <w:szCs w:val="18"/>
              </w:rPr>
            </w:pPr>
            <w:r>
              <w:rPr>
                <w:rFonts w:ascii="宋体" w:hAnsi="宋体" w:eastAsia="宋体" w:cs="宋体"/>
                <w:sz w:val="18"/>
                <w:szCs w:val="18"/>
              </w:rPr>
              <w:t>人民币普通股</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3E5873F0">
            <w:pPr>
              <w:spacing w:before="0" w:after="0" w:line="240" w:lineRule="exact"/>
              <w:jc w:val="right"/>
              <w:rPr>
                <w:rFonts w:ascii="宋体" w:hAnsi="宋体" w:eastAsia="宋体" w:cs="宋体"/>
                <w:sz w:val="18"/>
                <w:szCs w:val="18"/>
              </w:rPr>
            </w:pPr>
            <w:r>
              <w:rPr>
                <w:rFonts w:ascii="宋体" w:hAnsi="宋体" w:eastAsia="宋体" w:cs="宋体"/>
                <w:sz w:val="18"/>
                <w:szCs w:val="18"/>
              </w:rPr>
              <w:t>1,360,636</w:t>
            </w:r>
          </w:p>
        </w:tc>
      </w:tr>
      <w:tr w14:paraId="38D1C4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907" w:type="dxa"/>
            <w:gridSpan w:val="12"/>
            <w:tcBorders>
              <w:top w:val="single" w:color="auto" w:sz="2" w:space="0"/>
              <w:left w:val="single" w:color="auto" w:sz="2" w:space="0"/>
              <w:bottom w:val="single" w:color="auto" w:sz="2" w:space="0"/>
              <w:right w:val="single" w:color="auto" w:sz="2" w:space="0"/>
            </w:tcBorders>
            <w:vAlign w:val="center"/>
          </w:tcPr>
          <w:p w14:paraId="0A0A94C3">
            <w:pPr>
              <w:spacing w:before="0" w:after="0" w:line="240" w:lineRule="exact"/>
              <w:jc w:val="left"/>
              <w:rPr>
                <w:rFonts w:ascii="宋体" w:hAnsi="宋体" w:eastAsia="宋体" w:cs="宋体"/>
                <w:sz w:val="18"/>
                <w:szCs w:val="18"/>
              </w:rPr>
            </w:pPr>
            <w:r>
              <w:rPr>
                <w:rFonts w:ascii="宋体" w:hAnsi="宋体" w:eastAsia="宋体" w:cs="宋体"/>
                <w:sz w:val="18"/>
                <w:szCs w:val="18"/>
              </w:rPr>
              <w:t>#福建千寻私募基金管理有限公司－千寻朴润成长私募证券投资基金</w:t>
            </w:r>
          </w:p>
        </w:tc>
        <w:tc>
          <w:tcPr>
            <w:tcW w:w="1230" w:type="dxa"/>
            <w:gridSpan w:val="2"/>
            <w:tcBorders>
              <w:top w:val="single" w:color="auto" w:sz="2" w:space="0"/>
              <w:left w:val="single" w:color="auto" w:sz="2" w:space="0"/>
              <w:bottom w:val="single" w:color="auto" w:sz="2" w:space="0"/>
              <w:right w:val="single" w:color="auto" w:sz="2" w:space="0"/>
            </w:tcBorders>
            <w:vAlign w:val="center"/>
          </w:tcPr>
          <w:p w14:paraId="4EB6A4AF">
            <w:pPr>
              <w:spacing w:before="0" w:after="0" w:line="240" w:lineRule="exact"/>
              <w:jc w:val="right"/>
              <w:rPr>
                <w:rFonts w:ascii="宋体" w:hAnsi="宋体" w:eastAsia="宋体" w:cs="宋体"/>
                <w:sz w:val="18"/>
                <w:szCs w:val="18"/>
              </w:rPr>
            </w:pPr>
            <w:r>
              <w:rPr>
                <w:rFonts w:ascii="宋体" w:hAnsi="宋体" w:eastAsia="宋体" w:cs="宋体"/>
                <w:sz w:val="18"/>
                <w:szCs w:val="18"/>
              </w:rPr>
              <w:t>1,146,300</w:t>
            </w:r>
          </w:p>
        </w:tc>
        <w:tc>
          <w:tcPr>
            <w:tcW w:w="1360" w:type="dxa"/>
            <w:gridSpan w:val="4"/>
            <w:tcBorders>
              <w:top w:val="single" w:color="auto" w:sz="2" w:space="0"/>
              <w:left w:val="single" w:color="auto" w:sz="2" w:space="0"/>
              <w:bottom w:val="single" w:color="auto" w:sz="2" w:space="0"/>
              <w:right w:val="single" w:color="auto" w:sz="2" w:space="0"/>
            </w:tcBorders>
            <w:vAlign w:val="center"/>
          </w:tcPr>
          <w:p w14:paraId="742C302E">
            <w:pPr>
              <w:spacing w:before="0" w:after="0" w:line="240" w:lineRule="exact"/>
              <w:jc w:val="left"/>
              <w:rPr>
                <w:rFonts w:ascii="宋体" w:hAnsi="宋体" w:eastAsia="宋体" w:cs="宋体"/>
                <w:sz w:val="18"/>
                <w:szCs w:val="18"/>
              </w:rPr>
            </w:pPr>
            <w:r>
              <w:rPr>
                <w:rFonts w:ascii="宋体" w:hAnsi="宋体" w:eastAsia="宋体" w:cs="宋体"/>
                <w:sz w:val="18"/>
                <w:szCs w:val="18"/>
              </w:rPr>
              <w:t>人民币普通股</w:t>
            </w:r>
          </w:p>
        </w:tc>
        <w:tc>
          <w:tcPr>
            <w:tcW w:w="1139" w:type="dxa"/>
            <w:gridSpan w:val="2"/>
            <w:tcBorders>
              <w:top w:val="single" w:color="auto" w:sz="2" w:space="0"/>
              <w:left w:val="single" w:color="auto" w:sz="2" w:space="0"/>
              <w:bottom w:val="single" w:color="auto" w:sz="2" w:space="0"/>
              <w:right w:val="single" w:color="auto" w:sz="2" w:space="0"/>
            </w:tcBorders>
            <w:vAlign w:val="center"/>
          </w:tcPr>
          <w:p w14:paraId="2DFC0D6E">
            <w:pPr>
              <w:spacing w:before="0" w:after="0" w:line="240" w:lineRule="exact"/>
              <w:jc w:val="right"/>
              <w:rPr>
                <w:rFonts w:ascii="宋体" w:hAnsi="宋体" w:eastAsia="宋体" w:cs="宋体"/>
                <w:sz w:val="18"/>
                <w:szCs w:val="18"/>
              </w:rPr>
            </w:pPr>
            <w:r>
              <w:rPr>
                <w:rFonts w:ascii="宋体" w:hAnsi="宋体" w:eastAsia="宋体" w:cs="宋体"/>
                <w:sz w:val="18"/>
                <w:szCs w:val="18"/>
              </w:rPr>
              <w:t>1,146,300</w:t>
            </w:r>
          </w:p>
        </w:tc>
      </w:tr>
      <w:tr w14:paraId="483996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307"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74F61C4D">
            <w:pPr>
              <w:spacing w:before="40" w:after="40" w:line="240" w:lineRule="exact"/>
              <w:jc w:val="left"/>
              <w:rPr>
                <w:rFonts w:ascii="宋体" w:hAnsi="宋体" w:eastAsia="宋体" w:cs="宋体"/>
                <w:sz w:val="18"/>
                <w:szCs w:val="18"/>
              </w:rPr>
            </w:pPr>
            <w:r>
              <w:rPr>
                <w:rFonts w:ascii="宋体" w:hAnsi="宋体" w:eastAsia="宋体" w:cs="宋体"/>
                <w:sz w:val="18"/>
                <w:szCs w:val="18"/>
              </w:rPr>
              <w:t>前10名无限售流通股股东之间，以及前10名无限售流通股股东和前10名股东之间关联关系或一致行动的说明</w:t>
            </w:r>
          </w:p>
        </w:tc>
        <w:tc>
          <w:tcPr>
            <w:tcW w:w="6329" w:type="dxa"/>
            <w:gridSpan w:val="15"/>
            <w:tcBorders>
              <w:top w:val="single" w:color="auto" w:sz="2" w:space="0"/>
              <w:left w:val="single" w:color="auto" w:sz="2" w:space="0"/>
              <w:bottom w:val="single" w:color="auto" w:sz="2" w:space="0"/>
              <w:right w:val="single" w:color="auto" w:sz="2" w:space="0"/>
            </w:tcBorders>
            <w:vAlign w:val="center"/>
          </w:tcPr>
          <w:p w14:paraId="0EF98092">
            <w:pPr>
              <w:spacing w:before="0" w:after="0" w:line="240" w:lineRule="exact"/>
              <w:jc w:val="left"/>
              <w:rPr>
                <w:rFonts w:ascii="宋体" w:hAnsi="宋体" w:eastAsia="宋体" w:cs="宋体"/>
                <w:sz w:val="18"/>
                <w:szCs w:val="18"/>
              </w:rPr>
            </w:pPr>
            <w:r>
              <w:rPr>
                <w:rFonts w:ascii="宋体" w:hAnsi="宋体" w:eastAsia="宋体" w:cs="宋体"/>
                <w:sz w:val="18"/>
                <w:szCs w:val="18"/>
              </w:rPr>
              <w:t>1、福建奥华集团有限公司、福建平潭奥泰科技投资中心（有限合伙）为李国平控制的企业，叶理青与李国平为配偶关系，李国栋与李国平为兄弟关系；</w:t>
            </w:r>
          </w:p>
          <w:p w14:paraId="57863067">
            <w:pPr>
              <w:spacing w:before="0" w:after="0" w:line="240" w:lineRule="exact"/>
              <w:jc w:val="left"/>
              <w:rPr>
                <w:rFonts w:ascii="宋体" w:hAnsi="宋体" w:eastAsia="宋体" w:cs="宋体"/>
                <w:sz w:val="18"/>
                <w:szCs w:val="18"/>
              </w:rPr>
            </w:pPr>
            <w:r>
              <w:rPr>
                <w:rFonts w:ascii="宋体" w:hAnsi="宋体" w:eastAsia="宋体" w:cs="宋体"/>
                <w:sz w:val="18"/>
                <w:szCs w:val="18"/>
              </w:rPr>
              <w:t>2、本公司未知除上述外其他股东之间是否存在关联关系，也未知是否属于一致行动人。</w:t>
            </w:r>
          </w:p>
        </w:tc>
      </w:tr>
      <w:tr w14:paraId="4492F6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307"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6DEBA03D">
            <w:pPr>
              <w:spacing w:before="40" w:after="40" w:line="240" w:lineRule="exact"/>
              <w:jc w:val="left"/>
              <w:rPr>
                <w:rFonts w:ascii="宋体" w:hAnsi="宋体" w:eastAsia="宋体" w:cs="宋体"/>
                <w:sz w:val="18"/>
                <w:szCs w:val="18"/>
              </w:rPr>
            </w:pPr>
            <w:r>
              <w:rPr>
                <w:rFonts w:ascii="宋体" w:hAnsi="宋体" w:eastAsia="宋体" w:cs="宋体"/>
                <w:sz w:val="18"/>
                <w:szCs w:val="18"/>
              </w:rPr>
              <w:t>参与融资融券业务股东情况说明（如有）（参见注5）</w:t>
            </w:r>
          </w:p>
        </w:tc>
        <w:tc>
          <w:tcPr>
            <w:tcW w:w="6329" w:type="dxa"/>
            <w:gridSpan w:val="15"/>
            <w:tcBorders>
              <w:top w:val="single" w:color="auto" w:sz="2" w:space="0"/>
              <w:left w:val="single" w:color="auto" w:sz="2" w:space="0"/>
              <w:bottom w:val="single" w:color="auto" w:sz="2" w:space="0"/>
              <w:right w:val="single" w:color="auto" w:sz="2" w:space="0"/>
            </w:tcBorders>
            <w:vAlign w:val="center"/>
          </w:tcPr>
          <w:p w14:paraId="32D7BBAB">
            <w:pPr>
              <w:spacing w:before="0" w:after="0" w:line="240" w:lineRule="exact"/>
              <w:jc w:val="left"/>
              <w:rPr>
                <w:rFonts w:ascii="宋体" w:hAnsi="宋体" w:eastAsia="宋体" w:cs="宋体"/>
                <w:sz w:val="18"/>
                <w:szCs w:val="18"/>
              </w:rPr>
            </w:pPr>
            <w:r>
              <w:rPr>
                <w:rFonts w:ascii="宋体" w:hAnsi="宋体" w:eastAsia="宋体" w:cs="宋体"/>
                <w:sz w:val="18"/>
                <w:szCs w:val="18"/>
              </w:rPr>
              <w:t>1、公司股东#蔡云霞通过普通证券账户持有2,100,527股，通过平安证券股份有限公司客户信用交易担保证券账户持有50,000股，合计持有2,150,527股；</w:t>
            </w:r>
          </w:p>
          <w:p w14:paraId="1DC4C5D0">
            <w:pPr>
              <w:spacing w:before="0" w:after="0" w:line="240" w:lineRule="exact"/>
              <w:jc w:val="left"/>
              <w:rPr>
                <w:rFonts w:ascii="宋体" w:hAnsi="宋体" w:eastAsia="宋体" w:cs="宋体"/>
                <w:sz w:val="18"/>
                <w:szCs w:val="18"/>
              </w:rPr>
            </w:pPr>
            <w:r>
              <w:rPr>
                <w:rFonts w:ascii="宋体" w:hAnsi="宋体" w:eastAsia="宋体" w:cs="宋体"/>
                <w:sz w:val="18"/>
                <w:szCs w:val="18"/>
              </w:rPr>
              <w:t>2、公司股东#福建千寻私募基金管理有限公司－千寻朴润成长私募证券投资基金通过普通证券账户持有964,200股，通过东北证券股份有限公司客户信用交易担保证券账户持有182,100股，合计持有1,146,300股。</w:t>
            </w:r>
          </w:p>
        </w:tc>
      </w:tr>
    </w:tbl>
    <w:p w14:paraId="780E4AB4">
      <w:pPr>
        <w:spacing w:before="100" w:after="100" w:line="240" w:lineRule="exact"/>
        <w:jc w:val="left"/>
        <w:rPr>
          <w:rFonts w:ascii="宋体" w:hAnsi="宋体" w:eastAsia="宋体" w:cs="宋体"/>
          <w:sz w:val="18"/>
          <w:szCs w:val="18"/>
        </w:rPr>
      </w:pPr>
      <w:r>
        <w:rPr>
          <w:rFonts w:ascii="宋体" w:hAnsi="宋体" w:eastAsia="宋体" w:cs="宋体"/>
          <w:sz w:val="18"/>
          <w:szCs w:val="18"/>
        </w:rPr>
        <w:t>持股5%以上股东、前10名股东及前10名无限售流通股股东参与转融通业务出借股份情况</w:t>
      </w:r>
    </w:p>
    <w:p w14:paraId="1AF316DA">
      <w:pPr>
        <w:spacing w:before="0" w:after="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8141F3D">
      <w:pPr>
        <w:spacing w:before="100" w:after="100" w:line="240" w:lineRule="exact"/>
        <w:jc w:val="left"/>
        <w:rPr>
          <w:rFonts w:ascii="宋体" w:hAnsi="宋体" w:eastAsia="宋体" w:cs="宋体"/>
          <w:sz w:val="18"/>
          <w:szCs w:val="18"/>
        </w:rPr>
      </w:pPr>
      <w:r>
        <w:rPr>
          <w:rFonts w:ascii="宋体" w:hAnsi="宋体" w:eastAsia="宋体" w:cs="宋体"/>
          <w:sz w:val="18"/>
          <w:szCs w:val="18"/>
        </w:rPr>
        <w:t>前10名股东及前10名无限售流通股股东因转融通出借/归还原因导致较上期发生变化</w:t>
      </w:r>
    </w:p>
    <w:p w14:paraId="32F146AA">
      <w:pPr>
        <w:spacing w:before="0" w:after="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37F8A4B">
      <w:pPr>
        <w:spacing w:before="100" w:after="100" w:line="240" w:lineRule="exact"/>
        <w:jc w:val="left"/>
        <w:rPr>
          <w:rFonts w:ascii="宋体" w:hAnsi="宋体" w:eastAsia="宋体" w:cs="宋体"/>
          <w:sz w:val="18"/>
          <w:szCs w:val="18"/>
        </w:rPr>
      </w:pPr>
      <w:r>
        <w:rPr>
          <w:rFonts w:ascii="宋体" w:hAnsi="宋体" w:eastAsia="宋体" w:cs="宋体"/>
          <w:sz w:val="18"/>
          <w:szCs w:val="18"/>
        </w:rPr>
        <w:t>公司是否具有表决权差异安排</w:t>
      </w:r>
    </w:p>
    <w:p w14:paraId="61541E1F">
      <w:pPr>
        <w:spacing w:before="0" w:after="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63083BA">
      <w:pPr>
        <w:spacing w:before="100" w:after="100" w:line="240" w:lineRule="exact"/>
        <w:jc w:val="left"/>
        <w:rPr>
          <w:rFonts w:ascii="宋体" w:hAnsi="宋体" w:eastAsia="宋体" w:cs="宋体"/>
          <w:sz w:val="18"/>
          <w:szCs w:val="18"/>
        </w:rPr>
      </w:pPr>
      <w:r>
        <w:rPr>
          <w:rFonts w:ascii="宋体" w:hAnsi="宋体" w:eastAsia="宋体" w:cs="宋体"/>
          <w:sz w:val="18"/>
          <w:szCs w:val="18"/>
        </w:rPr>
        <w:t>公司前10名普通股股东、前10名无限售条件普通股股东在报告期内是否进行约定购回交易</w:t>
      </w:r>
    </w:p>
    <w:p w14:paraId="10C1F693">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107AC810">
      <w:pPr>
        <w:spacing w:before="40" w:after="40" w:line="240" w:lineRule="exact"/>
        <w:jc w:val="left"/>
        <w:rPr>
          <w:rFonts w:ascii="宋体" w:hAnsi="宋体" w:eastAsia="宋体" w:cs="宋体"/>
          <w:sz w:val="18"/>
          <w:szCs w:val="18"/>
        </w:rPr>
      </w:pPr>
      <w:r>
        <w:rPr>
          <w:rFonts w:ascii="宋体" w:hAnsi="宋体" w:eastAsia="宋体" w:cs="宋体"/>
          <w:sz w:val="18"/>
          <w:szCs w:val="18"/>
        </w:rPr>
        <w:t>公司前10名普通股股东、前10名无限售条件普通股股东在报告期内未进行约定购回交易。</w:t>
      </w:r>
    </w:p>
    <w:p w14:paraId="6166C4CA">
      <w:pPr>
        <w:keepNext/>
        <w:keepLines/>
        <w:spacing w:before="300" w:after="300" w:line="280" w:lineRule="exact"/>
        <w:jc w:val="left"/>
        <w:outlineLvl w:val="2"/>
        <w:rPr>
          <w:rFonts w:ascii="宋体" w:hAnsi="宋体" w:eastAsia="宋体" w:cs="宋体"/>
          <w:b/>
          <w:bCs/>
          <w:sz w:val="21"/>
          <w:szCs w:val="21"/>
        </w:rPr>
      </w:pPr>
      <w:bookmarkStart w:id="142" w:name="_Toc989029"/>
      <w:r>
        <w:rPr>
          <w:rFonts w:ascii="宋体" w:hAnsi="宋体" w:eastAsia="宋体" w:cs="宋体"/>
          <w:b/>
          <w:bCs/>
          <w:sz w:val="21"/>
          <w:szCs w:val="21"/>
        </w:rPr>
        <w:t>2、公司控股股东情况</w:t>
      </w:r>
      <w:bookmarkEnd w:id="142"/>
    </w:p>
    <w:p w14:paraId="3B83BD24">
      <w:pPr>
        <w:spacing w:before="40" w:after="40" w:line="240" w:lineRule="exact"/>
        <w:jc w:val="left"/>
        <w:rPr>
          <w:rFonts w:ascii="宋体" w:hAnsi="宋体" w:eastAsia="宋体" w:cs="宋体"/>
          <w:sz w:val="18"/>
          <w:szCs w:val="18"/>
        </w:rPr>
      </w:pPr>
      <w:r>
        <w:rPr>
          <w:rFonts w:ascii="宋体" w:hAnsi="宋体" w:eastAsia="宋体" w:cs="宋体"/>
          <w:sz w:val="18"/>
          <w:szCs w:val="18"/>
        </w:rPr>
        <w:t>控股股东性质：自然人控股</w:t>
      </w:r>
    </w:p>
    <w:p w14:paraId="31A909E8">
      <w:pPr>
        <w:spacing w:before="40" w:after="40" w:line="240" w:lineRule="exact"/>
        <w:jc w:val="left"/>
        <w:rPr>
          <w:rFonts w:ascii="宋体" w:hAnsi="宋体" w:eastAsia="宋体" w:cs="宋体"/>
          <w:sz w:val="18"/>
          <w:szCs w:val="18"/>
        </w:rPr>
      </w:pPr>
      <w:r>
        <w:rPr>
          <w:rFonts w:ascii="宋体" w:hAnsi="宋体" w:eastAsia="宋体" w:cs="宋体"/>
          <w:sz w:val="18"/>
          <w:szCs w:val="18"/>
        </w:rPr>
        <w:t>控股股东类型：法人</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157"/>
        <w:gridCol w:w="1380"/>
        <w:gridCol w:w="1210"/>
        <w:gridCol w:w="1370"/>
        <w:gridCol w:w="3523"/>
      </w:tblGrid>
      <w:tr w14:paraId="2F64F9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57" w:type="dxa"/>
            <w:tcBorders>
              <w:top w:val="single" w:color="auto" w:sz="2" w:space="0"/>
              <w:left w:val="single" w:color="auto" w:sz="2" w:space="0"/>
              <w:bottom w:val="single" w:color="auto" w:sz="2" w:space="0"/>
              <w:right w:val="single" w:color="auto" w:sz="2" w:space="0"/>
            </w:tcBorders>
            <w:shd w:val="clear" w:color="auto" w:fill="D3D3D3"/>
            <w:vAlign w:val="center"/>
          </w:tcPr>
          <w:p w14:paraId="6B100A23">
            <w:pPr>
              <w:spacing w:before="40" w:after="40" w:line="240" w:lineRule="exact"/>
              <w:jc w:val="center"/>
              <w:rPr>
                <w:rFonts w:ascii="宋体" w:hAnsi="宋体" w:eastAsia="宋体" w:cs="宋体"/>
                <w:sz w:val="18"/>
                <w:szCs w:val="18"/>
              </w:rPr>
            </w:pPr>
            <w:r>
              <w:rPr>
                <w:rFonts w:ascii="宋体" w:hAnsi="宋体" w:eastAsia="宋体" w:cs="宋体"/>
                <w:sz w:val="18"/>
                <w:szCs w:val="18"/>
              </w:rPr>
              <w:t>控股股东名称</w:t>
            </w:r>
          </w:p>
        </w:tc>
        <w:tc>
          <w:tcPr>
            <w:tcW w:w="1380" w:type="dxa"/>
            <w:tcBorders>
              <w:top w:val="single" w:color="auto" w:sz="2" w:space="0"/>
              <w:left w:val="single" w:color="auto" w:sz="2" w:space="0"/>
              <w:bottom w:val="single" w:color="auto" w:sz="2" w:space="0"/>
              <w:right w:val="single" w:color="auto" w:sz="2" w:space="0"/>
            </w:tcBorders>
            <w:shd w:val="clear" w:color="auto" w:fill="D3D3D3"/>
            <w:vAlign w:val="center"/>
          </w:tcPr>
          <w:p w14:paraId="43A64AA7">
            <w:pPr>
              <w:spacing w:before="40" w:after="40" w:line="240" w:lineRule="exact"/>
              <w:jc w:val="center"/>
              <w:rPr>
                <w:rFonts w:ascii="宋体" w:hAnsi="宋体" w:eastAsia="宋体" w:cs="宋体"/>
                <w:sz w:val="18"/>
                <w:szCs w:val="18"/>
              </w:rPr>
            </w:pPr>
            <w:r>
              <w:rPr>
                <w:rFonts w:ascii="宋体" w:hAnsi="宋体" w:eastAsia="宋体" w:cs="宋体"/>
                <w:sz w:val="18"/>
                <w:szCs w:val="18"/>
              </w:rPr>
              <w:t>法定代表人/单位负责人</w:t>
            </w:r>
          </w:p>
        </w:tc>
        <w:tc>
          <w:tcPr>
            <w:tcW w:w="1210" w:type="dxa"/>
            <w:tcBorders>
              <w:top w:val="single" w:color="auto" w:sz="2" w:space="0"/>
              <w:left w:val="single" w:color="auto" w:sz="2" w:space="0"/>
              <w:bottom w:val="single" w:color="auto" w:sz="2" w:space="0"/>
              <w:right w:val="single" w:color="auto" w:sz="2" w:space="0"/>
            </w:tcBorders>
            <w:shd w:val="clear" w:color="auto" w:fill="D3D3D3"/>
            <w:vAlign w:val="center"/>
          </w:tcPr>
          <w:p w14:paraId="69D1FF70">
            <w:pPr>
              <w:spacing w:before="40" w:after="40" w:line="240" w:lineRule="exact"/>
              <w:jc w:val="center"/>
              <w:rPr>
                <w:rFonts w:ascii="宋体" w:hAnsi="宋体" w:eastAsia="宋体" w:cs="宋体"/>
                <w:sz w:val="18"/>
                <w:szCs w:val="18"/>
              </w:rPr>
            </w:pPr>
            <w:r>
              <w:rPr>
                <w:rFonts w:ascii="宋体" w:hAnsi="宋体" w:eastAsia="宋体" w:cs="宋体"/>
                <w:sz w:val="18"/>
                <w:szCs w:val="18"/>
              </w:rPr>
              <w:t>成立日期</w:t>
            </w:r>
          </w:p>
        </w:tc>
        <w:tc>
          <w:tcPr>
            <w:tcW w:w="1370" w:type="dxa"/>
            <w:tcBorders>
              <w:top w:val="single" w:color="auto" w:sz="2" w:space="0"/>
              <w:left w:val="single" w:color="auto" w:sz="2" w:space="0"/>
              <w:bottom w:val="single" w:color="auto" w:sz="2" w:space="0"/>
              <w:right w:val="single" w:color="auto" w:sz="2" w:space="0"/>
            </w:tcBorders>
            <w:shd w:val="clear" w:color="auto" w:fill="D3D3D3"/>
            <w:vAlign w:val="center"/>
          </w:tcPr>
          <w:p w14:paraId="5F9DF149">
            <w:pPr>
              <w:spacing w:before="40" w:after="40" w:line="240" w:lineRule="exact"/>
              <w:jc w:val="center"/>
              <w:rPr>
                <w:rFonts w:ascii="宋体" w:hAnsi="宋体" w:eastAsia="宋体" w:cs="宋体"/>
                <w:sz w:val="18"/>
                <w:szCs w:val="18"/>
              </w:rPr>
            </w:pPr>
            <w:r>
              <w:rPr>
                <w:rFonts w:ascii="宋体" w:hAnsi="宋体" w:eastAsia="宋体" w:cs="宋体"/>
                <w:sz w:val="18"/>
                <w:szCs w:val="18"/>
              </w:rPr>
              <w:t>组织机构代码</w:t>
            </w:r>
          </w:p>
        </w:tc>
        <w:tc>
          <w:tcPr>
            <w:tcW w:w="3523" w:type="dxa"/>
            <w:tcBorders>
              <w:top w:val="single" w:color="auto" w:sz="2" w:space="0"/>
              <w:left w:val="single" w:color="auto" w:sz="2" w:space="0"/>
              <w:bottom w:val="single" w:color="auto" w:sz="2" w:space="0"/>
              <w:right w:val="single" w:color="auto" w:sz="2" w:space="0"/>
            </w:tcBorders>
            <w:shd w:val="clear" w:color="auto" w:fill="D3D3D3"/>
            <w:vAlign w:val="center"/>
          </w:tcPr>
          <w:p w14:paraId="665FD711">
            <w:pPr>
              <w:spacing w:before="40" w:after="40" w:line="240" w:lineRule="exact"/>
              <w:jc w:val="center"/>
              <w:rPr>
                <w:rFonts w:ascii="宋体" w:hAnsi="宋体" w:eastAsia="宋体" w:cs="宋体"/>
                <w:sz w:val="18"/>
                <w:szCs w:val="18"/>
              </w:rPr>
            </w:pPr>
            <w:r>
              <w:rPr>
                <w:rFonts w:ascii="宋体" w:hAnsi="宋体" w:eastAsia="宋体" w:cs="宋体"/>
                <w:sz w:val="18"/>
                <w:szCs w:val="18"/>
              </w:rPr>
              <w:t>主要经营业务</w:t>
            </w:r>
          </w:p>
        </w:tc>
      </w:tr>
      <w:tr w14:paraId="70BE03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57" w:type="dxa"/>
            <w:tcBorders>
              <w:top w:val="single" w:color="auto" w:sz="2" w:space="0"/>
              <w:left w:val="single" w:color="auto" w:sz="2" w:space="0"/>
              <w:bottom w:val="single" w:color="auto" w:sz="2" w:space="0"/>
              <w:right w:val="single" w:color="auto" w:sz="2" w:space="0"/>
            </w:tcBorders>
            <w:vAlign w:val="center"/>
          </w:tcPr>
          <w:p w14:paraId="6FA316FA">
            <w:pPr>
              <w:spacing w:before="0" w:after="0" w:line="240" w:lineRule="exact"/>
              <w:jc w:val="left"/>
              <w:rPr>
                <w:rFonts w:ascii="宋体" w:hAnsi="宋体" w:eastAsia="宋体" w:cs="宋体"/>
                <w:sz w:val="18"/>
                <w:szCs w:val="18"/>
              </w:rPr>
            </w:pPr>
            <w:r>
              <w:rPr>
                <w:rFonts w:ascii="宋体" w:hAnsi="宋体" w:eastAsia="宋体" w:cs="宋体"/>
                <w:sz w:val="18"/>
                <w:szCs w:val="18"/>
              </w:rPr>
              <w:t>福建奥华集团有限公司</w:t>
            </w:r>
          </w:p>
        </w:tc>
        <w:tc>
          <w:tcPr>
            <w:tcW w:w="1380" w:type="dxa"/>
            <w:tcBorders>
              <w:top w:val="single" w:color="auto" w:sz="2" w:space="0"/>
              <w:left w:val="single" w:color="auto" w:sz="2" w:space="0"/>
              <w:bottom w:val="single" w:color="auto" w:sz="2" w:space="0"/>
              <w:right w:val="single" w:color="auto" w:sz="2" w:space="0"/>
            </w:tcBorders>
            <w:vAlign w:val="center"/>
          </w:tcPr>
          <w:p w14:paraId="37B625B1">
            <w:pPr>
              <w:spacing w:before="0" w:after="0" w:line="240" w:lineRule="exact"/>
              <w:jc w:val="left"/>
              <w:rPr>
                <w:rFonts w:ascii="宋体" w:hAnsi="宋体" w:eastAsia="宋体" w:cs="宋体"/>
                <w:sz w:val="18"/>
                <w:szCs w:val="18"/>
              </w:rPr>
            </w:pPr>
            <w:r>
              <w:rPr>
                <w:rFonts w:ascii="宋体" w:hAnsi="宋体" w:eastAsia="宋体" w:cs="宋体"/>
                <w:sz w:val="18"/>
                <w:szCs w:val="18"/>
              </w:rPr>
              <w:t>郭晓阳</w:t>
            </w:r>
          </w:p>
        </w:tc>
        <w:tc>
          <w:tcPr>
            <w:tcW w:w="1210" w:type="dxa"/>
            <w:tcBorders>
              <w:top w:val="single" w:color="auto" w:sz="2" w:space="0"/>
              <w:left w:val="single" w:color="auto" w:sz="2" w:space="0"/>
              <w:bottom w:val="single" w:color="auto" w:sz="2" w:space="0"/>
              <w:right w:val="single" w:color="auto" w:sz="2" w:space="0"/>
            </w:tcBorders>
            <w:vAlign w:val="center"/>
          </w:tcPr>
          <w:p w14:paraId="3C1F1253">
            <w:pPr>
              <w:spacing w:before="0" w:after="0" w:line="240" w:lineRule="exact"/>
              <w:jc w:val="left"/>
              <w:rPr>
                <w:rFonts w:ascii="宋体" w:hAnsi="宋体" w:eastAsia="宋体" w:cs="宋体"/>
                <w:sz w:val="18"/>
                <w:szCs w:val="18"/>
              </w:rPr>
            </w:pPr>
            <w:r>
              <w:rPr>
                <w:rFonts w:ascii="宋体" w:hAnsi="宋体" w:eastAsia="宋体" w:cs="宋体"/>
                <w:sz w:val="18"/>
                <w:szCs w:val="18"/>
              </w:rPr>
              <w:t>1999年04月05日</w:t>
            </w:r>
          </w:p>
        </w:tc>
        <w:tc>
          <w:tcPr>
            <w:tcW w:w="1370" w:type="dxa"/>
            <w:tcBorders>
              <w:top w:val="single" w:color="auto" w:sz="2" w:space="0"/>
              <w:left w:val="single" w:color="auto" w:sz="2" w:space="0"/>
              <w:bottom w:val="single" w:color="auto" w:sz="2" w:space="0"/>
              <w:right w:val="single" w:color="auto" w:sz="2" w:space="0"/>
            </w:tcBorders>
            <w:vAlign w:val="center"/>
          </w:tcPr>
          <w:p w14:paraId="0D7C9BBD">
            <w:pPr>
              <w:spacing w:before="0" w:after="0" w:line="240" w:lineRule="exact"/>
              <w:jc w:val="left"/>
              <w:rPr>
                <w:rFonts w:ascii="宋体" w:hAnsi="宋体" w:eastAsia="宋体" w:cs="宋体"/>
                <w:sz w:val="18"/>
                <w:szCs w:val="18"/>
              </w:rPr>
            </w:pPr>
            <w:r>
              <w:rPr>
                <w:rFonts w:ascii="宋体" w:hAnsi="宋体" w:eastAsia="宋体" w:cs="宋体"/>
                <w:sz w:val="18"/>
                <w:szCs w:val="18"/>
              </w:rPr>
              <w:t>91350000705100933W</w:t>
            </w:r>
          </w:p>
        </w:tc>
        <w:tc>
          <w:tcPr>
            <w:tcW w:w="3523" w:type="dxa"/>
            <w:tcBorders>
              <w:top w:val="single" w:color="auto" w:sz="2" w:space="0"/>
              <w:left w:val="single" w:color="auto" w:sz="2" w:space="0"/>
              <w:bottom w:val="single" w:color="auto" w:sz="2" w:space="0"/>
              <w:right w:val="single" w:color="auto" w:sz="2" w:space="0"/>
            </w:tcBorders>
            <w:vAlign w:val="center"/>
          </w:tcPr>
          <w:p w14:paraId="7EA4E93C">
            <w:pPr>
              <w:spacing w:before="0" w:after="0" w:line="240" w:lineRule="exact"/>
              <w:jc w:val="left"/>
              <w:rPr>
                <w:rFonts w:ascii="宋体" w:hAnsi="宋体" w:eastAsia="宋体" w:cs="宋体"/>
                <w:sz w:val="18"/>
                <w:szCs w:val="18"/>
              </w:rPr>
            </w:pPr>
            <w:r>
              <w:rPr>
                <w:rFonts w:ascii="宋体" w:hAnsi="宋体" w:eastAsia="宋体" w:cs="宋体"/>
                <w:sz w:val="18"/>
                <w:szCs w:val="18"/>
              </w:rPr>
              <w:t>计算机软件、网络信息技术开发、咨询服务；计算机及配件批发；展览活动、体育赛事的策划；珠宝首饰的零售；对传媒、医药业、房地产业的投资；房屋租赁；设计、制作、代理、发布国内广告。（依法须经批准的项目，经相关部门批准后方可开展经营活动）</w:t>
            </w:r>
          </w:p>
        </w:tc>
      </w:tr>
      <w:tr w14:paraId="42D8DD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57" w:type="dxa"/>
            <w:tcBorders>
              <w:top w:val="single" w:color="auto" w:sz="2" w:space="0"/>
              <w:left w:val="single" w:color="auto" w:sz="2" w:space="0"/>
              <w:bottom w:val="single" w:color="auto" w:sz="2" w:space="0"/>
              <w:right w:val="single" w:color="auto" w:sz="2" w:space="0"/>
            </w:tcBorders>
            <w:shd w:val="clear" w:color="auto" w:fill="D3D3D3"/>
            <w:vAlign w:val="center"/>
          </w:tcPr>
          <w:p w14:paraId="33696AD1">
            <w:pPr>
              <w:spacing w:before="40" w:after="40" w:line="240" w:lineRule="exact"/>
              <w:jc w:val="left"/>
              <w:rPr>
                <w:rFonts w:ascii="宋体" w:hAnsi="宋体" w:eastAsia="宋体" w:cs="宋体"/>
                <w:sz w:val="18"/>
                <w:szCs w:val="18"/>
              </w:rPr>
            </w:pPr>
            <w:r>
              <w:rPr>
                <w:rFonts w:ascii="宋体" w:hAnsi="宋体" w:eastAsia="宋体" w:cs="宋体"/>
                <w:sz w:val="18"/>
                <w:szCs w:val="18"/>
              </w:rPr>
              <w:t>控股股东报告期内控股和参股的其他境内外上市公司的股权情况</w:t>
            </w:r>
          </w:p>
        </w:tc>
        <w:tc>
          <w:tcPr>
            <w:tcW w:w="7483" w:type="dxa"/>
            <w:gridSpan w:val="4"/>
            <w:tcBorders>
              <w:top w:val="single" w:color="auto" w:sz="2" w:space="0"/>
              <w:left w:val="single" w:color="auto" w:sz="2" w:space="0"/>
              <w:bottom w:val="single" w:color="auto" w:sz="2" w:space="0"/>
              <w:right w:val="single" w:color="auto" w:sz="2" w:space="0"/>
            </w:tcBorders>
            <w:vAlign w:val="center"/>
          </w:tcPr>
          <w:p w14:paraId="1D1BD5C7">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bl>
    <w:p w14:paraId="166A0AE0">
      <w:pPr>
        <w:spacing w:before="100" w:after="100" w:line="240" w:lineRule="exact"/>
        <w:jc w:val="left"/>
        <w:rPr>
          <w:rFonts w:ascii="宋体" w:hAnsi="宋体" w:eastAsia="宋体" w:cs="宋体"/>
          <w:sz w:val="18"/>
          <w:szCs w:val="18"/>
        </w:rPr>
      </w:pPr>
      <w:r>
        <w:rPr>
          <w:rFonts w:ascii="宋体" w:hAnsi="宋体" w:eastAsia="宋体" w:cs="宋体"/>
          <w:sz w:val="18"/>
          <w:szCs w:val="18"/>
        </w:rPr>
        <w:t>控股股东报告期内变更</w:t>
      </w:r>
    </w:p>
    <w:p w14:paraId="47E9A186">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20B9EC9">
      <w:pPr>
        <w:spacing w:before="40" w:after="40" w:line="240" w:lineRule="exact"/>
        <w:jc w:val="left"/>
        <w:rPr>
          <w:rFonts w:ascii="宋体" w:hAnsi="宋体" w:eastAsia="宋体" w:cs="宋体"/>
          <w:sz w:val="18"/>
          <w:szCs w:val="18"/>
        </w:rPr>
      </w:pPr>
      <w:r>
        <w:rPr>
          <w:rFonts w:ascii="宋体" w:hAnsi="宋体" w:eastAsia="宋体" w:cs="宋体"/>
          <w:sz w:val="18"/>
          <w:szCs w:val="18"/>
        </w:rPr>
        <w:t>公司报告期控股股东未发生变更。</w:t>
      </w:r>
    </w:p>
    <w:p w14:paraId="05897A36">
      <w:pPr>
        <w:keepNext/>
        <w:keepLines/>
        <w:spacing w:before="300" w:after="300" w:line="280" w:lineRule="exact"/>
        <w:jc w:val="left"/>
        <w:outlineLvl w:val="2"/>
        <w:rPr>
          <w:rFonts w:ascii="宋体" w:hAnsi="宋体" w:eastAsia="宋体" w:cs="宋体"/>
          <w:b/>
          <w:bCs/>
          <w:sz w:val="21"/>
          <w:szCs w:val="21"/>
        </w:rPr>
      </w:pPr>
      <w:bookmarkStart w:id="143" w:name="_Toc989030"/>
      <w:r>
        <w:rPr>
          <w:rFonts w:ascii="宋体" w:hAnsi="宋体" w:eastAsia="宋体" w:cs="宋体"/>
          <w:b/>
          <w:bCs/>
          <w:sz w:val="21"/>
          <w:szCs w:val="21"/>
        </w:rPr>
        <w:t>3、公司实际控制人及其一致行动人</w:t>
      </w:r>
      <w:bookmarkEnd w:id="143"/>
    </w:p>
    <w:p w14:paraId="4B7B991B">
      <w:pPr>
        <w:spacing w:before="40" w:after="40" w:line="240" w:lineRule="exact"/>
        <w:jc w:val="left"/>
        <w:rPr>
          <w:rFonts w:ascii="宋体" w:hAnsi="宋体" w:eastAsia="宋体" w:cs="宋体"/>
          <w:sz w:val="18"/>
          <w:szCs w:val="18"/>
        </w:rPr>
      </w:pPr>
      <w:r>
        <w:rPr>
          <w:rFonts w:ascii="宋体" w:hAnsi="宋体" w:eastAsia="宋体" w:cs="宋体"/>
          <w:sz w:val="18"/>
          <w:szCs w:val="18"/>
        </w:rPr>
        <w:t>实际控制人性质：境内自然人</w:t>
      </w:r>
    </w:p>
    <w:p w14:paraId="476CEE37">
      <w:pPr>
        <w:spacing w:before="40" w:after="40" w:line="240" w:lineRule="exact"/>
        <w:jc w:val="left"/>
        <w:rPr>
          <w:rFonts w:ascii="宋体" w:hAnsi="宋体" w:eastAsia="宋体" w:cs="宋体"/>
          <w:sz w:val="18"/>
          <w:szCs w:val="18"/>
        </w:rPr>
      </w:pPr>
      <w:r>
        <w:rPr>
          <w:rFonts w:ascii="宋体" w:hAnsi="宋体" w:eastAsia="宋体" w:cs="宋体"/>
          <w:sz w:val="18"/>
          <w:szCs w:val="18"/>
        </w:rPr>
        <w:t>实际控制人类型：自然人</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77E6EE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D74E549">
            <w:pPr>
              <w:spacing w:before="40" w:after="40" w:line="240" w:lineRule="exact"/>
              <w:jc w:val="center"/>
              <w:rPr>
                <w:rFonts w:ascii="宋体" w:hAnsi="宋体" w:eastAsia="宋体" w:cs="宋体"/>
                <w:sz w:val="18"/>
                <w:szCs w:val="18"/>
              </w:rPr>
            </w:pPr>
            <w:r>
              <w:rPr>
                <w:rFonts w:ascii="宋体" w:hAnsi="宋体" w:eastAsia="宋体" w:cs="宋体"/>
                <w:sz w:val="18"/>
                <w:szCs w:val="18"/>
              </w:rPr>
              <w:t>实际控制人姓名</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DF3A5B1">
            <w:pPr>
              <w:spacing w:before="40" w:after="40" w:line="240" w:lineRule="exact"/>
              <w:jc w:val="center"/>
              <w:rPr>
                <w:rFonts w:ascii="宋体" w:hAnsi="宋体" w:eastAsia="宋体" w:cs="宋体"/>
                <w:sz w:val="18"/>
                <w:szCs w:val="18"/>
              </w:rPr>
            </w:pPr>
            <w:r>
              <w:rPr>
                <w:rFonts w:ascii="宋体" w:hAnsi="宋体" w:eastAsia="宋体" w:cs="宋体"/>
                <w:sz w:val="18"/>
                <w:szCs w:val="18"/>
              </w:rPr>
              <w:t>与实际控制人关系</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2C5F3D7">
            <w:pPr>
              <w:spacing w:before="40" w:after="40" w:line="240" w:lineRule="exact"/>
              <w:jc w:val="center"/>
              <w:rPr>
                <w:rFonts w:ascii="宋体" w:hAnsi="宋体" w:eastAsia="宋体" w:cs="宋体"/>
                <w:sz w:val="18"/>
                <w:szCs w:val="18"/>
              </w:rPr>
            </w:pPr>
            <w:r>
              <w:rPr>
                <w:rFonts w:ascii="宋体" w:hAnsi="宋体" w:eastAsia="宋体" w:cs="宋体"/>
                <w:sz w:val="18"/>
                <w:szCs w:val="18"/>
              </w:rPr>
              <w:t>国籍</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B082162">
            <w:pPr>
              <w:spacing w:before="40" w:after="40" w:line="240" w:lineRule="exact"/>
              <w:jc w:val="center"/>
              <w:rPr>
                <w:rFonts w:ascii="宋体" w:hAnsi="宋体" w:eastAsia="宋体" w:cs="宋体"/>
                <w:sz w:val="18"/>
                <w:szCs w:val="18"/>
              </w:rPr>
            </w:pPr>
            <w:r>
              <w:rPr>
                <w:rFonts w:ascii="宋体" w:hAnsi="宋体" w:eastAsia="宋体" w:cs="宋体"/>
                <w:sz w:val="18"/>
                <w:szCs w:val="18"/>
              </w:rPr>
              <w:t>是否取得其他国家或地区居留权</w:t>
            </w:r>
          </w:p>
        </w:tc>
      </w:tr>
      <w:tr w14:paraId="642FBE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81593DD">
            <w:pPr>
              <w:spacing w:before="0" w:after="0" w:line="240" w:lineRule="exact"/>
              <w:jc w:val="left"/>
              <w:rPr>
                <w:rFonts w:ascii="宋体" w:hAnsi="宋体" w:eastAsia="宋体" w:cs="宋体"/>
                <w:sz w:val="18"/>
                <w:szCs w:val="18"/>
              </w:rPr>
            </w:pPr>
            <w:r>
              <w:rPr>
                <w:rFonts w:ascii="宋体" w:hAnsi="宋体" w:eastAsia="宋体" w:cs="宋体"/>
                <w:sz w:val="18"/>
                <w:szCs w:val="18"/>
              </w:rPr>
              <w:t>叶理青</w:t>
            </w:r>
          </w:p>
        </w:tc>
        <w:tc>
          <w:tcPr>
            <w:tcW w:w="2410" w:type="dxa"/>
            <w:tcBorders>
              <w:top w:val="single" w:color="auto" w:sz="2" w:space="0"/>
              <w:left w:val="single" w:color="auto" w:sz="2" w:space="0"/>
              <w:bottom w:val="single" w:color="auto" w:sz="2" w:space="0"/>
              <w:right w:val="single" w:color="auto" w:sz="2" w:space="0"/>
            </w:tcBorders>
            <w:vAlign w:val="center"/>
          </w:tcPr>
          <w:p w14:paraId="01525865">
            <w:pPr>
              <w:spacing w:before="0" w:after="0" w:line="240" w:lineRule="exact"/>
              <w:jc w:val="left"/>
              <w:rPr>
                <w:rFonts w:ascii="宋体" w:hAnsi="宋体" w:eastAsia="宋体" w:cs="宋体"/>
                <w:sz w:val="18"/>
                <w:szCs w:val="18"/>
              </w:rPr>
            </w:pPr>
            <w:r>
              <w:rPr>
                <w:rFonts w:ascii="宋体" w:hAnsi="宋体" w:eastAsia="宋体" w:cs="宋体"/>
                <w:sz w:val="18"/>
                <w:szCs w:val="18"/>
              </w:rPr>
              <w:t>本人</w:t>
            </w:r>
          </w:p>
        </w:tc>
        <w:tc>
          <w:tcPr>
            <w:tcW w:w="2410" w:type="dxa"/>
            <w:tcBorders>
              <w:top w:val="single" w:color="auto" w:sz="2" w:space="0"/>
              <w:left w:val="single" w:color="auto" w:sz="2" w:space="0"/>
              <w:bottom w:val="single" w:color="auto" w:sz="2" w:space="0"/>
              <w:right w:val="single" w:color="auto" w:sz="2" w:space="0"/>
            </w:tcBorders>
            <w:vAlign w:val="center"/>
          </w:tcPr>
          <w:p w14:paraId="66E1A7EB">
            <w:pPr>
              <w:spacing w:before="0" w:after="0" w:line="240" w:lineRule="exact"/>
              <w:jc w:val="left"/>
              <w:rPr>
                <w:rFonts w:ascii="宋体" w:hAnsi="宋体" w:eastAsia="宋体" w:cs="宋体"/>
                <w:sz w:val="18"/>
                <w:szCs w:val="18"/>
              </w:rPr>
            </w:pPr>
            <w:r>
              <w:rPr>
                <w:rFonts w:ascii="宋体" w:hAnsi="宋体" w:eastAsia="宋体" w:cs="宋体"/>
                <w:sz w:val="18"/>
                <w:szCs w:val="18"/>
              </w:rPr>
              <w:t>中国</w:t>
            </w:r>
          </w:p>
        </w:tc>
        <w:tc>
          <w:tcPr>
            <w:tcW w:w="2410" w:type="dxa"/>
            <w:tcBorders>
              <w:top w:val="single" w:color="auto" w:sz="2" w:space="0"/>
              <w:left w:val="single" w:color="auto" w:sz="2" w:space="0"/>
              <w:bottom w:val="single" w:color="auto" w:sz="2" w:space="0"/>
              <w:right w:val="single" w:color="auto" w:sz="2" w:space="0"/>
            </w:tcBorders>
            <w:vAlign w:val="center"/>
          </w:tcPr>
          <w:p w14:paraId="67B2AAE1">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11EC07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35FA107">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2410" w:type="dxa"/>
            <w:tcBorders>
              <w:top w:val="single" w:color="auto" w:sz="2" w:space="0"/>
              <w:left w:val="single" w:color="auto" w:sz="2" w:space="0"/>
              <w:bottom w:val="single" w:color="auto" w:sz="2" w:space="0"/>
              <w:right w:val="single" w:color="auto" w:sz="2" w:space="0"/>
            </w:tcBorders>
            <w:vAlign w:val="center"/>
          </w:tcPr>
          <w:p w14:paraId="092ABC86">
            <w:pPr>
              <w:spacing w:before="0" w:after="0" w:line="240" w:lineRule="exact"/>
              <w:jc w:val="left"/>
              <w:rPr>
                <w:rFonts w:ascii="宋体" w:hAnsi="宋体" w:eastAsia="宋体" w:cs="宋体"/>
                <w:sz w:val="18"/>
                <w:szCs w:val="18"/>
              </w:rPr>
            </w:pPr>
            <w:r>
              <w:rPr>
                <w:rFonts w:ascii="宋体" w:hAnsi="宋体" w:eastAsia="宋体" w:cs="宋体"/>
                <w:sz w:val="18"/>
                <w:szCs w:val="18"/>
              </w:rPr>
              <w:t>本人</w:t>
            </w:r>
          </w:p>
        </w:tc>
        <w:tc>
          <w:tcPr>
            <w:tcW w:w="2410" w:type="dxa"/>
            <w:tcBorders>
              <w:top w:val="single" w:color="auto" w:sz="2" w:space="0"/>
              <w:left w:val="single" w:color="auto" w:sz="2" w:space="0"/>
              <w:bottom w:val="single" w:color="auto" w:sz="2" w:space="0"/>
              <w:right w:val="single" w:color="auto" w:sz="2" w:space="0"/>
            </w:tcBorders>
            <w:vAlign w:val="center"/>
          </w:tcPr>
          <w:p w14:paraId="6995D662">
            <w:pPr>
              <w:spacing w:before="0" w:after="0" w:line="240" w:lineRule="exact"/>
              <w:jc w:val="left"/>
              <w:rPr>
                <w:rFonts w:ascii="宋体" w:hAnsi="宋体" w:eastAsia="宋体" w:cs="宋体"/>
                <w:sz w:val="18"/>
                <w:szCs w:val="18"/>
              </w:rPr>
            </w:pPr>
            <w:r>
              <w:rPr>
                <w:rFonts w:ascii="宋体" w:hAnsi="宋体" w:eastAsia="宋体" w:cs="宋体"/>
                <w:sz w:val="18"/>
                <w:szCs w:val="18"/>
              </w:rPr>
              <w:t>中国</w:t>
            </w:r>
          </w:p>
        </w:tc>
        <w:tc>
          <w:tcPr>
            <w:tcW w:w="2410" w:type="dxa"/>
            <w:tcBorders>
              <w:top w:val="single" w:color="auto" w:sz="2" w:space="0"/>
              <w:left w:val="single" w:color="auto" w:sz="2" w:space="0"/>
              <w:bottom w:val="single" w:color="auto" w:sz="2" w:space="0"/>
              <w:right w:val="single" w:color="auto" w:sz="2" w:space="0"/>
            </w:tcBorders>
            <w:vAlign w:val="center"/>
          </w:tcPr>
          <w:p w14:paraId="463F0F19">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065E69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8324958">
            <w:pPr>
              <w:spacing w:before="0" w:after="0" w:line="240" w:lineRule="exact"/>
              <w:jc w:val="left"/>
              <w:rPr>
                <w:rFonts w:ascii="宋体" w:hAnsi="宋体" w:eastAsia="宋体" w:cs="宋体"/>
                <w:sz w:val="18"/>
                <w:szCs w:val="18"/>
              </w:rPr>
            </w:pPr>
            <w:r>
              <w:rPr>
                <w:rFonts w:ascii="宋体" w:hAnsi="宋体" w:eastAsia="宋体" w:cs="宋体"/>
                <w:sz w:val="18"/>
                <w:szCs w:val="18"/>
              </w:rPr>
              <w:t>李国栋</w:t>
            </w:r>
          </w:p>
        </w:tc>
        <w:tc>
          <w:tcPr>
            <w:tcW w:w="2410" w:type="dxa"/>
            <w:tcBorders>
              <w:top w:val="single" w:color="auto" w:sz="2" w:space="0"/>
              <w:left w:val="single" w:color="auto" w:sz="2" w:space="0"/>
              <w:bottom w:val="single" w:color="auto" w:sz="2" w:space="0"/>
              <w:right w:val="single" w:color="auto" w:sz="2" w:space="0"/>
            </w:tcBorders>
            <w:vAlign w:val="center"/>
          </w:tcPr>
          <w:p w14:paraId="07335555">
            <w:pPr>
              <w:spacing w:before="0" w:after="0" w:line="240" w:lineRule="exact"/>
              <w:jc w:val="left"/>
              <w:rPr>
                <w:rFonts w:ascii="宋体" w:hAnsi="宋体" w:eastAsia="宋体" w:cs="宋体"/>
                <w:sz w:val="18"/>
                <w:szCs w:val="18"/>
              </w:rPr>
            </w:pPr>
            <w:r>
              <w:rPr>
                <w:rFonts w:ascii="宋体" w:hAnsi="宋体" w:eastAsia="宋体" w:cs="宋体"/>
                <w:sz w:val="18"/>
                <w:szCs w:val="18"/>
              </w:rPr>
              <w:t>本人</w:t>
            </w:r>
          </w:p>
        </w:tc>
        <w:tc>
          <w:tcPr>
            <w:tcW w:w="2410" w:type="dxa"/>
            <w:tcBorders>
              <w:top w:val="single" w:color="auto" w:sz="2" w:space="0"/>
              <w:left w:val="single" w:color="auto" w:sz="2" w:space="0"/>
              <w:bottom w:val="single" w:color="auto" w:sz="2" w:space="0"/>
              <w:right w:val="single" w:color="auto" w:sz="2" w:space="0"/>
            </w:tcBorders>
            <w:vAlign w:val="center"/>
          </w:tcPr>
          <w:p w14:paraId="7B02A7D2">
            <w:pPr>
              <w:spacing w:before="0" w:after="0" w:line="240" w:lineRule="exact"/>
              <w:jc w:val="left"/>
              <w:rPr>
                <w:rFonts w:ascii="宋体" w:hAnsi="宋体" w:eastAsia="宋体" w:cs="宋体"/>
                <w:sz w:val="18"/>
                <w:szCs w:val="18"/>
              </w:rPr>
            </w:pPr>
            <w:r>
              <w:rPr>
                <w:rFonts w:ascii="宋体" w:hAnsi="宋体" w:eastAsia="宋体" w:cs="宋体"/>
                <w:sz w:val="18"/>
                <w:szCs w:val="18"/>
              </w:rPr>
              <w:t>中国</w:t>
            </w:r>
          </w:p>
        </w:tc>
        <w:tc>
          <w:tcPr>
            <w:tcW w:w="2410" w:type="dxa"/>
            <w:tcBorders>
              <w:top w:val="single" w:color="auto" w:sz="2" w:space="0"/>
              <w:left w:val="single" w:color="auto" w:sz="2" w:space="0"/>
              <w:bottom w:val="single" w:color="auto" w:sz="2" w:space="0"/>
              <w:right w:val="single" w:color="auto" w:sz="2" w:space="0"/>
            </w:tcBorders>
            <w:vAlign w:val="center"/>
          </w:tcPr>
          <w:p w14:paraId="295D082A">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55E320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83CF923">
            <w:pPr>
              <w:spacing w:before="40" w:after="40" w:line="240" w:lineRule="exact"/>
              <w:jc w:val="left"/>
              <w:rPr>
                <w:rFonts w:ascii="宋体" w:hAnsi="宋体" w:eastAsia="宋体" w:cs="宋体"/>
                <w:sz w:val="18"/>
                <w:szCs w:val="18"/>
              </w:rPr>
            </w:pPr>
            <w:r>
              <w:rPr>
                <w:rFonts w:ascii="宋体" w:hAnsi="宋体" w:eastAsia="宋体" w:cs="宋体"/>
                <w:sz w:val="18"/>
                <w:szCs w:val="18"/>
              </w:rPr>
              <w:t>主要职业及职务</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50579F9A">
            <w:pPr>
              <w:spacing w:before="0" w:after="0" w:line="240" w:lineRule="exact"/>
              <w:jc w:val="left"/>
              <w:rPr>
                <w:rFonts w:ascii="宋体" w:hAnsi="宋体" w:eastAsia="宋体" w:cs="宋体"/>
                <w:sz w:val="18"/>
                <w:szCs w:val="18"/>
              </w:rPr>
            </w:pPr>
            <w:r>
              <w:rPr>
                <w:rFonts w:ascii="宋体" w:hAnsi="宋体" w:eastAsia="宋体" w:cs="宋体"/>
                <w:sz w:val="18"/>
                <w:szCs w:val="18"/>
              </w:rPr>
              <w:t>李国平先生为公司董事长、总经理；叶理青女士为公司董事；李国栋先生为公司董事。</w:t>
            </w:r>
          </w:p>
        </w:tc>
      </w:tr>
      <w:tr w14:paraId="7CF811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9E2660F">
            <w:pPr>
              <w:spacing w:before="40" w:after="40" w:line="240" w:lineRule="exact"/>
              <w:jc w:val="left"/>
              <w:rPr>
                <w:rFonts w:ascii="宋体" w:hAnsi="宋体" w:eastAsia="宋体" w:cs="宋体"/>
                <w:sz w:val="18"/>
                <w:szCs w:val="18"/>
              </w:rPr>
            </w:pPr>
            <w:r>
              <w:rPr>
                <w:rFonts w:ascii="宋体" w:hAnsi="宋体" w:eastAsia="宋体" w:cs="宋体"/>
                <w:sz w:val="18"/>
                <w:szCs w:val="18"/>
              </w:rPr>
              <w:t>过去10年曾控股的境内外上市公司情况</w:t>
            </w:r>
          </w:p>
        </w:tc>
        <w:tc>
          <w:tcPr>
            <w:tcW w:w="7229" w:type="dxa"/>
            <w:gridSpan w:val="3"/>
            <w:tcBorders>
              <w:top w:val="single" w:color="auto" w:sz="2" w:space="0"/>
              <w:left w:val="single" w:color="auto" w:sz="2" w:space="0"/>
              <w:bottom w:val="single" w:color="auto" w:sz="2" w:space="0"/>
              <w:right w:val="single" w:color="auto" w:sz="2" w:space="0"/>
            </w:tcBorders>
            <w:vAlign w:val="center"/>
          </w:tcPr>
          <w:p w14:paraId="4EB86FD4">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tc>
      </w:tr>
    </w:tbl>
    <w:p w14:paraId="65E3827F">
      <w:pPr>
        <w:spacing w:before="100" w:after="100" w:line="240" w:lineRule="exact"/>
        <w:jc w:val="left"/>
        <w:rPr>
          <w:rFonts w:ascii="宋体" w:hAnsi="宋体" w:eastAsia="宋体" w:cs="宋体"/>
          <w:sz w:val="18"/>
          <w:szCs w:val="18"/>
        </w:rPr>
      </w:pPr>
      <w:r>
        <w:rPr>
          <w:rFonts w:ascii="宋体" w:hAnsi="宋体" w:eastAsia="宋体" w:cs="宋体"/>
          <w:sz w:val="18"/>
          <w:szCs w:val="18"/>
        </w:rPr>
        <w:t>实际控制人报告期内变更</w:t>
      </w:r>
    </w:p>
    <w:p w14:paraId="227AD934">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B8C4BDD">
      <w:pPr>
        <w:spacing w:before="100" w:after="100" w:line="240" w:lineRule="exact"/>
        <w:jc w:val="left"/>
        <w:rPr>
          <w:rFonts w:ascii="宋体" w:hAnsi="宋体" w:eastAsia="宋体" w:cs="宋体"/>
          <w:sz w:val="18"/>
          <w:szCs w:val="18"/>
        </w:rPr>
      </w:pPr>
      <w:r>
        <w:rPr>
          <w:rFonts w:ascii="宋体" w:hAnsi="宋体" w:eastAsia="宋体" w:cs="宋体"/>
          <w:sz w:val="18"/>
          <w:szCs w:val="18"/>
        </w:rPr>
        <w:t>公司报告期实际控制人未发生变更。</w:t>
      </w:r>
    </w:p>
    <w:p w14:paraId="248B314D">
      <w:pPr>
        <w:spacing w:before="100" w:after="100" w:line="240" w:lineRule="exact"/>
        <w:jc w:val="left"/>
        <w:rPr>
          <w:rFonts w:ascii="宋体" w:hAnsi="宋体" w:eastAsia="宋体" w:cs="宋体"/>
          <w:sz w:val="18"/>
          <w:szCs w:val="18"/>
        </w:rPr>
      </w:pPr>
      <w:r>
        <w:rPr>
          <w:rFonts w:ascii="宋体" w:hAnsi="宋体" w:eastAsia="宋体" w:cs="宋体"/>
          <w:sz w:val="18"/>
          <w:szCs w:val="18"/>
        </w:rPr>
        <w:t>公司与实际控制人之间的产权及控制关系的方框图</w:t>
      </w:r>
    </w:p>
    <w:p w14:paraId="34A4C5B9">
      <w:pPr>
        <w:spacing w:before="40" w:after="40" w:line="0" w:lineRule="exact"/>
        <w:jc w:val="center"/>
        <w:rPr>
          <w:rFonts w:ascii="Times New Roman" w:hAnsi="Times New Roman" w:eastAsia="宋体" w:cs="Times New Roman"/>
        </w:rPr>
      </w:pPr>
      <w:r>
        <w:rPr>
          <w:rFonts w:ascii="Times New Roman" w:hAnsi="Times New Roman" w:eastAsia="宋体" w:cs="Times New Roman"/>
        </w:rPr>
        <w:drawing>
          <wp:inline distT="0" distB="0" distL="0" distR="0">
            <wp:extent cx="4343400" cy="23717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3" cstate="print"/>
                    <a:stretch>
                      <a:fillRect/>
                    </a:stretch>
                  </pic:blipFill>
                  <pic:spPr>
                    <a:xfrm>
                      <a:off x="0" y="0"/>
                      <a:ext cx="4343400" cy="2371725"/>
                    </a:xfrm>
                    <a:prstGeom prst="rect">
                      <a:avLst/>
                    </a:prstGeom>
                  </pic:spPr>
                </pic:pic>
              </a:graphicData>
            </a:graphic>
          </wp:inline>
        </w:drawing>
      </w:r>
    </w:p>
    <w:p w14:paraId="4C1A4A41">
      <w:pPr>
        <w:spacing w:before="40" w:after="40" w:line="0" w:lineRule="atLeast"/>
        <w:ind w:firstLine="360" w:firstLineChars="200"/>
        <w:rPr>
          <w:rFonts w:hint="eastAsia"/>
          <w:sz w:val="18"/>
          <w:szCs w:val="18"/>
        </w:rPr>
      </w:pPr>
      <w:r>
        <w:rPr>
          <w:rFonts w:hint="eastAsia" w:ascii="宋体" w:hAnsi="宋体" w:cs="宋体"/>
          <w:sz w:val="18"/>
          <w:szCs w:val="18"/>
        </w:rPr>
        <w:t>2024 年 11 月 14 日，公司控股股东奥华集团与圆山基金签署了《股份转让协议》，以协议转让的方式向圆山基金转让其持有的公司无限售条件流通股合计8,000,000 股，占公司总股本5.02%。2025年1月，前述协议转让股份办理完成过户登记手续。本次协议转让股份过户完成后，控股股东奥华集团持有公司股份27,068,651股，占公司总股本的17.00%；控股股东及其一致行动人合计持股65,131,292股，占公司总股本的40.89%；圆山基金持有公司股份8,000,000股，占公司总股本的5.02%</w:t>
      </w:r>
      <w:r>
        <w:rPr>
          <w:rFonts w:hint="eastAsia"/>
          <w:sz w:val="18"/>
          <w:szCs w:val="18"/>
        </w:rPr>
        <w:t>。</w:t>
      </w:r>
    </w:p>
    <w:p w14:paraId="0B9B2810">
      <w:pPr>
        <w:spacing w:before="100" w:after="100" w:line="240" w:lineRule="exact"/>
        <w:jc w:val="left"/>
        <w:rPr>
          <w:rFonts w:ascii="宋体" w:hAnsi="宋体" w:eastAsia="宋体" w:cs="宋体"/>
          <w:sz w:val="18"/>
          <w:szCs w:val="18"/>
        </w:rPr>
      </w:pPr>
      <w:r>
        <w:rPr>
          <w:rFonts w:ascii="宋体" w:hAnsi="宋体" w:eastAsia="宋体" w:cs="宋体"/>
          <w:sz w:val="18"/>
          <w:szCs w:val="18"/>
        </w:rPr>
        <w:t>实际控制人通过信托或其他资产管理方式控制公司</w:t>
      </w:r>
    </w:p>
    <w:p w14:paraId="29472746">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202471F">
      <w:pPr>
        <w:keepNext/>
        <w:keepLines/>
        <w:spacing w:before="300" w:after="300" w:line="280" w:lineRule="exact"/>
        <w:jc w:val="left"/>
        <w:outlineLvl w:val="2"/>
        <w:rPr>
          <w:rFonts w:ascii="宋体" w:hAnsi="宋体" w:eastAsia="宋体" w:cs="宋体"/>
          <w:b/>
          <w:bCs/>
          <w:sz w:val="21"/>
          <w:szCs w:val="21"/>
        </w:rPr>
      </w:pPr>
      <w:bookmarkStart w:id="144" w:name="_Toc989031"/>
      <w:r>
        <w:rPr>
          <w:rFonts w:ascii="宋体" w:hAnsi="宋体" w:eastAsia="宋体" w:cs="宋体"/>
          <w:b/>
          <w:bCs/>
          <w:sz w:val="21"/>
          <w:szCs w:val="21"/>
        </w:rPr>
        <w:t>4、公司控股股东或第一大股东及其一致行动人累计质押股份数量占其所持公司股份数量比例达到80%</w:t>
      </w:r>
      <w:bookmarkEnd w:id="144"/>
    </w:p>
    <w:p w14:paraId="05FA9628">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F1C0F65">
      <w:pPr>
        <w:keepNext/>
        <w:keepLines/>
        <w:spacing w:before="300" w:after="300" w:line="280" w:lineRule="exact"/>
        <w:jc w:val="left"/>
        <w:outlineLvl w:val="2"/>
        <w:rPr>
          <w:rFonts w:ascii="宋体" w:hAnsi="宋体" w:eastAsia="宋体" w:cs="宋体"/>
          <w:b/>
          <w:bCs/>
          <w:sz w:val="21"/>
          <w:szCs w:val="21"/>
        </w:rPr>
      </w:pPr>
      <w:bookmarkStart w:id="145" w:name="_Toc989032"/>
      <w:r>
        <w:rPr>
          <w:rFonts w:ascii="宋体" w:hAnsi="宋体" w:eastAsia="宋体" w:cs="宋体"/>
          <w:b/>
          <w:bCs/>
          <w:sz w:val="21"/>
          <w:szCs w:val="21"/>
        </w:rPr>
        <w:t>5、其他持股在10%以上的法人股东</w:t>
      </w:r>
      <w:bookmarkEnd w:id="145"/>
    </w:p>
    <w:p w14:paraId="02678D5C">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26BB204">
      <w:pPr>
        <w:keepNext/>
        <w:keepLines/>
        <w:spacing w:before="300" w:after="300" w:line="280" w:lineRule="exact"/>
        <w:jc w:val="left"/>
        <w:outlineLvl w:val="2"/>
        <w:rPr>
          <w:rFonts w:ascii="宋体" w:hAnsi="宋体" w:eastAsia="宋体" w:cs="宋体"/>
          <w:b/>
          <w:bCs/>
          <w:sz w:val="21"/>
          <w:szCs w:val="21"/>
        </w:rPr>
      </w:pPr>
      <w:bookmarkStart w:id="146" w:name="_Toc989033"/>
      <w:r>
        <w:rPr>
          <w:rFonts w:ascii="宋体" w:hAnsi="宋体" w:eastAsia="宋体" w:cs="宋体"/>
          <w:b/>
          <w:bCs/>
          <w:sz w:val="21"/>
          <w:szCs w:val="21"/>
        </w:rPr>
        <w:t>6、控股股东、实际控制人、重组方及其他承诺主体股份限制减持情况</w:t>
      </w:r>
      <w:bookmarkEnd w:id="146"/>
    </w:p>
    <w:p w14:paraId="534A1677">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61604CD6">
      <w:pPr>
        <w:keepNext/>
        <w:keepLines/>
        <w:spacing w:before="300" w:after="300" w:line="320" w:lineRule="exact"/>
        <w:jc w:val="left"/>
        <w:outlineLvl w:val="1"/>
        <w:rPr>
          <w:rFonts w:ascii="宋体" w:hAnsi="宋体" w:eastAsia="宋体" w:cs="宋体"/>
          <w:b/>
          <w:bCs/>
          <w:sz w:val="24"/>
          <w:szCs w:val="24"/>
        </w:rPr>
      </w:pPr>
      <w:bookmarkStart w:id="147" w:name="_Toc989034"/>
      <w:r>
        <w:rPr>
          <w:rFonts w:ascii="宋体" w:hAnsi="宋体" w:eastAsia="宋体" w:cs="宋体"/>
          <w:b/>
          <w:bCs/>
          <w:sz w:val="24"/>
          <w:szCs w:val="24"/>
        </w:rPr>
        <w:t>四、股份回购在报告期的具体实施情况</w:t>
      </w:r>
      <w:bookmarkEnd w:id="147"/>
    </w:p>
    <w:p w14:paraId="15CE96BF">
      <w:pPr>
        <w:spacing w:before="100" w:after="100" w:line="240" w:lineRule="exact"/>
        <w:jc w:val="left"/>
        <w:rPr>
          <w:rFonts w:ascii="宋体" w:hAnsi="宋体" w:eastAsia="宋体" w:cs="宋体"/>
          <w:sz w:val="18"/>
          <w:szCs w:val="18"/>
        </w:rPr>
      </w:pPr>
      <w:r>
        <w:rPr>
          <w:rFonts w:ascii="宋体" w:hAnsi="宋体" w:eastAsia="宋体" w:cs="宋体"/>
          <w:sz w:val="18"/>
          <w:szCs w:val="18"/>
        </w:rPr>
        <w:t>股份回购的实施进展情况</w:t>
      </w:r>
    </w:p>
    <w:p w14:paraId="57E8B52B">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6A98691">
      <w:pPr>
        <w:spacing w:before="100" w:after="100" w:line="240" w:lineRule="exact"/>
        <w:jc w:val="left"/>
        <w:rPr>
          <w:rFonts w:ascii="宋体" w:hAnsi="宋体" w:eastAsia="宋体" w:cs="宋体"/>
          <w:sz w:val="18"/>
          <w:szCs w:val="18"/>
        </w:rPr>
      </w:pPr>
      <w:r>
        <w:rPr>
          <w:rFonts w:ascii="宋体" w:hAnsi="宋体" w:eastAsia="宋体" w:cs="宋体"/>
          <w:sz w:val="18"/>
          <w:szCs w:val="18"/>
        </w:rPr>
        <w:t>采用集中竞价交易方式减持回购股份的实施进展情况</w:t>
      </w:r>
    </w:p>
    <w:p w14:paraId="632E8760">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CE05D21">
      <w:r>
        <w:br w:type="page"/>
      </w:r>
    </w:p>
    <w:p w14:paraId="6F6B6001">
      <w:pPr>
        <w:keepNext/>
        <w:keepLines/>
        <w:spacing w:before="340" w:after="330" w:line="773" w:lineRule="exact"/>
        <w:jc w:val="center"/>
        <w:outlineLvl w:val="0"/>
        <w:rPr>
          <w:rFonts w:ascii="宋体" w:hAnsi="宋体" w:eastAsia="宋体" w:cs="宋体"/>
          <w:b/>
          <w:bCs/>
          <w:sz w:val="32"/>
          <w:szCs w:val="32"/>
        </w:rPr>
      </w:pPr>
      <w:bookmarkStart w:id="148" w:name="_Toc989035"/>
      <w:r>
        <w:rPr>
          <w:rFonts w:ascii="宋体" w:hAnsi="宋体" w:eastAsia="宋体" w:cs="宋体"/>
          <w:b/>
          <w:bCs/>
          <w:sz w:val="32"/>
          <w:szCs w:val="32"/>
        </w:rPr>
        <w:t>第八节 优先股相关情况</w:t>
      </w:r>
      <w:bookmarkEnd w:id="148"/>
    </w:p>
    <w:p w14:paraId="5933F2B6">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8550794">
      <w:pPr>
        <w:spacing w:before="100" w:after="100" w:line="240" w:lineRule="exact"/>
        <w:jc w:val="left"/>
        <w:rPr>
          <w:rFonts w:ascii="宋体" w:hAnsi="宋体" w:eastAsia="宋体" w:cs="宋体"/>
          <w:sz w:val="18"/>
          <w:szCs w:val="18"/>
        </w:rPr>
      </w:pPr>
      <w:r>
        <w:rPr>
          <w:rFonts w:ascii="宋体" w:hAnsi="宋体" w:eastAsia="宋体" w:cs="宋体"/>
          <w:sz w:val="18"/>
          <w:szCs w:val="18"/>
        </w:rPr>
        <w:t>报告期公司不存在优先股。</w:t>
      </w:r>
    </w:p>
    <w:p w14:paraId="3ACA61AE">
      <w:r>
        <w:br w:type="page"/>
      </w:r>
    </w:p>
    <w:p w14:paraId="0FB87012">
      <w:pPr>
        <w:keepNext/>
        <w:keepLines/>
        <w:spacing w:before="340" w:after="330" w:line="773" w:lineRule="exact"/>
        <w:jc w:val="center"/>
        <w:outlineLvl w:val="0"/>
        <w:rPr>
          <w:rFonts w:ascii="宋体" w:hAnsi="宋体" w:eastAsia="宋体" w:cs="宋体"/>
          <w:b/>
          <w:bCs/>
          <w:sz w:val="32"/>
          <w:szCs w:val="32"/>
        </w:rPr>
      </w:pPr>
      <w:bookmarkStart w:id="149" w:name="_Toc989036"/>
      <w:r>
        <w:rPr>
          <w:rFonts w:ascii="宋体" w:hAnsi="宋体" w:eastAsia="宋体" w:cs="宋体"/>
          <w:b/>
          <w:bCs/>
          <w:sz w:val="32"/>
          <w:szCs w:val="32"/>
        </w:rPr>
        <w:t>第九节 债券相关情况</w:t>
      </w:r>
      <w:bookmarkEnd w:id="149"/>
    </w:p>
    <w:p w14:paraId="5CC8A6B9">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FA11D98">
      <w:r>
        <w:br w:type="page"/>
      </w:r>
    </w:p>
    <w:p w14:paraId="0CF7FBCF">
      <w:pPr>
        <w:keepNext/>
        <w:keepLines/>
        <w:spacing w:before="340" w:after="330" w:line="773" w:lineRule="exact"/>
        <w:jc w:val="center"/>
        <w:outlineLvl w:val="0"/>
        <w:rPr>
          <w:rFonts w:ascii="宋体" w:hAnsi="宋体" w:eastAsia="宋体" w:cs="宋体"/>
          <w:b/>
          <w:bCs/>
          <w:sz w:val="32"/>
          <w:szCs w:val="32"/>
        </w:rPr>
      </w:pPr>
      <w:bookmarkStart w:id="150" w:name="_Toc989037"/>
      <w:r>
        <w:rPr>
          <w:rFonts w:ascii="宋体" w:hAnsi="宋体" w:eastAsia="宋体" w:cs="宋体"/>
          <w:b/>
          <w:bCs/>
          <w:sz w:val="32"/>
          <w:szCs w:val="32"/>
        </w:rPr>
        <w:t>第十节 财务报告</w:t>
      </w:r>
      <w:bookmarkEnd w:id="150"/>
    </w:p>
    <w:p w14:paraId="773735C7">
      <w:pPr>
        <w:keepNext/>
        <w:keepLines/>
        <w:spacing w:before="300" w:after="300" w:line="320" w:lineRule="exact"/>
        <w:jc w:val="left"/>
        <w:outlineLvl w:val="1"/>
        <w:rPr>
          <w:rFonts w:ascii="宋体" w:hAnsi="宋体" w:eastAsia="宋体" w:cs="宋体"/>
          <w:b/>
          <w:bCs/>
          <w:sz w:val="24"/>
          <w:szCs w:val="24"/>
        </w:rPr>
      </w:pPr>
      <w:bookmarkStart w:id="151" w:name="_Toc989038"/>
      <w:r>
        <w:rPr>
          <w:rFonts w:ascii="宋体" w:hAnsi="宋体" w:eastAsia="宋体" w:cs="宋体"/>
          <w:b/>
          <w:bCs/>
          <w:sz w:val="24"/>
          <w:szCs w:val="24"/>
        </w:rPr>
        <w:t>一、审计报告</w:t>
      </w:r>
      <w:bookmarkEnd w:id="151"/>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5143BC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E78C901">
            <w:pPr>
              <w:spacing w:before="40" w:after="40" w:line="240" w:lineRule="exact"/>
              <w:jc w:val="left"/>
              <w:rPr>
                <w:rFonts w:ascii="宋体" w:hAnsi="宋体" w:eastAsia="宋体" w:cs="宋体"/>
                <w:sz w:val="18"/>
                <w:szCs w:val="18"/>
              </w:rPr>
            </w:pPr>
            <w:r>
              <w:rPr>
                <w:rFonts w:ascii="宋体" w:hAnsi="宋体" w:eastAsia="宋体" w:cs="宋体"/>
                <w:sz w:val="18"/>
                <w:szCs w:val="18"/>
              </w:rPr>
              <w:t>审计意见类型</w:t>
            </w:r>
          </w:p>
        </w:tc>
        <w:tc>
          <w:tcPr>
            <w:tcW w:w="4820" w:type="dxa"/>
            <w:tcBorders>
              <w:top w:val="single" w:color="auto" w:sz="2" w:space="0"/>
              <w:left w:val="single" w:color="auto" w:sz="2" w:space="0"/>
              <w:bottom w:val="single" w:color="auto" w:sz="2" w:space="0"/>
              <w:right w:val="single" w:color="auto" w:sz="2" w:space="0"/>
            </w:tcBorders>
            <w:vAlign w:val="center"/>
          </w:tcPr>
          <w:p w14:paraId="2C6E46D2">
            <w:pPr>
              <w:spacing w:before="0" w:after="0" w:line="240" w:lineRule="exact"/>
              <w:jc w:val="left"/>
              <w:rPr>
                <w:rFonts w:ascii="宋体" w:hAnsi="宋体" w:eastAsia="宋体" w:cs="宋体"/>
                <w:sz w:val="18"/>
                <w:szCs w:val="18"/>
              </w:rPr>
            </w:pPr>
            <w:r>
              <w:rPr>
                <w:rFonts w:ascii="宋体" w:hAnsi="宋体" w:eastAsia="宋体" w:cs="宋体"/>
                <w:sz w:val="18"/>
                <w:szCs w:val="18"/>
              </w:rPr>
              <w:t>标准的无保留意见</w:t>
            </w:r>
          </w:p>
        </w:tc>
      </w:tr>
      <w:tr w14:paraId="03E149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58FC3DD">
            <w:pPr>
              <w:spacing w:before="40" w:after="40" w:line="240" w:lineRule="exact"/>
              <w:jc w:val="left"/>
              <w:rPr>
                <w:rFonts w:ascii="宋体" w:hAnsi="宋体" w:eastAsia="宋体" w:cs="宋体"/>
                <w:sz w:val="18"/>
                <w:szCs w:val="18"/>
              </w:rPr>
            </w:pPr>
            <w:r>
              <w:rPr>
                <w:rFonts w:ascii="宋体" w:hAnsi="宋体" w:eastAsia="宋体" w:cs="宋体"/>
                <w:sz w:val="18"/>
                <w:szCs w:val="18"/>
              </w:rPr>
              <w:t>审计报告签署日期</w:t>
            </w:r>
          </w:p>
        </w:tc>
        <w:tc>
          <w:tcPr>
            <w:tcW w:w="4820" w:type="dxa"/>
            <w:tcBorders>
              <w:top w:val="single" w:color="auto" w:sz="2" w:space="0"/>
              <w:left w:val="single" w:color="auto" w:sz="2" w:space="0"/>
              <w:bottom w:val="single" w:color="auto" w:sz="2" w:space="0"/>
              <w:right w:val="single" w:color="auto" w:sz="2" w:space="0"/>
            </w:tcBorders>
            <w:vAlign w:val="center"/>
          </w:tcPr>
          <w:p w14:paraId="30AA7713">
            <w:pPr>
              <w:spacing w:before="0" w:after="0" w:line="240" w:lineRule="exact"/>
              <w:jc w:val="left"/>
              <w:rPr>
                <w:rFonts w:ascii="宋体" w:hAnsi="宋体" w:eastAsia="宋体" w:cs="宋体"/>
                <w:sz w:val="18"/>
                <w:szCs w:val="18"/>
              </w:rPr>
            </w:pPr>
            <w:r>
              <w:rPr>
                <w:rFonts w:ascii="宋体" w:hAnsi="宋体" w:eastAsia="宋体" w:cs="宋体"/>
                <w:sz w:val="18"/>
                <w:szCs w:val="18"/>
              </w:rPr>
              <w:t>2025年04月16日</w:t>
            </w:r>
          </w:p>
        </w:tc>
      </w:tr>
      <w:tr w14:paraId="2320C7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72078F2">
            <w:pPr>
              <w:spacing w:before="40" w:after="40" w:line="240" w:lineRule="exact"/>
              <w:jc w:val="left"/>
              <w:rPr>
                <w:rFonts w:ascii="宋体" w:hAnsi="宋体" w:eastAsia="宋体" w:cs="宋体"/>
                <w:sz w:val="18"/>
                <w:szCs w:val="18"/>
              </w:rPr>
            </w:pPr>
            <w:r>
              <w:rPr>
                <w:rFonts w:ascii="宋体" w:hAnsi="宋体" w:eastAsia="宋体" w:cs="宋体"/>
                <w:sz w:val="18"/>
                <w:szCs w:val="18"/>
              </w:rPr>
              <w:t>审计机构名称</w:t>
            </w:r>
          </w:p>
        </w:tc>
        <w:tc>
          <w:tcPr>
            <w:tcW w:w="4820" w:type="dxa"/>
            <w:tcBorders>
              <w:top w:val="single" w:color="auto" w:sz="2" w:space="0"/>
              <w:left w:val="single" w:color="auto" w:sz="2" w:space="0"/>
              <w:bottom w:val="single" w:color="auto" w:sz="2" w:space="0"/>
              <w:right w:val="single" w:color="auto" w:sz="2" w:space="0"/>
            </w:tcBorders>
            <w:vAlign w:val="center"/>
          </w:tcPr>
          <w:p w14:paraId="1E7DDDAE">
            <w:pPr>
              <w:spacing w:before="0" w:after="0" w:line="240" w:lineRule="exact"/>
              <w:jc w:val="left"/>
              <w:rPr>
                <w:rFonts w:ascii="宋体" w:hAnsi="宋体" w:eastAsia="宋体" w:cs="宋体"/>
                <w:sz w:val="18"/>
                <w:szCs w:val="18"/>
              </w:rPr>
            </w:pPr>
            <w:r>
              <w:rPr>
                <w:rFonts w:ascii="宋体" w:hAnsi="宋体" w:eastAsia="宋体" w:cs="宋体"/>
                <w:sz w:val="18"/>
                <w:szCs w:val="18"/>
              </w:rPr>
              <w:t>北京德皓国际会计师事务所（特殊普通合伙）</w:t>
            </w:r>
          </w:p>
        </w:tc>
      </w:tr>
      <w:tr w14:paraId="7F2627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C7C36CE">
            <w:pPr>
              <w:spacing w:before="40" w:after="40" w:line="240" w:lineRule="exact"/>
              <w:jc w:val="left"/>
              <w:rPr>
                <w:rFonts w:ascii="宋体" w:hAnsi="宋体" w:eastAsia="宋体" w:cs="宋体"/>
                <w:sz w:val="18"/>
                <w:szCs w:val="18"/>
              </w:rPr>
            </w:pPr>
            <w:r>
              <w:rPr>
                <w:rFonts w:ascii="宋体" w:hAnsi="宋体" w:eastAsia="宋体" w:cs="宋体"/>
                <w:sz w:val="18"/>
                <w:szCs w:val="18"/>
              </w:rPr>
              <w:t>审计报告文号</w:t>
            </w:r>
          </w:p>
        </w:tc>
        <w:tc>
          <w:tcPr>
            <w:tcW w:w="4820" w:type="dxa"/>
            <w:tcBorders>
              <w:top w:val="single" w:color="auto" w:sz="2" w:space="0"/>
              <w:left w:val="single" w:color="auto" w:sz="2" w:space="0"/>
              <w:bottom w:val="single" w:color="auto" w:sz="2" w:space="0"/>
              <w:right w:val="single" w:color="auto" w:sz="2" w:space="0"/>
            </w:tcBorders>
            <w:vAlign w:val="center"/>
          </w:tcPr>
          <w:p w14:paraId="39D48A62">
            <w:pPr>
              <w:spacing w:before="0" w:after="0" w:line="240" w:lineRule="exact"/>
              <w:jc w:val="left"/>
              <w:rPr>
                <w:rFonts w:ascii="宋体" w:hAnsi="宋体" w:eastAsia="宋体" w:cs="宋体"/>
                <w:sz w:val="18"/>
                <w:szCs w:val="18"/>
              </w:rPr>
            </w:pPr>
            <w:r>
              <w:rPr>
                <w:rFonts w:ascii="宋体" w:hAnsi="宋体" w:cs="宋体"/>
                <w:sz w:val="18"/>
                <w:szCs w:val="18"/>
              </w:rPr>
              <w:t>德皓审字[2025]</w:t>
            </w:r>
            <w:r>
              <w:rPr>
                <w:rFonts w:hint="eastAsia"/>
              </w:rPr>
              <w:t xml:space="preserve"> </w:t>
            </w:r>
            <w:r>
              <w:rPr>
                <w:rFonts w:hint="eastAsia" w:ascii="宋体" w:hAnsi="宋体" w:cs="宋体"/>
                <w:sz w:val="18"/>
                <w:szCs w:val="18"/>
              </w:rPr>
              <w:t>00000894</w:t>
            </w:r>
            <w:r>
              <w:rPr>
                <w:rFonts w:ascii="宋体" w:hAnsi="宋体" w:cs="宋体"/>
                <w:sz w:val="18"/>
                <w:szCs w:val="18"/>
              </w:rPr>
              <w:t>号</w:t>
            </w:r>
          </w:p>
        </w:tc>
      </w:tr>
      <w:tr w14:paraId="353FF7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EDBE9E5">
            <w:pPr>
              <w:spacing w:before="40" w:after="40" w:line="240" w:lineRule="exact"/>
              <w:jc w:val="left"/>
              <w:rPr>
                <w:rFonts w:ascii="宋体" w:hAnsi="宋体" w:eastAsia="宋体" w:cs="宋体"/>
                <w:sz w:val="18"/>
                <w:szCs w:val="18"/>
              </w:rPr>
            </w:pPr>
            <w:r>
              <w:rPr>
                <w:rFonts w:ascii="宋体" w:hAnsi="宋体" w:eastAsia="宋体" w:cs="宋体"/>
                <w:sz w:val="18"/>
                <w:szCs w:val="18"/>
              </w:rPr>
              <w:t>注册会计师姓名</w:t>
            </w:r>
          </w:p>
        </w:tc>
        <w:tc>
          <w:tcPr>
            <w:tcW w:w="4820" w:type="dxa"/>
            <w:tcBorders>
              <w:top w:val="single" w:color="auto" w:sz="2" w:space="0"/>
              <w:left w:val="single" w:color="auto" w:sz="2" w:space="0"/>
              <w:bottom w:val="single" w:color="auto" w:sz="2" w:space="0"/>
              <w:right w:val="single" w:color="auto" w:sz="2" w:space="0"/>
            </w:tcBorders>
            <w:vAlign w:val="center"/>
          </w:tcPr>
          <w:p w14:paraId="55D18BEA">
            <w:pPr>
              <w:spacing w:before="0" w:after="0" w:line="240" w:lineRule="exact"/>
              <w:jc w:val="left"/>
              <w:rPr>
                <w:rFonts w:ascii="宋体" w:hAnsi="宋体" w:eastAsia="宋体" w:cs="宋体"/>
                <w:sz w:val="18"/>
                <w:szCs w:val="18"/>
              </w:rPr>
            </w:pPr>
            <w:r>
              <w:rPr>
                <w:rFonts w:ascii="宋体" w:hAnsi="宋体" w:eastAsia="宋体" w:cs="宋体"/>
                <w:sz w:val="18"/>
                <w:szCs w:val="18"/>
              </w:rPr>
              <w:t>郑基、赖镇业</w:t>
            </w:r>
          </w:p>
        </w:tc>
      </w:tr>
    </w:tbl>
    <w:p w14:paraId="1B334D7B">
      <w:pPr>
        <w:spacing w:before="100" w:after="100" w:line="240" w:lineRule="exact"/>
        <w:jc w:val="center"/>
        <w:rPr>
          <w:rFonts w:ascii="宋体" w:hAnsi="宋体" w:eastAsia="宋体" w:cs="宋体"/>
          <w:sz w:val="18"/>
          <w:szCs w:val="18"/>
        </w:rPr>
      </w:pPr>
      <w:r>
        <w:rPr>
          <w:rFonts w:ascii="宋体" w:hAnsi="宋体" w:eastAsia="宋体" w:cs="宋体"/>
          <w:sz w:val="18"/>
          <w:szCs w:val="18"/>
        </w:rPr>
        <w:t>审计报告正文</w:t>
      </w:r>
    </w:p>
    <w:p w14:paraId="1F10FDB8">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Times New Roman" w:hAnsi="Times New Roman" w:cs="Times New Roman"/>
          <w:sz w:val="24"/>
          <w:szCs w:val="24"/>
        </w:rPr>
      </w:pPr>
      <w:r>
        <w:rPr>
          <w:rStyle w:val="6"/>
          <w:rFonts w:hint="eastAsia" w:ascii="宋体" w:hAnsi="宋体" w:eastAsia="宋体" w:cs="宋体"/>
          <w:b/>
          <w:bCs/>
          <w:sz w:val="24"/>
          <w:szCs w:val="24"/>
        </w:rPr>
        <w:t>福建广生堂药业股份有限公司全体股东：</w:t>
      </w:r>
    </w:p>
    <w:p w14:paraId="348D45E7">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Style w:val="6"/>
          <w:rFonts w:hint="eastAsia" w:ascii="宋体" w:hAnsi="宋体" w:eastAsia="宋体" w:cs="宋体"/>
          <w:b/>
          <w:bCs/>
          <w:sz w:val="24"/>
          <w:szCs w:val="24"/>
        </w:rPr>
        <w:t>一、审计意见</w:t>
      </w:r>
    </w:p>
    <w:p w14:paraId="5CFCD607">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我们审计了福建广生堂药业股份有限公司(以下简称广生堂公司)财务报表，包括2024年12月31日的合并及母公司资产负债表，2024年度的合并及母公司利润表、合并及母公司现金流量表、合并及母公司股东权益变动表以及相关财务报表附注。</w:t>
      </w:r>
    </w:p>
    <w:p w14:paraId="1051C9A5">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我们认为，后附的财务报表在所有重大方面按照企业会计准则的规定编制，公允反映了广生堂公司2024年12月31日的合并及母公司财务状况以及2024年度的合并及母公司经营成果和现金流量。</w:t>
      </w:r>
    </w:p>
    <w:p w14:paraId="2AC85607">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Style w:val="6"/>
          <w:rFonts w:hint="eastAsia" w:ascii="宋体" w:hAnsi="宋体" w:eastAsia="宋体" w:cs="宋体"/>
          <w:b/>
          <w:bCs/>
          <w:sz w:val="24"/>
          <w:szCs w:val="24"/>
        </w:rPr>
        <w:t>二、形成审计意见的基础</w:t>
      </w:r>
    </w:p>
    <w:p w14:paraId="15E9A0FF">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我们按照中国注册会计师审计准则的规定执行了审计工作。审计报告的“注册会计师对财务报表审计的责任”部分进一步阐述了我们在这些准则下的责任。按照中国注册会计师职业道德守则，我们独立于广生堂公司，并履行了职业道德方面的其他责任。我们相信，我们获取的审计证据是充分、适当的，为发表审计意见提供了基础。</w:t>
      </w:r>
    </w:p>
    <w:p w14:paraId="5BEA9791">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Style w:val="6"/>
          <w:rFonts w:hint="eastAsia" w:ascii="宋体" w:hAnsi="宋体" w:eastAsia="宋体" w:cs="宋体"/>
          <w:b/>
          <w:bCs/>
          <w:sz w:val="24"/>
          <w:szCs w:val="24"/>
        </w:rPr>
        <w:t>三、关键审计事项</w:t>
      </w:r>
    </w:p>
    <w:p w14:paraId="3143A158">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关键审计事项是我们根据职业判断，认为对本期财务报表审计最为重要的事项。这些事项的应对以对财务报表整体进行审计并形成审计意见为背景，我们不对这些事项单独发表意见。</w:t>
      </w:r>
    </w:p>
    <w:p w14:paraId="705FA3B1">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我们确定下列事项是需要在审计报告中沟通的关键审计事项。</w:t>
      </w:r>
    </w:p>
    <w:p w14:paraId="2F392076">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560"/>
        <w:jc w:val="both"/>
        <w:textAlignment w:val="auto"/>
        <w:rPr>
          <w:sz w:val="24"/>
          <w:szCs w:val="24"/>
        </w:rPr>
      </w:pPr>
      <w:r>
        <w:rPr>
          <w:rFonts w:hint="eastAsia" w:ascii="宋体" w:hAnsi="宋体" w:eastAsia="宋体" w:cs="宋体"/>
          <w:sz w:val="24"/>
          <w:szCs w:val="24"/>
        </w:rPr>
        <w:t>1.资产减值损失</w:t>
      </w:r>
    </w:p>
    <w:p w14:paraId="7997A361">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560" w:right="0"/>
        <w:jc w:val="both"/>
        <w:textAlignment w:val="auto"/>
        <w:rPr>
          <w:sz w:val="24"/>
          <w:szCs w:val="24"/>
        </w:rPr>
      </w:pPr>
      <w:r>
        <w:rPr>
          <w:rFonts w:hint="eastAsia" w:ascii="宋体" w:hAnsi="宋体" w:eastAsia="宋体" w:cs="宋体"/>
          <w:sz w:val="24"/>
          <w:szCs w:val="24"/>
        </w:rPr>
        <w:t>（一）资产减值损失事项</w:t>
      </w:r>
    </w:p>
    <w:p w14:paraId="568AF69D">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567" w:right="0"/>
        <w:jc w:val="both"/>
        <w:textAlignment w:val="auto"/>
        <w:rPr>
          <w:sz w:val="24"/>
          <w:szCs w:val="24"/>
        </w:rPr>
      </w:pPr>
      <w:r>
        <w:rPr>
          <w:rFonts w:hint="eastAsia" w:ascii="宋体" w:hAnsi="宋体" w:eastAsia="宋体" w:cs="宋体"/>
          <w:sz w:val="24"/>
          <w:szCs w:val="24"/>
        </w:rPr>
        <w:t>1.事项描述</w:t>
      </w:r>
    </w:p>
    <w:p w14:paraId="461FD432">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560"/>
        <w:jc w:val="both"/>
        <w:textAlignment w:val="auto"/>
        <w:rPr>
          <w:sz w:val="24"/>
          <w:szCs w:val="24"/>
        </w:rPr>
      </w:pPr>
      <w:r>
        <w:rPr>
          <w:rFonts w:hint="eastAsia" w:ascii="宋体" w:hAnsi="宋体" w:eastAsia="宋体" w:cs="宋体"/>
          <w:sz w:val="24"/>
          <w:szCs w:val="24"/>
        </w:rPr>
        <w:t>相关信息详见财务报表附注（注释46）所述，2024年资产减值损失金额7,451.19万元，较上年同期大幅增加。</w:t>
      </w:r>
    </w:p>
    <w:p w14:paraId="285B84B2">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由于存在下列情况：</w:t>
      </w:r>
    </w:p>
    <w:p w14:paraId="67E7CFAB">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治疗新冠的创新药产品泰中定2024年销售不及预期，存在过期或即将过期的库存商品，且由于未来销售与疫情相关，存在不确定性，与其相关的主要资产也存在减值迹象。与歌礼案件相关的原料药（列其他流动资产）亦产生相应减值。</w:t>
      </w:r>
    </w:p>
    <w:p w14:paraId="48931EE0">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为此，我们将资产减值损失估计金额确定为关键审计事项。</w:t>
      </w:r>
    </w:p>
    <w:p w14:paraId="35FF9BE0">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2.审计应对</w:t>
      </w:r>
    </w:p>
    <w:p w14:paraId="3825F3FD">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567"/>
        <w:jc w:val="both"/>
        <w:textAlignment w:val="auto"/>
        <w:rPr>
          <w:sz w:val="24"/>
          <w:szCs w:val="24"/>
        </w:rPr>
      </w:pPr>
      <w:r>
        <w:rPr>
          <w:rFonts w:hint="eastAsia" w:ascii="宋体" w:hAnsi="宋体" w:eastAsia="宋体" w:cs="宋体"/>
          <w:sz w:val="24"/>
          <w:szCs w:val="24"/>
        </w:rPr>
        <w:t>我们对于资产减值损失所实施的重要审计程序包括：</w:t>
      </w:r>
    </w:p>
    <w:p w14:paraId="01C52A99">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（1）了解和评价管理层对与资产相关的关键内部控制的设计和运行的有效性；</w:t>
      </w:r>
    </w:p>
    <w:p w14:paraId="77F3B01D">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（2）执行主要资产监盘程序， 检查主要资产的数量、状况等情况，以评估主要资产跌价的可能性；</w:t>
      </w:r>
    </w:p>
    <w:p w14:paraId="4BD721F2">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（3）访谈了解泰中定产品的市场状况及未来预测情况，分析检查管理层聘请的评估机构对泰中定有关的主要资产价值的评估依据、假设和相关技术指标等，据此评估泰中定相关的主要资产是否减值。</w:t>
      </w:r>
    </w:p>
    <w:p w14:paraId="520429DC">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7"/>
        <w:jc w:val="both"/>
        <w:textAlignment w:val="auto"/>
        <w:rPr>
          <w:rFonts w:hint="default" w:ascii="Times New Roman" w:hAnsi="Times New Roman" w:cs="Times New Roman"/>
          <w:sz w:val="24"/>
          <w:szCs w:val="24"/>
        </w:rPr>
      </w:pPr>
      <w:r>
        <w:rPr>
          <w:rFonts w:hint="eastAsia" w:ascii="宋体" w:hAnsi="宋体" w:eastAsia="宋体" w:cs="宋体"/>
          <w:sz w:val="24"/>
          <w:szCs w:val="24"/>
        </w:rPr>
        <w:t xml:space="preserve">（4）获取歌礼仲裁裁决书和期后银行水单。 </w:t>
      </w:r>
    </w:p>
    <w:p w14:paraId="330D803D">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7"/>
        <w:jc w:val="both"/>
        <w:textAlignment w:val="auto"/>
        <w:rPr>
          <w:rFonts w:hint="default" w:ascii="Times New Roman" w:hAnsi="Times New Roman" w:cs="Times New Roman"/>
          <w:sz w:val="24"/>
          <w:szCs w:val="24"/>
        </w:rPr>
      </w:pPr>
      <w:r>
        <w:rPr>
          <w:rFonts w:hint="eastAsia" w:ascii="宋体" w:hAnsi="宋体" w:eastAsia="宋体" w:cs="宋体"/>
          <w:sz w:val="24"/>
          <w:szCs w:val="24"/>
        </w:rPr>
        <w:t>基于已执行的审计工作，我们认为，管理层对资产减值损失的相关判断及估计是合理的，依据是充分的，计量金额是准确的。</w:t>
      </w:r>
    </w:p>
    <w:p w14:paraId="602F8363">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Style w:val="6"/>
          <w:rFonts w:hint="eastAsia" w:ascii="宋体" w:hAnsi="宋体" w:eastAsia="宋体" w:cs="宋体"/>
          <w:b/>
          <w:bCs/>
          <w:sz w:val="24"/>
          <w:szCs w:val="24"/>
        </w:rPr>
        <w:t>四、其他信息</w:t>
      </w:r>
    </w:p>
    <w:p w14:paraId="0FD31B1C">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420"/>
        <w:jc w:val="both"/>
        <w:textAlignment w:val="auto"/>
        <w:rPr>
          <w:rFonts w:hint="default" w:ascii="Times New Roman" w:hAnsi="Times New Roman" w:cs="Times New Roman"/>
          <w:sz w:val="24"/>
          <w:szCs w:val="24"/>
        </w:rPr>
      </w:pPr>
      <w:r>
        <w:rPr>
          <w:rFonts w:hint="eastAsia" w:ascii="宋体" w:hAnsi="宋体" w:eastAsia="宋体" w:cs="宋体"/>
          <w:sz w:val="24"/>
          <w:szCs w:val="24"/>
        </w:rPr>
        <w:t>广生堂公司管理层对其他信息负责。其他信息包括2024年度报告中涵盖的信息，但不包括财务报表和我们的审计报告。</w:t>
      </w:r>
    </w:p>
    <w:p w14:paraId="1BC1F24A">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我们对财务报表发表的审计意见不涵盖其他信息，我们也不对其他信息发表任何形式的鉴证结论。</w:t>
      </w:r>
    </w:p>
    <w:p w14:paraId="52B015DF">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结合我们对财务报表的审计，我们的责任是阅读其他信息，在此过程中，考虑其他信息是否与财务报表或我们在审计过程中了解的情况存在重大不一致或者似乎存在重大错报。</w:t>
      </w:r>
    </w:p>
    <w:p w14:paraId="69C33690">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基于我们已执行的工作，如果我们确定其他信息存在重大错报，我们应当报告该事实。在这方面，我们无任何事项需要报告。</w:t>
      </w:r>
    </w:p>
    <w:p w14:paraId="048E34BC">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Style w:val="6"/>
          <w:rFonts w:hint="eastAsia" w:ascii="宋体" w:hAnsi="宋体" w:eastAsia="宋体" w:cs="宋体"/>
          <w:b/>
          <w:bCs/>
          <w:sz w:val="24"/>
          <w:szCs w:val="24"/>
        </w:rPr>
        <w:t>五、管理层和治理层对财务报表的责任</w:t>
      </w:r>
    </w:p>
    <w:p w14:paraId="54DE7C78">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420"/>
        <w:jc w:val="both"/>
        <w:textAlignment w:val="auto"/>
        <w:rPr>
          <w:rFonts w:hint="default" w:ascii="Times New Roman" w:hAnsi="Times New Roman" w:cs="Times New Roman"/>
          <w:sz w:val="24"/>
          <w:szCs w:val="24"/>
        </w:rPr>
      </w:pPr>
      <w:r>
        <w:rPr>
          <w:rFonts w:hint="eastAsia" w:ascii="宋体" w:hAnsi="宋体" w:eastAsia="宋体" w:cs="宋体"/>
          <w:sz w:val="24"/>
          <w:szCs w:val="24"/>
        </w:rPr>
        <w:t>广生堂公司管理层负责按照企业会计准则的规定编制财务报表，使其实现公允反映，并设计、执行和维护必要的内部控制，以使财务报表不存在由于舞弊或错误导致的重大错报。</w:t>
      </w:r>
    </w:p>
    <w:p w14:paraId="118A9AF0">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在编制财务报表时，广生堂公司管理层负责评估广生堂公司的持续经营能力，披露与持续经营相关的事项（如适用），并运用持续经营假设，除非管理层计划清算广生堂公司、终止运营或别无其他现实的选择。</w:t>
      </w:r>
    </w:p>
    <w:p w14:paraId="757FD8DE">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治理层负责监督广生堂公司的财务报告过程。</w:t>
      </w:r>
    </w:p>
    <w:p w14:paraId="5A6A3985">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Style w:val="6"/>
          <w:rFonts w:hint="eastAsia" w:ascii="宋体" w:hAnsi="宋体" w:eastAsia="宋体" w:cs="宋体"/>
          <w:b/>
          <w:bCs/>
          <w:sz w:val="24"/>
          <w:szCs w:val="24"/>
        </w:rPr>
        <w:t>六、注册会计师对财务报表审计的责任</w:t>
      </w:r>
    </w:p>
    <w:p w14:paraId="3E5D8DF3">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6DA87C9E">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在按照审计准则执行审计工作的过程中，我们运用职业判断，并保持职业怀疑。同时，我们也执行以下工作：</w:t>
      </w:r>
    </w:p>
    <w:p w14:paraId="3993442B">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Fonts w:hint="eastAsia" w:ascii="宋体" w:hAnsi="宋体" w:eastAsia="宋体" w:cs="宋体"/>
          <w:sz w:val="24"/>
          <w:szCs w:val="24"/>
        </w:rP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78DEC96E">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Fonts w:hint="eastAsia" w:ascii="宋体" w:hAnsi="宋体" w:eastAsia="宋体" w:cs="宋体"/>
          <w:sz w:val="24"/>
          <w:szCs w:val="24"/>
        </w:rPr>
        <w:t>2.了解与审计相关的内部控制，以设计恰当的审计程序。</w:t>
      </w:r>
    </w:p>
    <w:p w14:paraId="7D805CF7">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Fonts w:hint="eastAsia" w:ascii="宋体" w:hAnsi="宋体" w:eastAsia="宋体" w:cs="宋体"/>
          <w:sz w:val="24"/>
          <w:szCs w:val="24"/>
        </w:rPr>
        <w:t>3.评价管理层选用会计政策的恰当性和作出会计估计及相关披露的合理性。</w:t>
      </w:r>
    </w:p>
    <w:p w14:paraId="1D50734E">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Fonts w:hint="eastAsia" w:ascii="宋体" w:hAnsi="宋体" w:eastAsia="宋体" w:cs="宋体"/>
          <w:sz w:val="24"/>
          <w:szCs w:val="24"/>
        </w:rPr>
        <w:t>4.对管理层使用持续经营假设的恰当性得出结论。同时，根据获取的审计证据，就可能导致对广生堂公司持续经营能力产生重大疑虑的事项或情况是否存在重大不确定性得出结论。如果我们得出结论认为存在重大不确定性，审计准则要求我们在审计报告中提请报告使用者注意财务报表中的相关披露；如果披露不充分，我们应当发表非无保留意见。我们的结论基于截至审计报告日可获得的信息。然而，未来的事项或情况可能导致广生堂公司不能持续经营。</w:t>
      </w:r>
    </w:p>
    <w:p w14:paraId="5286B711">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Fonts w:hint="eastAsia" w:ascii="宋体" w:hAnsi="宋体" w:eastAsia="宋体" w:cs="宋体"/>
          <w:sz w:val="24"/>
          <w:szCs w:val="24"/>
        </w:rPr>
        <w:t>5.评价财务报表的总体列报、结构和内容，并评价财务报表是否公允反映相关交易和事项。</w:t>
      </w:r>
    </w:p>
    <w:p w14:paraId="7E381B54">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sz w:val="24"/>
          <w:szCs w:val="24"/>
        </w:rPr>
      </w:pPr>
      <w:r>
        <w:rPr>
          <w:rFonts w:hint="eastAsia" w:ascii="宋体" w:hAnsi="宋体" w:eastAsia="宋体" w:cs="宋体"/>
          <w:sz w:val="24"/>
          <w:szCs w:val="24"/>
        </w:rPr>
        <w:t>6.就广生堂公司中实体或业务活动的财务信息获取充分、适当的审计证据，以对财务报表发表意见。我们负责指导、监督和执行集团审计，并对审计意见承担全部责任。</w:t>
      </w:r>
    </w:p>
    <w:p w14:paraId="79E44881">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我们与治理层就计划的审计范围、时间安排和重大审计发现等事项进行沟通，包括沟通我们在审计中识别出的值得关注的内部控制缺陷。</w:t>
      </w:r>
    </w:p>
    <w:p w14:paraId="20838A46">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我们还就已遵守与独立性相关的职业道德要求向治理层提供声明，并与治理层沟通可能被合理认为影响我们独立性的所有关系和其他事项，以及相关的防范措施（如适用）。</w:t>
      </w:r>
    </w:p>
    <w:p w14:paraId="6B59AB13">
      <w:pPr>
        <w:pStyle w:val="2"/>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560"/>
        <w:jc w:val="both"/>
        <w:textAlignment w:val="auto"/>
        <w:rPr>
          <w:rFonts w:hint="default" w:ascii="Times New Roman" w:hAnsi="Times New Roman" w:cs="Times New Roman"/>
          <w:sz w:val="24"/>
          <w:szCs w:val="24"/>
        </w:rPr>
      </w:pPr>
      <w:r>
        <w:rPr>
          <w:rFonts w:hint="eastAsia" w:ascii="宋体" w:hAnsi="宋体" w:eastAsia="宋体" w:cs="宋体"/>
          <w:sz w:val="24"/>
          <w:szCs w:val="24"/>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44338911">
      <w:pPr>
        <w:keepNext/>
        <w:keepLines/>
        <w:spacing w:before="300" w:after="300" w:line="320" w:lineRule="exact"/>
        <w:jc w:val="left"/>
        <w:outlineLvl w:val="1"/>
        <w:rPr>
          <w:rFonts w:ascii="宋体" w:hAnsi="宋体" w:eastAsia="宋体" w:cs="宋体"/>
          <w:b/>
          <w:bCs/>
          <w:sz w:val="24"/>
          <w:szCs w:val="24"/>
        </w:rPr>
      </w:pPr>
      <w:bookmarkStart w:id="152" w:name="_Toc989039"/>
      <w:r>
        <w:rPr>
          <w:rFonts w:ascii="宋体" w:hAnsi="宋体" w:eastAsia="宋体" w:cs="宋体"/>
          <w:b/>
          <w:bCs/>
          <w:sz w:val="24"/>
          <w:szCs w:val="24"/>
        </w:rPr>
        <w:t>二、财务报表</w:t>
      </w:r>
      <w:bookmarkEnd w:id="152"/>
    </w:p>
    <w:p w14:paraId="49E492F3">
      <w:pPr>
        <w:spacing w:before="40" w:after="40" w:line="240" w:lineRule="exact"/>
        <w:jc w:val="left"/>
        <w:rPr>
          <w:rFonts w:ascii="宋体" w:hAnsi="宋体" w:eastAsia="宋体" w:cs="宋体"/>
          <w:sz w:val="18"/>
          <w:szCs w:val="18"/>
        </w:rPr>
      </w:pPr>
      <w:r>
        <w:rPr>
          <w:rFonts w:ascii="宋体" w:hAnsi="宋体" w:eastAsia="宋体" w:cs="宋体"/>
          <w:sz w:val="18"/>
          <w:szCs w:val="18"/>
        </w:rPr>
        <w:t>财务附注中报表的单位为：元</w:t>
      </w:r>
    </w:p>
    <w:p w14:paraId="0AEDE2D2">
      <w:pPr>
        <w:keepNext/>
        <w:keepLines/>
        <w:spacing w:before="300" w:after="300" w:line="280" w:lineRule="exact"/>
        <w:jc w:val="left"/>
        <w:outlineLvl w:val="2"/>
        <w:rPr>
          <w:rFonts w:ascii="宋体" w:hAnsi="宋体" w:eastAsia="宋体" w:cs="宋体"/>
          <w:b/>
          <w:bCs/>
          <w:sz w:val="21"/>
          <w:szCs w:val="21"/>
        </w:rPr>
      </w:pPr>
      <w:bookmarkStart w:id="153" w:name="_Toc989040"/>
      <w:r>
        <w:rPr>
          <w:rFonts w:ascii="宋体" w:hAnsi="宋体" w:eastAsia="宋体" w:cs="宋体"/>
          <w:b/>
          <w:bCs/>
          <w:sz w:val="21"/>
          <w:szCs w:val="21"/>
        </w:rPr>
        <w:t>1、合并资产负债表</w:t>
      </w:r>
      <w:bookmarkEnd w:id="153"/>
    </w:p>
    <w:p w14:paraId="5F85B817">
      <w:pPr>
        <w:spacing w:before="0" w:after="0" w:line="240" w:lineRule="exact"/>
        <w:jc w:val="left"/>
        <w:rPr>
          <w:rFonts w:ascii="宋体" w:hAnsi="宋体" w:eastAsia="宋体" w:cs="宋体"/>
          <w:sz w:val="18"/>
          <w:szCs w:val="18"/>
        </w:rPr>
      </w:pPr>
      <w:r>
        <w:rPr>
          <w:rFonts w:ascii="宋体" w:hAnsi="宋体" w:eastAsia="宋体" w:cs="宋体"/>
          <w:sz w:val="18"/>
          <w:szCs w:val="18"/>
        </w:rPr>
        <w:t>编制单位：福建广生堂药业股份有限公司</w:t>
      </w:r>
    </w:p>
    <w:p w14:paraId="2A4560DE">
      <w:pPr>
        <w:spacing w:before="0" w:after="0" w:line="240" w:lineRule="exact"/>
        <w:jc w:val="center"/>
        <w:rPr>
          <w:rFonts w:ascii="宋体" w:hAnsi="宋体" w:eastAsia="宋体" w:cs="宋体"/>
          <w:sz w:val="18"/>
          <w:szCs w:val="18"/>
        </w:rPr>
      </w:pPr>
    </w:p>
    <w:p w14:paraId="451AF77B">
      <w:pPr>
        <w:spacing w:before="0" w:after="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0F9CC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844ADFD">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B86BD5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56ACD20">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2DA96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ADEF8C9">
            <w:pPr>
              <w:spacing w:before="40" w:after="40" w:line="240" w:lineRule="exact"/>
              <w:jc w:val="left"/>
              <w:rPr>
                <w:rFonts w:ascii="宋体" w:hAnsi="宋体" w:eastAsia="宋体" w:cs="宋体"/>
                <w:sz w:val="18"/>
                <w:szCs w:val="18"/>
              </w:rPr>
            </w:pPr>
            <w:r>
              <w:rPr>
                <w:rFonts w:ascii="宋体" w:hAnsi="宋体" w:eastAsia="宋体" w:cs="宋体"/>
                <w:sz w:val="18"/>
                <w:szCs w:val="18"/>
              </w:rPr>
              <w:t>流动资产：</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C5E3F9F"/>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8FD8936"/>
        </w:tc>
      </w:tr>
      <w:tr w14:paraId="459996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C6C263A">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货币资金</w:t>
            </w:r>
          </w:p>
        </w:tc>
        <w:tc>
          <w:tcPr>
            <w:tcW w:w="3213" w:type="dxa"/>
            <w:tcBorders>
              <w:top w:val="single" w:color="auto" w:sz="2" w:space="0"/>
              <w:left w:val="single" w:color="auto" w:sz="2" w:space="0"/>
              <w:bottom w:val="single" w:color="auto" w:sz="2" w:space="0"/>
              <w:right w:val="single" w:color="auto" w:sz="2" w:space="0"/>
            </w:tcBorders>
            <w:vAlign w:val="center"/>
          </w:tcPr>
          <w:p w14:paraId="4A0697E0">
            <w:pPr>
              <w:spacing w:before="0" w:after="0" w:line="240" w:lineRule="exact"/>
              <w:jc w:val="right"/>
              <w:rPr>
                <w:rFonts w:ascii="宋体" w:hAnsi="宋体" w:eastAsia="宋体" w:cs="宋体"/>
                <w:sz w:val="18"/>
                <w:szCs w:val="18"/>
              </w:rPr>
            </w:pPr>
            <w:r>
              <w:rPr>
                <w:rFonts w:ascii="宋体" w:hAnsi="宋体" w:eastAsia="宋体" w:cs="宋体"/>
                <w:sz w:val="18"/>
                <w:szCs w:val="18"/>
              </w:rPr>
              <w:t>143,954,066.36</w:t>
            </w:r>
          </w:p>
        </w:tc>
        <w:tc>
          <w:tcPr>
            <w:tcW w:w="3213" w:type="dxa"/>
            <w:tcBorders>
              <w:top w:val="single" w:color="auto" w:sz="2" w:space="0"/>
              <w:left w:val="single" w:color="auto" w:sz="2" w:space="0"/>
              <w:bottom w:val="single" w:color="auto" w:sz="2" w:space="0"/>
              <w:right w:val="single" w:color="auto" w:sz="2" w:space="0"/>
            </w:tcBorders>
            <w:vAlign w:val="center"/>
          </w:tcPr>
          <w:p w14:paraId="32E17F27">
            <w:pPr>
              <w:spacing w:before="0" w:after="0" w:line="240" w:lineRule="exact"/>
              <w:jc w:val="right"/>
              <w:rPr>
                <w:rFonts w:ascii="宋体" w:hAnsi="宋体" w:eastAsia="宋体" w:cs="宋体"/>
                <w:sz w:val="18"/>
                <w:szCs w:val="18"/>
              </w:rPr>
            </w:pPr>
            <w:r>
              <w:rPr>
                <w:rFonts w:ascii="宋体" w:hAnsi="宋体" w:eastAsia="宋体" w:cs="宋体"/>
                <w:sz w:val="18"/>
                <w:szCs w:val="18"/>
              </w:rPr>
              <w:t>202,830,792.87</w:t>
            </w:r>
          </w:p>
        </w:tc>
      </w:tr>
      <w:tr w14:paraId="381C43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59B84C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结算备付金</w:t>
            </w:r>
          </w:p>
        </w:tc>
        <w:tc>
          <w:tcPr>
            <w:tcW w:w="3213" w:type="dxa"/>
            <w:tcBorders>
              <w:top w:val="single" w:color="auto" w:sz="2" w:space="0"/>
              <w:left w:val="single" w:color="auto" w:sz="2" w:space="0"/>
              <w:bottom w:val="single" w:color="auto" w:sz="2" w:space="0"/>
              <w:right w:val="single" w:color="auto" w:sz="2" w:space="0"/>
            </w:tcBorders>
            <w:vAlign w:val="center"/>
          </w:tcPr>
          <w:p w14:paraId="432AD23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EDF894B">
            <w:pPr>
              <w:spacing w:before="0" w:after="0" w:line="240" w:lineRule="exact"/>
              <w:jc w:val="right"/>
              <w:rPr>
                <w:rFonts w:ascii="宋体" w:hAnsi="宋体" w:eastAsia="宋体" w:cs="宋体"/>
                <w:sz w:val="18"/>
                <w:szCs w:val="18"/>
              </w:rPr>
            </w:pPr>
          </w:p>
        </w:tc>
      </w:tr>
      <w:tr w14:paraId="15F08C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25E4DE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拆出资金</w:t>
            </w:r>
          </w:p>
        </w:tc>
        <w:tc>
          <w:tcPr>
            <w:tcW w:w="3213" w:type="dxa"/>
            <w:tcBorders>
              <w:top w:val="single" w:color="auto" w:sz="2" w:space="0"/>
              <w:left w:val="single" w:color="auto" w:sz="2" w:space="0"/>
              <w:bottom w:val="single" w:color="auto" w:sz="2" w:space="0"/>
              <w:right w:val="single" w:color="auto" w:sz="2" w:space="0"/>
            </w:tcBorders>
            <w:vAlign w:val="center"/>
          </w:tcPr>
          <w:p w14:paraId="784EDE0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E69F325">
            <w:pPr>
              <w:spacing w:before="0" w:after="0" w:line="240" w:lineRule="exact"/>
              <w:jc w:val="right"/>
              <w:rPr>
                <w:rFonts w:ascii="宋体" w:hAnsi="宋体" w:eastAsia="宋体" w:cs="宋体"/>
                <w:sz w:val="18"/>
                <w:szCs w:val="18"/>
              </w:rPr>
            </w:pPr>
          </w:p>
        </w:tc>
      </w:tr>
      <w:tr w14:paraId="37C7E3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643293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交易性金融资产</w:t>
            </w:r>
          </w:p>
        </w:tc>
        <w:tc>
          <w:tcPr>
            <w:tcW w:w="3213" w:type="dxa"/>
            <w:tcBorders>
              <w:top w:val="single" w:color="auto" w:sz="2" w:space="0"/>
              <w:left w:val="single" w:color="auto" w:sz="2" w:space="0"/>
              <w:bottom w:val="single" w:color="auto" w:sz="2" w:space="0"/>
              <w:right w:val="single" w:color="auto" w:sz="2" w:space="0"/>
            </w:tcBorders>
            <w:vAlign w:val="center"/>
          </w:tcPr>
          <w:p w14:paraId="385F444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0A682FB">
            <w:pPr>
              <w:spacing w:before="0" w:after="0" w:line="240" w:lineRule="exact"/>
              <w:jc w:val="right"/>
              <w:rPr>
                <w:rFonts w:ascii="宋体" w:hAnsi="宋体" w:eastAsia="宋体" w:cs="宋体"/>
                <w:sz w:val="18"/>
                <w:szCs w:val="18"/>
              </w:rPr>
            </w:pPr>
          </w:p>
        </w:tc>
      </w:tr>
      <w:tr w14:paraId="7BE851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0D2C0A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衍生金融资产</w:t>
            </w:r>
          </w:p>
        </w:tc>
        <w:tc>
          <w:tcPr>
            <w:tcW w:w="3213" w:type="dxa"/>
            <w:tcBorders>
              <w:top w:val="single" w:color="auto" w:sz="2" w:space="0"/>
              <w:left w:val="single" w:color="auto" w:sz="2" w:space="0"/>
              <w:bottom w:val="single" w:color="auto" w:sz="2" w:space="0"/>
              <w:right w:val="single" w:color="auto" w:sz="2" w:space="0"/>
            </w:tcBorders>
            <w:vAlign w:val="center"/>
          </w:tcPr>
          <w:p w14:paraId="433262B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9000134">
            <w:pPr>
              <w:spacing w:before="0" w:after="0" w:line="240" w:lineRule="exact"/>
              <w:jc w:val="right"/>
              <w:rPr>
                <w:rFonts w:ascii="宋体" w:hAnsi="宋体" w:eastAsia="宋体" w:cs="宋体"/>
                <w:sz w:val="18"/>
                <w:szCs w:val="18"/>
              </w:rPr>
            </w:pPr>
          </w:p>
        </w:tc>
      </w:tr>
      <w:tr w14:paraId="5B65D3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8DB25A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应收票据</w:t>
            </w:r>
          </w:p>
        </w:tc>
        <w:tc>
          <w:tcPr>
            <w:tcW w:w="3213" w:type="dxa"/>
            <w:tcBorders>
              <w:top w:val="single" w:color="auto" w:sz="2" w:space="0"/>
              <w:left w:val="single" w:color="auto" w:sz="2" w:space="0"/>
              <w:bottom w:val="single" w:color="auto" w:sz="2" w:space="0"/>
              <w:right w:val="single" w:color="auto" w:sz="2" w:space="0"/>
            </w:tcBorders>
            <w:vAlign w:val="center"/>
          </w:tcPr>
          <w:p w14:paraId="6B62C8C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0229587">
            <w:pPr>
              <w:spacing w:before="0" w:after="0" w:line="240" w:lineRule="exact"/>
              <w:jc w:val="right"/>
              <w:rPr>
                <w:rFonts w:ascii="宋体" w:hAnsi="宋体" w:eastAsia="宋体" w:cs="宋体"/>
                <w:sz w:val="18"/>
                <w:szCs w:val="18"/>
              </w:rPr>
            </w:pPr>
          </w:p>
        </w:tc>
      </w:tr>
      <w:tr w14:paraId="1E54FF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819B99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应收账款</w:t>
            </w:r>
          </w:p>
        </w:tc>
        <w:tc>
          <w:tcPr>
            <w:tcW w:w="3213" w:type="dxa"/>
            <w:tcBorders>
              <w:top w:val="single" w:color="auto" w:sz="2" w:space="0"/>
              <w:left w:val="single" w:color="auto" w:sz="2" w:space="0"/>
              <w:bottom w:val="single" w:color="auto" w:sz="2" w:space="0"/>
              <w:right w:val="single" w:color="auto" w:sz="2" w:space="0"/>
            </w:tcBorders>
            <w:vAlign w:val="center"/>
          </w:tcPr>
          <w:p w14:paraId="22252910">
            <w:pPr>
              <w:spacing w:before="0" w:after="0" w:line="240" w:lineRule="exact"/>
              <w:jc w:val="right"/>
              <w:rPr>
                <w:rFonts w:ascii="宋体" w:hAnsi="宋体" w:eastAsia="宋体" w:cs="宋体"/>
                <w:sz w:val="18"/>
                <w:szCs w:val="18"/>
              </w:rPr>
            </w:pPr>
            <w:r>
              <w:rPr>
                <w:rFonts w:ascii="宋体" w:hAnsi="宋体" w:eastAsia="宋体" w:cs="宋体"/>
                <w:sz w:val="18"/>
                <w:szCs w:val="18"/>
              </w:rPr>
              <w:t>68,135,478.18</w:t>
            </w:r>
          </w:p>
        </w:tc>
        <w:tc>
          <w:tcPr>
            <w:tcW w:w="3213" w:type="dxa"/>
            <w:tcBorders>
              <w:top w:val="single" w:color="auto" w:sz="2" w:space="0"/>
              <w:left w:val="single" w:color="auto" w:sz="2" w:space="0"/>
              <w:bottom w:val="single" w:color="auto" w:sz="2" w:space="0"/>
              <w:right w:val="single" w:color="auto" w:sz="2" w:space="0"/>
            </w:tcBorders>
            <w:vAlign w:val="center"/>
          </w:tcPr>
          <w:p w14:paraId="18F3C905">
            <w:pPr>
              <w:spacing w:before="0" w:after="0" w:line="240" w:lineRule="exact"/>
              <w:jc w:val="right"/>
              <w:rPr>
                <w:rFonts w:ascii="宋体" w:hAnsi="宋体" w:eastAsia="宋体" w:cs="宋体"/>
                <w:sz w:val="18"/>
                <w:szCs w:val="18"/>
              </w:rPr>
            </w:pPr>
            <w:r>
              <w:rPr>
                <w:rFonts w:ascii="宋体" w:hAnsi="宋体" w:eastAsia="宋体" w:cs="宋体"/>
                <w:sz w:val="18"/>
                <w:szCs w:val="18"/>
              </w:rPr>
              <w:t>67,543,214.03</w:t>
            </w:r>
          </w:p>
        </w:tc>
      </w:tr>
      <w:tr w14:paraId="0866D7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A62A38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应收款项融资</w:t>
            </w:r>
          </w:p>
        </w:tc>
        <w:tc>
          <w:tcPr>
            <w:tcW w:w="3213" w:type="dxa"/>
            <w:tcBorders>
              <w:top w:val="single" w:color="auto" w:sz="2" w:space="0"/>
              <w:left w:val="single" w:color="auto" w:sz="2" w:space="0"/>
              <w:bottom w:val="single" w:color="auto" w:sz="2" w:space="0"/>
              <w:right w:val="single" w:color="auto" w:sz="2" w:space="0"/>
            </w:tcBorders>
            <w:vAlign w:val="center"/>
          </w:tcPr>
          <w:p w14:paraId="7B918F52">
            <w:pPr>
              <w:spacing w:before="0" w:after="0" w:line="240" w:lineRule="exact"/>
              <w:jc w:val="right"/>
              <w:rPr>
                <w:rFonts w:ascii="宋体" w:hAnsi="宋体" w:eastAsia="宋体" w:cs="宋体"/>
                <w:sz w:val="18"/>
                <w:szCs w:val="18"/>
              </w:rPr>
            </w:pPr>
            <w:r>
              <w:rPr>
                <w:rFonts w:ascii="宋体" w:hAnsi="宋体" w:eastAsia="宋体" w:cs="宋体"/>
                <w:sz w:val="18"/>
                <w:szCs w:val="18"/>
              </w:rPr>
              <w:t>2,292,928.00</w:t>
            </w:r>
          </w:p>
        </w:tc>
        <w:tc>
          <w:tcPr>
            <w:tcW w:w="3213" w:type="dxa"/>
            <w:tcBorders>
              <w:top w:val="single" w:color="auto" w:sz="2" w:space="0"/>
              <w:left w:val="single" w:color="auto" w:sz="2" w:space="0"/>
              <w:bottom w:val="single" w:color="auto" w:sz="2" w:space="0"/>
              <w:right w:val="single" w:color="auto" w:sz="2" w:space="0"/>
            </w:tcBorders>
            <w:vAlign w:val="center"/>
          </w:tcPr>
          <w:p w14:paraId="4823D29E">
            <w:pPr>
              <w:spacing w:before="0" w:after="0" w:line="240" w:lineRule="exact"/>
              <w:jc w:val="right"/>
              <w:rPr>
                <w:rFonts w:ascii="宋体" w:hAnsi="宋体" w:eastAsia="宋体" w:cs="宋体"/>
                <w:sz w:val="18"/>
                <w:szCs w:val="18"/>
              </w:rPr>
            </w:pPr>
            <w:r>
              <w:rPr>
                <w:rFonts w:ascii="宋体" w:hAnsi="宋体" w:eastAsia="宋体" w:cs="宋体"/>
                <w:sz w:val="18"/>
                <w:szCs w:val="18"/>
              </w:rPr>
              <w:t>2,214,638.84</w:t>
            </w:r>
          </w:p>
        </w:tc>
      </w:tr>
      <w:tr w14:paraId="52EA07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1A0AB1B">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预付款项</w:t>
            </w:r>
          </w:p>
        </w:tc>
        <w:tc>
          <w:tcPr>
            <w:tcW w:w="3213" w:type="dxa"/>
            <w:tcBorders>
              <w:top w:val="single" w:color="auto" w:sz="2" w:space="0"/>
              <w:left w:val="single" w:color="auto" w:sz="2" w:space="0"/>
              <w:bottom w:val="single" w:color="auto" w:sz="2" w:space="0"/>
              <w:right w:val="single" w:color="auto" w:sz="2" w:space="0"/>
            </w:tcBorders>
            <w:vAlign w:val="center"/>
          </w:tcPr>
          <w:p w14:paraId="79121EE0">
            <w:pPr>
              <w:spacing w:before="0" w:after="0" w:line="240" w:lineRule="exact"/>
              <w:jc w:val="right"/>
              <w:rPr>
                <w:rFonts w:ascii="宋体" w:hAnsi="宋体" w:eastAsia="宋体" w:cs="宋体"/>
                <w:sz w:val="18"/>
                <w:szCs w:val="18"/>
              </w:rPr>
            </w:pPr>
            <w:r>
              <w:rPr>
                <w:rFonts w:ascii="宋体" w:hAnsi="宋体" w:eastAsia="宋体" w:cs="宋体"/>
                <w:sz w:val="18"/>
                <w:szCs w:val="18"/>
              </w:rPr>
              <w:t>14,361,064.89</w:t>
            </w:r>
          </w:p>
        </w:tc>
        <w:tc>
          <w:tcPr>
            <w:tcW w:w="3213" w:type="dxa"/>
            <w:tcBorders>
              <w:top w:val="single" w:color="auto" w:sz="2" w:space="0"/>
              <w:left w:val="single" w:color="auto" w:sz="2" w:space="0"/>
              <w:bottom w:val="single" w:color="auto" w:sz="2" w:space="0"/>
              <w:right w:val="single" w:color="auto" w:sz="2" w:space="0"/>
            </w:tcBorders>
            <w:vAlign w:val="center"/>
          </w:tcPr>
          <w:p w14:paraId="11B47C94">
            <w:pPr>
              <w:spacing w:before="0" w:after="0" w:line="240" w:lineRule="exact"/>
              <w:jc w:val="right"/>
              <w:rPr>
                <w:rFonts w:ascii="宋体" w:hAnsi="宋体" w:eastAsia="宋体" w:cs="宋体"/>
                <w:sz w:val="18"/>
                <w:szCs w:val="18"/>
              </w:rPr>
            </w:pPr>
            <w:r>
              <w:rPr>
                <w:rFonts w:ascii="宋体" w:hAnsi="宋体" w:eastAsia="宋体" w:cs="宋体"/>
                <w:sz w:val="18"/>
                <w:szCs w:val="18"/>
              </w:rPr>
              <w:t>17,086,739.76</w:t>
            </w:r>
          </w:p>
        </w:tc>
      </w:tr>
      <w:tr w14:paraId="7D0FDB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B39108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应收保费</w:t>
            </w:r>
          </w:p>
        </w:tc>
        <w:tc>
          <w:tcPr>
            <w:tcW w:w="3213" w:type="dxa"/>
            <w:tcBorders>
              <w:top w:val="single" w:color="auto" w:sz="2" w:space="0"/>
              <w:left w:val="single" w:color="auto" w:sz="2" w:space="0"/>
              <w:bottom w:val="single" w:color="auto" w:sz="2" w:space="0"/>
              <w:right w:val="single" w:color="auto" w:sz="2" w:space="0"/>
            </w:tcBorders>
            <w:vAlign w:val="center"/>
          </w:tcPr>
          <w:p w14:paraId="25ADC70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BA4EAC6">
            <w:pPr>
              <w:spacing w:before="0" w:after="0" w:line="240" w:lineRule="exact"/>
              <w:jc w:val="right"/>
              <w:rPr>
                <w:rFonts w:ascii="宋体" w:hAnsi="宋体" w:eastAsia="宋体" w:cs="宋体"/>
                <w:sz w:val="18"/>
                <w:szCs w:val="18"/>
              </w:rPr>
            </w:pPr>
          </w:p>
        </w:tc>
      </w:tr>
      <w:tr w14:paraId="1DC79A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6FCA919">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应收分保账款</w:t>
            </w:r>
          </w:p>
        </w:tc>
        <w:tc>
          <w:tcPr>
            <w:tcW w:w="3213" w:type="dxa"/>
            <w:tcBorders>
              <w:top w:val="single" w:color="auto" w:sz="2" w:space="0"/>
              <w:left w:val="single" w:color="auto" w:sz="2" w:space="0"/>
              <w:bottom w:val="single" w:color="auto" w:sz="2" w:space="0"/>
              <w:right w:val="single" w:color="auto" w:sz="2" w:space="0"/>
            </w:tcBorders>
            <w:vAlign w:val="center"/>
          </w:tcPr>
          <w:p w14:paraId="24C9DAB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3FFA2EF">
            <w:pPr>
              <w:spacing w:before="0" w:after="0" w:line="240" w:lineRule="exact"/>
              <w:jc w:val="right"/>
              <w:rPr>
                <w:rFonts w:ascii="宋体" w:hAnsi="宋体" w:eastAsia="宋体" w:cs="宋体"/>
                <w:sz w:val="18"/>
                <w:szCs w:val="18"/>
              </w:rPr>
            </w:pPr>
          </w:p>
        </w:tc>
      </w:tr>
      <w:tr w14:paraId="4DB6D8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D7EEC0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应收分保合同准备金</w:t>
            </w:r>
          </w:p>
        </w:tc>
        <w:tc>
          <w:tcPr>
            <w:tcW w:w="3213" w:type="dxa"/>
            <w:tcBorders>
              <w:top w:val="single" w:color="auto" w:sz="2" w:space="0"/>
              <w:left w:val="single" w:color="auto" w:sz="2" w:space="0"/>
              <w:bottom w:val="single" w:color="auto" w:sz="2" w:space="0"/>
              <w:right w:val="single" w:color="auto" w:sz="2" w:space="0"/>
            </w:tcBorders>
            <w:vAlign w:val="center"/>
          </w:tcPr>
          <w:p w14:paraId="03758A9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F3EF82F">
            <w:pPr>
              <w:spacing w:before="0" w:after="0" w:line="240" w:lineRule="exact"/>
              <w:jc w:val="right"/>
              <w:rPr>
                <w:rFonts w:ascii="宋体" w:hAnsi="宋体" w:eastAsia="宋体" w:cs="宋体"/>
                <w:sz w:val="18"/>
                <w:szCs w:val="18"/>
              </w:rPr>
            </w:pPr>
          </w:p>
        </w:tc>
      </w:tr>
      <w:tr w14:paraId="65484B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020C359">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其他应收款</w:t>
            </w:r>
          </w:p>
        </w:tc>
        <w:tc>
          <w:tcPr>
            <w:tcW w:w="3213" w:type="dxa"/>
            <w:tcBorders>
              <w:top w:val="single" w:color="auto" w:sz="2" w:space="0"/>
              <w:left w:val="single" w:color="auto" w:sz="2" w:space="0"/>
              <w:bottom w:val="single" w:color="auto" w:sz="2" w:space="0"/>
              <w:right w:val="single" w:color="auto" w:sz="2" w:space="0"/>
            </w:tcBorders>
            <w:vAlign w:val="center"/>
          </w:tcPr>
          <w:p w14:paraId="0784A3FF">
            <w:pPr>
              <w:spacing w:before="0" w:after="0" w:line="240" w:lineRule="exact"/>
              <w:jc w:val="right"/>
              <w:rPr>
                <w:rFonts w:ascii="宋体" w:hAnsi="宋体" w:eastAsia="宋体" w:cs="宋体"/>
                <w:sz w:val="18"/>
                <w:szCs w:val="18"/>
              </w:rPr>
            </w:pPr>
            <w:r>
              <w:rPr>
                <w:rFonts w:ascii="宋体" w:hAnsi="宋体" w:eastAsia="宋体" w:cs="宋体"/>
                <w:sz w:val="18"/>
                <w:szCs w:val="18"/>
              </w:rPr>
              <w:t>4,287,785.99</w:t>
            </w:r>
          </w:p>
        </w:tc>
        <w:tc>
          <w:tcPr>
            <w:tcW w:w="3213" w:type="dxa"/>
            <w:tcBorders>
              <w:top w:val="single" w:color="auto" w:sz="2" w:space="0"/>
              <w:left w:val="single" w:color="auto" w:sz="2" w:space="0"/>
              <w:bottom w:val="single" w:color="auto" w:sz="2" w:space="0"/>
              <w:right w:val="single" w:color="auto" w:sz="2" w:space="0"/>
            </w:tcBorders>
            <w:vAlign w:val="center"/>
          </w:tcPr>
          <w:p w14:paraId="45551A72">
            <w:pPr>
              <w:spacing w:before="0" w:after="0" w:line="240" w:lineRule="exact"/>
              <w:jc w:val="right"/>
              <w:rPr>
                <w:rFonts w:ascii="宋体" w:hAnsi="宋体" w:eastAsia="宋体" w:cs="宋体"/>
                <w:sz w:val="18"/>
                <w:szCs w:val="18"/>
              </w:rPr>
            </w:pPr>
            <w:r>
              <w:rPr>
                <w:rFonts w:ascii="宋体" w:hAnsi="宋体" w:eastAsia="宋体" w:cs="宋体"/>
                <w:sz w:val="18"/>
                <w:szCs w:val="18"/>
              </w:rPr>
              <w:t>1,487,975.05</w:t>
            </w:r>
          </w:p>
        </w:tc>
      </w:tr>
      <w:tr w14:paraId="5941F1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D649251">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其中：应收利息</w:t>
            </w:r>
          </w:p>
        </w:tc>
        <w:tc>
          <w:tcPr>
            <w:tcW w:w="3213" w:type="dxa"/>
            <w:tcBorders>
              <w:top w:val="single" w:color="auto" w:sz="2" w:space="0"/>
              <w:left w:val="single" w:color="auto" w:sz="2" w:space="0"/>
              <w:bottom w:val="single" w:color="auto" w:sz="2" w:space="0"/>
              <w:right w:val="single" w:color="auto" w:sz="2" w:space="0"/>
            </w:tcBorders>
            <w:vAlign w:val="center"/>
          </w:tcPr>
          <w:p w14:paraId="065FFA4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45EAB94">
            <w:pPr>
              <w:spacing w:before="0" w:after="0" w:line="240" w:lineRule="exact"/>
              <w:jc w:val="right"/>
              <w:rPr>
                <w:rFonts w:ascii="宋体" w:hAnsi="宋体" w:eastAsia="宋体" w:cs="宋体"/>
                <w:sz w:val="18"/>
                <w:szCs w:val="18"/>
              </w:rPr>
            </w:pPr>
          </w:p>
        </w:tc>
      </w:tr>
      <w:tr w14:paraId="35A674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B106DBC">
            <w:pPr>
              <w:spacing w:before="40" w:after="40" w:line="240" w:lineRule="exact"/>
              <w:ind w:firstLine="900" w:firstLineChars="500"/>
              <w:jc w:val="left"/>
              <w:rPr>
                <w:rFonts w:ascii="宋体" w:hAnsi="宋体" w:eastAsia="宋体" w:cs="宋体"/>
                <w:sz w:val="18"/>
                <w:szCs w:val="18"/>
              </w:rPr>
            </w:pPr>
            <w:r>
              <w:rPr>
                <w:rFonts w:ascii="宋体" w:hAnsi="宋体" w:eastAsia="宋体" w:cs="宋体"/>
                <w:sz w:val="18"/>
                <w:szCs w:val="18"/>
              </w:rPr>
              <w:t>应收股利</w:t>
            </w:r>
          </w:p>
        </w:tc>
        <w:tc>
          <w:tcPr>
            <w:tcW w:w="3213" w:type="dxa"/>
            <w:tcBorders>
              <w:top w:val="single" w:color="auto" w:sz="2" w:space="0"/>
              <w:left w:val="single" w:color="auto" w:sz="2" w:space="0"/>
              <w:bottom w:val="single" w:color="auto" w:sz="2" w:space="0"/>
              <w:right w:val="single" w:color="auto" w:sz="2" w:space="0"/>
            </w:tcBorders>
            <w:vAlign w:val="center"/>
          </w:tcPr>
          <w:p w14:paraId="003DDE8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E706298">
            <w:pPr>
              <w:spacing w:before="0" w:after="0" w:line="240" w:lineRule="exact"/>
              <w:jc w:val="right"/>
              <w:rPr>
                <w:rFonts w:ascii="宋体" w:hAnsi="宋体" w:eastAsia="宋体" w:cs="宋体"/>
                <w:sz w:val="18"/>
                <w:szCs w:val="18"/>
              </w:rPr>
            </w:pPr>
          </w:p>
        </w:tc>
      </w:tr>
      <w:tr w14:paraId="3E6AE1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6EDD6C6">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买入返售金融资产</w:t>
            </w:r>
          </w:p>
        </w:tc>
        <w:tc>
          <w:tcPr>
            <w:tcW w:w="3213" w:type="dxa"/>
            <w:tcBorders>
              <w:top w:val="single" w:color="auto" w:sz="2" w:space="0"/>
              <w:left w:val="single" w:color="auto" w:sz="2" w:space="0"/>
              <w:bottom w:val="single" w:color="auto" w:sz="2" w:space="0"/>
              <w:right w:val="single" w:color="auto" w:sz="2" w:space="0"/>
            </w:tcBorders>
            <w:vAlign w:val="center"/>
          </w:tcPr>
          <w:p w14:paraId="7AFBD74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43435AD">
            <w:pPr>
              <w:spacing w:before="0" w:after="0" w:line="240" w:lineRule="exact"/>
              <w:jc w:val="right"/>
              <w:rPr>
                <w:rFonts w:ascii="宋体" w:hAnsi="宋体" w:eastAsia="宋体" w:cs="宋体"/>
                <w:sz w:val="18"/>
                <w:szCs w:val="18"/>
              </w:rPr>
            </w:pPr>
          </w:p>
        </w:tc>
      </w:tr>
      <w:tr w14:paraId="0597E0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2F4E75A">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存货</w:t>
            </w:r>
          </w:p>
        </w:tc>
        <w:tc>
          <w:tcPr>
            <w:tcW w:w="3213" w:type="dxa"/>
            <w:tcBorders>
              <w:top w:val="single" w:color="auto" w:sz="2" w:space="0"/>
              <w:left w:val="single" w:color="auto" w:sz="2" w:space="0"/>
              <w:bottom w:val="single" w:color="auto" w:sz="2" w:space="0"/>
              <w:right w:val="single" w:color="auto" w:sz="2" w:space="0"/>
            </w:tcBorders>
            <w:vAlign w:val="center"/>
          </w:tcPr>
          <w:p w14:paraId="21EE553E">
            <w:pPr>
              <w:spacing w:before="0" w:after="0" w:line="240" w:lineRule="exact"/>
              <w:jc w:val="right"/>
              <w:rPr>
                <w:rFonts w:ascii="宋体" w:hAnsi="宋体" w:eastAsia="宋体" w:cs="宋体"/>
                <w:sz w:val="18"/>
                <w:szCs w:val="18"/>
              </w:rPr>
            </w:pPr>
            <w:r>
              <w:rPr>
                <w:rFonts w:ascii="宋体" w:hAnsi="宋体" w:eastAsia="宋体" w:cs="宋体"/>
                <w:sz w:val="18"/>
                <w:szCs w:val="18"/>
              </w:rPr>
              <w:t>114,475,159.49</w:t>
            </w:r>
          </w:p>
        </w:tc>
        <w:tc>
          <w:tcPr>
            <w:tcW w:w="3213" w:type="dxa"/>
            <w:tcBorders>
              <w:top w:val="single" w:color="auto" w:sz="2" w:space="0"/>
              <w:left w:val="single" w:color="auto" w:sz="2" w:space="0"/>
              <w:bottom w:val="single" w:color="auto" w:sz="2" w:space="0"/>
              <w:right w:val="single" w:color="auto" w:sz="2" w:space="0"/>
            </w:tcBorders>
            <w:vAlign w:val="center"/>
          </w:tcPr>
          <w:p w14:paraId="743359B9">
            <w:pPr>
              <w:spacing w:before="0" w:after="0" w:line="240" w:lineRule="exact"/>
              <w:jc w:val="right"/>
              <w:rPr>
                <w:rFonts w:ascii="宋体" w:hAnsi="宋体" w:eastAsia="宋体" w:cs="宋体"/>
                <w:sz w:val="18"/>
                <w:szCs w:val="18"/>
              </w:rPr>
            </w:pPr>
            <w:r>
              <w:rPr>
                <w:rFonts w:ascii="宋体" w:hAnsi="宋体" w:eastAsia="宋体" w:cs="宋体"/>
                <w:sz w:val="18"/>
                <w:szCs w:val="18"/>
              </w:rPr>
              <w:t>111,475,622.97</w:t>
            </w:r>
          </w:p>
        </w:tc>
      </w:tr>
      <w:tr w14:paraId="6C564C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F3A202C">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其中：数据资源</w:t>
            </w:r>
          </w:p>
        </w:tc>
        <w:tc>
          <w:tcPr>
            <w:tcW w:w="3213" w:type="dxa"/>
            <w:tcBorders>
              <w:top w:val="single" w:color="auto" w:sz="2" w:space="0"/>
              <w:left w:val="single" w:color="auto" w:sz="2" w:space="0"/>
              <w:bottom w:val="single" w:color="auto" w:sz="2" w:space="0"/>
              <w:right w:val="single" w:color="auto" w:sz="2" w:space="0"/>
            </w:tcBorders>
            <w:vAlign w:val="center"/>
          </w:tcPr>
          <w:p w14:paraId="7B60F31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669E317">
            <w:pPr>
              <w:spacing w:before="0" w:after="0" w:line="240" w:lineRule="exact"/>
              <w:jc w:val="right"/>
              <w:rPr>
                <w:rFonts w:ascii="宋体" w:hAnsi="宋体" w:eastAsia="宋体" w:cs="宋体"/>
                <w:sz w:val="18"/>
                <w:szCs w:val="18"/>
              </w:rPr>
            </w:pPr>
          </w:p>
        </w:tc>
      </w:tr>
      <w:tr w14:paraId="542ACD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42E7D1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合同资产</w:t>
            </w:r>
          </w:p>
        </w:tc>
        <w:tc>
          <w:tcPr>
            <w:tcW w:w="3213" w:type="dxa"/>
            <w:tcBorders>
              <w:top w:val="single" w:color="auto" w:sz="2" w:space="0"/>
              <w:left w:val="single" w:color="auto" w:sz="2" w:space="0"/>
              <w:bottom w:val="single" w:color="auto" w:sz="2" w:space="0"/>
              <w:right w:val="single" w:color="auto" w:sz="2" w:space="0"/>
            </w:tcBorders>
            <w:vAlign w:val="center"/>
          </w:tcPr>
          <w:p w14:paraId="380288C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04CF6B0">
            <w:pPr>
              <w:spacing w:before="0" w:after="0" w:line="240" w:lineRule="exact"/>
              <w:jc w:val="right"/>
              <w:rPr>
                <w:rFonts w:ascii="宋体" w:hAnsi="宋体" w:eastAsia="宋体" w:cs="宋体"/>
                <w:sz w:val="18"/>
                <w:szCs w:val="18"/>
              </w:rPr>
            </w:pPr>
          </w:p>
        </w:tc>
      </w:tr>
      <w:tr w14:paraId="3A1BC3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0792DB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持有待售资产</w:t>
            </w:r>
          </w:p>
        </w:tc>
        <w:tc>
          <w:tcPr>
            <w:tcW w:w="3213" w:type="dxa"/>
            <w:tcBorders>
              <w:top w:val="single" w:color="auto" w:sz="2" w:space="0"/>
              <w:left w:val="single" w:color="auto" w:sz="2" w:space="0"/>
              <w:bottom w:val="single" w:color="auto" w:sz="2" w:space="0"/>
              <w:right w:val="single" w:color="auto" w:sz="2" w:space="0"/>
            </w:tcBorders>
            <w:vAlign w:val="center"/>
          </w:tcPr>
          <w:p w14:paraId="713841F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2F1E66F">
            <w:pPr>
              <w:spacing w:before="0" w:after="0" w:line="240" w:lineRule="exact"/>
              <w:jc w:val="right"/>
              <w:rPr>
                <w:rFonts w:ascii="宋体" w:hAnsi="宋体" w:eastAsia="宋体" w:cs="宋体"/>
                <w:sz w:val="18"/>
                <w:szCs w:val="18"/>
              </w:rPr>
            </w:pPr>
          </w:p>
        </w:tc>
      </w:tr>
      <w:tr w14:paraId="6D0254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16BECF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一年内到期的非流动资产</w:t>
            </w:r>
          </w:p>
        </w:tc>
        <w:tc>
          <w:tcPr>
            <w:tcW w:w="3213" w:type="dxa"/>
            <w:tcBorders>
              <w:top w:val="single" w:color="auto" w:sz="2" w:space="0"/>
              <w:left w:val="single" w:color="auto" w:sz="2" w:space="0"/>
              <w:bottom w:val="single" w:color="auto" w:sz="2" w:space="0"/>
              <w:right w:val="single" w:color="auto" w:sz="2" w:space="0"/>
            </w:tcBorders>
            <w:vAlign w:val="center"/>
          </w:tcPr>
          <w:p w14:paraId="6D501092">
            <w:pPr>
              <w:spacing w:before="0" w:after="0" w:line="240" w:lineRule="exact"/>
              <w:jc w:val="right"/>
              <w:rPr>
                <w:rFonts w:ascii="宋体" w:hAnsi="宋体" w:eastAsia="宋体" w:cs="宋体"/>
                <w:sz w:val="18"/>
                <w:szCs w:val="18"/>
              </w:rPr>
            </w:pPr>
            <w:r>
              <w:rPr>
                <w:rFonts w:ascii="宋体" w:hAnsi="宋体" w:eastAsia="宋体" w:cs="宋体"/>
                <w:sz w:val="18"/>
                <w:szCs w:val="18"/>
              </w:rPr>
              <w:t>128,301.77</w:t>
            </w:r>
          </w:p>
        </w:tc>
        <w:tc>
          <w:tcPr>
            <w:tcW w:w="3213" w:type="dxa"/>
            <w:tcBorders>
              <w:top w:val="single" w:color="auto" w:sz="2" w:space="0"/>
              <w:left w:val="single" w:color="auto" w:sz="2" w:space="0"/>
              <w:bottom w:val="single" w:color="auto" w:sz="2" w:space="0"/>
              <w:right w:val="single" w:color="auto" w:sz="2" w:space="0"/>
            </w:tcBorders>
            <w:vAlign w:val="center"/>
          </w:tcPr>
          <w:p w14:paraId="33FD08E9">
            <w:pPr>
              <w:spacing w:before="0" w:after="0" w:line="240" w:lineRule="exact"/>
              <w:jc w:val="right"/>
              <w:rPr>
                <w:rFonts w:ascii="宋体" w:hAnsi="宋体" w:eastAsia="宋体" w:cs="宋体"/>
                <w:sz w:val="18"/>
                <w:szCs w:val="18"/>
              </w:rPr>
            </w:pPr>
          </w:p>
        </w:tc>
      </w:tr>
      <w:tr w14:paraId="44805F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338909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其他流动资产</w:t>
            </w:r>
          </w:p>
        </w:tc>
        <w:tc>
          <w:tcPr>
            <w:tcW w:w="3213" w:type="dxa"/>
            <w:tcBorders>
              <w:top w:val="single" w:color="auto" w:sz="2" w:space="0"/>
              <w:left w:val="single" w:color="auto" w:sz="2" w:space="0"/>
              <w:bottom w:val="single" w:color="auto" w:sz="2" w:space="0"/>
              <w:right w:val="single" w:color="auto" w:sz="2" w:space="0"/>
            </w:tcBorders>
            <w:vAlign w:val="center"/>
          </w:tcPr>
          <w:p w14:paraId="7ACA005A">
            <w:pPr>
              <w:spacing w:before="0" w:after="0" w:line="240" w:lineRule="exact"/>
              <w:jc w:val="right"/>
              <w:rPr>
                <w:rFonts w:ascii="宋体" w:hAnsi="宋体" w:eastAsia="宋体" w:cs="宋体"/>
                <w:sz w:val="18"/>
                <w:szCs w:val="18"/>
              </w:rPr>
            </w:pPr>
            <w:r>
              <w:rPr>
                <w:rFonts w:ascii="宋体" w:hAnsi="宋体" w:eastAsia="宋体" w:cs="宋体"/>
                <w:sz w:val="18"/>
                <w:szCs w:val="18"/>
              </w:rPr>
              <w:t>59,665,112.63</w:t>
            </w:r>
          </w:p>
        </w:tc>
        <w:tc>
          <w:tcPr>
            <w:tcW w:w="3213" w:type="dxa"/>
            <w:tcBorders>
              <w:top w:val="single" w:color="auto" w:sz="2" w:space="0"/>
              <w:left w:val="single" w:color="auto" w:sz="2" w:space="0"/>
              <w:bottom w:val="single" w:color="auto" w:sz="2" w:space="0"/>
              <w:right w:val="single" w:color="auto" w:sz="2" w:space="0"/>
            </w:tcBorders>
            <w:vAlign w:val="center"/>
          </w:tcPr>
          <w:p w14:paraId="5A59A8C3">
            <w:pPr>
              <w:spacing w:before="0" w:after="0" w:line="240" w:lineRule="exact"/>
              <w:jc w:val="right"/>
              <w:rPr>
                <w:rFonts w:ascii="宋体" w:hAnsi="宋体" w:eastAsia="宋体" w:cs="宋体"/>
                <w:sz w:val="18"/>
                <w:szCs w:val="18"/>
              </w:rPr>
            </w:pPr>
            <w:r>
              <w:rPr>
                <w:rFonts w:ascii="宋体" w:hAnsi="宋体" w:eastAsia="宋体" w:cs="宋体"/>
                <w:sz w:val="18"/>
                <w:szCs w:val="18"/>
              </w:rPr>
              <w:t>46,646,782.15</w:t>
            </w:r>
          </w:p>
        </w:tc>
      </w:tr>
      <w:tr w14:paraId="3297A8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E1D53E8">
            <w:pPr>
              <w:spacing w:before="40" w:after="40" w:line="240" w:lineRule="exact"/>
              <w:jc w:val="left"/>
              <w:rPr>
                <w:rFonts w:ascii="宋体" w:hAnsi="宋体" w:eastAsia="宋体" w:cs="宋体"/>
                <w:sz w:val="18"/>
                <w:szCs w:val="18"/>
              </w:rPr>
            </w:pPr>
            <w:r>
              <w:rPr>
                <w:rFonts w:ascii="宋体" w:hAnsi="宋体" w:eastAsia="宋体" w:cs="宋体"/>
                <w:sz w:val="18"/>
                <w:szCs w:val="18"/>
              </w:rPr>
              <w:t>流动资产合计</w:t>
            </w:r>
          </w:p>
        </w:tc>
        <w:tc>
          <w:tcPr>
            <w:tcW w:w="3213" w:type="dxa"/>
            <w:tcBorders>
              <w:top w:val="single" w:color="auto" w:sz="2" w:space="0"/>
              <w:left w:val="single" w:color="auto" w:sz="2" w:space="0"/>
              <w:bottom w:val="single" w:color="auto" w:sz="2" w:space="0"/>
              <w:right w:val="single" w:color="auto" w:sz="2" w:space="0"/>
            </w:tcBorders>
            <w:vAlign w:val="center"/>
          </w:tcPr>
          <w:p w14:paraId="762B945F">
            <w:pPr>
              <w:spacing w:before="0" w:after="0" w:line="240" w:lineRule="exact"/>
              <w:jc w:val="right"/>
              <w:rPr>
                <w:rFonts w:ascii="宋体" w:hAnsi="宋体" w:eastAsia="宋体" w:cs="宋体"/>
                <w:sz w:val="18"/>
                <w:szCs w:val="18"/>
              </w:rPr>
            </w:pPr>
            <w:r>
              <w:rPr>
                <w:rFonts w:ascii="宋体" w:hAnsi="宋体" w:eastAsia="宋体" w:cs="宋体"/>
                <w:sz w:val="18"/>
                <w:szCs w:val="18"/>
              </w:rPr>
              <w:t>407,299,897.31</w:t>
            </w:r>
          </w:p>
        </w:tc>
        <w:tc>
          <w:tcPr>
            <w:tcW w:w="3213" w:type="dxa"/>
            <w:tcBorders>
              <w:top w:val="single" w:color="auto" w:sz="2" w:space="0"/>
              <w:left w:val="single" w:color="auto" w:sz="2" w:space="0"/>
              <w:bottom w:val="single" w:color="auto" w:sz="2" w:space="0"/>
              <w:right w:val="single" w:color="auto" w:sz="2" w:space="0"/>
            </w:tcBorders>
            <w:vAlign w:val="center"/>
          </w:tcPr>
          <w:p w14:paraId="0139AB8F">
            <w:pPr>
              <w:spacing w:before="0" w:after="0" w:line="240" w:lineRule="exact"/>
              <w:jc w:val="right"/>
              <w:rPr>
                <w:rFonts w:ascii="宋体" w:hAnsi="宋体" w:eastAsia="宋体" w:cs="宋体"/>
                <w:sz w:val="18"/>
                <w:szCs w:val="18"/>
              </w:rPr>
            </w:pPr>
            <w:r>
              <w:rPr>
                <w:rFonts w:ascii="宋体" w:hAnsi="宋体" w:eastAsia="宋体" w:cs="宋体"/>
                <w:sz w:val="18"/>
                <w:szCs w:val="18"/>
              </w:rPr>
              <w:t>449,285,765.67</w:t>
            </w:r>
          </w:p>
        </w:tc>
      </w:tr>
      <w:tr w14:paraId="255DF3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5F038DB">
            <w:pPr>
              <w:spacing w:before="40" w:after="40" w:line="240" w:lineRule="exact"/>
              <w:jc w:val="left"/>
              <w:rPr>
                <w:rFonts w:ascii="宋体" w:hAnsi="宋体" w:eastAsia="宋体" w:cs="宋体"/>
                <w:sz w:val="18"/>
                <w:szCs w:val="18"/>
              </w:rPr>
            </w:pPr>
            <w:r>
              <w:rPr>
                <w:rFonts w:ascii="宋体" w:hAnsi="宋体" w:eastAsia="宋体" w:cs="宋体"/>
                <w:sz w:val="18"/>
                <w:szCs w:val="18"/>
              </w:rPr>
              <w:t>非流动资产：</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108AA8C"/>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52CA19B"/>
        </w:tc>
      </w:tr>
      <w:tr w14:paraId="7509A3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DBCA9A1">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发放贷款和垫款</w:t>
            </w:r>
          </w:p>
        </w:tc>
        <w:tc>
          <w:tcPr>
            <w:tcW w:w="3213" w:type="dxa"/>
            <w:tcBorders>
              <w:top w:val="single" w:color="auto" w:sz="2" w:space="0"/>
              <w:left w:val="single" w:color="auto" w:sz="2" w:space="0"/>
              <w:bottom w:val="single" w:color="auto" w:sz="2" w:space="0"/>
              <w:right w:val="single" w:color="auto" w:sz="2" w:space="0"/>
            </w:tcBorders>
            <w:vAlign w:val="center"/>
          </w:tcPr>
          <w:p w14:paraId="3AD0E63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D4AD86B">
            <w:pPr>
              <w:spacing w:before="0" w:after="0" w:line="240" w:lineRule="exact"/>
              <w:jc w:val="right"/>
              <w:rPr>
                <w:rFonts w:ascii="宋体" w:hAnsi="宋体" w:eastAsia="宋体" w:cs="宋体"/>
                <w:sz w:val="18"/>
                <w:szCs w:val="18"/>
              </w:rPr>
            </w:pPr>
          </w:p>
        </w:tc>
      </w:tr>
      <w:tr w14:paraId="72023E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6E5BC8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债权投资</w:t>
            </w:r>
          </w:p>
        </w:tc>
        <w:tc>
          <w:tcPr>
            <w:tcW w:w="3213" w:type="dxa"/>
            <w:tcBorders>
              <w:top w:val="single" w:color="auto" w:sz="2" w:space="0"/>
              <w:left w:val="single" w:color="auto" w:sz="2" w:space="0"/>
              <w:bottom w:val="single" w:color="auto" w:sz="2" w:space="0"/>
              <w:right w:val="single" w:color="auto" w:sz="2" w:space="0"/>
            </w:tcBorders>
            <w:vAlign w:val="center"/>
          </w:tcPr>
          <w:p w14:paraId="237DF87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1A84D81">
            <w:pPr>
              <w:spacing w:before="0" w:after="0" w:line="240" w:lineRule="exact"/>
              <w:jc w:val="right"/>
              <w:rPr>
                <w:rFonts w:ascii="宋体" w:hAnsi="宋体" w:eastAsia="宋体" w:cs="宋体"/>
                <w:sz w:val="18"/>
                <w:szCs w:val="18"/>
              </w:rPr>
            </w:pPr>
          </w:p>
        </w:tc>
      </w:tr>
      <w:tr w14:paraId="03FA21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14AF001">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其他债权投资</w:t>
            </w:r>
          </w:p>
        </w:tc>
        <w:tc>
          <w:tcPr>
            <w:tcW w:w="3213" w:type="dxa"/>
            <w:tcBorders>
              <w:top w:val="single" w:color="auto" w:sz="2" w:space="0"/>
              <w:left w:val="single" w:color="auto" w:sz="2" w:space="0"/>
              <w:bottom w:val="single" w:color="auto" w:sz="2" w:space="0"/>
              <w:right w:val="single" w:color="auto" w:sz="2" w:space="0"/>
            </w:tcBorders>
            <w:vAlign w:val="center"/>
          </w:tcPr>
          <w:p w14:paraId="60C9045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47EDFAA">
            <w:pPr>
              <w:spacing w:before="0" w:after="0" w:line="240" w:lineRule="exact"/>
              <w:jc w:val="right"/>
              <w:rPr>
                <w:rFonts w:ascii="宋体" w:hAnsi="宋体" w:eastAsia="宋体" w:cs="宋体"/>
                <w:sz w:val="18"/>
                <w:szCs w:val="18"/>
              </w:rPr>
            </w:pPr>
          </w:p>
        </w:tc>
      </w:tr>
      <w:tr w14:paraId="732AE2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66258D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长期应收款</w:t>
            </w:r>
          </w:p>
        </w:tc>
        <w:tc>
          <w:tcPr>
            <w:tcW w:w="3213" w:type="dxa"/>
            <w:tcBorders>
              <w:top w:val="single" w:color="auto" w:sz="2" w:space="0"/>
              <w:left w:val="single" w:color="auto" w:sz="2" w:space="0"/>
              <w:bottom w:val="single" w:color="auto" w:sz="2" w:space="0"/>
              <w:right w:val="single" w:color="auto" w:sz="2" w:space="0"/>
            </w:tcBorders>
            <w:vAlign w:val="center"/>
          </w:tcPr>
          <w:p w14:paraId="7ADF611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476BE96">
            <w:pPr>
              <w:spacing w:before="0" w:after="0" w:line="240" w:lineRule="exact"/>
              <w:jc w:val="right"/>
              <w:rPr>
                <w:rFonts w:ascii="宋体" w:hAnsi="宋体" w:eastAsia="宋体" w:cs="宋体"/>
                <w:sz w:val="18"/>
                <w:szCs w:val="18"/>
              </w:rPr>
            </w:pPr>
          </w:p>
        </w:tc>
      </w:tr>
      <w:tr w14:paraId="2918C7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89F0FD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长期股权投资</w:t>
            </w:r>
          </w:p>
        </w:tc>
        <w:tc>
          <w:tcPr>
            <w:tcW w:w="3213" w:type="dxa"/>
            <w:tcBorders>
              <w:top w:val="single" w:color="auto" w:sz="2" w:space="0"/>
              <w:left w:val="single" w:color="auto" w:sz="2" w:space="0"/>
              <w:bottom w:val="single" w:color="auto" w:sz="2" w:space="0"/>
              <w:right w:val="single" w:color="auto" w:sz="2" w:space="0"/>
            </w:tcBorders>
            <w:vAlign w:val="center"/>
          </w:tcPr>
          <w:p w14:paraId="700699C8">
            <w:pPr>
              <w:spacing w:before="0" w:after="0" w:line="240" w:lineRule="exact"/>
              <w:jc w:val="right"/>
              <w:rPr>
                <w:rFonts w:ascii="宋体" w:hAnsi="宋体" w:eastAsia="宋体" w:cs="宋体"/>
                <w:sz w:val="18"/>
                <w:szCs w:val="18"/>
              </w:rPr>
            </w:pPr>
            <w:r>
              <w:rPr>
                <w:rFonts w:ascii="宋体" w:hAnsi="宋体" w:eastAsia="宋体" w:cs="宋体"/>
                <w:sz w:val="18"/>
                <w:szCs w:val="18"/>
              </w:rPr>
              <w:t>80,177,607.81</w:t>
            </w:r>
          </w:p>
        </w:tc>
        <w:tc>
          <w:tcPr>
            <w:tcW w:w="3213" w:type="dxa"/>
            <w:tcBorders>
              <w:top w:val="single" w:color="auto" w:sz="2" w:space="0"/>
              <w:left w:val="single" w:color="auto" w:sz="2" w:space="0"/>
              <w:bottom w:val="single" w:color="auto" w:sz="2" w:space="0"/>
              <w:right w:val="single" w:color="auto" w:sz="2" w:space="0"/>
            </w:tcBorders>
            <w:vAlign w:val="center"/>
          </w:tcPr>
          <w:p w14:paraId="7F404A87">
            <w:pPr>
              <w:spacing w:before="0" w:after="0" w:line="240" w:lineRule="exact"/>
              <w:jc w:val="right"/>
              <w:rPr>
                <w:rFonts w:ascii="宋体" w:hAnsi="宋体" w:eastAsia="宋体" w:cs="宋体"/>
                <w:sz w:val="18"/>
                <w:szCs w:val="18"/>
              </w:rPr>
            </w:pPr>
            <w:r>
              <w:rPr>
                <w:rFonts w:ascii="宋体" w:hAnsi="宋体" w:eastAsia="宋体" w:cs="宋体"/>
                <w:sz w:val="18"/>
                <w:szCs w:val="18"/>
              </w:rPr>
              <w:t>108,812,855.05</w:t>
            </w:r>
          </w:p>
        </w:tc>
      </w:tr>
      <w:tr w14:paraId="28AED3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55AC33C">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其他权益工具投资</w:t>
            </w:r>
          </w:p>
        </w:tc>
        <w:tc>
          <w:tcPr>
            <w:tcW w:w="3213" w:type="dxa"/>
            <w:tcBorders>
              <w:top w:val="single" w:color="auto" w:sz="2" w:space="0"/>
              <w:left w:val="single" w:color="auto" w:sz="2" w:space="0"/>
              <w:bottom w:val="single" w:color="auto" w:sz="2" w:space="0"/>
              <w:right w:val="single" w:color="auto" w:sz="2" w:space="0"/>
            </w:tcBorders>
            <w:vAlign w:val="center"/>
          </w:tcPr>
          <w:p w14:paraId="495C7CD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7D0BCCA">
            <w:pPr>
              <w:spacing w:before="0" w:after="0" w:line="240" w:lineRule="exact"/>
              <w:jc w:val="right"/>
              <w:rPr>
                <w:rFonts w:ascii="宋体" w:hAnsi="宋体" w:eastAsia="宋体" w:cs="宋体"/>
                <w:sz w:val="18"/>
                <w:szCs w:val="18"/>
              </w:rPr>
            </w:pPr>
          </w:p>
        </w:tc>
      </w:tr>
      <w:tr w14:paraId="3F17E6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24FD4B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其他非流动金融资产</w:t>
            </w:r>
          </w:p>
        </w:tc>
        <w:tc>
          <w:tcPr>
            <w:tcW w:w="3213" w:type="dxa"/>
            <w:tcBorders>
              <w:top w:val="single" w:color="auto" w:sz="2" w:space="0"/>
              <w:left w:val="single" w:color="auto" w:sz="2" w:space="0"/>
              <w:bottom w:val="single" w:color="auto" w:sz="2" w:space="0"/>
              <w:right w:val="single" w:color="auto" w:sz="2" w:space="0"/>
            </w:tcBorders>
            <w:vAlign w:val="center"/>
          </w:tcPr>
          <w:p w14:paraId="5EA6CCF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FED731C">
            <w:pPr>
              <w:spacing w:before="0" w:after="0" w:line="240" w:lineRule="exact"/>
              <w:jc w:val="right"/>
              <w:rPr>
                <w:rFonts w:ascii="宋体" w:hAnsi="宋体" w:eastAsia="宋体" w:cs="宋体"/>
                <w:sz w:val="18"/>
                <w:szCs w:val="18"/>
              </w:rPr>
            </w:pPr>
          </w:p>
        </w:tc>
      </w:tr>
      <w:tr w14:paraId="727E31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585EBB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投资性房地产</w:t>
            </w:r>
          </w:p>
        </w:tc>
        <w:tc>
          <w:tcPr>
            <w:tcW w:w="3213" w:type="dxa"/>
            <w:tcBorders>
              <w:top w:val="single" w:color="auto" w:sz="2" w:space="0"/>
              <w:left w:val="single" w:color="auto" w:sz="2" w:space="0"/>
              <w:bottom w:val="single" w:color="auto" w:sz="2" w:space="0"/>
              <w:right w:val="single" w:color="auto" w:sz="2" w:space="0"/>
            </w:tcBorders>
            <w:vAlign w:val="center"/>
          </w:tcPr>
          <w:p w14:paraId="37A8CF84">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60179FF">
            <w:pPr>
              <w:spacing w:before="0" w:after="0" w:line="240" w:lineRule="exact"/>
              <w:jc w:val="right"/>
              <w:rPr>
                <w:rFonts w:ascii="宋体" w:hAnsi="宋体" w:eastAsia="宋体" w:cs="宋体"/>
                <w:sz w:val="18"/>
                <w:szCs w:val="18"/>
              </w:rPr>
            </w:pPr>
          </w:p>
        </w:tc>
      </w:tr>
      <w:tr w14:paraId="379C0B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2ED575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固定资产</w:t>
            </w:r>
          </w:p>
        </w:tc>
        <w:tc>
          <w:tcPr>
            <w:tcW w:w="3213" w:type="dxa"/>
            <w:tcBorders>
              <w:top w:val="single" w:color="auto" w:sz="2" w:space="0"/>
              <w:left w:val="single" w:color="auto" w:sz="2" w:space="0"/>
              <w:bottom w:val="single" w:color="auto" w:sz="2" w:space="0"/>
              <w:right w:val="single" w:color="auto" w:sz="2" w:space="0"/>
            </w:tcBorders>
            <w:vAlign w:val="center"/>
          </w:tcPr>
          <w:p w14:paraId="25A05AAF">
            <w:pPr>
              <w:spacing w:before="0" w:after="0" w:line="240" w:lineRule="exact"/>
              <w:jc w:val="right"/>
              <w:rPr>
                <w:rFonts w:ascii="宋体" w:hAnsi="宋体" w:eastAsia="宋体" w:cs="宋体"/>
                <w:sz w:val="18"/>
                <w:szCs w:val="18"/>
              </w:rPr>
            </w:pPr>
            <w:r>
              <w:rPr>
                <w:rFonts w:ascii="宋体" w:hAnsi="宋体" w:eastAsia="宋体" w:cs="宋体"/>
                <w:sz w:val="18"/>
                <w:szCs w:val="18"/>
              </w:rPr>
              <w:t>558,261,569.72</w:t>
            </w:r>
          </w:p>
        </w:tc>
        <w:tc>
          <w:tcPr>
            <w:tcW w:w="3213" w:type="dxa"/>
            <w:tcBorders>
              <w:top w:val="single" w:color="auto" w:sz="2" w:space="0"/>
              <w:left w:val="single" w:color="auto" w:sz="2" w:space="0"/>
              <w:bottom w:val="single" w:color="auto" w:sz="2" w:space="0"/>
              <w:right w:val="single" w:color="auto" w:sz="2" w:space="0"/>
            </w:tcBorders>
            <w:vAlign w:val="center"/>
          </w:tcPr>
          <w:p w14:paraId="5FDF9F02">
            <w:pPr>
              <w:spacing w:before="0" w:after="0" w:line="240" w:lineRule="exact"/>
              <w:jc w:val="right"/>
              <w:rPr>
                <w:rFonts w:ascii="宋体" w:hAnsi="宋体" w:eastAsia="宋体" w:cs="宋体"/>
                <w:sz w:val="18"/>
                <w:szCs w:val="18"/>
              </w:rPr>
            </w:pPr>
            <w:r>
              <w:rPr>
                <w:rFonts w:ascii="宋体" w:hAnsi="宋体" w:eastAsia="宋体" w:cs="宋体"/>
                <w:sz w:val="18"/>
                <w:szCs w:val="18"/>
              </w:rPr>
              <w:t>609,134,772.83</w:t>
            </w:r>
          </w:p>
        </w:tc>
      </w:tr>
      <w:tr w14:paraId="2DA816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0F47BBC">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在建工程</w:t>
            </w:r>
          </w:p>
        </w:tc>
        <w:tc>
          <w:tcPr>
            <w:tcW w:w="3213" w:type="dxa"/>
            <w:tcBorders>
              <w:top w:val="single" w:color="auto" w:sz="2" w:space="0"/>
              <w:left w:val="single" w:color="auto" w:sz="2" w:space="0"/>
              <w:bottom w:val="single" w:color="auto" w:sz="2" w:space="0"/>
              <w:right w:val="single" w:color="auto" w:sz="2" w:space="0"/>
            </w:tcBorders>
            <w:vAlign w:val="center"/>
          </w:tcPr>
          <w:p w14:paraId="40774CEF">
            <w:pPr>
              <w:spacing w:before="0" w:after="0" w:line="240" w:lineRule="exact"/>
              <w:jc w:val="right"/>
              <w:rPr>
                <w:rFonts w:ascii="宋体" w:hAnsi="宋体" w:eastAsia="宋体" w:cs="宋体"/>
                <w:sz w:val="18"/>
                <w:szCs w:val="18"/>
              </w:rPr>
            </w:pPr>
            <w:r>
              <w:rPr>
                <w:rFonts w:ascii="宋体" w:hAnsi="宋体" w:eastAsia="宋体" w:cs="宋体"/>
                <w:sz w:val="18"/>
                <w:szCs w:val="18"/>
              </w:rPr>
              <w:t>29,763,197.65</w:t>
            </w:r>
          </w:p>
        </w:tc>
        <w:tc>
          <w:tcPr>
            <w:tcW w:w="3213" w:type="dxa"/>
            <w:tcBorders>
              <w:top w:val="single" w:color="auto" w:sz="2" w:space="0"/>
              <w:left w:val="single" w:color="auto" w:sz="2" w:space="0"/>
              <w:bottom w:val="single" w:color="auto" w:sz="2" w:space="0"/>
              <w:right w:val="single" w:color="auto" w:sz="2" w:space="0"/>
            </w:tcBorders>
            <w:vAlign w:val="center"/>
          </w:tcPr>
          <w:p w14:paraId="7FAF54FB">
            <w:pPr>
              <w:spacing w:before="0" w:after="0" w:line="240" w:lineRule="exact"/>
              <w:jc w:val="right"/>
              <w:rPr>
                <w:rFonts w:ascii="宋体" w:hAnsi="宋体" w:eastAsia="宋体" w:cs="宋体"/>
                <w:sz w:val="18"/>
                <w:szCs w:val="18"/>
              </w:rPr>
            </w:pPr>
            <w:r>
              <w:rPr>
                <w:rFonts w:ascii="宋体" w:hAnsi="宋体" w:eastAsia="宋体" w:cs="宋体"/>
                <w:sz w:val="18"/>
                <w:szCs w:val="18"/>
              </w:rPr>
              <w:t>29,860,540.26</w:t>
            </w:r>
          </w:p>
        </w:tc>
      </w:tr>
      <w:tr w14:paraId="1CD5BC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600308B">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生产性生物资产</w:t>
            </w:r>
          </w:p>
        </w:tc>
        <w:tc>
          <w:tcPr>
            <w:tcW w:w="3213" w:type="dxa"/>
            <w:tcBorders>
              <w:top w:val="single" w:color="auto" w:sz="2" w:space="0"/>
              <w:left w:val="single" w:color="auto" w:sz="2" w:space="0"/>
              <w:bottom w:val="single" w:color="auto" w:sz="2" w:space="0"/>
              <w:right w:val="single" w:color="auto" w:sz="2" w:space="0"/>
            </w:tcBorders>
            <w:vAlign w:val="center"/>
          </w:tcPr>
          <w:p w14:paraId="2EFA64B2">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2C68C86">
            <w:pPr>
              <w:spacing w:before="0" w:after="0" w:line="240" w:lineRule="exact"/>
              <w:jc w:val="right"/>
              <w:rPr>
                <w:rFonts w:ascii="宋体" w:hAnsi="宋体" w:eastAsia="宋体" w:cs="宋体"/>
                <w:sz w:val="18"/>
                <w:szCs w:val="18"/>
              </w:rPr>
            </w:pPr>
          </w:p>
        </w:tc>
      </w:tr>
      <w:tr w14:paraId="213322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2364EC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油气资产</w:t>
            </w:r>
          </w:p>
        </w:tc>
        <w:tc>
          <w:tcPr>
            <w:tcW w:w="3213" w:type="dxa"/>
            <w:tcBorders>
              <w:top w:val="single" w:color="auto" w:sz="2" w:space="0"/>
              <w:left w:val="single" w:color="auto" w:sz="2" w:space="0"/>
              <w:bottom w:val="single" w:color="auto" w:sz="2" w:space="0"/>
              <w:right w:val="single" w:color="auto" w:sz="2" w:space="0"/>
            </w:tcBorders>
            <w:vAlign w:val="center"/>
          </w:tcPr>
          <w:p w14:paraId="1FE5EE6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258BFBB">
            <w:pPr>
              <w:spacing w:before="0" w:after="0" w:line="240" w:lineRule="exact"/>
              <w:jc w:val="right"/>
              <w:rPr>
                <w:rFonts w:ascii="宋体" w:hAnsi="宋体" w:eastAsia="宋体" w:cs="宋体"/>
                <w:sz w:val="18"/>
                <w:szCs w:val="18"/>
              </w:rPr>
            </w:pPr>
          </w:p>
        </w:tc>
      </w:tr>
      <w:tr w14:paraId="5180A5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87C7216">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使用权资产</w:t>
            </w:r>
          </w:p>
        </w:tc>
        <w:tc>
          <w:tcPr>
            <w:tcW w:w="3213" w:type="dxa"/>
            <w:tcBorders>
              <w:top w:val="single" w:color="auto" w:sz="2" w:space="0"/>
              <w:left w:val="single" w:color="auto" w:sz="2" w:space="0"/>
              <w:bottom w:val="single" w:color="auto" w:sz="2" w:space="0"/>
              <w:right w:val="single" w:color="auto" w:sz="2" w:space="0"/>
            </w:tcBorders>
            <w:vAlign w:val="center"/>
          </w:tcPr>
          <w:p w14:paraId="1769AA97">
            <w:pPr>
              <w:spacing w:before="0" w:after="0" w:line="240" w:lineRule="exact"/>
              <w:jc w:val="right"/>
              <w:rPr>
                <w:rFonts w:ascii="宋体" w:hAnsi="宋体" w:eastAsia="宋体" w:cs="宋体"/>
                <w:sz w:val="18"/>
                <w:szCs w:val="18"/>
              </w:rPr>
            </w:pPr>
            <w:r>
              <w:rPr>
                <w:rFonts w:ascii="宋体" w:hAnsi="宋体" w:eastAsia="宋体" w:cs="宋体"/>
                <w:sz w:val="18"/>
                <w:szCs w:val="18"/>
              </w:rPr>
              <w:t>370,756.19</w:t>
            </w:r>
          </w:p>
        </w:tc>
        <w:tc>
          <w:tcPr>
            <w:tcW w:w="3213" w:type="dxa"/>
            <w:tcBorders>
              <w:top w:val="single" w:color="auto" w:sz="2" w:space="0"/>
              <w:left w:val="single" w:color="auto" w:sz="2" w:space="0"/>
              <w:bottom w:val="single" w:color="auto" w:sz="2" w:space="0"/>
              <w:right w:val="single" w:color="auto" w:sz="2" w:space="0"/>
            </w:tcBorders>
            <w:vAlign w:val="center"/>
          </w:tcPr>
          <w:p w14:paraId="1131C67F">
            <w:pPr>
              <w:spacing w:before="0" w:after="0" w:line="240" w:lineRule="exact"/>
              <w:jc w:val="right"/>
              <w:rPr>
                <w:rFonts w:ascii="宋体" w:hAnsi="宋体" w:eastAsia="宋体" w:cs="宋体"/>
                <w:sz w:val="18"/>
                <w:szCs w:val="18"/>
              </w:rPr>
            </w:pPr>
            <w:r>
              <w:rPr>
                <w:rFonts w:ascii="宋体" w:hAnsi="宋体" w:eastAsia="宋体" w:cs="宋体"/>
                <w:sz w:val="18"/>
                <w:szCs w:val="18"/>
              </w:rPr>
              <w:t>498,082.40</w:t>
            </w:r>
          </w:p>
        </w:tc>
      </w:tr>
      <w:tr w14:paraId="2CE53E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C203489">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无形资产</w:t>
            </w:r>
          </w:p>
        </w:tc>
        <w:tc>
          <w:tcPr>
            <w:tcW w:w="3213" w:type="dxa"/>
            <w:tcBorders>
              <w:top w:val="single" w:color="auto" w:sz="2" w:space="0"/>
              <w:left w:val="single" w:color="auto" w:sz="2" w:space="0"/>
              <w:bottom w:val="single" w:color="auto" w:sz="2" w:space="0"/>
              <w:right w:val="single" w:color="auto" w:sz="2" w:space="0"/>
            </w:tcBorders>
            <w:vAlign w:val="center"/>
          </w:tcPr>
          <w:p w14:paraId="7467FD56">
            <w:pPr>
              <w:spacing w:before="0" w:after="0" w:line="240" w:lineRule="exact"/>
              <w:jc w:val="right"/>
              <w:rPr>
                <w:rFonts w:ascii="宋体" w:hAnsi="宋体" w:eastAsia="宋体" w:cs="宋体"/>
                <w:sz w:val="18"/>
                <w:szCs w:val="18"/>
              </w:rPr>
            </w:pPr>
            <w:r>
              <w:rPr>
                <w:rFonts w:ascii="宋体" w:hAnsi="宋体" w:eastAsia="宋体" w:cs="宋体"/>
                <w:sz w:val="18"/>
                <w:szCs w:val="18"/>
              </w:rPr>
              <w:t>251,655,214.92</w:t>
            </w:r>
          </w:p>
        </w:tc>
        <w:tc>
          <w:tcPr>
            <w:tcW w:w="3213" w:type="dxa"/>
            <w:tcBorders>
              <w:top w:val="single" w:color="auto" w:sz="2" w:space="0"/>
              <w:left w:val="single" w:color="auto" w:sz="2" w:space="0"/>
              <w:bottom w:val="single" w:color="auto" w:sz="2" w:space="0"/>
              <w:right w:val="single" w:color="auto" w:sz="2" w:space="0"/>
            </w:tcBorders>
            <w:vAlign w:val="center"/>
          </w:tcPr>
          <w:p w14:paraId="35F8E35F">
            <w:pPr>
              <w:spacing w:before="0" w:after="0" w:line="240" w:lineRule="exact"/>
              <w:jc w:val="right"/>
              <w:rPr>
                <w:rFonts w:ascii="宋体" w:hAnsi="宋体" w:eastAsia="宋体" w:cs="宋体"/>
                <w:sz w:val="18"/>
                <w:szCs w:val="18"/>
              </w:rPr>
            </w:pPr>
            <w:r>
              <w:rPr>
                <w:rFonts w:ascii="宋体" w:hAnsi="宋体" w:eastAsia="宋体" w:cs="宋体"/>
                <w:sz w:val="18"/>
                <w:szCs w:val="18"/>
              </w:rPr>
              <w:t>292,076,202.64</w:t>
            </w:r>
          </w:p>
        </w:tc>
      </w:tr>
      <w:tr w14:paraId="1BB3F0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993A15C">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其中：数据资源</w:t>
            </w:r>
          </w:p>
        </w:tc>
        <w:tc>
          <w:tcPr>
            <w:tcW w:w="3213" w:type="dxa"/>
            <w:tcBorders>
              <w:top w:val="single" w:color="auto" w:sz="2" w:space="0"/>
              <w:left w:val="single" w:color="auto" w:sz="2" w:space="0"/>
              <w:bottom w:val="single" w:color="auto" w:sz="2" w:space="0"/>
              <w:right w:val="single" w:color="auto" w:sz="2" w:space="0"/>
            </w:tcBorders>
            <w:vAlign w:val="center"/>
          </w:tcPr>
          <w:p w14:paraId="3133705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139E4C5">
            <w:pPr>
              <w:spacing w:before="0" w:after="0" w:line="240" w:lineRule="exact"/>
              <w:jc w:val="right"/>
              <w:rPr>
                <w:rFonts w:ascii="宋体" w:hAnsi="宋体" w:eastAsia="宋体" w:cs="宋体"/>
                <w:sz w:val="18"/>
                <w:szCs w:val="18"/>
              </w:rPr>
            </w:pPr>
          </w:p>
        </w:tc>
      </w:tr>
      <w:tr w14:paraId="6BB9F1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CBD66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开发支出</w:t>
            </w:r>
          </w:p>
        </w:tc>
        <w:tc>
          <w:tcPr>
            <w:tcW w:w="3213" w:type="dxa"/>
            <w:tcBorders>
              <w:top w:val="single" w:color="auto" w:sz="2" w:space="0"/>
              <w:left w:val="single" w:color="auto" w:sz="2" w:space="0"/>
              <w:bottom w:val="single" w:color="auto" w:sz="2" w:space="0"/>
              <w:right w:val="single" w:color="auto" w:sz="2" w:space="0"/>
            </w:tcBorders>
            <w:vAlign w:val="center"/>
          </w:tcPr>
          <w:p w14:paraId="076B13D4">
            <w:pPr>
              <w:spacing w:before="0" w:after="0" w:line="240" w:lineRule="exact"/>
              <w:jc w:val="right"/>
              <w:rPr>
                <w:rFonts w:ascii="宋体" w:hAnsi="宋体" w:eastAsia="宋体" w:cs="宋体"/>
                <w:sz w:val="18"/>
                <w:szCs w:val="18"/>
              </w:rPr>
            </w:pPr>
            <w:r>
              <w:rPr>
                <w:rFonts w:ascii="宋体" w:hAnsi="宋体" w:eastAsia="宋体" w:cs="宋体"/>
                <w:sz w:val="18"/>
                <w:szCs w:val="18"/>
              </w:rPr>
              <w:t>5,838,485.17</w:t>
            </w:r>
          </w:p>
        </w:tc>
        <w:tc>
          <w:tcPr>
            <w:tcW w:w="3213" w:type="dxa"/>
            <w:tcBorders>
              <w:top w:val="single" w:color="auto" w:sz="2" w:space="0"/>
              <w:left w:val="single" w:color="auto" w:sz="2" w:space="0"/>
              <w:bottom w:val="single" w:color="auto" w:sz="2" w:space="0"/>
              <w:right w:val="single" w:color="auto" w:sz="2" w:space="0"/>
            </w:tcBorders>
            <w:vAlign w:val="center"/>
          </w:tcPr>
          <w:p w14:paraId="5CE348B2">
            <w:pPr>
              <w:spacing w:before="0" w:after="0" w:line="240" w:lineRule="exact"/>
              <w:jc w:val="right"/>
              <w:rPr>
                <w:rFonts w:ascii="宋体" w:hAnsi="宋体" w:eastAsia="宋体" w:cs="宋体"/>
                <w:sz w:val="18"/>
                <w:szCs w:val="18"/>
              </w:rPr>
            </w:pPr>
            <w:r>
              <w:rPr>
                <w:rFonts w:ascii="宋体" w:hAnsi="宋体" w:eastAsia="宋体" w:cs="宋体"/>
                <w:sz w:val="18"/>
                <w:szCs w:val="18"/>
              </w:rPr>
              <w:t>5,004,731.72</w:t>
            </w:r>
          </w:p>
        </w:tc>
      </w:tr>
      <w:tr w14:paraId="78634A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ADB01D5">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其中：数据资源</w:t>
            </w:r>
          </w:p>
        </w:tc>
        <w:tc>
          <w:tcPr>
            <w:tcW w:w="3213" w:type="dxa"/>
            <w:tcBorders>
              <w:top w:val="single" w:color="auto" w:sz="2" w:space="0"/>
              <w:left w:val="single" w:color="auto" w:sz="2" w:space="0"/>
              <w:bottom w:val="single" w:color="auto" w:sz="2" w:space="0"/>
              <w:right w:val="single" w:color="auto" w:sz="2" w:space="0"/>
            </w:tcBorders>
            <w:vAlign w:val="center"/>
          </w:tcPr>
          <w:p w14:paraId="6A118B8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79231A6">
            <w:pPr>
              <w:spacing w:before="0" w:after="0" w:line="240" w:lineRule="exact"/>
              <w:jc w:val="right"/>
              <w:rPr>
                <w:rFonts w:ascii="宋体" w:hAnsi="宋体" w:eastAsia="宋体" w:cs="宋体"/>
                <w:sz w:val="18"/>
                <w:szCs w:val="18"/>
              </w:rPr>
            </w:pPr>
          </w:p>
        </w:tc>
      </w:tr>
      <w:tr w14:paraId="6C0233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F3BE84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商誉</w:t>
            </w:r>
          </w:p>
        </w:tc>
        <w:tc>
          <w:tcPr>
            <w:tcW w:w="3213" w:type="dxa"/>
            <w:tcBorders>
              <w:top w:val="single" w:color="auto" w:sz="2" w:space="0"/>
              <w:left w:val="single" w:color="auto" w:sz="2" w:space="0"/>
              <w:bottom w:val="single" w:color="auto" w:sz="2" w:space="0"/>
              <w:right w:val="single" w:color="auto" w:sz="2" w:space="0"/>
            </w:tcBorders>
            <w:vAlign w:val="center"/>
          </w:tcPr>
          <w:p w14:paraId="108C9D3A">
            <w:pPr>
              <w:spacing w:before="0" w:after="0" w:line="240" w:lineRule="exact"/>
              <w:jc w:val="right"/>
              <w:rPr>
                <w:rFonts w:ascii="宋体" w:hAnsi="宋体" w:eastAsia="宋体" w:cs="宋体"/>
                <w:sz w:val="18"/>
                <w:szCs w:val="18"/>
              </w:rPr>
            </w:pPr>
            <w:r>
              <w:rPr>
                <w:rFonts w:ascii="宋体" w:hAnsi="宋体" w:eastAsia="宋体" w:cs="宋体"/>
                <w:sz w:val="18"/>
                <w:szCs w:val="18"/>
              </w:rPr>
              <w:t>58,968,390.42</w:t>
            </w:r>
          </w:p>
        </w:tc>
        <w:tc>
          <w:tcPr>
            <w:tcW w:w="3213" w:type="dxa"/>
            <w:tcBorders>
              <w:top w:val="single" w:color="auto" w:sz="2" w:space="0"/>
              <w:left w:val="single" w:color="auto" w:sz="2" w:space="0"/>
              <w:bottom w:val="single" w:color="auto" w:sz="2" w:space="0"/>
              <w:right w:val="single" w:color="auto" w:sz="2" w:space="0"/>
            </w:tcBorders>
            <w:vAlign w:val="center"/>
          </w:tcPr>
          <w:p w14:paraId="1E58EA06">
            <w:pPr>
              <w:spacing w:before="0" w:after="0" w:line="240" w:lineRule="exact"/>
              <w:jc w:val="right"/>
              <w:rPr>
                <w:rFonts w:ascii="宋体" w:hAnsi="宋体" w:eastAsia="宋体" w:cs="宋体"/>
                <w:sz w:val="18"/>
                <w:szCs w:val="18"/>
              </w:rPr>
            </w:pPr>
            <w:r>
              <w:rPr>
                <w:rFonts w:ascii="宋体" w:hAnsi="宋体" w:eastAsia="宋体" w:cs="宋体"/>
                <w:sz w:val="18"/>
                <w:szCs w:val="18"/>
              </w:rPr>
              <w:t>58,968,390.42</w:t>
            </w:r>
          </w:p>
        </w:tc>
      </w:tr>
      <w:tr w14:paraId="22A533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369CE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长期待摊费用</w:t>
            </w:r>
          </w:p>
        </w:tc>
        <w:tc>
          <w:tcPr>
            <w:tcW w:w="3213" w:type="dxa"/>
            <w:tcBorders>
              <w:top w:val="single" w:color="auto" w:sz="2" w:space="0"/>
              <w:left w:val="single" w:color="auto" w:sz="2" w:space="0"/>
              <w:bottom w:val="single" w:color="auto" w:sz="2" w:space="0"/>
              <w:right w:val="single" w:color="auto" w:sz="2" w:space="0"/>
            </w:tcBorders>
            <w:vAlign w:val="center"/>
          </w:tcPr>
          <w:p w14:paraId="5E859E11">
            <w:pPr>
              <w:spacing w:before="0" w:after="0" w:line="240" w:lineRule="exact"/>
              <w:jc w:val="right"/>
              <w:rPr>
                <w:rFonts w:ascii="宋体" w:hAnsi="宋体" w:eastAsia="宋体" w:cs="宋体"/>
                <w:sz w:val="18"/>
                <w:szCs w:val="18"/>
              </w:rPr>
            </w:pPr>
            <w:r>
              <w:rPr>
                <w:rFonts w:ascii="宋体" w:hAnsi="宋体" w:eastAsia="宋体" w:cs="宋体"/>
                <w:sz w:val="18"/>
                <w:szCs w:val="18"/>
              </w:rPr>
              <w:t>36,942,402.58</w:t>
            </w:r>
          </w:p>
        </w:tc>
        <w:tc>
          <w:tcPr>
            <w:tcW w:w="3213" w:type="dxa"/>
            <w:tcBorders>
              <w:top w:val="single" w:color="auto" w:sz="2" w:space="0"/>
              <w:left w:val="single" w:color="auto" w:sz="2" w:space="0"/>
              <w:bottom w:val="single" w:color="auto" w:sz="2" w:space="0"/>
              <w:right w:val="single" w:color="auto" w:sz="2" w:space="0"/>
            </w:tcBorders>
            <w:vAlign w:val="center"/>
          </w:tcPr>
          <w:p w14:paraId="6B77F36D">
            <w:pPr>
              <w:spacing w:before="0" w:after="0" w:line="240" w:lineRule="exact"/>
              <w:jc w:val="right"/>
              <w:rPr>
                <w:rFonts w:ascii="宋体" w:hAnsi="宋体" w:eastAsia="宋体" w:cs="宋体"/>
                <w:sz w:val="18"/>
                <w:szCs w:val="18"/>
              </w:rPr>
            </w:pPr>
            <w:r>
              <w:rPr>
                <w:rFonts w:ascii="宋体" w:hAnsi="宋体" w:eastAsia="宋体" w:cs="宋体"/>
                <w:sz w:val="18"/>
                <w:szCs w:val="18"/>
              </w:rPr>
              <w:t>42,747,160.87</w:t>
            </w:r>
          </w:p>
        </w:tc>
      </w:tr>
      <w:tr w14:paraId="51855D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043D15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递延所得税资产</w:t>
            </w:r>
          </w:p>
        </w:tc>
        <w:tc>
          <w:tcPr>
            <w:tcW w:w="3213" w:type="dxa"/>
            <w:tcBorders>
              <w:top w:val="single" w:color="auto" w:sz="2" w:space="0"/>
              <w:left w:val="single" w:color="auto" w:sz="2" w:space="0"/>
              <w:bottom w:val="single" w:color="auto" w:sz="2" w:space="0"/>
              <w:right w:val="single" w:color="auto" w:sz="2" w:space="0"/>
            </w:tcBorders>
            <w:vAlign w:val="center"/>
          </w:tcPr>
          <w:p w14:paraId="5C08BFA5">
            <w:pPr>
              <w:spacing w:before="0" w:after="0" w:line="240" w:lineRule="exact"/>
              <w:jc w:val="right"/>
              <w:rPr>
                <w:rFonts w:ascii="宋体" w:hAnsi="宋体" w:eastAsia="宋体" w:cs="宋体"/>
                <w:sz w:val="18"/>
                <w:szCs w:val="18"/>
              </w:rPr>
            </w:pPr>
            <w:r>
              <w:rPr>
                <w:rFonts w:ascii="宋体" w:hAnsi="宋体" w:eastAsia="宋体" w:cs="宋体"/>
                <w:sz w:val="18"/>
                <w:szCs w:val="18"/>
              </w:rPr>
              <w:t>1,468,235.58</w:t>
            </w:r>
          </w:p>
        </w:tc>
        <w:tc>
          <w:tcPr>
            <w:tcW w:w="3213" w:type="dxa"/>
            <w:tcBorders>
              <w:top w:val="single" w:color="auto" w:sz="2" w:space="0"/>
              <w:left w:val="single" w:color="auto" w:sz="2" w:space="0"/>
              <w:bottom w:val="single" w:color="auto" w:sz="2" w:space="0"/>
              <w:right w:val="single" w:color="auto" w:sz="2" w:space="0"/>
            </w:tcBorders>
            <w:vAlign w:val="center"/>
          </w:tcPr>
          <w:p w14:paraId="5859A503">
            <w:pPr>
              <w:spacing w:before="0" w:after="0" w:line="240" w:lineRule="exact"/>
              <w:jc w:val="right"/>
              <w:rPr>
                <w:rFonts w:ascii="宋体" w:hAnsi="宋体" w:eastAsia="宋体" w:cs="宋体"/>
                <w:sz w:val="18"/>
                <w:szCs w:val="18"/>
              </w:rPr>
            </w:pPr>
            <w:r>
              <w:rPr>
                <w:rFonts w:ascii="宋体" w:hAnsi="宋体" w:eastAsia="宋体" w:cs="宋体"/>
                <w:sz w:val="18"/>
                <w:szCs w:val="18"/>
              </w:rPr>
              <w:t>1,154,948.99</w:t>
            </w:r>
          </w:p>
        </w:tc>
      </w:tr>
      <w:tr w14:paraId="739E35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2FE5C9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其他非流动资产</w:t>
            </w:r>
          </w:p>
        </w:tc>
        <w:tc>
          <w:tcPr>
            <w:tcW w:w="3213" w:type="dxa"/>
            <w:tcBorders>
              <w:top w:val="single" w:color="auto" w:sz="2" w:space="0"/>
              <w:left w:val="single" w:color="auto" w:sz="2" w:space="0"/>
              <w:bottom w:val="single" w:color="auto" w:sz="2" w:space="0"/>
              <w:right w:val="single" w:color="auto" w:sz="2" w:space="0"/>
            </w:tcBorders>
            <w:vAlign w:val="center"/>
          </w:tcPr>
          <w:p w14:paraId="3F0CC57F">
            <w:pPr>
              <w:spacing w:before="0" w:after="0" w:line="240" w:lineRule="exact"/>
              <w:jc w:val="right"/>
              <w:rPr>
                <w:rFonts w:ascii="宋体" w:hAnsi="宋体" w:eastAsia="宋体" w:cs="宋体"/>
                <w:sz w:val="18"/>
                <w:szCs w:val="18"/>
              </w:rPr>
            </w:pPr>
            <w:r>
              <w:rPr>
                <w:rFonts w:ascii="宋体" w:hAnsi="宋体" w:eastAsia="宋体" w:cs="宋体"/>
                <w:sz w:val="18"/>
                <w:szCs w:val="18"/>
              </w:rPr>
              <w:t>8,062,198.72</w:t>
            </w:r>
          </w:p>
        </w:tc>
        <w:tc>
          <w:tcPr>
            <w:tcW w:w="3213" w:type="dxa"/>
            <w:tcBorders>
              <w:top w:val="single" w:color="auto" w:sz="2" w:space="0"/>
              <w:left w:val="single" w:color="auto" w:sz="2" w:space="0"/>
              <w:bottom w:val="single" w:color="auto" w:sz="2" w:space="0"/>
              <w:right w:val="single" w:color="auto" w:sz="2" w:space="0"/>
            </w:tcBorders>
            <w:vAlign w:val="center"/>
          </w:tcPr>
          <w:p w14:paraId="2E2702D6">
            <w:pPr>
              <w:spacing w:before="0" w:after="0" w:line="240" w:lineRule="exact"/>
              <w:jc w:val="right"/>
              <w:rPr>
                <w:rFonts w:ascii="宋体" w:hAnsi="宋体" w:eastAsia="宋体" w:cs="宋体"/>
                <w:sz w:val="18"/>
                <w:szCs w:val="18"/>
              </w:rPr>
            </w:pPr>
            <w:r>
              <w:rPr>
                <w:rFonts w:ascii="宋体" w:hAnsi="宋体" w:eastAsia="宋体" w:cs="宋体"/>
                <w:sz w:val="18"/>
                <w:szCs w:val="18"/>
              </w:rPr>
              <w:t>16,938,382.24</w:t>
            </w:r>
          </w:p>
        </w:tc>
      </w:tr>
      <w:tr w14:paraId="100EC5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B6382F3">
            <w:pPr>
              <w:spacing w:before="40" w:after="40" w:line="240" w:lineRule="exact"/>
              <w:jc w:val="left"/>
              <w:rPr>
                <w:rFonts w:ascii="宋体" w:hAnsi="宋体" w:eastAsia="宋体" w:cs="宋体"/>
                <w:sz w:val="18"/>
                <w:szCs w:val="18"/>
              </w:rPr>
            </w:pPr>
            <w:r>
              <w:rPr>
                <w:rFonts w:ascii="宋体" w:hAnsi="宋体" w:eastAsia="宋体" w:cs="宋体"/>
                <w:sz w:val="18"/>
                <w:szCs w:val="18"/>
              </w:rPr>
              <w:t>非流动资产合计</w:t>
            </w:r>
          </w:p>
        </w:tc>
        <w:tc>
          <w:tcPr>
            <w:tcW w:w="3213" w:type="dxa"/>
            <w:tcBorders>
              <w:top w:val="single" w:color="auto" w:sz="2" w:space="0"/>
              <w:left w:val="single" w:color="auto" w:sz="2" w:space="0"/>
              <w:bottom w:val="single" w:color="auto" w:sz="2" w:space="0"/>
              <w:right w:val="single" w:color="auto" w:sz="2" w:space="0"/>
            </w:tcBorders>
            <w:vAlign w:val="center"/>
          </w:tcPr>
          <w:p w14:paraId="226C5839">
            <w:pPr>
              <w:spacing w:before="0" w:after="0" w:line="240" w:lineRule="exact"/>
              <w:jc w:val="right"/>
              <w:rPr>
                <w:rFonts w:ascii="宋体" w:hAnsi="宋体" w:eastAsia="宋体" w:cs="宋体"/>
                <w:sz w:val="18"/>
                <w:szCs w:val="18"/>
              </w:rPr>
            </w:pPr>
            <w:r>
              <w:rPr>
                <w:rFonts w:ascii="宋体" w:hAnsi="宋体" w:eastAsia="宋体" w:cs="宋体"/>
                <w:sz w:val="18"/>
                <w:szCs w:val="18"/>
              </w:rPr>
              <w:t>1,031,508,058.76</w:t>
            </w:r>
          </w:p>
        </w:tc>
        <w:tc>
          <w:tcPr>
            <w:tcW w:w="3213" w:type="dxa"/>
            <w:tcBorders>
              <w:top w:val="single" w:color="auto" w:sz="2" w:space="0"/>
              <w:left w:val="single" w:color="auto" w:sz="2" w:space="0"/>
              <w:bottom w:val="single" w:color="auto" w:sz="2" w:space="0"/>
              <w:right w:val="single" w:color="auto" w:sz="2" w:space="0"/>
            </w:tcBorders>
            <w:vAlign w:val="center"/>
          </w:tcPr>
          <w:p w14:paraId="18275D1B">
            <w:pPr>
              <w:spacing w:before="0" w:after="0" w:line="240" w:lineRule="exact"/>
              <w:jc w:val="right"/>
              <w:rPr>
                <w:rFonts w:ascii="宋体" w:hAnsi="宋体" w:eastAsia="宋体" w:cs="宋体"/>
                <w:sz w:val="18"/>
                <w:szCs w:val="18"/>
              </w:rPr>
            </w:pPr>
            <w:r>
              <w:rPr>
                <w:rFonts w:ascii="宋体" w:hAnsi="宋体" w:eastAsia="宋体" w:cs="宋体"/>
                <w:sz w:val="18"/>
                <w:szCs w:val="18"/>
              </w:rPr>
              <w:t>1,165,196,067.42</w:t>
            </w:r>
          </w:p>
        </w:tc>
      </w:tr>
      <w:tr w14:paraId="5A16D3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E8453AE">
            <w:pPr>
              <w:spacing w:before="40" w:after="40" w:line="240" w:lineRule="exact"/>
              <w:jc w:val="left"/>
              <w:rPr>
                <w:rFonts w:ascii="宋体" w:hAnsi="宋体" w:eastAsia="宋体" w:cs="宋体"/>
                <w:sz w:val="18"/>
                <w:szCs w:val="18"/>
              </w:rPr>
            </w:pPr>
            <w:r>
              <w:rPr>
                <w:rFonts w:ascii="宋体" w:hAnsi="宋体" w:eastAsia="宋体" w:cs="宋体"/>
                <w:sz w:val="18"/>
                <w:szCs w:val="18"/>
              </w:rPr>
              <w:t>资产总计</w:t>
            </w:r>
          </w:p>
        </w:tc>
        <w:tc>
          <w:tcPr>
            <w:tcW w:w="3213" w:type="dxa"/>
            <w:tcBorders>
              <w:top w:val="single" w:color="auto" w:sz="2" w:space="0"/>
              <w:left w:val="single" w:color="auto" w:sz="2" w:space="0"/>
              <w:bottom w:val="single" w:color="auto" w:sz="2" w:space="0"/>
              <w:right w:val="single" w:color="auto" w:sz="2" w:space="0"/>
            </w:tcBorders>
            <w:vAlign w:val="center"/>
          </w:tcPr>
          <w:p w14:paraId="25361F45">
            <w:pPr>
              <w:spacing w:before="0" w:after="0" w:line="240" w:lineRule="exact"/>
              <w:jc w:val="right"/>
              <w:rPr>
                <w:rFonts w:ascii="宋体" w:hAnsi="宋体" w:eastAsia="宋体" w:cs="宋体"/>
                <w:sz w:val="18"/>
                <w:szCs w:val="18"/>
              </w:rPr>
            </w:pPr>
            <w:r>
              <w:rPr>
                <w:rFonts w:ascii="宋体" w:hAnsi="宋体" w:eastAsia="宋体" w:cs="宋体"/>
                <w:sz w:val="18"/>
                <w:szCs w:val="18"/>
              </w:rPr>
              <w:t>1,438,807,956.07</w:t>
            </w:r>
          </w:p>
        </w:tc>
        <w:tc>
          <w:tcPr>
            <w:tcW w:w="3213" w:type="dxa"/>
            <w:tcBorders>
              <w:top w:val="single" w:color="auto" w:sz="2" w:space="0"/>
              <w:left w:val="single" w:color="auto" w:sz="2" w:space="0"/>
              <w:bottom w:val="single" w:color="auto" w:sz="2" w:space="0"/>
              <w:right w:val="single" w:color="auto" w:sz="2" w:space="0"/>
            </w:tcBorders>
            <w:vAlign w:val="center"/>
          </w:tcPr>
          <w:p w14:paraId="0F1FB2C4">
            <w:pPr>
              <w:spacing w:before="0" w:after="0" w:line="240" w:lineRule="exact"/>
              <w:jc w:val="right"/>
              <w:rPr>
                <w:rFonts w:ascii="宋体" w:hAnsi="宋体" w:eastAsia="宋体" w:cs="宋体"/>
                <w:sz w:val="18"/>
                <w:szCs w:val="18"/>
              </w:rPr>
            </w:pPr>
            <w:r>
              <w:rPr>
                <w:rFonts w:ascii="宋体" w:hAnsi="宋体" w:eastAsia="宋体" w:cs="宋体"/>
                <w:sz w:val="18"/>
                <w:szCs w:val="18"/>
              </w:rPr>
              <w:t>1,614,481,833.09</w:t>
            </w:r>
          </w:p>
        </w:tc>
      </w:tr>
      <w:tr w14:paraId="3896C9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AC88531">
            <w:pPr>
              <w:spacing w:before="40" w:after="40" w:line="240" w:lineRule="exact"/>
              <w:jc w:val="left"/>
              <w:rPr>
                <w:rFonts w:ascii="宋体" w:hAnsi="宋体" w:eastAsia="宋体" w:cs="宋体"/>
                <w:sz w:val="18"/>
                <w:szCs w:val="18"/>
              </w:rPr>
            </w:pPr>
            <w:r>
              <w:rPr>
                <w:rFonts w:ascii="宋体" w:hAnsi="宋体" w:eastAsia="宋体" w:cs="宋体"/>
                <w:sz w:val="18"/>
                <w:szCs w:val="18"/>
              </w:rPr>
              <w:t>流动负债：</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882831"/>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A6929BF"/>
        </w:tc>
      </w:tr>
      <w:tr w14:paraId="0001A6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6302B3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短期借款</w:t>
            </w:r>
          </w:p>
        </w:tc>
        <w:tc>
          <w:tcPr>
            <w:tcW w:w="3213" w:type="dxa"/>
            <w:tcBorders>
              <w:top w:val="single" w:color="auto" w:sz="2" w:space="0"/>
              <w:left w:val="single" w:color="auto" w:sz="2" w:space="0"/>
              <w:bottom w:val="single" w:color="auto" w:sz="2" w:space="0"/>
              <w:right w:val="single" w:color="auto" w:sz="2" w:space="0"/>
            </w:tcBorders>
            <w:vAlign w:val="center"/>
          </w:tcPr>
          <w:p w14:paraId="1612B4B0">
            <w:pPr>
              <w:spacing w:before="0" w:after="0" w:line="240" w:lineRule="exact"/>
              <w:jc w:val="right"/>
              <w:rPr>
                <w:rFonts w:ascii="宋体" w:hAnsi="宋体" w:eastAsia="宋体" w:cs="宋体"/>
                <w:sz w:val="18"/>
                <w:szCs w:val="18"/>
              </w:rPr>
            </w:pPr>
            <w:r>
              <w:rPr>
                <w:rFonts w:ascii="宋体" w:hAnsi="宋体" w:eastAsia="宋体" w:cs="宋体"/>
                <w:sz w:val="18"/>
                <w:szCs w:val="18"/>
              </w:rPr>
              <w:t>182,177,991.66</w:t>
            </w:r>
          </w:p>
        </w:tc>
        <w:tc>
          <w:tcPr>
            <w:tcW w:w="3213" w:type="dxa"/>
            <w:tcBorders>
              <w:top w:val="single" w:color="auto" w:sz="2" w:space="0"/>
              <w:left w:val="single" w:color="auto" w:sz="2" w:space="0"/>
              <w:bottom w:val="single" w:color="auto" w:sz="2" w:space="0"/>
              <w:right w:val="single" w:color="auto" w:sz="2" w:space="0"/>
            </w:tcBorders>
            <w:vAlign w:val="center"/>
          </w:tcPr>
          <w:p w14:paraId="2D743BB7">
            <w:pPr>
              <w:spacing w:before="0" w:after="0" w:line="240" w:lineRule="exact"/>
              <w:jc w:val="right"/>
              <w:rPr>
                <w:rFonts w:ascii="宋体" w:hAnsi="宋体" w:eastAsia="宋体" w:cs="宋体"/>
                <w:sz w:val="18"/>
                <w:szCs w:val="18"/>
              </w:rPr>
            </w:pPr>
            <w:r>
              <w:rPr>
                <w:rFonts w:ascii="宋体" w:hAnsi="宋体" w:eastAsia="宋体" w:cs="宋体"/>
                <w:sz w:val="18"/>
                <w:szCs w:val="18"/>
              </w:rPr>
              <w:t>219,176,048.91</w:t>
            </w:r>
          </w:p>
        </w:tc>
      </w:tr>
      <w:tr w14:paraId="4F1327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8CFE79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向中央银行借款</w:t>
            </w:r>
          </w:p>
        </w:tc>
        <w:tc>
          <w:tcPr>
            <w:tcW w:w="3213" w:type="dxa"/>
            <w:tcBorders>
              <w:top w:val="single" w:color="auto" w:sz="2" w:space="0"/>
              <w:left w:val="single" w:color="auto" w:sz="2" w:space="0"/>
              <w:bottom w:val="single" w:color="auto" w:sz="2" w:space="0"/>
              <w:right w:val="single" w:color="auto" w:sz="2" w:space="0"/>
            </w:tcBorders>
            <w:vAlign w:val="center"/>
          </w:tcPr>
          <w:p w14:paraId="5454639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473C61D">
            <w:pPr>
              <w:spacing w:before="0" w:after="0" w:line="240" w:lineRule="exact"/>
              <w:jc w:val="right"/>
              <w:rPr>
                <w:rFonts w:ascii="宋体" w:hAnsi="宋体" w:eastAsia="宋体" w:cs="宋体"/>
                <w:sz w:val="18"/>
                <w:szCs w:val="18"/>
              </w:rPr>
            </w:pPr>
          </w:p>
        </w:tc>
      </w:tr>
      <w:tr w14:paraId="7CBF5B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6DFD389">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拆入资金</w:t>
            </w:r>
          </w:p>
        </w:tc>
        <w:tc>
          <w:tcPr>
            <w:tcW w:w="3213" w:type="dxa"/>
            <w:tcBorders>
              <w:top w:val="single" w:color="auto" w:sz="2" w:space="0"/>
              <w:left w:val="single" w:color="auto" w:sz="2" w:space="0"/>
              <w:bottom w:val="single" w:color="auto" w:sz="2" w:space="0"/>
              <w:right w:val="single" w:color="auto" w:sz="2" w:space="0"/>
            </w:tcBorders>
            <w:vAlign w:val="center"/>
          </w:tcPr>
          <w:p w14:paraId="5972F734">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ACDB3E3">
            <w:pPr>
              <w:spacing w:before="0" w:after="0" w:line="240" w:lineRule="exact"/>
              <w:jc w:val="right"/>
              <w:rPr>
                <w:rFonts w:ascii="宋体" w:hAnsi="宋体" w:eastAsia="宋体" w:cs="宋体"/>
                <w:sz w:val="18"/>
                <w:szCs w:val="18"/>
              </w:rPr>
            </w:pPr>
          </w:p>
        </w:tc>
      </w:tr>
      <w:tr w14:paraId="4B4958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2B5A39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交易性金融负债</w:t>
            </w:r>
          </w:p>
        </w:tc>
        <w:tc>
          <w:tcPr>
            <w:tcW w:w="3213" w:type="dxa"/>
            <w:tcBorders>
              <w:top w:val="single" w:color="auto" w:sz="2" w:space="0"/>
              <w:left w:val="single" w:color="auto" w:sz="2" w:space="0"/>
              <w:bottom w:val="single" w:color="auto" w:sz="2" w:space="0"/>
              <w:right w:val="single" w:color="auto" w:sz="2" w:space="0"/>
            </w:tcBorders>
            <w:vAlign w:val="center"/>
          </w:tcPr>
          <w:p w14:paraId="75CF5C78">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F8D27F5">
            <w:pPr>
              <w:spacing w:before="0" w:after="0" w:line="240" w:lineRule="exact"/>
              <w:jc w:val="right"/>
              <w:rPr>
                <w:rFonts w:ascii="宋体" w:hAnsi="宋体" w:eastAsia="宋体" w:cs="宋体"/>
                <w:sz w:val="18"/>
                <w:szCs w:val="18"/>
              </w:rPr>
            </w:pPr>
          </w:p>
        </w:tc>
      </w:tr>
      <w:tr w14:paraId="7181DB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E96E1A9">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衍生金融负债</w:t>
            </w:r>
          </w:p>
        </w:tc>
        <w:tc>
          <w:tcPr>
            <w:tcW w:w="3213" w:type="dxa"/>
            <w:tcBorders>
              <w:top w:val="single" w:color="auto" w:sz="2" w:space="0"/>
              <w:left w:val="single" w:color="auto" w:sz="2" w:space="0"/>
              <w:bottom w:val="single" w:color="auto" w:sz="2" w:space="0"/>
              <w:right w:val="single" w:color="auto" w:sz="2" w:space="0"/>
            </w:tcBorders>
            <w:vAlign w:val="center"/>
          </w:tcPr>
          <w:p w14:paraId="70C4D5D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CB6056C">
            <w:pPr>
              <w:spacing w:before="0" w:after="0" w:line="240" w:lineRule="exact"/>
              <w:jc w:val="right"/>
              <w:rPr>
                <w:rFonts w:ascii="宋体" w:hAnsi="宋体" w:eastAsia="宋体" w:cs="宋体"/>
                <w:sz w:val="18"/>
                <w:szCs w:val="18"/>
              </w:rPr>
            </w:pPr>
          </w:p>
        </w:tc>
      </w:tr>
      <w:tr w14:paraId="18BE6B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DD4661A">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应付票据</w:t>
            </w:r>
          </w:p>
        </w:tc>
        <w:tc>
          <w:tcPr>
            <w:tcW w:w="3213" w:type="dxa"/>
            <w:tcBorders>
              <w:top w:val="single" w:color="auto" w:sz="2" w:space="0"/>
              <w:left w:val="single" w:color="auto" w:sz="2" w:space="0"/>
              <w:bottom w:val="single" w:color="auto" w:sz="2" w:space="0"/>
              <w:right w:val="single" w:color="auto" w:sz="2" w:space="0"/>
            </w:tcBorders>
            <w:vAlign w:val="center"/>
          </w:tcPr>
          <w:p w14:paraId="3091623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0E6B1CA">
            <w:pPr>
              <w:spacing w:before="0" w:after="0" w:line="240" w:lineRule="exact"/>
              <w:jc w:val="right"/>
              <w:rPr>
                <w:rFonts w:ascii="宋体" w:hAnsi="宋体" w:eastAsia="宋体" w:cs="宋体"/>
                <w:sz w:val="18"/>
                <w:szCs w:val="18"/>
              </w:rPr>
            </w:pPr>
          </w:p>
        </w:tc>
      </w:tr>
      <w:tr w14:paraId="0C6D93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60B26C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应付账款</w:t>
            </w:r>
          </w:p>
        </w:tc>
        <w:tc>
          <w:tcPr>
            <w:tcW w:w="3213" w:type="dxa"/>
            <w:tcBorders>
              <w:top w:val="single" w:color="auto" w:sz="2" w:space="0"/>
              <w:left w:val="single" w:color="auto" w:sz="2" w:space="0"/>
              <w:bottom w:val="single" w:color="auto" w:sz="2" w:space="0"/>
              <w:right w:val="single" w:color="auto" w:sz="2" w:space="0"/>
            </w:tcBorders>
            <w:vAlign w:val="center"/>
          </w:tcPr>
          <w:p w14:paraId="30B692FC">
            <w:pPr>
              <w:spacing w:before="0" w:after="0" w:line="240" w:lineRule="exact"/>
              <w:jc w:val="right"/>
              <w:rPr>
                <w:rFonts w:ascii="宋体" w:hAnsi="宋体" w:eastAsia="宋体" w:cs="宋体"/>
                <w:sz w:val="18"/>
                <w:szCs w:val="18"/>
              </w:rPr>
            </w:pPr>
            <w:r>
              <w:rPr>
                <w:rFonts w:ascii="宋体" w:hAnsi="宋体" w:eastAsia="宋体" w:cs="宋体"/>
                <w:sz w:val="18"/>
                <w:szCs w:val="18"/>
              </w:rPr>
              <w:t>213,840,036.80</w:t>
            </w:r>
          </w:p>
        </w:tc>
        <w:tc>
          <w:tcPr>
            <w:tcW w:w="3213" w:type="dxa"/>
            <w:tcBorders>
              <w:top w:val="single" w:color="auto" w:sz="2" w:space="0"/>
              <w:left w:val="single" w:color="auto" w:sz="2" w:space="0"/>
              <w:bottom w:val="single" w:color="auto" w:sz="2" w:space="0"/>
              <w:right w:val="single" w:color="auto" w:sz="2" w:space="0"/>
            </w:tcBorders>
            <w:vAlign w:val="center"/>
          </w:tcPr>
          <w:p w14:paraId="7E12EABB">
            <w:pPr>
              <w:spacing w:before="0" w:after="0" w:line="240" w:lineRule="exact"/>
              <w:jc w:val="right"/>
              <w:rPr>
                <w:rFonts w:ascii="宋体" w:hAnsi="宋体" w:eastAsia="宋体" w:cs="宋体"/>
                <w:sz w:val="18"/>
                <w:szCs w:val="18"/>
              </w:rPr>
            </w:pPr>
            <w:r>
              <w:rPr>
                <w:rFonts w:ascii="宋体" w:hAnsi="宋体" w:eastAsia="宋体" w:cs="宋体"/>
                <w:sz w:val="18"/>
                <w:szCs w:val="18"/>
              </w:rPr>
              <w:t>226,964,461.33</w:t>
            </w:r>
          </w:p>
        </w:tc>
      </w:tr>
      <w:tr w14:paraId="6DBDBD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242DE7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预收款项</w:t>
            </w:r>
          </w:p>
        </w:tc>
        <w:tc>
          <w:tcPr>
            <w:tcW w:w="3213" w:type="dxa"/>
            <w:tcBorders>
              <w:top w:val="single" w:color="auto" w:sz="2" w:space="0"/>
              <w:left w:val="single" w:color="auto" w:sz="2" w:space="0"/>
              <w:bottom w:val="single" w:color="auto" w:sz="2" w:space="0"/>
              <w:right w:val="single" w:color="auto" w:sz="2" w:space="0"/>
            </w:tcBorders>
            <w:vAlign w:val="center"/>
          </w:tcPr>
          <w:p w14:paraId="1C340EE4">
            <w:pPr>
              <w:spacing w:before="0" w:after="0" w:line="240" w:lineRule="exact"/>
              <w:jc w:val="right"/>
              <w:rPr>
                <w:rFonts w:ascii="宋体" w:hAnsi="宋体" w:eastAsia="宋体" w:cs="宋体"/>
                <w:sz w:val="18"/>
                <w:szCs w:val="18"/>
              </w:rPr>
            </w:pPr>
            <w:r>
              <w:rPr>
                <w:rFonts w:ascii="宋体" w:hAnsi="宋体" w:eastAsia="宋体" w:cs="宋体"/>
                <w:sz w:val="18"/>
                <w:szCs w:val="18"/>
              </w:rPr>
              <w:t>5,779.82</w:t>
            </w:r>
          </w:p>
        </w:tc>
        <w:tc>
          <w:tcPr>
            <w:tcW w:w="3213" w:type="dxa"/>
            <w:tcBorders>
              <w:top w:val="single" w:color="auto" w:sz="2" w:space="0"/>
              <w:left w:val="single" w:color="auto" w:sz="2" w:space="0"/>
              <w:bottom w:val="single" w:color="auto" w:sz="2" w:space="0"/>
              <w:right w:val="single" w:color="auto" w:sz="2" w:space="0"/>
            </w:tcBorders>
            <w:vAlign w:val="center"/>
          </w:tcPr>
          <w:p w14:paraId="00FAA1B6">
            <w:pPr>
              <w:spacing w:before="0" w:after="0" w:line="240" w:lineRule="exact"/>
              <w:jc w:val="right"/>
              <w:rPr>
                <w:rFonts w:ascii="宋体" w:hAnsi="宋体" w:eastAsia="宋体" w:cs="宋体"/>
                <w:sz w:val="18"/>
                <w:szCs w:val="18"/>
              </w:rPr>
            </w:pPr>
            <w:r>
              <w:rPr>
                <w:rFonts w:ascii="宋体" w:hAnsi="宋体" w:eastAsia="宋体" w:cs="宋体"/>
                <w:sz w:val="18"/>
                <w:szCs w:val="18"/>
              </w:rPr>
              <w:t>5,779.82</w:t>
            </w:r>
          </w:p>
        </w:tc>
      </w:tr>
      <w:tr w14:paraId="3061A6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659B10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合同负债</w:t>
            </w:r>
          </w:p>
        </w:tc>
        <w:tc>
          <w:tcPr>
            <w:tcW w:w="3213" w:type="dxa"/>
            <w:tcBorders>
              <w:top w:val="single" w:color="auto" w:sz="2" w:space="0"/>
              <w:left w:val="single" w:color="auto" w:sz="2" w:space="0"/>
              <w:bottom w:val="single" w:color="auto" w:sz="2" w:space="0"/>
              <w:right w:val="single" w:color="auto" w:sz="2" w:space="0"/>
            </w:tcBorders>
            <w:vAlign w:val="center"/>
          </w:tcPr>
          <w:p w14:paraId="45FE60FF">
            <w:pPr>
              <w:spacing w:before="0" w:after="0" w:line="240" w:lineRule="exact"/>
              <w:jc w:val="right"/>
              <w:rPr>
                <w:rFonts w:ascii="宋体" w:hAnsi="宋体" w:eastAsia="宋体" w:cs="宋体"/>
                <w:sz w:val="18"/>
                <w:szCs w:val="18"/>
              </w:rPr>
            </w:pPr>
            <w:r>
              <w:rPr>
                <w:rFonts w:ascii="宋体" w:hAnsi="宋体" w:eastAsia="宋体" w:cs="宋体"/>
                <w:sz w:val="18"/>
                <w:szCs w:val="18"/>
              </w:rPr>
              <w:t>3,566,027.15</w:t>
            </w:r>
          </w:p>
        </w:tc>
        <w:tc>
          <w:tcPr>
            <w:tcW w:w="3213" w:type="dxa"/>
            <w:tcBorders>
              <w:top w:val="single" w:color="auto" w:sz="2" w:space="0"/>
              <w:left w:val="single" w:color="auto" w:sz="2" w:space="0"/>
              <w:bottom w:val="single" w:color="auto" w:sz="2" w:space="0"/>
              <w:right w:val="single" w:color="auto" w:sz="2" w:space="0"/>
            </w:tcBorders>
            <w:vAlign w:val="center"/>
          </w:tcPr>
          <w:p w14:paraId="232221B4">
            <w:pPr>
              <w:spacing w:before="0" w:after="0" w:line="240" w:lineRule="exact"/>
              <w:jc w:val="right"/>
              <w:rPr>
                <w:rFonts w:ascii="宋体" w:hAnsi="宋体" w:eastAsia="宋体" w:cs="宋体"/>
                <w:sz w:val="18"/>
                <w:szCs w:val="18"/>
              </w:rPr>
            </w:pPr>
            <w:r>
              <w:rPr>
                <w:rFonts w:ascii="宋体" w:hAnsi="宋体" w:eastAsia="宋体" w:cs="宋体"/>
                <w:sz w:val="18"/>
                <w:szCs w:val="18"/>
              </w:rPr>
              <w:t>11,907,797.71</w:t>
            </w:r>
          </w:p>
        </w:tc>
      </w:tr>
      <w:tr w14:paraId="048866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080CF3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卖出回购金融资产款</w:t>
            </w:r>
          </w:p>
        </w:tc>
        <w:tc>
          <w:tcPr>
            <w:tcW w:w="3213" w:type="dxa"/>
            <w:tcBorders>
              <w:top w:val="single" w:color="auto" w:sz="2" w:space="0"/>
              <w:left w:val="single" w:color="auto" w:sz="2" w:space="0"/>
              <w:bottom w:val="single" w:color="auto" w:sz="2" w:space="0"/>
              <w:right w:val="single" w:color="auto" w:sz="2" w:space="0"/>
            </w:tcBorders>
            <w:vAlign w:val="center"/>
          </w:tcPr>
          <w:p w14:paraId="530E226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99C3267">
            <w:pPr>
              <w:spacing w:before="0" w:after="0" w:line="240" w:lineRule="exact"/>
              <w:jc w:val="right"/>
              <w:rPr>
                <w:rFonts w:ascii="宋体" w:hAnsi="宋体" w:eastAsia="宋体" w:cs="宋体"/>
                <w:sz w:val="18"/>
                <w:szCs w:val="18"/>
              </w:rPr>
            </w:pPr>
          </w:p>
        </w:tc>
      </w:tr>
      <w:tr w14:paraId="227DC0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C72206">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吸收存款及同业存放</w:t>
            </w:r>
          </w:p>
        </w:tc>
        <w:tc>
          <w:tcPr>
            <w:tcW w:w="3213" w:type="dxa"/>
            <w:tcBorders>
              <w:top w:val="single" w:color="auto" w:sz="2" w:space="0"/>
              <w:left w:val="single" w:color="auto" w:sz="2" w:space="0"/>
              <w:bottom w:val="single" w:color="auto" w:sz="2" w:space="0"/>
              <w:right w:val="single" w:color="auto" w:sz="2" w:space="0"/>
            </w:tcBorders>
            <w:vAlign w:val="center"/>
          </w:tcPr>
          <w:p w14:paraId="5608573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2BA136E">
            <w:pPr>
              <w:spacing w:before="0" w:after="0" w:line="240" w:lineRule="exact"/>
              <w:jc w:val="right"/>
              <w:rPr>
                <w:rFonts w:ascii="宋体" w:hAnsi="宋体" w:eastAsia="宋体" w:cs="宋体"/>
                <w:sz w:val="18"/>
                <w:szCs w:val="18"/>
              </w:rPr>
            </w:pPr>
          </w:p>
        </w:tc>
      </w:tr>
      <w:tr w14:paraId="56C500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1E483B1">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代理买卖证券款</w:t>
            </w:r>
          </w:p>
        </w:tc>
        <w:tc>
          <w:tcPr>
            <w:tcW w:w="3213" w:type="dxa"/>
            <w:tcBorders>
              <w:top w:val="single" w:color="auto" w:sz="2" w:space="0"/>
              <w:left w:val="single" w:color="auto" w:sz="2" w:space="0"/>
              <w:bottom w:val="single" w:color="auto" w:sz="2" w:space="0"/>
              <w:right w:val="single" w:color="auto" w:sz="2" w:space="0"/>
            </w:tcBorders>
            <w:vAlign w:val="center"/>
          </w:tcPr>
          <w:p w14:paraId="233A76F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755BFF5">
            <w:pPr>
              <w:spacing w:before="0" w:after="0" w:line="240" w:lineRule="exact"/>
              <w:jc w:val="right"/>
              <w:rPr>
                <w:rFonts w:ascii="宋体" w:hAnsi="宋体" w:eastAsia="宋体" w:cs="宋体"/>
                <w:sz w:val="18"/>
                <w:szCs w:val="18"/>
              </w:rPr>
            </w:pPr>
          </w:p>
        </w:tc>
      </w:tr>
      <w:tr w14:paraId="33796C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202555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代理承销证券款</w:t>
            </w:r>
          </w:p>
        </w:tc>
        <w:tc>
          <w:tcPr>
            <w:tcW w:w="3213" w:type="dxa"/>
            <w:tcBorders>
              <w:top w:val="single" w:color="auto" w:sz="2" w:space="0"/>
              <w:left w:val="single" w:color="auto" w:sz="2" w:space="0"/>
              <w:bottom w:val="single" w:color="auto" w:sz="2" w:space="0"/>
              <w:right w:val="single" w:color="auto" w:sz="2" w:space="0"/>
            </w:tcBorders>
            <w:vAlign w:val="center"/>
          </w:tcPr>
          <w:p w14:paraId="732FA64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1C3180B">
            <w:pPr>
              <w:spacing w:before="0" w:after="0" w:line="240" w:lineRule="exact"/>
              <w:jc w:val="right"/>
              <w:rPr>
                <w:rFonts w:ascii="宋体" w:hAnsi="宋体" w:eastAsia="宋体" w:cs="宋体"/>
                <w:sz w:val="18"/>
                <w:szCs w:val="18"/>
              </w:rPr>
            </w:pPr>
          </w:p>
        </w:tc>
      </w:tr>
      <w:tr w14:paraId="14300F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6FA0F6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应付职工薪酬</w:t>
            </w:r>
          </w:p>
        </w:tc>
        <w:tc>
          <w:tcPr>
            <w:tcW w:w="3213" w:type="dxa"/>
            <w:tcBorders>
              <w:top w:val="single" w:color="auto" w:sz="2" w:space="0"/>
              <w:left w:val="single" w:color="auto" w:sz="2" w:space="0"/>
              <w:bottom w:val="single" w:color="auto" w:sz="2" w:space="0"/>
              <w:right w:val="single" w:color="auto" w:sz="2" w:space="0"/>
            </w:tcBorders>
            <w:vAlign w:val="center"/>
          </w:tcPr>
          <w:p w14:paraId="322CF616">
            <w:pPr>
              <w:spacing w:before="0" w:after="0" w:line="240" w:lineRule="exact"/>
              <w:jc w:val="right"/>
              <w:rPr>
                <w:rFonts w:ascii="宋体" w:hAnsi="宋体" w:eastAsia="宋体" w:cs="宋体"/>
                <w:sz w:val="18"/>
                <w:szCs w:val="18"/>
              </w:rPr>
            </w:pPr>
            <w:r>
              <w:rPr>
                <w:rFonts w:ascii="宋体" w:hAnsi="宋体" w:eastAsia="宋体" w:cs="宋体"/>
                <w:sz w:val="18"/>
                <w:szCs w:val="18"/>
              </w:rPr>
              <w:t>11,671,827.83</w:t>
            </w:r>
          </w:p>
        </w:tc>
        <w:tc>
          <w:tcPr>
            <w:tcW w:w="3213" w:type="dxa"/>
            <w:tcBorders>
              <w:top w:val="single" w:color="auto" w:sz="2" w:space="0"/>
              <w:left w:val="single" w:color="auto" w:sz="2" w:space="0"/>
              <w:bottom w:val="single" w:color="auto" w:sz="2" w:space="0"/>
              <w:right w:val="single" w:color="auto" w:sz="2" w:space="0"/>
            </w:tcBorders>
            <w:vAlign w:val="center"/>
          </w:tcPr>
          <w:p w14:paraId="33125C44">
            <w:pPr>
              <w:spacing w:before="0" w:after="0" w:line="240" w:lineRule="exact"/>
              <w:jc w:val="right"/>
              <w:rPr>
                <w:rFonts w:ascii="宋体" w:hAnsi="宋体" w:eastAsia="宋体" w:cs="宋体"/>
                <w:sz w:val="18"/>
                <w:szCs w:val="18"/>
              </w:rPr>
            </w:pPr>
            <w:r>
              <w:rPr>
                <w:rFonts w:ascii="宋体" w:hAnsi="宋体" w:eastAsia="宋体" w:cs="宋体"/>
                <w:sz w:val="18"/>
                <w:szCs w:val="18"/>
              </w:rPr>
              <w:t>15,759,502.26</w:t>
            </w:r>
          </w:p>
        </w:tc>
      </w:tr>
      <w:tr w14:paraId="400E13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552EE76">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应交税费</w:t>
            </w:r>
          </w:p>
        </w:tc>
        <w:tc>
          <w:tcPr>
            <w:tcW w:w="3213" w:type="dxa"/>
            <w:tcBorders>
              <w:top w:val="single" w:color="auto" w:sz="2" w:space="0"/>
              <w:left w:val="single" w:color="auto" w:sz="2" w:space="0"/>
              <w:bottom w:val="single" w:color="auto" w:sz="2" w:space="0"/>
              <w:right w:val="single" w:color="auto" w:sz="2" w:space="0"/>
            </w:tcBorders>
            <w:vAlign w:val="center"/>
          </w:tcPr>
          <w:p w14:paraId="71C43413">
            <w:pPr>
              <w:spacing w:before="0" w:after="0" w:line="240" w:lineRule="exact"/>
              <w:jc w:val="right"/>
              <w:rPr>
                <w:rFonts w:ascii="宋体" w:hAnsi="宋体" w:eastAsia="宋体" w:cs="宋体"/>
                <w:sz w:val="18"/>
                <w:szCs w:val="18"/>
              </w:rPr>
            </w:pPr>
            <w:r>
              <w:rPr>
                <w:rFonts w:ascii="宋体" w:hAnsi="宋体" w:eastAsia="宋体" w:cs="宋体"/>
                <w:sz w:val="18"/>
                <w:szCs w:val="18"/>
              </w:rPr>
              <w:t>8,649,586.77</w:t>
            </w:r>
          </w:p>
        </w:tc>
        <w:tc>
          <w:tcPr>
            <w:tcW w:w="3213" w:type="dxa"/>
            <w:tcBorders>
              <w:top w:val="single" w:color="auto" w:sz="2" w:space="0"/>
              <w:left w:val="single" w:color="auto" w:sz="2" w:space="0"/>
              <w:bottom w:val="single" w:color="auto" w:sz="2" w:space="0"/>
              <w:right w:val="single" w:color="auto" w:sz="2" w:space="0"/>
            </w:tcBorders>
            <w:vAlign w:val="center"/>
          </w:tcPr>
          <w:p w14:paraId="6350508D">
            <w:pPr>
              <w:spacing w:before="0" w:after="0" w:line="240" w:lineRule="exact"/>
              <w:jc w:val="right"/>
              <w:rPr>
                <w:rFonts w:ascii="宋体" w:hAnsi="宋体" w:eastAsia="宋体" w:cs="宋体"/>
                <w:sz w:val="18"/>
                <w:szCs w:val="18"/>
              </w:rPr>
            </w:pPr>
            <w:r>
              <w:rPr>
                <w:rFonts w:ascii="宋体" w:hAnsi="宋体" w:eastAsia="宋体" w:cs="宋体"/>
                <w:sz w:val="18"/>
                <w:szCs w:val="18"/>
              </w:rPr>
              <w:t>7,513,196.93</w:t>
            </w:r>
          </w:p>
        </w:tc>
      </w:tr>
      <w:tr w14:paraId="39D53E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DB7FAB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其他应付款</w:t>
            </w:r>
          </w:p>
        </w:tc>
        <w:tc>
          <w:tcPr>
            <w:tcW w:w="3213" w:type="dxa"/>
            <w:tcBorders>
              <w:top w:val="single" w:color="auto" w:sz="2" w:space="0"/>
              <w:left w:val="single" w:color="auto" w:sz="2" w:space="0"/>
              <w:bottom w:val="single" w:color="auto" w:sz="2" w:space="0"/>
              <w:right w:val="single" w:color="auto" w:sz="2" w:space="0"/>
            </w:tcBorders>
            <w:vAlign w:val="center"/>
          </w:tcPr>
          <w:p w14:paraId="6802CD2A">
            <w:pPr>
              <w:spacing w:before="0" w:after="0" w:line="240" w:lineRule="exact"/>
              <w:jc w:val="right"/>
              <w:rPr>
                <w:rFonts w:ascii="宋体" w:hAnsi="宋体" w:eastAsia="宋体" w:cs="宋体"/>
                <w:sz w:val="18"/>
                <w:szCs w:val="18"/>
              </w:rPr>
            </w:pPr>
            <w:r>
              <w:rPr>
                <w:rFonts w:ascii="宋体" w:hAnsi="宋体" w:eastAsia="宋体" w:cs="宋体"/>
                <w:sz w:val="18"/>
                <w:szCs w:val="18"/>
              </w:rPr>
              <w:t>36,520,008.56</w:t>
            </w:r>
          </w:p>
        </w:tc>
        <w:tc>
          <w:tcPr>
            <w:tcW w:w="3213" w:type="dxa"/>
            <w:tcBorders>
              <w:top w:val="single" w:color="auto" w:sz="2" w:space="0"/>
              <w:left w:val="single" w:color="auto" w:sz="2" w:space="0"/>
              <w:bottom w:val="single" w:color="auto" w:sz="2" w:space="0"/>
              <w:right w:val="single" w:color="auto" w:sz="2" w:space="0"/>
            </w:tcBorders>
            <w:vAlign w:val="center"/>
          </w:tcPr>
          <w:p w14:paraId="2C24D257">
            <w:pPr>
              <w:spacing w:before="0" w:after="0" w:line="240" w:lineRule="exact"/>
              <w:jc w:val="right"/>
              <w:rPr>
                <w:rFonts w:ascii="宋体" w:hAnsi="宋体" w:eastAsia="宋体" w:cs="宋体"/>
                <w:sz w:val="18"/>
                <w:szCs w:val="18"/>
              </w:rPr>
            </w:pPr>
            <w:r>
              <w:rPr>
                <w:rFonts w:ascii="宋体" w:hAnsi="宋体" w:eastAsia="宋体" w:cs="宋体"/>
                <w:sz w:val="18"/>
                <w:szCs w:val="18"/>
              </w:rPr>
              <w:t>42,619,772.74</w:t>
            </w:r>
          </w:p>
        </w:tc>
      </w:tr>
      <w:tr w14:paraId="17A37E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5179E91">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其中：应付利息</w:t>
            </w:r>
          </w:p>
        </w:tc>
        <w:tc>
          <w:tcPr>
            <w:tcW w:w="3213" w:type="dxa"/>
            <w:tcBorders>
              <w:top w:val="single" w:color="auto" w:sz="2" w:space="0"/>
              <w:left w:val="single" w:color="auto" w:sz="2" w:space="0"/>
              <w:bottom w:val="single" w:color="auto" w:sz="2" w:space="0"/>
              <w:right w:val="single" w:color="auto" w:sz="2" w:space="0"/>
            </w:tcBorders>
            <w:vAlign w:val="center"/>
          </w:tcPr>
          <w:p w14:paraId="78959E1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A069F35">
            <w:pPr>
              <w:spacing w:before="0" w:after="0" w:line="240" w:lineRule="exact"/>
              <w:jc w:val="right"/>
              <w:rPr>
                <w:rFonts w:ascii="宋体" w:hAnsi="宋体" w:eastAsia="宋体" w:cs="宋体"/>
                <w:sz w:val="18"/>
                <w:szCs w:val="18"/>
              </w:rPr>
            </w:pPr>
          </w:p>
        </w:tc>
      </w:tr>
      <w:tr w14:paraId="344F41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9D0466B">
            <w:pPr>
              <w:spacing w:before="40" w:after="40" w:line="240" w:lineRule="exact"/>
              <w:ind w:firstLine="900" w:firstLineChars="500"/>
              <w:jc w:val="left"/>
              <w:rPr>
                <w:rFonts w:ascii="宋体" w:hAnsi="宋体" w:eastAsia="宋体" w:cs="宋体"/>
                <w:sz w:val="18"/>
                <w:szCs w:val="18"/>
              </w:rPr>
            </w:pPr>
            <w:r>
              <w:rPr>
                <w:rFonts w:ascii="宋体" w:hAnsi="宋体" w:eastAsia="宋体" w:cs="宋体"/>
                <w:sz w:val="18"/>
                <w:szCs w:val="18"/>
              </w:rPr>
              <w:t>应付股利</w:t>
            </w:r>
          </w:p>
        </w:tc>
        <w:tc>
          <w:tcPr>
            <w:tcW w:w="3213" w:type="dxa"/>
            <w:tcBorders>
              <w:top w:val="single" w:color="auto" w:sz="2" w:space="0"/>
              <w:left w:val="single" w:color="auto" w:sz="2" w:space="0"/>
              <w:bottom w:val="single" w:color="auto" w:sz="2" w:space="0"/>
              <w:right w:val="single" w:color="auto" w:sz="2" w:space="0"/>
            </w:tcBorders>
            <w:vAlign w:val="center"/>
          </w:tcPr>
          <w:p w14:paraId="7BE4085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0EA25F7">
            <w:pPr>
              <w:spacing w:before="0" w:after="0" w:line="240" w:lineRule="exact"/>
              <w:jc w:val="right"/>
              <w:rPr>
                <w:rFonts w:ascii="宋体" w:hAnsi="宋体" w:eastAsia="宋体" w:cs="宋体"/>
                <w:sz w:val="18"/>
                <w:szCs w:val="18"/>
              </w:rPr>
            </w:pPr>
          </w:p>
        </w:tc>
      </w:tr>
      <w:tr w14:paraId="6FA12D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82EFB2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应付手续费及佣金</w:t>
            </w:r>
          </w:p>
        </w:tc>
        <w:tc>
          <w:tcPr>
            <w:tcW w:w="3213" w:type="dxa"/>
            <w:tcBorders>
              <w:top w:val="single" w:color="auto" w:sz="2" w:space="0"/>
              <w:left w:val="single" w:color="auto" w:sz="2" w:space="0"/>
              <w:bottom w:val="single" w:color="auto" w:sz="2" w:space="0"/>
              <w:right w:val="single" w:color="auto" w:sz="2" w:space="0"/>
            </w:tcBorders>
            <w:vAlign w:val="center"/>
          </w:tcPr>
          <w:p w14:paraId="146D23D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30CD375">
            <w:pPr>
              <w:spacing w:before="0" w:after="0" w:line="240" w:lineRule="exact"/>
              <w:jc w:val="right"/>
              <w:rPr>
                <w:rFonts w:ascii="宋体" w:hAnsi="宋体" w:eastAsia="宋体" w:cs="宋体"/>
                <w:sz w:val="18"/>
                <w:szCs w:val="18"/>
              </w:rPr>
            </w:pPr>
          </w:p>
        </w:tc>
      </w:tr>
      <w:tr w14:paraId="1FDB1D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CA4C54A">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应付分保账款</w:t>
            </w:r>
          </w:p>
        </w:tc>
        <w:tc>
          <w:tcPr>
            <w:tcW w:w="3213" w:type="dxa"/>
            <w:tcBorders>
              <w:top w:val="single" w:color="auto" w:sz="2" w:space="0"/>
              <w:left w:val="single" w:color="auto" w:sz="2" w:space="0"/>
              <w:bottom w:val="single" w:color="auto" w:sz="2" w:space="0"/>
              <w:right w:val="single" w:color="auto" w:sz="2" w:space="0"/>
            </w:tcBorders>
            <w:vAlign w:val="center"/>
          </w:tcPr>
          <w:p w14:paraId="1E02E5E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A63B42E">
            <w:pPr>
              <w:spacing w:before="0" w:after="0" w:line="240" w:lineRule="exact"/>
              <w:jc w:val="right"/>
              <w:rPr>
                <w:rFonts w:ascii="宋体" w:hAnsi="宋体" w:eastAsia="宋体" w:cs="宋体"/>
                <w:sz w:val="18"/>
                <w:szCs w:val="18"/>
              </w:rPr>
            </w:pPr>
          </w:p>
        </w:tc>
      </w:tr>
      <w:tr w14:paraId="3A57E0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C7EA81">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持有待售负债</w:t>
            </w:r>
          </w:p>
        </w:tc>
        <w:tc>
          <w:tcPr>
            <w:tcW w:w="3213" w:type="dxa"/>
            <w:tcBorders>
              <w:top w:val="single" w:color="auto" w:sz="2" w:space="0"/>
              <w:left w:val="single" w:color="auto" w:sz="2" w:space="0"/>
              <w:bottom w:val="single" w:color="auto" w:sz="2" w:space="0"/>
              <w:right w:val="single" w:color="auto" w:sz="2" w:space="0"/>
            </w:tcBorders>
            <w:vAlign w:val="center"/>
          </w:tcPr>
          <w:p w14:paraId="126148D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6F54707">
            <w:pPr>
              <w:spacing w:before="0" w:after="0" w:line="240" w:lineRule="exact"/>
              <w:jc w:val="right"/>
              <w:rPr>
                <w:rFonts w:ascii="宋体" w:hAnsi="宋体" w:eastAsia="宋体" w:cs="宋体"/>
                <w:sz w:val="18"/>
                <w:szCs w:val="18"/>
              </w:rPr>
            </w:pPr>
          </w:p>
        </w:tc>
      </w:tr>
      <w:tr w14:paraId="7D84E8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F708961">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一年内到期的非流动负债</w:t>
            </w:r>
          </w:p>
        </w:tc>
        <w:tc>
          <w:tcPr>
            <w:tcW w:w="3213" w:type="dxa"/>
            <w:tcBorders>
              <w:top w:val="single" w:color="auto" w:sz="2" w:space="0"/>
              <w:left w:val="single" w:color="auto" w:sz="2" w:space="0"/>
              <w:bottom w:val="single" w:color="auto" w:sz="2" w:space="0"/>
              <w:right w:val="single" w:color="auto" w:sz="2" w:space="0"/>
            </w:tcBorders>
            <w:vAlign w:val="center"/>
          </w:tcPr>
          <w:p w14:paraId="1081E99B">
            <w:pPr>
              <w:spacing w:before="0" w:after="0" w:line="240" w:lineRule="exact"/>
              <w:jc w:val="right"/>
              <w:rPr>
                <w:rFonts w:ascii="宋体" w:hAnsi="宋体" w:eastAsia="宋体" w:cs="宋体"/>
                <w:sz w:val="18"/>
                <w:szCs w:val="18"/>
              </w:rPr>
            </w:pPr>
            <w:r>
              <w:rPr>
                <w:rFonts w:ascii="宋体" w:hAnsi="宋体" w:eastAsia="宋体" w:cs="宋体"/>
                <w:sz w:val="18"/>
                <w:szCs w:val="18"/>
              </w:rPr>
              <w:t>118,017,355.78</w:t>
            </w:r>
          </w:p>
        </w:tc>
        <w:tc>
          <w:tcPr>
            <w:tcW w:w="3213" w:type="dxa"/>
            <w:tcBorders>
              <w:top w:val="single" w:color="auto" w:sz="2" w:space="0"/>
              <w:left w:val="single" w:color="auto" w:sz="2" w:space="0"/>
              <w:bottom w:val="single" w:color="auto" w:sz="2" w:space="0"/>
              <w:right w:val="single" w:color="auto" w:sz="2" w:space="0"/>
            </w:tcBorders>
            <w:vAlign w:val="center"/>
          </w:tcPr>
          <w:p w14:paraId="4CB68964">
            <w:pPr>
              <w:spacing w:before="0" w:after="0" w:line="240" w:lineRule="exact"/>
              <w:jc w:val="right"/>
              <w:rPr>
                <w:rFonts w:ascii="宋体" w:hAnsi="宋体" w:eastAsia="宋体" w:cs="宋体"/>
                <w:sz w:val="18"/>
                <w:szCs w:val="18"/>
              </w:rPr>
            </w:pPr>
            <w:r>
              <w:rPr>
                <w:rFonts w:ascii="宋体" w:hAnsi="宋体" w:eastAsia="宋体" w:cs="宋体"/>
                <w:sz w:val="18"/>
                <w:szCs w:val="18"/>
              </w:rPr>
              <w:t>72,304,676.98</w:t>
            </w:r>
          </w:p>
        </w:tc>
      </w:tr>
      <w:tr w14:paraId="47D07A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BEF686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其他流动负债</w:t>
            </w:r>
          </w:p>
        </w:tc>
        <w:tc>
          <w:tcPr>
            <w:tcW w:w="3213" w:type="dxa"/>
            <w:tcBorders>
              <w:top w:val="single" w:color="auto" w:sz="2" w:space="0"/>
              <w:left w:val="single" w:color="auto" w:sz="2" w:space="0"/>
              <w:bottom w:val="single" w:color="auto" w:sz="2" w:space="0"/>
              <w:right w:val="single" w:color="auto" w:sz="2" w:space="0"/>
            </w:tcBorders>
            <w:vAlign w:val="center"/>
          </w:tcPr>
          <w:p w14:paraId="557C069C">
            <w:pPr>
              <w:spacing w:before="0" w:after="0" w:line="240" w:lineRule="exact"/>
              <w:jc w:val="right"/>
              <w:rPr>
                <w:rFonts w:ascii="宋体" w:hAnsi="宋体" w:eastAsia="宋体" w:cs="宋体"/>
                <w:sz w:val="18"/>
                <w:szCs w:val="18"/>
              </w:rPr>
            </w:pPr>
            <w:r>
              <w:rPr>
                <w:rFonts w:ascii="宋体" w:hAnsi="宋体" w:eastAsia="宋体" w:cs="宋体"/>
                <w:sz w:val="18"/>
                <w:szCs w:val="18"/>
              </w:rPr>
              <w:t>326,543.03</w:t>
            </w:r>
          </w:p>
        </w:tc>
        <w:tc>
          <w:tcPr>
            <w:tcW w:w="3213" w:type="dxa"/>
            <w:tcBorders>
              <w:top w:val="single" w:color="auto" w:sz="2" w:space="0"/>
              <w:left w:val="single" w:color="auto" w:sz="2" w:space="0"/>
              <w:bottom w:val="single" w:color="auto" w:sz="2" w:space="0"/>
              <w:right w:val="single" w:color="auto" w:sz="2" w:space="0"/>
            </w:tcBorders>
            <w:vAlign w:val="center"/>
          </w:tcPr>
          <w:p w14:paraId="1A4E78BE">
            <w:pPr>
              <w:spacing w:before="0" w:after="0" w:line="240" w:lineRule="exact"/>
              <w:jc w:val="right"/>
              <w:rPr>
                <w:rFonts w:ascii="宋体" w:hAnsi="宋体" w:eastAsia="宋体" w:cs="宋体"/>
                <w:sz w:val="18"/>
                <w:szCs w:val="18"/>
              </w:rPr>
            </w:pPr>
            <w:r>
              <w:rPr>
                <w:rFonts w:ascii="宋体" w:hAnsi="宋体" w:eastAsia="宋体" w:cs="宋体"/>
                <w:sz w:val="18"/>
                <w:szCs w:val="18"/>
              </w:rPr>
              <w:t>1,513,683.19</w:t>
            </w:r>
          </w:p>
        </w:tc>
      </w:tr>
      <w:tr w14:paraId="400A3F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A0D6CF8">
            <w:pPr>
              <w:spacing w:before="40" w:after="40" w:line="240" w:lineRule="exact"/>
              <w:jc w:val="left"/>
              <w:rPr>
                <w:rFonts w:ascii="宋体" w:hAnsi="宋体" w:eastAsia="宋体" w:cs="宋体"/>
                <w:sz w:val="18"/>
                <w:szCs w:val="18"/>
              </w:rPr>
            </w:pPr>
            <w:r>
              <w:rPr>
                <w:rFonts w:ascii="宋体" w:hAnsi="宋体" w:eastAsia="宋体" w:cs="宋体"/>
                <w:sz w:val="18"/>
                <w:szCs w:val="18"/>
              </w:rPr>
              <w:t>流动负债合计</w:t>
            </w:r>
          </w:p>
        </w:tc>
        <w:tc>
          <w:tcPr>
            <w:tcW w:w="3213" w:type="dxa"/>
            <w:tcBorders>
              <w:top w:val="single" w:color="auto" w:sz="2" w:space="0"/>
              <w:left w:val="single" w:color="auto" w:sz="2" w:space="0"/>
              <w:bottom w:val="single" w:color="auto" w:sz="2" w:space="0"/>
              <w:right w:val="single" w:color="auto" w:sz="2" w:space="0"/>
            </w:tcBorders>
            <w:vAlign w:val="center"/>
          </w:tcPr>
          <w:p w14:paraId="6E746AB9">
            <w:pPr>
              <w:spacing w:before="0" w:after="0" w:line="240" w:lineRule="exact"/>
              <w:jc w:val="right"/>
              <w:rPr>
                <w:rFonts w:ascii="宋体" w:hAnsi="宋体" w:eastAsia="宋体" w:cs="宋体"/>
                <w:sz w:val="18"/>
                <w:szCs w:val="18"/>
              </w:rPr>
            </w:pPr>
            <w:r>
              <w:rPr>
                <w:rFonts w:ascii="宋体" w:hAnsi="宋体" w:eastAsia="宋体" w:cs="宋体"/>
                <w:sz w:val="18"/>
                <w:szCs w:val="18"/>
              </w:rPr>
              <w:t>574,775,157.40</w:t>
            </w:r>
          </w:p>
        </w:tc>
        <w:tc>
          <w:tcPr>
            <w:tcW w:w="3213" w:type="dxa"/>
            <w:tcBorders>
              <w:top w:val="single" w:color="auto" w:sz="2" w:space="0"/>
              <w:left w:val="single" w:color="auto" w:sz="2" w:space="0"/>
              <w:bottom w:val="single" w:color="auto" w:sz="2" w:space="0"/>
              <w:right w:val="single" w:color="auto" w:sz="2" w:space="0"/>
            </w:tcBorders>
            <w:vAlign w:val="center"/>
          </w:tcPr>
          <w:p w14:paraId="17634A40">
            <w:pPr>
              <w:spacing w:before="0" w:after="0" w:line="240" w:lineRule="exact"/>
              <w:jc w:val="right"/>
              <w:rPr>
                <w:rFonts w:ascii="宋体" w:hAnsi="宋体" w:eastAsia="宋体" w:cs="宋体"/>
                <w:sz w:val="18"/>
                <w:szCs w:val="18"/>
              </w:rPr>
            </w:pPr>
            <w:r>
              <w:rPr>
                <w:rFonts w:ascii="宋体" w:hAnsi="宋体" w:eastAsia="宋体" w:cs="宋体"/>
                <w:sz w:val="18"/>
                <w:szCs w:val="18"/>
              </w:rPr>
              <w:t>597,764,919.87</w:t>
            </w:r>
          </w:p>
        </w:tc>
      </w:tr>
      <w:tr w14:paraId="18E1E7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1933FE2">
            <w:pPr>
              <w:spacing w:before="40" w:after="40" w:line="240" w:lineRule="exact"/>
              <w:jc w:val="left"/>
              <w:rPr>
                <w:rFonts w:ascii="宋体" w:hAnsi="宋体" w:eastAsia="宋体" w:cs="宋体"/>
                <w:sz w:val="18"/>
                <w:szCs w:val="18"/>
              </w:rPr>
            </w:pPr>
            <w:r>
              <w:rPr>
                <w:rFonts w:ascii="宋体" w:hAnsi="宋体" w:eastAsia="宋体" w:cs="宋体"/>
                <w:sz w:val="18"/>
                <w:szCs w:val="18"/>
              </w:rPr>
              <w:t>非流动负债：</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D06D2EF"/>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4EB6C8C"/>
        </w:tc>
      </w:tr>
      <w:tr w14:paraId="1E993B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EE70BC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保险合同准备金</w:t>
            </w:r>
          </w:p>
        </w:tc>
        <w:tc>
          <w:tcPr>
            <w:tcW w:w="3213" w:type="dxa"/>
            <w:tcBorders>
              <w:top w:val="single" w:color="auto" w:sz="2" w:space="0"/>
              <w:left w:val="single" w:color="auto" w:sz="2" w:space="0"/>
              <w:bottom w:val="single" w:color="auto" w:sz="2" w:space="0"/>
              <w:right w:val="single" w:color="auto" w:sz="2" w:space="0"/>
            </w:tcBorders>
            <w:vAlign w:val="center"/>
          </w:tcPr>
          <w:p w14:paraId="5CB58D6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C530D2E">
            <w:pPr>
              <w:spacing w:before="0" w:after="0" w:line="240" w:lineRule="exact"/>
              <w:jc w:val="right"/>
              <w:rPr>
                <w:rFonts w:ascii="宋体" w:hAnsi="宋体" w:eastAsia="宋体" w:cs="宋体"/>
                <w:sz w:val="18"/>
                <w:szCs w:val="18"/>
              </w:rPr>
            </w:pPr>
          </w:p>
        </w:tc>
      </w:tr>
      <w:tr w14:paraId="1DC4BC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D9A453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长期借款</w:t>
            </w:r>
          </w:p>
        </w:tc>
        <w:tc>
          <w:tcPr>
            <w:tcW w:w="3213" w:type="dxa"/>
            <w:tcBorders>
              <w:top w:val="single" w:color="auto" w:sz="2" w:space="0"/>
              <w:left w:val="single" w:color="auto" w:sz="2" w:space="0"/>
              <w:bottom w:val="single" w:color="auto" w:sz="2" w:space="0"/>
              <w:right w:val="single" w:color="auto" w:sz="2" w:space="0"/>
            </w:tcBorders>
            <w:vAlign w:val="center"/>
          </w:tcPr>
          <w:p w14:paraId="2010A259">
            <w:pPr>
              <w:spacing w:before="0" w:after="0" w:line="240" w:lineRule="exact"/>
              <w:jc w:val="right"/>
              <w:rPr>
                <w:rFonts w:ascii="宋体" w:hAnsi="宋体" w:eastAsia="宋体" w:cs="宋体"/>
                <w:sz w:val="18"/>
                <w:szCs w:val="18"/>
              </w:rPr>
            </w:pPr>
            <w:r>
              <w:rPr>
                <w:rFonts w:ascii="宋体" w:hAnsi="宋体" w:eastAsia="宋体" w:cs="宋体"/>
                <w:sz w:val="18"/>
                <w:szCs w:val="18"/>
              </w:rPr>
              <w:t>142,363,100.00</w:t>
            </w:r>
          </w:p>
        </w:tc>
        <w:tc>
          <w:tcPr>
            <w:tcW w:w="3213" w:type="dxa"/>
            <w:tcBorders>
              <w:top w:val="single" w:color="auto" w:sz="2" w:space="0"/>
              <w:left w:val="single" w:color="auto" w:sz="2" w:space="0"/>
              <w:bottom w:val="single" w:color="auto" w:sz="2" w:space="0"/>
              <w:right w:val="single" w:color="auto" w:sz="2" w:space="0"/>
            </w:tcBorders>
            <w:vAlign w:val="center"/>
          </w:tcPr>
          <w:p w14:paraId="2F439CEA">
            <w:pPr>
              <w:spacing w:before="0" w:after="0" w:line="240" w:lineRule="exact"/>
              <w:jc w:val="right"/>
              <w:rPr>
                <w:rFonts w:ascii="宋体" w:hAnsi="宋体" w:eastAsia="宋体" w:cs="宋体"/>
                <w:sz w:val="18"/>
                <w:szCs w:val="18"/>
              </w:rPr>
            </w:pPr>
            <w:r>
              <w:rPr>
                <w:rFonts w:ascii="宋体" w:hAnsi="宋体" w:eastAsia="宋体" w:cs="宋体"/>
                <w:sz w:val="18"/>
                <w:szCs w:val="18"/>
              </w:rPr>
              <w:t>167,692,100.00</w:t>
            </w:r>
          </w:p>
        </w:tc>
      </w:tr>
      <w:tr w14:paraId="04B4E6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DC6C0CC">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应付债券</w:t>
            </w:r>
          </w:p>
        </w:tc>
        <w:tc>
          <w:tcPr>
            <w:tcW w:w="3213" w:type="dxa"/>
            <w:tcBorders>
              <w:top w:val="single" w:color="auto" w:sz="2" w:space="0"/>
              <w:left w:val="single" w:color="auto" w:sz="2" w:space="0"/>
              <w:bottom w:val="single" w:color="auto" w:sz="2" w:space="0"/>
              <w:right w:val="single" w:color="auto" w:sz="2" w:space="0"/>
            </w:tcBorders>
            <w:vAlign w:val="center"/>
          </w:tcPr>
          <w:p w14:paraId="77C7C15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217A871">
            <w:pPr>
              <w:spacing w:before="0" w:after="0" w:line="240" w:lineRule="exact"/>
              <w:jc w:val="right"/>
              <w:rPr>
                <w:rFonts w:ascii="宋体" w:hAnsi="宋体" w:eastAsia="宋体" w:cs="宋体"/>
                <w:sz w:val="18"/>
                <w:szCs w:val="18"/>
              </w:rPr>
            </w:pPr>
          </w:p>
        </w:tc>
      </w:tr>
      <w:tr w14:paraId="7589AB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32CB8FE">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其中：优先股</w:t>
            </w:r>
          </w:p>
        </w:tc>
        <w:tc>
          <w:tcPr>
            <w:tcW w:w="3213" w:type="dxa"/>
            <w:tcBorders>
              <w:top w:val="single" w:color="auto" w:sz="2" w:space="0"/>
              <w:left w:val="single" w:color="auto" w:sz="2" w:space="0"/>
              <w:bottom w:val="single" w:color="auto" w:sz="2" w:space="0"/>
              <w:right w:val="single" w:color="auto" w:sz="2" w:space="0"/>
            </w:tcBorders>
            <w:vAlign w:val="center"/>
          </w:tcPr>
          <w:p w14:paraId="3B29297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AF4878E">
            <w:pPr>
              <w:spacing w:before="0" w:after="0" w:line="240" w:lineRule="exact"/>
              <w:jc w:val="right"/>
              <w:rPr>
                <w:rFonts w:ascii="宋体" w:hAnsi="宋体" w:eastAsia="宋体" w:cs="宋体"/>
                <w:sz w:val="18"/>
                <w:szCs w:val="18"/>
              </w:rPr>
            </w:pPr>
          </w:p>
        </w:tc>
      </w:tr>
      <w:tr w14:paraId="7B8133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5D1852B">
            <w:pPr>
              <w:spacing w:before="40" w:after="40" w:line="240" w:lineRule="exact"/>
              <w:ind w:firstLine="900" w:firstLineChars="500"/>
              <w:jc w:val="left"/>
              <w:rPr>
                <w:rFonts w:ascii="宋体" w:hAnsi="宋体" w:eastAsia="宋体" w:cs="宋体"/>
                <w:sz w:val="18"/>
                <w:szCs w:val="18"/>
              </w:rPr>
            </w:pPr>
            <w:r>
              <w:rPr>
                <w:rFonts w:ascii="宋体" w:hAnsi="宋体" w:eastAsia="宋体" w:cs="宋体"/>
                <w:sz w:val="18"/>
                <w:szCs w:val="18"/>
              </w:rPr>
              <w:t>永续债</w:t>
            </w:r>
          </w:p>
        </w:tc>
        <w:tc>
          <w:tcPr>
            <w:tcW w:w="3213" w:type="dxa"/>
            <w:tcBorders>
              <w:top w:val="single" w:color="auto" w:sz="2" w:space="0"/>
              <w:left w:val="single" w:color="auto" w:sz="2" w:space="0"/>
              <w:bottom w:val="single" w:color="auto" w:sz="2" w:space="0"/>
              <w:right w:val="single" w:color="auto" w:sz="2" w:space="0"/>
            </w:tcBorders>
            <w:vAlign w:val="center"/>
          </w:tcPr>
          <w:p w14:paraId="3D794F9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3AF92C7">
            <w:pPr>
              <w:spacing w:before="0" w:after="0" w:line="240" w:lineRule="exact"/>
              <w:jc w:val="right"/>
              <w:rPr>
                <w:rFonts w:ascii="宋体" w:hAnsi="宋体" w:eastAsia="宋体" w:cs="宋体"/>
                <w:sz w:val="18"/>
                <w:szCs w:val="18"/>
              </w:rPr>
            </w:pPr>
          </w:p>
        </w:tc>
      </w:tr>
      <w:tr w14:paraId="6F6C03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51DAE1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租赁负债</w:t>
            </w:r>
          </w:p>
        </w:tc>
        <w:tc>
          <w:tcPr>
            <w:tcW w:w="3213" w:type="dxa"/>
            <w:tcBorders>
              <w:top w:val="single" w:color="auto" w:sz="2" w:space="0"/>
              <w:left w:val="single" w:color="auto" w:sz="2" w:space="0"/>
              <w:bottom w:val="single" w:color="auto" w:sz="2" w:space="0"/>
              <w:right w:val="single" w:color="auto" w:sz="2" w:space="0"/>
            </w:tcBorders>
            <w:vAlign w:val="center"/>
          </w:tcPr>
          <w:p w14:paraId="1960165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1796C84">
            <w:pPr>
              <w:spacing w:before="0" w:after="0" w:line="240" w:lineRule="exact"/>
              <w:jc w:val="right"/>
              <w:rPr>
                <w:rFonts w:ascii="宋体" w:hAnsi="宋体" w:eastAsia="宋体" w:cs="宋体"/>
                <w:sz w:val="18"/>
                <w:szCs w:val="18"/>
              </w:rPr>
            </w:pPr>
            <w:r>
              <w:rPr>
                <w:rFonts w:ascii="宋体" w:hAnsi="宋体" w:eastAsia="宋体" w:cs="宋体"/>
                <w:sz w:val="18"/>
                <w:szCs w:val="18"/>
              </w:rPr>
              <w:t>94,867.35</w:t>
            </w:r>
          </w:p>
        </w:tc>
      </w:tr>
      <w:tr w14:paraId="499FB6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F63152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长期应付款</w:t>
            </w:r>
          </w:p>
        </w:tc>
        <w:tc>
          <w:tcPr>
            <w:tcW w:w="3213" w:type="dxa"/>
            <w:tcBorders>
              <w:top w:val="single" w:color="auto" w:sz="2" w:space="0"/>
              <w:left w:val="single" w:color="auto" w:sz="2" w:space="0"/>
              <w:bottom w:val="single" w:color="auto" w:sz="2" w:space="0"/>
              <w:right w:val="single" w:color="auto" w:sz="2" w:space="0"/>
            </w:tcBorders>
            <w:vAlign w:val="center"/>
          </w:tcPr>
          <w:p w14:paraId="57F062E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4D1DEBD">
            <w:pPr>
              <w:spacing w:before="0" w:after="0" w:line="240" w:lineRule="exact"/>
              <w:jc w:val="right"/>
              <w:rPr>
                <w:rFonts w:ascii="宋体" w:hAnsi="宋体" w:eastAsia="宋体" w:cs="宋体"/>
                <w:sz w:val="18"/>
                <w:szCs w:val="18"/>
              </w:rPr>
            </w:pPr>
          </w:p>
        </w:tc>
      </w:tr>
      <w:tr w14:paraId="564FD9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F43050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长期应付职工薪酬</w:t>
            </w:r>
          </w:p>
        </w:tc>
        <w:tc>
          <w:tcPr>
            <w:tcW w:w="3213" w:type="dxa"/>
            <w:tcBorders>
              <w:top w:val="single" w:color="auto" w:sz="2" w:space="0"/>
              <w:left w:val="single" w:color="auto" w:sz="2" w:space="0"/>
              <w:bottom w:val="single" w:color="auto" w:sz="2" w:space="0"/>
              <w:right w:val="single" w:color="auto" w:sz="2" w:space="0"/>
            </w:tcBorders>
            <w:vAlign w:val="center"/>
          </w:tcPr>
          <w:p w14:paraId="4FBB3DB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23B9E1B">
            <w:pPr>
              <w:spacing w:before="0" w:after="0" w:line="240" w:lineRule="exact"/>
              <w:jc w:val="right"/>
              <w:rPr>
                <w:rFonts w:ascii="宋体" w:hAnsi="宋体" w:eastAsia="宋体" w:cs="宋体"/>
                <w:sz w:val="18"/>
                <w:szCs w:val="18"/>
              </w:rPr>
            </w:pPr>
          </w:p>
        </w:tc>
      </w:tr>
      <w:tr w14:paraId="2957C6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E3E1F6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预计负债</w:t>
            </w:r>
          </w:p>
        </w:tc>
        <w:tc>
          <w:tcPr>
            <w:tcW w:w="3213" w:type="dxa"/>
            <w:tcBorders>
              <w:top w:val="single" w:color="auto" w:sz="2" w:space="0"/>
              <w:left w:val="single" w:color="auto" w:sz="2" w:space="0"/>
              <w:bottom w:val="single" w:color="auto" w:sz="2" w:space="0"/>
              <w:right w:val="single" w:color="auto" w:sz="2" w:space="0"/>
            </w:tcBorders>
            <w:vAlign w:val="center"/>
          </w:tcPr>
          <w:p w14:paraId="12BA134D">
            <w:pPr>
              <w:spacing w:before="0" w:after="0" w:line="240" w:lineRule="exact"/>
              <w:jc w:val="right"/>
              <w:rPr>
                <w:rFonts w:ascii="宋体" w:hAnsi="宋体" w:eastAsia="宋体" w:cs="宋体"/>
                <w:sz w:val="18"/>
                <w:szCs w:val="18"/>
              </w:rPr>
            </w:pPr>
            <w:r>
              <w:rPr>
                <w:rFonts w:ascii="宋体" w:hAnsi="宋体" w:eastAsia="宋体" w:cs="宋体"/>
                <w:sz w:val="18"/>
                <w:szCs w:val="18"/>
              </w:rPr>
              <w:t>1,035,871.46</w:t>
            </w:r>
          </w:p>
        </w:tc>
        <w:tc>
          <w:tcPr>
            <w:tcW w:w="3213" w:type="dxa"/>
            <w:tcBorders>
              <w:top w:val="single" w:color="auto" w:sz="2" w:space="0"/>
              <w:left w:val="single" w:color="auto" w:sz="2" w:space="0"/>
              <w:bottom w:val="single" w:color="auto" w:sz="2" w:space="0"/>
              <w:right w:val="single" w:color="auto" w:sz="2" w:space="0"/>
            </w:tcBorders>
            <w:vAlign w:val="center"/>
          </w:tcPr>
          <w:p w14:paraId="3528E99D">
            <w:pPr>
              <w:spacing w:before="0" w:after="0" w:line="240" w:lineRule="exact"/>
              <w:jc w:val="right"/>
              <w:rPr>
                <w:rFonts w:ascii="宋体" w:hAnsi="宋体" w:eastAsia="宋体" w:cs="宋体"/>
                <w:sz w:val="18"/>
                <w:szCs w:val="18"/>
              </w:rPr>
            </w:pPr>
          </w:p>
        </w:tc>
      </w:tr>
      <w:tr w14:paraId="373E9A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6BAB2CC">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递延收益</w:t>
            </w:r>
          </w:p>
        </w:tc>
        <w:tc>
          <w:tcPr>
            <w:tcW w:w="3213" w:type="dxa"/>
            <w:tcBorders>
              <w:top w:val="single" w:color="auto" w:sz="2" w:space="0"/>
              <w:left w:val="single" w:color="auto" w:sz="2" w:space="0"/>
              <w:bottom w:val="single" w:color="auto" w:sz="2" w:space="0"/>
              <w:right w:val="single" w:color="auto" w:sz="2" w:space="0"/>
            </w:tcBorders>
            <w:vAlign w:val="center"/>
          </w:tcPr>
          <w:p w14:paraId="38C7D1DA">
            <w:pPr>
              <w:spacing w:before="0" w:after="0" w:line="240" w:lineRule="exact"/>
              <w:jc w:val="right"/>
              <w:rPr>
                <w:rFonts w:ascii="宋体" w:hAnsi="宋体" w:eastAsia="宋体" w:cs="宋体"/>
                <w:sz w:val="18"/>
                <w:szCs w:val="18"/>
              </w:rPr>
            </w:pPr>
            <w:r>
              <w:rPr>
                <w:rFonts w:ascii="宋体" w:hAnsi="宋体" w:eastAsia="宋体" w:cs="宋体"/>
                <w:sz w:val="18"/>
                <w:szCs w:val="18"/>
              </w:rPr>
              <w:t>65,990,600.62</w:t>
            </w:r>
          </w:p>
        </w:tc>
        <w:tc>
          <w:tcPr>
            <w:tcW w:w="3213" w:type="dxa"/>
            <w:tcBorders>
              <w:top w:val="single" w:color="auto" w:sz="2" w:space="0"/>
              <w:left w:val="single" w:color="auto" w:sz="2" w:space="0"/>
              <w:bottom w:val="single" w:color="auto" w:sz="2" w:space="0"/>
              <w:right w:val="single" w:color="auto" w:sz="2" w:space="0"/>
            </w:tcBorders>
            <w:vAlign w:val="center"/>
          </w:tcPr>
          <w:p w14:paraId="52ABF78D">
            <w:pPr>
              <w:spacing w:before="0" w:after="0" w:line="240" w:lineRule="exact"/>
              <w:jc w:val="right"/>
              <w:rPr>
                <w:rFonts w:ascii="宋体" w:hAnsi="宋体" w:eastAsia="宋体" w:cs="宋体"/>
                <w:sz w:val="18"/>
                <w:szCs w:val="18"/>
              </w:rPr>
            </w:pPr>
            <w:r>
              <w:rPr>
                <w:rFonts w:ascii="宋体" w:hAnsi="宋体" w:eastAsia="宋体" w:cs="宋体"/>
                <w:sz w:val="18"/>
                <w:szCs w:val="18"/>
              </w:rPr>
              <w:t>39,993,744.35</w:t>
            </w:r>
          </w:p>
        </w:tc>
      </w:tr>
      <w:tr w14:paraId="617EA4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85FF94F">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递延所得税负债</w:t>
            </w:r>
          </w:p>
        </w:tc>
        <w:tc>
          <w:tcPr>
            <w:tcW w:w="3213" w:type="dxa"/>
            <w:tcBorders>
              <w:top w:val="single" w:color="auto" w:sz="2" w:space="0"/>
              <w:left w:val="single" w:color="auto" w:sz="2" w:space="0"/>
              <w:bottom w:val="single" w:color="auto" w:sz="2" w:space="0"/>
              <w:right w:val="single" w:color="auto" w:sz="2" w:space="0"/>
            </w:tcBorders>
            <w:vAlign w:val="center"/>
          </w:tcPr>
          <w:p w14:paraId="151CA5EC">
            <w:pPr>
              <w:spacing w:before="0" w:after="0" w:line="240" w:lineRule="exact"/>
              <w:jc w:val="right"/>
              <w:rPr>
                <w:rFonts w:ascii="宋体" w:hAnsi="宋体" w:eastAsia="宋体" w:cs="宋体"/>
                <w:sz w:val="18"/>
                <w:szCs w:val="18"/>
              </w:rPr>
            </w:pPr>
            <w:r>
              <w:rPr>
                <w:rFonts w:ascii="宋体" w:hAnsi="宋体" w:eastAsia="宋体" w:cs="宋体"/>
                <w:sz w:val="18"/>
                <w:szCs w:val="18"/>
              </w:rPr>
              <w:t>2,665,305.02</w:t>
            </w:r>
          </w:p>
        </w:tc>
        <w:tc>
          <w:tcPr>
            <w:tcW w:w="3213" w:type="dxa"/>
            <w:tcBorders>
              <w:top w:val="single" w:color="auto" w:sz="2" w:space="0"/>
              <w:left w:val="single" w:color="auto" w:sz="2" w:space="0"/>
              <w:bottom w:val="single" w:color="auto" w:sz="2" w:space="0"/>
              <w:right w:val="single" w:color="auto" w:sz="2" w:space="0"/>
            </w:tcBorders>
            <w:vAlign w:val="center"/>
          </w:tcPr>
          <w:p w14:paraId="2476D01F">
            <w:pPr>
              <w:spacing w:before="0" w:after="0" w:line="240" w:lineRule="exact"/>
              <w:jc w:val="right"/>
              <w:rPr>
                <w:rFonts w:ascii="宋体" w:hAnsi="宋体" w:eastAsia="宋体" w:cs="宋体"/>
                <w:sz w:val="18"/>
                <w:szCs w:val="18"/>
              </w:rPr>
            </w:pPr>
            <w:r>
              <w:rPr>
                <w:rFonts w:ascii="宋体" w:hAnsi="宋体" w:eastAsia="宋体" w:cs="宋体"/>
                <w:sz w:val="18"/>
                <w:szCs w:val="18"/>
              </w:rPr>
              <w:t>2,384,575.38</w:t>
            </w:r>
          </w:p>
        </w:tc>
      </w:tr>
      <w:tr w14:paraId="5CD2BB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EE18611">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其他非流动负债</w:t>
            </w:r>
          </w:p>
        </w:tc>
        <w:tc>
          <w:tcPr>
            <w:tcW w:w="3213" w:type="dxa"/>
            <w:tcBorders>
              <w:top w:val="single" w:color="auto" w:sz="2" w:space="0"/>
              <w:left w:val="single" w:color="auto" w:sz="2" w:space="0"/>
              <w:bottom w:val="single" w:color="auto" w:sz="2" w:space="0"/>
              <w:right w:val="single" w:color="auto" w:sz="2" w:space="0"/>
            </w:tcBorders>
            <w:vAlign w:val="center"/>
          </w:tcPr>
          <w:p w14:paraId="455C65AA">
            <w:pPr>
              <w:spacing w:before="0" w:after="0" w:line="240" w:lineRule="exact"/>
              <w:jc w:val="right"/>
              <w:rPr>
                <w:rFonts w:ascii="宋体" w:hAnsi="宋体" w:eastAsia="宋体" w:cs="宋体"/>
                <w:sz w:val="18"/>
                <w:szCs w:val="18"/>
              </w:rPr>
            </w:pPr>
            <w:r>
              <w:rPr>
                <w:rFonts w:ascii="宋体" w:hAnsi="宋体" w:eastAsia="宋体" w:cs="宋体"/>
                <w:sz w:val="18"/>
                <w:szCs w:val="18"/>
              </w:rPr>
              <w:t>255,200,000.00</w:t>
            </w:r>
          </w:p>
        </w:tc>
        <w:tc>
          <w:tcPr>
            <w:tcW w:w="3213" w:type="dxa"/>
            <w:tcBorders>
              <w:top w:val="single" w:color="auto" w:sz="2" w:space="0"/>
              <w:left w:val="single" w:color="auto" w:sz="2" w:space="0"/>
              <w:bottom w:val="single" w:color="auto" w:sz="2" w:space="0"/>
              <w:right w:val="single" w:color="auto" w:sz="2" w:space="0"/>
            </w:tcBorders>
            <w:vAlign w:val="center"/>
          </w:tcPr>
          <w:p w14:paraId="74A90180">
            <w:pPr>
              <w:spacing w:before="0" w:after="0" w:line="240" w:lineRule="exact"/>
              <w:jc w:val="right"/>
              <w:rPr>
                <w:rFonts w:ascii="宋体" w:hAnsi="宋体" w:eastAsia="宋体" w:cs="宋体"/>
                <w:sz w:val="18"/>
                <w:szCs w:val="18"/>
              </w:rPr>
            </w:pPr>
            <w:r>
              <w:rPr>
                <w:rFonts w:ascii="宋体" w:hAnsi="宋体" w:eastAsia="宋体" w:cs="宋体"/>
                <w:sz w:val="18"/>
                <w:szCs w:val="18"/>
              </w:rPr>
              <w:t>237,306,666.67</w:t>
            </w:r>
          </w:p>
        </w:tc>
      </w:tr>
      <w:tr w14:paraId="0BCC60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2F29FB5">
            <w:pPr>
              <w:spacing w:before="40" w:after="40" w:line="240" w:lineRule="exact"/>
              <w:jc w:val="left"/>
              <w:rPr>
                <w:rFonts w:ascii="宋体" w:hAnsi="宋体" w:eastAsia="宋体" w:cs="宋体"/>
                <w:sz w:val="18"/>
                <w:szCs w:val="18"/>
              </w:rPr>
            </w:pPr>
            <w:r>
              <w:rPr>
                <w:rFonts w:ascii="宋体" w:hAnsi="宋体" w:eastAsia="宋体" w:cs="宋体"/>
                <w:sz w:val="18"/>
                <w:szCs w:val="18"/>
              </w:rPr>
              <w:t>非流动负债合计</w:t>
            </w:r>
          </w:p>
        </w:tc>
        <w:tc>
          <w:tcPr>
            <w:tcW w:w="3213" w:type="dxa"/>
            <w:tcBorders>
              <w:top w:val="single" w:color="auto" w:sz="2" w:space="0"/>
              <w:left w:val="single" w:color="auto" w:sz="2" w:space="0"/>
              <w:bottom w:val="single" w:color="auto" w:sz="2" w:space="0"/>
              <w:right w:val="single" w:color="auto" w:sz="2" w:space="0"/>
            </w:tcBorders>
            <w:vAlign w:val="center"/>
          </w:tcPr>
          <w:p w14:paraId="6A6F1A67">
            <w:pPr>
              <w:spacing w:before="0" w:after="0" w:line="240" w:lineRule="exact"/>
              <w:jc w:val="right"/>
              <w:rPr>
                <w:rFonts w:ascii="宋体" w:hAnsi="宋体" w:eastAsia="宋体" w:cs="宋体"/>
                <w:sz w:val="18"/>
                <w:szCs w:val="18"/>
              </w:rPr>
            </w:pPr>
            <w:r>
              <w:rPr>
                <w:rFonts w:ascii="宋体" w:hAnsi="宋体" w:eastAsia="宋体" w:cs="宋体"/>
                <w:sz w:val="18"/>
                <w:szCs w:val="18"/>
              </w:rPr>
              <w:t>467,254,877.10</w:t>
            </w:r>
          </w:p>
        </w:tc>
        <w:tc>
          <w:tcPr>
            <w:tcW w:w="3213" w:type="dxa"/>
            <w:tcBorders>
              <w:top w:val="single" w:color="auto" w:sz="2" w:space="0"/>
              <w:left w:val="single" w:color="auto" w:sz="2" w:space="0"/>
              <w:bottom w:val="single" w:color="auto" w:sz="2" w:space="0"/>
              <w:right w:val="single" w:color="auto" w:sz="2" w:space="0"/>
            </w:tcBorders>
            <w:vAlign w:val="center"/>
          </w:tcPr>
          <w:p w14:paraId="01A54711">
            <w:pPr>
              <w:spacing w:before="0" w:after="0" w:line="240" w:lineRule="exact"/>
              <w:jc w:val="right"/>
              <w:rPr>
                <w:rFonts w:ascii="宋体" w:hAnsi="宋体" w:eastAsia="宋体" w:cs="宋体"/>
                <w:sz w:val="18"/>
                <w:szCs w:val="18"/>
              </w:rPr>
            </w:pPr>
            <w:r>
              <w:rPr>
                <w:rFonts w:ascii="宋体" w:hAnsi="宋体" w:eastAsia="宋体" w:cs="宋体"/>
                <w:sz w:val="18"/>
                <w:szCs w:val="18"/>
              </w:rPr>
              <w:t>447,471,953.75</w:t>
            </w:r>
          </w:p>
        </w:tc>
      </w:tr>
      <w:tr w14:paraId="12A196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043BF74">
            <w:pPr>
              <w:spacing w:before="40" w:after="40" w:line="240" w:lineRule="exact"/>
              <w:jc w:val="left"/>
              <w:rPr>
                <w:rFonts w:ascii="宋体" w:hAnsi="宋体" w:eastAsia="宋体" w:cs="宋体"/>
                <w:sz w:val="18"/>
                <w:szCs w:val="18"/>
              </w:rPr>
            </w:pPr>
            <w:r>
              <w:rPr>
                <w:rFonts w:ascii="宋体" w:hAnsi="宋体" w:eastAsia="宋体" w:cs="宋体"/>
                <w:sz w:val="18"/>
                <w:szCs w:val="18"/>
              </w:rPr>
              <w:t>负债合计</w:t>
            </w:r>
          </w:p>
        </w:tc>
        <w:tc>
          <w:tcPr>
            <w:tcW w:w="3213" w:type="dxa"/>
            <w:tcBorders>
              <w:top w:val="single" w:color="auto" w:sz="2" w:space="0"/>
              <w:left w:val="single" w:color="auto" w:sz="2" w:space="0"/>
              <w:bottom w:val="single" w:color="auto" w:sz="2" w:space="0"/>
              <w:right w:val="single" w:color="auto" w:sz="2" w:space="0"/>
            </w:tcBorders>
            <w:vAlign w:val="center"/>
          </w:tcPr>
          <w:p w14:paraId="7093B1BD">
            <w:pPr>
              <w:spacing w:before="0" w:after="0" w:line="240" w:lineRule="exact"/>
              <w:jc w:val="right"/>
              <w:rPr>
                <w:rFonts w:ascii="宋体" w:hAnsi="宋体" w:eastAsia="宋体" w:cs="宋体"/>
                <w:sz w:val="18"/>
                <w:szCs w:val="18"/>
              </w:rPr>
            </w:pPr>
            <w:r>
              <w:rPr>
                <w:rFonts w:ascii="宋体" w:hAnsi="宋体" w:eastAsia="宋体" w:cs="宋体"/>
                <w:sz w:val="18"/>
                <w:szCs w:val="18"/>
              </w:rPr>
              <w:t>1,042,030,034.50</w:t>
            </w:r>
          </w:p>
        </w:tc>
        <w:tc>
          <w:tcPr>
            <w:tcW w:w="3213" w:type="dxa"/>
            <w:tcBorders>
              <w:top w:val="single" w:color="auto" w:sz="2" w:space="0"/>
              <w:left w:val="single" w:color="auto" w:sz="2" w:space="0"/>
              <w:bottom w:val="single" w:color="auto" w:sz="2" w:space="0"/>
              <w:right w:val="single" w:color="auto" w:sz="2" w:space="0"/>
            </w:tcBorders>
            <w:vAlign w:val="center"/>
          </w:tcPr>
          <w:p w14:paraId="3AA4A3C6">
            <w:pPr>
              <w:spacing w:before="0" w:after="0" w:line="240" w:lineRule="exact"/>
              <w:jc w:val="right"/>
              <w:rPr>
                <w:rFonts w:ascii="宋体" w:hAnsi="宋体" w:eastAsia="宋体" w:cs="宋体"/>
                <w:sz w:val="18"/>
                <w:szCs w:val="18"/>
              </w:rPr>
            </w:pPr>
            <w:r>
              <w:rPr>
                <w:rFonts w:ascii="宋体" w:hAnsi="宋体" w:eastAsia="宋体" w:cs="宋体"/>
                <w:sz w:val="18"/>
                <w:szCs w:val="18"/>
              </w:rPr>
              <w:t>1,045,236,873.62</w:t>
            </w:r>
          </w:p>
        </w:tc>
      </w:tr>
      <w:tr w14:paraId="414F39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2DE662">
            <w:pPr>
              <w:spacing w:before="0" w:after="0" w:line="240" w:lineRule="exact"/>
              <w:jc w:val="left"/>
              <w:rPr>
                <w:rFonts w:ascii="宋体" w:hAnsi="宋体" w:eastAsia="宋体" w:cs="宋体"/>
                <w:sz w:val="18"/>
                <w:szCs w:val="18"/>
              </w:rPr>
            </w:pPr>
            <w:r>
              <w:rPr>
                <w:rFonts w:ascii="宋体" w:hAnsi="宋体" w:eastAsia="宋体" w:cs="宋体"/>
                <w:sz w:val="18"/>
                <w:szCs w:val="18"/>
              </w:rPr>
              <w:t>所有者权益：</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9F2D680"/>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2F9DF2F"/>
        </w:tc>
      </w:tr>
      <w:tr w14:paraId="48EBC0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3756C53">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股本</w:t>
            </w:r>
          </w:p>
        </w:tc>
        <w:tc>
          <w:tcPr>
            <w:tcW w:w="3213" w:type="dxa"/>
            <w:tcBorders>
              <w:top w:val="single" w:color="auto" w:sz="2" w:space="0"/>
              <w:left w:val="single" w:color="auto" w:sz="2" w:space="0"/>
              <w:bottom w:val="single" w:color="auto" w:sz="2" w:space="0"/>
              <w:right w:val="single" w:color="auto" w:sz="2" w:space="0"/>
            </w:tcBorders>
            <w:vAlign w:val="center"/>
          </w:tcPr>
          <w:p w14:paraId="6ED327A3">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3213" w:type="dxa"/>
            <w:tcBorders>
              <w:top w:val="single" w:color="auto" w:sz="2" w:space="0"/>
              <w:left w:val="single" w:color="auto" w:sz="2" w:space="0"/>
              <w:bottom w:val="single" w:color="auto" w:sz="2" w:space="0"/>
              <w:right w:val="single" w:color="auto" w:sz="2" w:space="0"/>
            </w:tcBorders>
            <w:vAlign w:val="center"/>
          </w:tcPr>
          <w:p w14:paraId="6FCC568F">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r>
      <w:tr w14:paraId="0A39A8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C50599">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其他权益工具</w:t>
            </w:r>
          </w:p>
        </w:tc>
        <w:tc>
          <w:tcPr>
            <w:tcW w:w="3213" w:type="dxa"/>
            <w:tcBorders>
              <w:top w:val="single" w:color="auto" w:sz="2" w:space="0"/>
              <w:left w:val="single" w:color="auto" w:sz="2" w:space="0"/>
              <w:bottom w:val="single" w:color="auto" w:sz="2" w:space="0"/>
              <w:right w:val="single" w:color="auto" w:sz="2" w:space="0"/>
            </w:tcBorders>
            <w:vAlign w:val="center"/>
          </w:tcPr>
          <w:p w14:paraId="3CC5748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6A53722">
            <w:pPr>
              <w:spacing w:before="0" w:after="0" w:line="240" w:lineRule="exact"/>
              <w:jc w:val="right"/>
              <w:rPr>
                <w:rFonts w:ascii="宋体" w:hAnsi="宋体" w:eastAsia="宋体" w:cs="宋体"/>
                <w:sz w:val="18"/>
                <w:szCs w:val="18"/>
              </w:rPr>
            </w:pPr>
          </w:p>
        </w:tc>
      </w:tr>
      <w:tr w14:paraId="4CFB89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D81AB01">
            <w:pPr>
              <w:spacing w:before="0" w:after="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其中：优先股</w:t>
            </w:r>
          </w:p>
        </w:tc>
        <w:tc>
          <w:tcPr>
            <w:tcW w:w="3213" w:type="dxa"/>
            <w:tcBorders>
              <w:top w:val="single" w:color="auto" w:sz="2" w:space="0"/>
              <w:left w:val="single" w:color="auto" w:sz="2" w:space="0"/>
              <w:bottom w:val="single" w:color="auto" w:sz="2" w:space="0"/>
              <w:right w:val="single" w:color="auto" w:sz="2" w:space="0"/>
            </w:tcBorders>
            <w:vAlign w:val="center"/>
          </w:tcPr>
          <w:p w14:paraId="3B97ECE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E0021DC">
            <w:pPr>
              <w:spacing w:before="0" w:after="0" w:line="240" w:lineRule="exact"/>
              <w:jc w:val="right"/>
              <w:rPr>
                <w:rFonts w:ascii="宋体" w:hAnsi="宋体" w:eastAsia="宋体" w:cs="宋体"/>
                <w:sz w:val="18"/>
                <w:szCs w:val="18"/>
              </w:rPr>
            </w:pPr>
          </w:p>
        </w:tc>
      </w:tr>
      <w:tr w14:paraId="6C6515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EFADF99">
            <w:pPr>
              <w:spacing w:before="0" w:after="0" w:line="240" w:lineRule="exact"/>
              <w:ind w:firstLine="900" w:firstLineChars="500"/>
              <w:jc w:val="left"/>
              <w:rPr>
                <w:rFonts w:ascii="宋体" w:hAnsi="宋体" w:eastAsia="宋体" w:cs="宋体"/>
                <w:sz w:val="18"/>
                <w:szCs w:val="18"/>
              </w:rPr>
            </w:pPr>
            <w:r>
              <w:rPr>
                <w:rFonts w:ascii="宋体" w:hAnsi="宋体" w:eastAsia="宋体" w:cs="宋体"/>
                <w:sz w:val="18"/>
                <w:szCs w:val="18"/>
              </w:rPr>
              <w:t>永续债</w:t>
            </w:r>
          </w:p>
        </w:tc>
        <w:tc>
          <w:tcPr>
            <w:tcW w:w="3213" w:type="dxa"/>
            <w:tcBorders>
              <w:top w:val="single" w:color="auto" w:sz="2" w:space="0"/>
              <w:left w:val="single" w:color="auto" w:sz="2" w:space="0"/>
              <w:bottom w:val="single" w:color="auto" w:sz="2" w:space="0"/>
              <w:right w:val="single" w:color="auto" w:sz="2" w:space="0"/>
            </w:tcBorders>
            <w:vAlign w:val="center"/>
          </w:tcPr>
          <w:p w14:paraId="67AB6838">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DD158AD">
            <w:pPr>
              <w:spacing w:before="0" w:after="0" w:line="240" w:lineRule="exact"/>
              <w:jc w:val="right"/>
              <w:rPr>
                <w:rFonts w:ascii="宋体" w:hAnsi="宋体" w:eastAsia="宋体" w:cs="宋体"/>
                <w:sz w:val="18"/>
                <w:szCs w:val="18"/>
              </w:rPr>
            </w:pPr>
          </w:p>
        </w:tc>
      </w:tr>
      <w:tr w14:paraId="094965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A726917">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资本公积</w:t>
            </w:r>
          </w:p>
        </w:tc>
        <w:tc>
          <w:tcPr>
            <w:tcW w:w="3213" w:type="dxa"/>
            <w:tcBorders>
              <w:top w:val="single" w:color="auto" w:sz="2" w:space="0"/>
              <w:left w:val="single" w:color="auto" w:sz="2" w:space="0"/>
              <w:bottom w:val="single" w:color="auto" w:sz="2" w:space="0"/>
              <w:right w:val="single" w:color="auto" w:sz="2" w:space="0"/>
            </w:tcBorders>
            <w:vAlign w:val="center"/>
          </w:tcPr>
          <w:p w14:paraId="7887D6C5">
            <w:pPr>
              <w:spacing w:before="0" w:after="0" w:line="240" w:lineRule="exact"/>
              <w:jc w:val="right"/>
              <w:rPr>
                <w:rFonts w:ascii="宋体" w:hAnsi="宋体" w:eastAsia="宋体" w:cs="宋体"/>
                <w:sz w:val="18"/>
                <w:szCs w:val="18"/>
              </w:rPr>
            </w:pPr>
            <w:r>
              <w:rPr>
                <w:rFonts w:ascii="宋体" w:hAnsi="宋体" w:eastAsia="宋体" w:cs="宋体"/>
                <w:sz w:val="18"/>
                <w:szCs w:val="18"/>
              </w:rPr>
              <w:t>607,925,894.48</w:t>
            </w:r>
          </w:p>
        </w:tc>
        <w:tc>
          <w:tcPr>
            <w:tcW w:w="3213" w:type="dxa"/>
            <w:tcBorders>
              <w:top w:val="single" w:color="auto" w:sz="2" w:space="0"/>
              <w:left w:val="single" w:color="auto" w:sz="2" w:space="0"/>
              <w:bottom w:val="single" w:color="auto" w:sz="2" w:space="0"/>
              <w:right w:val="single" w:color="auto" w:sz="2" w:space="0"/>
            </w:tcBorders>
            <w:vAlign w:val="center"/>
          </w:tcPr>
          <w:p w14:paraId="510989B0">
            <w:pPr>
              <w:spacing w:before="0" w:after="0" w:line="240" w:lineRule="exact"/>
              <w:jc w:val="right"/>
              <w:rPr>
                <w:rFonts w:ascii="宋体" w:hAnsi="宋体" w:eastAsia="宋体" w:cs="宋体"/>
                <w:sz w:val="18"/>
                <w:szCs w:val="18"/>
              </w:rPr>
            </w:pPr>
            <w:r>
              <w:rPr>
                <w:rFonts w:ascii="宋体" w:hAnsi="宋体" w:eastAsia="宋体" w:cs="宋体"/>
                <w:sz w:val="18"/>
                <w:szCs w:val="18"/>
              </w:rPr>
              <w:t>607,925,894.48</w:t>
            </w:r>
          </w:p>
        </w:tc>
      </w:tr>
      <w:tr w14:paraId="18BBE6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FEBDB92">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减：库存股</w:t>
            </w:r>
          </w:p>
        </w:tc>
        <w:tc>
          <w:tcPr>
            <w:tcW w:w="3213" w:type="dxa"/>
            <w:tcBorders>
              <w:top w:val="single" w:color="auto" w:sz="2" w:space="0"/>
              <w:left w:val="single" w:color="auto" w:sz="2" w:space="0"/>
              <w:bottom w:val="single" w:color="auto" w:sz="2" w:space="0"/>
              <w:right w:val="single" w:color="auto" w:sz="2" w:space="0"/>
            </w:tcBorders>
            <w:vAlign w:val="center"/>
          </w:tcPr>
          <w:p w14:paraId="125CEB9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AAF889C">
            <w:pPr>
              <w:spacing w:before="0" w:after="0" w:line="240" w:lineRule="exact"/>
              <w:jc w:val="right"/>
              <w:rPr>
                <w:rFonts w:ascii="宋体" w:hAnsi="宋体" w:eastAsia="宋体" w:cs="宋体"/>
                <w:sz w:val="18"/>
                <w:szCs w:val="18"/>
              </w:rPr>
            </w:pPr>
          </w:p>
        </w:tc>
      </w:tr>
      <w:tr w14:paraId="23AAD7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5555A28">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其他综合收益</w:t>
            </w:r>
          </w:p>
        </w:tc>
        <w:tc>
          <w:tcPr>
            <w:tcW w:w="3213" w:type="dxa"/>
            <w:tcBorders>
              <w:top w:val="single" w:color="auto" w:sz="2" w:space="0"/>
              <w:left w:val="single" w:color="auto" w:sz="2" w:space="0"/>
              <w:bottom w:val="single" w:color="auto" w:sz="2" w:space="0"/>
              <w:right w:val="single" w:color="auto" w:sz="2" w:space="0"/>
            </w:tcBorders>
            <w:vAlign w:val="center"/>
          </w:tcPr>
          <w:p w14:paraId="51E04F4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0822EC8">
            <w:pPr>
              <w:spacing w:before="0" w:after="0" w:line="240" w:lineRule="exact"/>
              <w:jc w:val="right"/>
              <w:rPr>
                <w:rFonts w:ascii="宋体" w:hAnsi="宋体" w:eastAsia="宋体" w:cs="宋体"/>
                <w:sz w:val="18"/>
                <w:szCs w:val="18"/>
              </w:rPr>
            </w:pPr>
          </w:p>
        </w:tc>
      </w:tr>
      <w:tr w14:paraId="0504AA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507B02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专项储备</w:t>
            </w:r>
          </w:p>
        </w:tc>
        <w:tc>
          <w:tcPr>
            <w:tcW w:w="3213" w:type="dxa"/>
            <w:tcBorders>
              <w:top w:val="single" w:color="auto" w:sz="2" w:space="0"/>
              <w:left w:val="single" w:color="auto" w:sz="2" w:space="0"/>
              <w:bottom w:val="single" w:color="auto" w:sz="2" w:space="0"/>
              <w:right w:val="single" w:color="auto" w:sz="2" w:space="0"/>
            </w:tcBorders>
            <w:vAlign w:val="center"/>
          </w:tcPr>
          <w:p w14:paraId="2388B35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D3D34B2">
            <w:pPr>
              <w:spacing w:before="0" w:after="0" w:line="240" w:lineRule="exact"/>
              <w:jc w:val="right"/>
              <w:rPr>
                <w:rFonts w:ascii="宋体" w:hAnsi="宋体" w:eastAsia="宋体" w:cs="宋体"/>
                <w:sz w:val="18"/>
                <w:szCs w:val="18"/>
              </w:rPr>
            </w:pPr>
          </w:p>
        </w:tc>
      </w:tr>
      <w:tr w14:paraId="6DBFC8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B379E3E">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盈余公积</w:t>
            </w:r>
          </w:p>
        </w:tc>
        <w:tc>
          <w:tcPr>
            <w:tcW w:w="3213" w:type="dxa"/>
            <w:tcBorders>
              <w:top w:val="single" w:color="auto" w:sz="2" w:space="0"/>
              <w:left w:val="single" w:color="auto" w:sz="2" w:space="0"/>
              <w:bottom w:val="single" w:color="auto" w:sz="2" w:space="0"/>
              <w:right w:val="single" w:color="auto" w:sz="2" w:space="0"/>
            </w:tcBorders>
            <w:vAlign w:val="center"/>
          </w:tcPr>
          <w:p w14:paraId="524C0836">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3213" w:type="dxa"/>
            <w:tcBorders>
              <w:top w:val="single" w:color="auto" w:sz="2" w:space="0"/>
              <w:left w:val="single" w:color="auto" w:sz="2" w:space="0"/>
              <w:bottom w:val="single" w:color="auto" w:sz="2" w:space="0"/>
              <w:right w:val="single" w:color="auto" w:sz="2" w:space="0"/>
            </w:tcBorders>
            <w:vAlign w:val="center"/>
          </w:tcPr>
          <w:p w14:paraId="06E34491">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r>
      <w:tr w14:paraId="568163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EF4821B">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一般风险准备</w:t>
            </w:r>
          </w:p>
        </w:tc>
        <w:tc>
          <w:tcPr>
            <w:tcW w:w="3213" w:type="dxa"/>
            <w:tcBorders>
              <w:top w:val="single" w:color="auto" w:sz="2" w:space="0"/>
              <w:left w:val="single" w:color="auto" w:sz="2" w:space="0"/>
              <w:bottom w:val="single" w:color="auto" w:sz="2" w:space="0"/>
              <w:right w:val="single" w:color="auto" w:sz="2" w:space="0"/>
            </w:tcBorders>
            <w:vAlign w:val="center"/>
          </w:tcPr>
          <w:p w14:paraId="1C0FBB44">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F370A1A">
            <w:pPr>
              <w:spacing w:before="0" w:after="0" w:line="240" w:lineRule="exact"/>
              <w:jc w:val="right"/>
              <w:rPr>
                <w:rFonts w:ascii="宋体" w:hAnsi="宋体" w:eastAsia="宋体" w:cs="宋体"/>
                <w:sz w:val="18"/>
                <w:szCs w:val="18"/>
              </w:rPr>
            </w:pPr>
          </w:p>
        </w:tc>
      </w:tr>
      <w:tr w14:paraId="18D7BE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CE3B85E">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未分配利润</w:t>
            </w:r>
          </w:p>
        </w:tc>
        <w:tc>
          <w:tcPr>
            <w:tcW w:w="3213" w:type="dxa"/>
            <w:tcBorders>
              <w:top w:val="single" w:color="auto" w:sz="2" w:space="0"/>
              <w:left w:val="single" w:color="auto" w:sz="2" w:space="0"/>
              <w:bottom w:val="single" w:color="auto" w:sz="2" w:space="0"/>
              <w:right w:val="single" w:color="auto" w:sz="2" w:space="0"/>
            </w:tcBorders>
            <w:vAlign w:val="center"/>
          </w:tcPr>
          <w:p w14:paraId="3E01D97C">
            <w:pPr>
              <w:spacing w:before="0" w:after="0" w:line="240" w:lineRule="exact"/>
              <w:jc w:val="right"/>
              <w:rPr>
                <w:rFonts w:ascii="宋体" w:hAnsi="宋体" w:eastAsia="宋体" w:cs="宋体"/>
                <w:sz w:val="18"/>
                <w:szCs w:val="18"/>
              </w:rPr>
            </w:pPr>
            <w:r>
              <w:rPr>
                <w:rFonts w:ascii="宋体" w:hAnsi="宋体" w:eastAsia="宋体" w:cs="宋体"/>
                <w:sz w:val="18"/>
                <w:szCs w:val="18"/>
              </w:rPr>
              <w:t>-451,407,904.07</w:t>
            </w:r>
          </w:p>
        </w:tc>
        <w:tc>
          <w:tcPr>
            <w:tcW w:w="3213" w:type="dxa"/>
            <w:tcBorders>
              <w:top w:val="single" w:color="auto" w:sz="2" w:space="0"/>
              <w:left w:val="single" w:color="auto" w:sz="2" w:space="0"/>
              <w:bottom w:val="single" w:color="auto" w:sz="2" w:space="0"/>
              <w:right w:val="single" w:color="auto" w:sz="2" w:space="0"/>
            </w:tcBorders>
            <w:vAlign w:val="center"/>
          </w:tcPr>
          <w:p w14:paraId="21607FB7">
            <w:pPr>
              <w:spacing w:before="0" w:after="0" w:line="240" w:lineRule="exact"/>
              <w:jc w:val="right"/>
              <w:rPr>
                <w:rFonts w:ascii="宋体" w:hAnsi="宋体" w:eastAsia="宋体" w:cs="宋体"/>
                <w:sz w:val="18"/>
                <w:szCs w:val="18"/>
              </w:rPr>
            </w:pPr>
            <w:r>
              <w:rPr>
                <w:rFonts w:ascii="宋体" w:hAnsi="宋体" w:eastAsia="宋体" w:cs="宋体"/>
                <w:sz w:val="18"/>
                <w:szCs w:val="18"/>
              </w:rPr>
              <w:t>-295,103,547.33</w:t>
            </w:r>
          </w:p>
        </w:tc>
      </w:tr>
      <w:tr w14:paraId="4585D6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D5FB728">
            <w:pPr>
              <w:spacing w:before="0" w:after="0" w:line="240" w:lineRule="exact"/>
              <w:jc w:val="left"/>
              <w:rPr>
                <w:rFonts w:ascii="宋体" w:hAnsi="宋体" w:eastAsia="宋体" w:cs="宋体"/>
                <w:sz w:val="18"/>
                <w:szCs w:val="18"/>
              </w:rPr>
            </w:pPr>
            <w:r>
              <w:rPr>
                <w:rFonts w:ascii="宋体" w:hAnsi="宋体" w:eastAsia="宋体" w:cs="宋体"/>
                <w:sz w:val="18"/>
                <w:szCs w:val="18"/>
              </w:rPr>
              <w:t>归属于母公司所有者权益合计</w:t>
            </w:r>
          </w:p>
        </w:tc>
        <w:tc>
          <w:tcPr>
            <w:tcW w:w="3213" w:type="dxa"/>
            <w:tcBorders>
              <w:top w:val="single" w:color="auto" w:sz="2" w:space="0"/>
              <w:left w:val="single" w:color="auto" w:sz="2" w:space="0"/>
              <w:bottom w:val="single" w:color="auto" w:sz="2" w:space="0"/>
              <w:right w:val="single" w:color="auto" w:sz="2" w:space="0"/>
            </w:tcBorders>
            <w:vAlign w:val="center"/>
          </w:tcPr>
          <w:p w14:paraId="4C9FCB5F">
            <w:pPr>
              <w:spacing w:before="0" w:after="0" w:line="240" w:lineRule="exact"/>
              <w:jc w:val="right"/>
              <w:rPr>
                <w:rFonts w:ascii="宋体" w:hAnsi="宋体" w:eastAsia="宋体" w:cs="宋体"/>
                <w:sz w:val="18"/>
                <w:szCs w:val="18"/>
              </w:rPr>
            </w:pPr>
            <w:r>
              <w:rPr>
                <w:rFonts w:ascii="宋体" w:hAnsi="宋体" w:eastAsia="宋体" w:cs="宋体"/>
                <w:sz w:val="18"/>
                <w:szCs w:val="18"/>
              </w:rPr>
              <w:t>360,178,823.72</w:t>
            </w:r>
          </w:p>
        </w:tc>
        <w:tc>
          <w:tcPr>
            <w:tcW w:w="3213" w:type="dxa"/>
            <w:tcBorders>
              <w:top w:val="single" w:color="auto" w:sz="2" w:space="0"/>
              <w:left w:val="single" w:color="auto" w:sz="2" w:space="0"/>
              <w:bottom w:val="single" w:color="auto" w:sz="2" w:space="0"/>
              <w:right w:val="single" w:color="auto" w:sz="2" w:space="0"/>
            </w:tcBorders>
            <w:vAlign w:val="center"/>
          </w:tcPr>
          <w:p w14:paraId="39AC0C09">
            <w:pPr>
              <w:spacing w:before="0" w:after="0" w:line="240" w:lineRule="exact"/>
              <w:jc w:val="right"/>
              <w:rPr>
                <w:rFonts w:ascii="宋体" w:hAnsi="宋体" w:eastAsia="宋体" w:cs="宋体"/>
                <w:sz w:val="18"/>
                <w:szCs w:val="18"/>
              </w:rPr>
            </w:pPr>
            <w:r>
              <w:rPr>
                <w:rFonts w:ascii="宋体" w:hAnsi="宋体" w:eastAsia="宋体" w:cs="宋体"/>
                <w:sz w:val="18"/>
                <w:szCs w:val="18"/>
              </w:rPr>
              <w:t>516,483,180.46</w:t>
            </w:r>
          </w:p>
        </w:tc>
      </w:tr>
      <w:tr w14:paraId="2AAB7F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682FDD6">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少数股东权益</w:t>
            </w:r>
          </w:p>
        </w:tc>
        <w:tc>
          <w:tcPr>
            <w:tcW w:w="3213" w:type="dxa"/>
            <w:tcBorders>
              <w:top w:val="single" w:color="auto" w:sz="2" w:space="0"/>
              <w:left w:val="single" w:color="auto" w:sz="2" w:space="0"/>
              <w:bottom w:val="single" w:color="auto" w:sz="2" w:space="0"/>
              <w:right w:val="single" w:color="auto" w:sz="2" w:space="0"/>
            </w:tcBorders>
            <w:vAlign w:val="center"/>
          </w:tcPr>
          <w:p w14:paraId="19AB138C">
            <w:pPr>
              <w:spacing w:before="0" w:after="0" w:line="240" w:lineRule="exact"/>
              <w:jc w:val="right"/>
              <w:rPr>
                <w:rFonts w:ascii="宋体" w:hAnsi="宋体" w:eastAsia="宋体" w:cs="宋体"/>
                <w:sz w:val="18"/>
                <w:szCs w:val="18"/>
              </w:rPr>
            </w:pPr>
            <w:r>
              <w:rPr>
                <w:rFonts w:ascii="宋体" w:hAnsi="宋体" w:eastAsia="宋体" w:cs="宋体"/>
                <w:sz w:val="18"/>
                <w:szCs w:val="18"/>
              </w:rPr>
              <w:t>36,599,097.85</w:t>
            </w:r>
          </w:p>
        </w:tc>
        <w:tc>
          <w:tcPr>
            <w:tcW w:w="3213" w:type="dxa"/>
            <w:tcBorders>
              <w:top w:val="single" w:color="auto" w:sz="2" w:space="0"/>
              <w:left w:val="single" w:color="auto" w:sz="2" w:space="0"/>
              <w:bottom w:val="single" w:color="auto" w:sz="2" w:space="0"/>
              <w:right w:val="single" w:color="auto" w:sz="2" w:space="0"/>
            </w:tcBorders>
            <w:vAlign w:val="center"/>
          </w:tcPr>
          <w:p w14:paraId="74E76E76">
            <w:pPr>
              <w:spacing w:before="0" w:after="0" w:line="240" w:lineRule="exact"/>
              <w:jc w:val="right"/>
              <w:rPr>
                <w:rFonts w:ascii="宋体" w:hAnsi="宋体" w:eastAsia="宋体" w:cs="宋体"/>
                <w:sz w:val="18"/>
                <w:szCs w:val="18"/>
              </w:rPr>
            </w:pPr>
            <w:r>
              <w:rPr>
                <w:rFonts w:ascii="宋体" w:hAnsi="宋体" w:eastAsia="宋体" w:cs="宋体"/>
                <w:sz w:val="18"/>
                <w:szCs w:val="18"/>
              </w:rPr>
              <w:t>52,761,779.01</w:t>
            </w:r>
          </w:p>
        </w:tc>
      </w:tr>
      <w:tr w14:paraId="03BFDA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5CF9DC9">
            <w:pPr>
              <w:spacing w:before="0" w:after="0" w:line="240" w:lineRule="exact"/>
              <w:jc w:val="left"/>
              <w:rPr>
                <w:rFonts w:ascii="宋体" w:hAnsi="宋体" w:eastAsia="宋体" w:cs="宋体"/>
                <w:sz w:val="18"/>
                <w:szCs w:val="18"/>
              </w:rPr>
            </w:pPr>
            <w:r>
              <w:rPr>
                <w:rFonts w:ascii="宋体" w:hAnsi="宋体" w:eastAsia="宋体" w:cs="宋体"/>
                <w:sz w:val="18"/>
                <w:szCs w:val="18"/>
              </w:rPr>
              <w:t>所有者权益合计</w:t>
            </w:r>
          </w:p>
        </w:tc>
        <w:tc>
          <w:tcPr>
            <w:tcW w:w="3213" w:type="dxa"/>
            <w:tcBorders>
              <w:top w:val="single" w:color="auto" w:sz="2" w:space="0"/>
              <w:left w:val="single" w:color="auto" w:sz="2" w:space="0"/>
              <w:bottom w:val="single" w:color="auto" w:sz="2" w:space="0"/>
              <w:right w:val="single" w:color="auto" w:sz="2" w:space="0"/>
            </w:tcBorders>
            <w:vAlign w:val="center"/>
          </w:tcPr>
          <w:p w14:paraId="0D4A6406">
            <w:pPr>
              <w:spacing w:before="0" w:after="0" w:line="240" w:lineRule="exact"/>
              <w:jc w:val="right"/>
              <w:rPr>
                <w:rFonts w:ascii="宋体" w:hAnsi="宋体" w:eastAsia="宋体" w:cs="宋体"/>
                <w:sz w:val="18"/>
                <w:szCs w:val="18"/>
              </w:rPr>
            </w:pPr>
            <w:r>
              <w:rPr>
                <w:rFonts w:ascii="宋体" w:hAnsi="宋体" w:eastAsia="宋体" w:cs="宋体"/>
                <w:sz w:val="18"/>
                <w:szCs w:val="18"/>
              </w:rPr>
              <w:t>396,777,921.57</w:t>
            </w:r>
          </w:p>
        </w:tc>
        <w:tc>
          <w:tcPr>
            <w:tcW w:w="3213" w:type="dxa"/>
            <w:tcBorders>
              <w:top w:val="single" w:color="auto" w:sz="2" w:space="0"/>
              <w:left w:val="single" w:color="auto" w:sz="2" w:space="0"/>
              <w:bottom w:val="single" w:color="auto" w:sz="2" w:space="0"/>
              <w:right w:val="single" w:color="auto" w:sz="2" w:space="0"/>
            </w:tcBorders>
            <w:vAlign w:val="center"/>
          </w:tcPr>
          <w:p w14:paraId="5E7BD7C1">
            <w:pPr>
              <w:spacing w:before="0" w:after="0" w:line="240" w:lineRule="exact"/>
              <w:jc w:val="right"/>
              <w:rPr>
                <w:rFonts w:ascii="宋体" w:hAnsi="宋体" w:eastAsia="宋体" w:cs="宋体"/>
                <w:sz w:val="18"/>
                <w:szCs w:val="18"/>
              </w:rPr>
            </w:pPr>
            <w:r>
              <w:rPr>
                <w:rFonts w:ascii="宋体" w:hAnsi="宋体" w:eastAsia="宋体" w:cs="宋体"/>
                <w:sz w:val="18"/>
                <w:szCs w:val="18"/>
              </w:rPr>
              <w:t>569,244,959.47</w:t>
            </w:r>
          </w:p>
        </w:tc>
      </w:tr>
      <w:tr w14:paraId="6E2053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35F3EF2">
            <w:pPr>
              <w:spacing w:before="0" w:after="0" w:line="240" w:lineRule="exact"/>
              <w:jc w:val="left"/>
              <w:rPr>
                <w:rFonts w:ascii="宋体" w:hAnsi="宋体" w:eastAsia="宋体" w:cs="宋体"/>
                <w:sz w:val="18"/>
                <w:szCs w:val="18"/>
              </w:rPr>
            </w:pPr>
            <w:r>
              <w:rPr>
                <w:rFonts w:ascii="宋体" w:hAnsi="宋体" w:eastAsia="宋体" w:cs="宋体"/>
                <w:sz w:val="18"/>
                <w:szCs w:val="18"/>
              </w:rPr>
              <w:t>负债和所有者权益总计</w:t>
            </w:r>
          </w:p>
        </w:tc>
        <w:tc>
          <w:tcPr>
            <w:tcW w:w="3213" w:type="dxa"/>
            <w:tcBorders>
              <w:top w:val="single" w:color="auto" w:sz="2" w:space="0"/>
              <w:left w:val="single" w:color="auto" w:sz="2" w:space="0"/>
              <w:bottom w:val="single" w:color="auto" w:sz="2" w:space="0"/>
              <w:right w:val="single" w:color="auto" w:sz="2" w:space="0"/>
            </w:tcBorders>
            <w:vAlign w:val="center"/>
          </w:tcPr>
          <w:p w14:paraId="5821E88A">
            <w:pPr>
              <w:spacing w:before="0" w:after="0" w:line="240" w:lineRule="exact"/>
              <w:jc w:val="right"/>
              <w:rPr>
                <w:rFonts w:ascii="宋体" w:hAnsi="宋体" w:eastAsia="宋体" w:cs="宋体"/>
                <w:sz w:val="18"/>
                <w:szCs w:val="18"/>
              </w:rPr>
            </w:pPr>
            <w:r>
              <w:rPr>
                <w:rFonts w:ascii="宋体" w:hAnsi="宋体" w:eastAsia="宋体" w:cs="宋体"/>
                <w:sz w:val="18"/>
                <w:szCs w:val="18"/>
              </w:rPr>
              <w:t>1,438,807,956.07</w:t>
            </w:r>
          </w:p>
        </w:tc>
        <w:tc>
          <w:tcPr>
            <w:tcW w:w="3213" w:type="dxa"/>
            <w:tcBorders>
              <w:top w:val="single" w:color="auto" w:sz="2" w:space="0"/>
              <w:left w:val="single" w:color="auto" w:sz="2" w:space="0"/>
              <w:bottom w:val="single" w:color="auto" w:sz="2" w:space="0"/>
              <w:right w:val="single" w:color="auto" w:sz="2" w:space="0"/>
            </w:tcBorders>
            <w:vAlign w:val="center"/>
          </w:tcPr>
          <w:p w14:paraId="2855968C">
            <w:pPr>
              <w:spacing w:before="0" w:after="0" w:line="240" w:lineRule="exact"/>
              <w:jc w:val="right"/>
              <w:rPr>
                <w:rFonts w:ascii="宋体" w:hAnsi="宋体" w:eastAsia="宋体" w:cs="宋体"/>
                <w:sz w:val="18"/>
                <w:szCs w:val="18"/>
              </w:rPr>
            </w:pPr>
            <w:r>
              <w:rPr>
                <w:rFonts w:ascii="宋体" w:hAnsi="宋体" w:eastAsia="宋体" w:cs="宋体"/>
                <w:sz w:val="18"/>
                <w:szCs w:val="18"/>
              </w:rPr>
              <w:t>1,614,481,833.09</w:t>
            </w:r>
          </w:p>
        </w:tc>
      </w:tr>
    </w:tbl>
    <w:p w14:paraId="53663464">
      <w:pPr>
        <w:spacing w:before="0" w:after="0" w:line="240" w:lineRule="exact"/>
        <w:jc w:val="left"/>
        <w:rPr>
          <w:rFonts w:ascii="宋体" w:hAnsi="宋体" w:eastAsia="宋体" w:cs="宋体"/>
          <w:sz w:val="18"/>
          <w:szCs w:val="18"/>
        </w:rPr>
      </w:pPr>
      <w:r>
        <w:rPr>
          <w:rFonts w:ascii="宋体" w:hAnsi="宋体" w:eastAsia="宋体" w:cs="宋体"/>
          <w:sz w:val="18"/>
          <w:szCs w:val="18"/>
        </w:rPr>
        <w:t>法定代表人：李国平    主管会计工作负责人：官建辉      会计机构负责人：林艳虹</w:t>
      </w:r>
    </w:p>
    <w:p w14:paraId="7E909DBD">
      <w:pPr>
        <w:keepNext/>
        <w:keepLines/>
        <w:spacing w:before="300" w:after="300" w:line="320" w:lineRule="exact"/>
        <w:jc w:val="left"/>
        <w:outlineLvl w:val="2"/>
        <w:rPr>
          <w:rFonts w:ascii="宋体" w:hAnsi="宋体" w:eastAsia="宋体" w:cs="宋体"/>
          <w:b/>
          <w:bCs/>
          <w:sz w:val="24"/>
          <w:szCs w:val="24"/>
        </w:rPr>
      </w:pPr>
      <w:bookmarkStart w:id="154" w:name="_Toc989041"/>
      <w:r>
        <w:rPr>
          <w:rFonts w:ascii="宋体" w:hAnsi="宋体" w:eastAsia="宋体" w:cs="宋体"/>
          <w:b/>
          <w:bCs/>
          <w:sz w:val="24"/>
          <w:szCs w:val="24"/>
        </w:rPr>
        <w:t>2、母公司资产负债表</w:t>
      </w:r>
      <w:bookmarkEnd w:id="154"/>
    </w:p>
    <w:p w14:paraId="17FA3E0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E545B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22C138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966C738">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553EB80">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F5AFD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F5C1A87">
            <w:pPr>
              <w:spacing w:before="40" w:after="40" w:line="240" w:lineRule="exact"/>
              <w:jc w:val="left"/>
              <w:rPr>
                <w:rFonts w:ascii="宋体" w:hAnsi="宋体" w:eastAsia="宋体" w:cs="宋体"/>
                <w:sz w:val="18"/>
                <w:szCs w:val="18"/>
              </w:rPr>
            </w:pPr>
            <w:r>
              <w:rPr>
                <w:rFonts w:ascii="宋体" w:hAnsi="宋体" w:eastAsia="宋体" w:cs="宋体"/>
                <w:sz w:val="18"/>
                <w:szCs w:val="18"/>
              </w:rPr>
              <w:t>流动资产：</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3CEB09B"/>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3814542"/>
        </w:tc>
      </w:tr>
      <w:tr w14:paraId="4AA742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DE8AEA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货币资金</w:t>
            </w:r>
          </w:p>
        </w:tc>
        <w:tc>
          <w:tcPr>
            <w:tcW w:w="3213" w:type="dxa"/>
            <w:tcBorders>
              <w:top w:val="single" w:color="auto" w:sz="2" w:space="0"/>
              <w:left w:val="single" w:color="auto" w:sz="2" w:space="0"/>
              <w:bottom w:val="single" w:color="auto" w:sz="2" w:space="0"/>
              <w:right w:val="single" w:color="auto" w:sz="2" w:space="0"/>
            </w:tcBorders>
            <w:vAlign w:val="center"/>
          </w:tcPr>
          <w:p w14:paraId="1F689ACC">
            <w:pPr>
              <w:spacing w:before="0" w:after="0" w:line="240" w:lineRule="exact"/>
              <w:jc w:val="right"/>
              <w:rPr>
                <w:rFonts w:ascii="宋体" w:hAnsi="宋体" w:eastAsia="宋体" w:cs="宋体"/>
                <w:sz w:val="18"/>
                <w:szCs w:val="18"/>
              </w:rPr>
            </w:pPr>
            <w:r>
              <w:rPr>
                <w:rFonts w:ascii="宋体" w:hAnsi="宋体" w:eastAsia="宋体" w:cs="宋体"/>
                <w:sz w:val="18"/>
                <w:szCs w:val="18"/>
              </w:rPr>
              <w:t>95,887,610.78</w:t>
            </w:r>
          </w:p>
        </w:tc>
        <w:tc>
          <w:tcPr>
            <w:tcW w:w="3213" w:type="dxa"/>
            <w:tcBorders>
              <w:top w:val="single" w:color="auto" w:sz="2" w:space="0"/>
              <w:left w:val="single" w:color="auto" w:sz="2" w:space="0"/>
              <w:bottom w:val="single" w:color="auto" w:sz="2" w:space="0"/>
              <w:right w:val="single" w:color="auto" w:sz="2" w:space="0"/>
            </w:tcBorders>
            <w:vAlign w:val="center"/>
          </w:tcPr>
          <w:p w14:paraId="094B2FC9">
            <w:pPr>
              <w:spacing w:before="0" w:after="0" w:line="240" w:lineRule="exact"/>
              <w:jc w:val="right"/>
              <w:rPr>
                <w:rFonts w:ascii="宋体" w:hAnsi="宋体" w:eastAsia="宋体" w:cs="宋体"/>
                <w:sz w:val="18"/>
                <w:szCs w:val="18"/>
              </w:rPr>
            </w:pPr>
            <w:r>
              <w:rPr>
                <w:rFonts w:ascii="宋体" w:hAnsi="宋体" w:eastAsia="宋体" w:cs="宋体"/>
                <w:sz w:val="18"/>
                <w:szCs w:val="18"/>
              </w:rPr>
              <w:t>133,909,808.33</w:t>
            </w:r>
          </w:p>
        </w:tc>
      </w:tr>
      <w:tr w14:paraId="6CCD36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C1FF5F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交易性金融资产</w:t>
            </w:r>
          </w:p>
        </w:tc>
        <w:tc>
          <w:tcPr>
            <w:tcW w:w="3213" w:type="dxa"/>
            <w:tcBorders>
              <w:top w:val="single" w:color="auto" w:sz="2" w:space="0"/>
              <w:left w:val="single" w:color="auto" w:sz="2" w:space="0"/>
              <w:bottom w:val="single" w:color="auto" w:sz="2" w:space="0"/>
              <w:right w:val="single" w:color="auto" w:sz="2" w:space="0"/>
            </w:tcBorders>
            <w:vAlign w:val="center"/>
          </w:tcPr>
          <w:p w14:paraId="686538C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E42A2AA">
            <w:pPr>
              <w:spacing w:before="0" w:after="0" w:line="240" w:lineRule="exact"/>
              <w:jc w:val="right"/>
              <w:rPr>
                <w:rFonts w:ascii="宋体" w:hAnsi="宋体" w:eastAsia="宋体" w:cs="宋体"/>
                <w:sz w:val="18"/>
                <w:szCs w:val="18"/>
              </w:rPr>
            </w:pPr>
          </w:p>
        </w:tc>
      </w:tr>
      <w:tr w14:paraId="06CAB0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7EB791A">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衍生金融资产</w:t>
            </w:r>
          </w:p>
        </w:tc>
        <w:tc>
          <w:tcPr>
            <w:tcW w:w="3213" w:type="dxa"/>
            <w:tcBorders>
              <w:top w:val="single" w:color="auto" w:sz="2" w:space="0"/>
              <w:left w:val="single" w:color="auto" w:sz="2" w:space="0"/>
              <w:bottom w:val="single" w:color="auto" w:sz="2" w:space="0"/>
              <w:right w:val="single" w:color="auto" w:sz="2" w:space="0"/>
            </w:tcBorders>
            <w:vAlign w:val="center"/>
          </w:tcPr>
          <w:p w14:paraId="3164AB9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C6028F0">
            <w:pPr>
              <w:spacing w:before="0" w:after="0" w:line="240" w:lineRule="exact"/>
              <w:jc w:val="right"/>
              <w:rPr>
                <w:rFonts w:ascii="宋体" w:hAnsi="宋体" w:eastAsia="宋体" w:cs="宋体"/>
                <w:sz w:val="18"/>
                <w:szCs w:val="18"/>
              </w:rPr>
            </w:pPr>
          </w:p>
        </w:tc>
      </w:tr>
      <w:tr w14:paraId="4E2183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169728B">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应收票据</w:t>
            </w:r>
          </w:p>
        </w:tc>
        <w:tc>
          <w:tcPr>
            <w:tcW w:w="3213" w:type="dxa"/>
            <w:tcBorders>
              <w:top w:val="single" w:color="auto" w:sz="2" w:space="0"/>
              <w:left w:val="single" w:color="auto" w:sz="2" w:space="0"/>
              <w:bottom w:val="single" w:color="auto" w:sz="2" w:space="0"/>
              <w:right w:val="single" w:color="auto" w:sz="2" w:space="0"/>
            </w:tcBorders>
            <w:vAlign w:val="center"/>
          </w:tcPr>
          <w:p w14:paraId="4E5E5EF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CDD3C74">
            <w:pPr>
              <w:spacing w:before="0" w:after="0" w:line="240" w:lineRule="exact"/>
              <w:jc w:val="right"/>
              <w:rPr>
                <w:rFonts w:ascii="宋体" w:hAnsi="宋体" w:eastAsia="宋体" w:cs="宋体"/>
                <w:sz w:val="18"/>
                <w:szCs w:val="18"/>
              </w:rPr>
            </w:pPr>
          </w:p>
        </w:tc>
      </w:tr>
      <w:tr w14:paraId="18FD6E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251EC7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应收账款</w:t>
            </w:r>
          </w:p>
        </w:tc>
        <w:tc>
          <w:tcPr>
            <w:tcW w:w="3213" w:type="dxa"/>
            <w:tcBorders>
              <w:top w:val="single" w:color="auto" w:sz="2" w:space="0"/>
              <w:left w:val="single" w:color="auto" w:sz="2" w:space="0"/>
              <w:bottom w:val="single" w:color="auto" w:sz="2" w:space="0"/>
              <w:right w:val="single" w:color="auto" w:sz="2" w:space="0"/>
            </w:tcBorders>
            <w:vAlign w:val="center"/>
          </w:tcPr>
          <w:p w14:paraId="68445FA6">
            <w:pPr>
              <w:spacing w:before="0" w:after="0" w:line="240" w:lineRule="exact"/>
              <w:jc w:val="right"/>
              <w:rPr>
                <w:rFonts w:ascii="宋体" w:hAnsi="宋体" w:eastAsia="宋体" w:cs="宋体"/>
                <w:sz w:val="18"/>
                <w:szCs w:val="18"/>
              </w:rPr>
            </w:pPr>
            <w:r>
              <w:rPr>
                <w:rFonts w:ascii="宋体" w:hAnsi="宋体" w:eastAsia="宋体" w:cs="宋体"/>
                <w:sz w:val="18"/>
                <w:szCs w:val="18"/>
              </w:rPr>
              <w:t>86,455,524.67</w:t>
            </w:r>
          </w:p>
        </w:tc>
        <w:tc>
          <w:tcPr>
            <w:tcW w:w="3213" w:type="dxa"/>
            <w:tcBorders>
              <w:top w:val="single" w:color="auto" w:sz="2" w:space="0"/>
              <w:left w:val="single" w:color="auto" w:sz="2" w:space="0"/>
              <w:bottom w:val="single" w:color="auto" w:sz="2" w:space="0"/>
              <w:right w:val="single" w:color="auto" w:sz="2" w:space="0"/>
            </w:tcBorders>
            <w:vAlign w:val="center"/>
          </w:tcPr>
          <w:p w14:paraId="1D7EE7D4">
            <w:pPr>
              <w:spacing w:before="0" w:after="0" w:line="240" w:lineRule="exact"/>
              <w:jc w:val="right"/>
              <w:rPr>
                <w:rFonts w:ascii="宋体" w:hAnsi="宋体" w:eastAsia="宋体" w:cs="宋体"/>
                <w:sz w:val="18"/>
                <w:szCs w:val="18"/>
              </w:rPr>
            </w:pPr>
            <w:r>
              <w:rPr>
                <w:rFonts w:ascii="宋体" w:hAnsi="宋体" w:eastAsia="宋体" w:cs="宋体"/>
                <w:sz w:val="18"/>
                <w:szCs w:val="18"/>
              </w:rPr>
              <w:t>20,981,404.34</w:t>
            </w:r>
          </w:p>
        </w:tc>
      </w:tr>
      <w:tr w14:paraId="37F7C0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54FBB6">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应收款项融资</w:t>
            </w:r>
          </w:p>
        </w:tc>
        <w:tc>
          <w:tcPr>
            <w:tcW w:w="3213" w:type="dxa"/>
            <w:tcBorders>
              <w:top w:val="single" w:color="auto" w:sz="2" w:space="0"/>
              <w:left w:val="single" w:color="auto" w:sz="2" w:space="0"/>
              <w:bottom w:val="single" w:color="auto" w:sz="2" w:space="0"/>
              <w:right w:val="single" w:color="auto" w:sz="2" w:space="0"/>
            </w:tcBorders>
            <w:vAlign w:val="center"/>
          </w:tcPr>
          <w:p w14:paraId="5CFDC020">
            <w:pPr>
              <w:spacing w:before="0" w:after="0" w:line="240" w:lineRule="exact"/>
              <w:jc w:val="right"/>
              <w:rPr>
                <w:rFonts w:ascii="宋体" w:hAnsi="宋体" w:eastAsia="宋体" w:cs="宋体"/>
                <w:sz w:val="18"/>
                <w:szCs w:val="18"/>
              </w:rPr>
            </w:pPr>
            <w:r>
              <w:rPr>
                <w:rFonts w:ascii="宋体" w:hAnsi="宋体" w:eastAsia="宋体" w:cs="宋体"/>
                <w:sz w:val="18"/>
                <w:szCs w:val="18"/>
              </w:rPr>
              <w:t>2,083,488.00</w:t>
            </w:r>
          </w:p>
        </w:tc>
        <w:tc>
          <w:tcPr>
            <w:tcW w:w="3213" w:type="dxa"/>
            <w:tcBorders>
              <w:top w:val="single" w:color="auto" w:sz="2" w:space="0"/>
              <w:left w:val="single" w:color="auto" w:sz="2" w:space="0"/>
              <w:bottom w:val="single" w:color="auto" w:sz="2" w:space="0"/>
              <w:right w:val="single" w:color="auto" w:sz="2" w:space="0"/>
            </w:tcBorders>
            <w:vAlign w:val="center"/>
          </w:tcPr>
          <w:p w14:paraId="261EA8F2">
            <w:pPr>
              <w:spacing w:before="0" w:after="0" w:line="240" w:lineRule="exact"/>
              <w:jc w:val="right"/>
              <w:rPr>
                <w:rFonts w:ascii="宋体" w:hAnsi="宋体" w:eastAsia="宋体" w:cs="宋体"/>
                <w:sz w:val="18"/>
                <w:szCs w:val="18"/>
              </w:rPr>
            </w:pPr>
            <w:r>
              <w:rPr>
                <w:rFonts w:ascii="宋体" w:hAnsi="宋体" w:eastAsia="宋体" w:cs="宋体"/>
                <w:sz w:val="18"/>
                <w:szCs w:val="18"/>
              </w:rPr>
              <w:t>2,199,768.30</w:t>
            </w:r>
          </w:p>
        </w:tc>
      </w:tr>
      <w:tr w14:paraId="6EE4BC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FD8AC5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预付款项</w:t>
            </w:r>
          </w:p>
        </w:tc>
        <w:tc>
          <w:tcPr>
            <w:tcW w:w="3213" w:type="dxa"/>
            <w:tcBorders>
              <w:top w:val="single" w:color="auto" w:sz="2" w:space="0"/>
              <w:left w:val="single" w:color="auto" w:sz="2" w:space="0"/>
              <w:bottom w:val="single" w:color="auto" w:sz="2" w:space="0"/>
              <w:right w:val="single" w:color="auto" w:sz="2" w:space="0"/>
            </w:tcBorders>
            <w:vAlign w:val="center"/>
          </w:tcPr>
          <w:p w14:paraId="3234FA2A">
            <w:pPr>
              <w:spacing w:before="0" w:after="0" w:line="240" w:lineRule="exact"/>
              <w:jc w:val="right"/>
              <w:rPr>
                <w:rFonts w:ascii="宋体" w:hAnsi="宋体" w:eastAsia="宋体" w:cs="宋体"/>
                <w:sz w:val="18"/>
                <w:szCs w:val="18"/>
              </w:rPr>
            </w:pPr>
            <w:r>
              <w:rPr>
                <w:rFonts w:ascii="宋体" w:hAnsi="宋体" w:eastAsia="宋体" w:cs="宋体"/>
                <w:sz w:val="18"/>
                <w:szCs w:val="18"/>
              </w:rPr>
              <w:t>27,100,129.36</w:t>
            </w:r>
          </w:p>
        </w:tc>
        <w:tc>
          <w:tcPr>
            <w:tcW w:w="3213" w:type="dxa"/>
            <w:tcBorders>
              <w:top w:val="single" w:color="auto" w:sz="2" w:space="0"/>
              <w:left w:val="single" w:color="auto" w:sz="2" w:space="0"/>
              <w:bottom w:val="single" w:color="auto" w:sz="2" w:space="0"/>
              <w:right w:val="single" w:color="auto" w:sz="2" w:space="0"/>
            </w:tcBorders>
            <w:vAlign w:val="center"/>
          </w:tcPr>
          <w:p w14:paraId="583FD813">
            <w:pPr>
              <w:spacing w:before="0" w:after="0" w:line="240" w:lineRule="exact"/>
              <w:jc w:val="right"/>
              <w:rPr>
                <w:rFonts w:ascii="宋体" w:hAnsi="宋体" w:eastAsia="宋体" w:cs="宋体"/>
                <w:sz w:val="18"/>
                <w:szCs w:val="18"/>
              </w:rPr>
            </w:pPr>
            <w:r>
              <w:rPr>
                <w:rFonts w:ascii="宋体" w:hAnsi="宋体" w:eastAsia="宋体" w:cs="宋体"/>
                <w:sz w:val="18"/>
                <w:szCs w:val="18"/>
              </w:rPr>
              <w:t>14,635,380.32</w:t>
            </w:r>
          </w:p>
        </w:tc>
      </w:tr>
      <w:tr w14:paraId="3F46CB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F437B2A">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其他应收款</w:t>
            </w:r>
          </w:p>
        </w:tc>
        <w:tc>
          <w:tcPr>
            <w:tcW w:w="3213" w:type="dxa"/>
            <w:tcBorders>
              <w:top w:val="single" w:color="auto" w:sz="2" w:space="0"/>
              <w:left w:val="single" w:color="auto" w:sz="2" w:space="0"/>
              <w:bottom w:val="single" w:color="auto" w:sz="2" w:space="0"/>
              <w:right w:val="single" w:color="auto" w:sz="2" w:space="0"/>
            </w:tcBorders>
            <w:vAlign w:val="center"/>
          </w:tcPr>
          <w:p w14:paraId="519FB64C">
            <w:pPr>
              <w:spacing w:before="0" w:after="0" w:line="240" w:lineRule="exact"/>
              <w:jc w:val="right"/>
              <w:rPr>
                <w:rFonts w:ascii="宋体" w:hAnsi="宋体" w:eastAsia="宋体" w:cs="宋体"/>
                <w:sz w:val="18"/>
                <w:szCs w:val="18"/>
              </w:rPr>
            </w:pPr>
            <w:r>
              <w:rPr>
                <w:rFonts w:ascii="宋体" w:hAnsi="宋体" w:eastAsia="宋体" w:cs="宋体"/>
                <w:sz w:val="18"/>
                <w:szCs w:val="18"/>
              </w:rPr>
              <w:t>41,993,004.66</w:t>
            </w:r>
          </w:p>
        </w:tc>
        <w:tc>
          <w:tcPr>
            <w:tcW w:w="3213" w:type="dxa"/>
            <w:tcBorders>
              <w:top w:val="single" w:color="auto" w:sz="2" w:space="0"/>
              <w:left w:val="single" w:color="auto" w:sz="2" w:space="0"/>
              <w:bottom w:val="single" w:color="auto" w:sz="2" w:space="0"/>
              <w:right w:val="single" w:color="auto" w:sz="2" w:space="0"/>
            </w:tcBorders>
            <w:vAlign w:val="center"/>
          </w:tcPr>
          <w:p w14:paraId="43B10BC2">
            <w:pPr>
              <w:spacing w:before="0" w:after="0" w:line="240" w:lineRule="exact"/>
              <w:jc w:val="right"/>
              <w:rPr>
                <w:rFonts w:ascii="宋体" w:hAnsi="宋体" w:eastAsia="宋体" w:cs="宋体"/>
                <w:sz w:val="18"/>
                <w:szCs w:val="18"/>
              </w:rPr>
            </w:pPr>
            <w:r>
              <w:rPr>
                <w:rFonts w:ascii="宋体" w:hAnsi="宋体" w:eastAsia="宋体" w:cs="宋体"/>
                <w:sz w:val="18"/>
                <w:szCs w:val="18"/>
              </w:rPr>
              <w:t>48,005,123.53</w:t>
            </w:r>
          </w:p>
        </w:tc>
      </w:tr>
      <w:tr w14:paraId="18DFCE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21DCBCE">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其中：应收利息</w:t>
            </w:r>
          </w:p>
        </w:tc>
        <w:tc>
          <w:tcPr>
            <w:tcW w:w="3213" w:type="dxa"/>
            <w:tcBorders>
              <w:top w:val="single" w:color="auto" w:sz="2" w:space="0"/>
              <w:left w:val="single" w:color="auto" w:sz="2" w:space="0"/>
              <w:bottom w:val="single" w:color="auto" w:sz="2" w:space="0"/>
              <w:right w:val="single" w:color="auto" w:sz="2" w:space="0"/>
            </w:tcBorders>
            <w:vAlign w:val="center"/>
          </w:tcPr>
          <w:p w14:paraId="5A4A306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5FB7D53">
            <w:pPr>
              <w:spacing w:before="0" w:after="0" w:line="240" w:lineRule="exact"/>
              <w:jc w:val="right"/>
              <w:rPr>
                <w:rFonts w:ascii="宋体" w:hAnsi="宋体" w:eastAsia="宋体" w:cs="宋体"/>
                <w:sz w:val="18"/>
                <w:szCs w:val="18"/>
              </w:rPr>
            </w:pPr>
          </w:p>
        </w:tc>
      </w:tr>
      <w:tr w14:paraId="66825D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B0AC2E">
            <w:pPr>
              <w:spacing w:before="40" w:after="40" w:line="240" w:lineRule="exact"/>
              <w:ind w:firstLine="900" w:firstLineChars="500"/>
              <w:jc w:val="left"/>
              <w:rPr>
                <w:rFonts w:ascii="宋体" w:hAnsi="宋体" w:eastAsia="宋体" w:cs="宋体"/>
                <w:sz w:val="18"/>
                <w:szCs w:val="18"/>
              </w:rPr>
            </w:pPr>
            <w:r>
              <w:rPr>
                <w:rFonts w:ascii="宋体" w:hAnsi="宋体" w:eastAsia="宋体" w:cs="宋体"/>
                <w:sz w:val="18"/>
                <w:szCs w:val="18"/>
              </w:rPr>
              <w:t>应收股利</w:t>
            </w:r>
          </w:p>
        </w:tc>
        <w:tc>
          <w:tcPr>
            <w:tcW w:w="3213" w:type="dxa"/>
            <w:tcBorders>
              <w:top w:val="single" w:color="auto" w:sz="2" w:space="0"/>
              <w:left w:val="single" w:color="auto" w:sz="2" w:space="0"/>
              <w:bottom w:val="single" w:color="auto" w:sz="2" w:space="0"/>
              <w:right w:val="single" w:color="auto" w:sz="2" w:space="0"/>
            </w:tcBorders>
            <w:vAlign w:val="center"/>
          </w:tcPr>
          <w:p w14:paraId="7F222EC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36CC0F7">
            <w:pPr>
              <w:spacing w:before="0" w:after="0" w:line="240" w:lineRule="exact"/>
              <w:jc w:val="right"/>
              <w:rPr>
                <w:rFonts w:ascii="宋体" w:hAnsi="宋体" w:eastAsia="宋体" w:cs="宋体"/>
                <w:sz w:val="18"/>
                <w:szCs w:val="18"/>
              </w:rPr>
            </w:pPr>
          </w:p>
        </w:tc>
      </w:tr>
      <w:tr w14:paraId="711C47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B46F81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存货</w:t>
            </w:r>
          </w:p>
        </w:tc>
        <w:tc>
          <w:tcPr>
            <w:tcW w:w="3213" w:type="dxa"/>
            <w:tcBorders>
              <w:top w:val="single" w:color="auto" w:sz="2" w:space="0"/>
              <w:left w:val="single" w:color="auto" w:sz="2" w:space="0"/>
              <w:bottom w:val="single" w:color="auto" w:sz="2" w:space="0"/>
              <w:right w:val="single" w:color="auto" w:sz="2" w:space="0"/>
            </w:tcBorders>
            <w:vAlign w:val="center"/>
          </w:tcPr>
          <w:p w14:paraId="213EFF35">
            <w:pPr>
              <w:spacing w:before="0" w:after="0" w:line="240" w:lineRule="exact"/>
              <w:jc w:val="right"/>
              <w:rPr>
                <w:rFonts w:ascii="宋体" w:hAnsi="宋体" w:eastAsia="宋体" w:cs="宋体"/>
                <w:sz w:val="18"/>
                <w:szCs w:val="18"/>
              </w:rPr>
            </w:pPr>
            <w:r>
              <w:rPr>
                <w:rFonts w:ascii="宋体" w:hAnsi="宋体" w:eastAsia="宋体" w:cs="宋体"/>
                <w:sz w:val="18"/>
                <w:szCs w:val="18"/>
              </w:rPr>
              <w:t>84,575,040.06</w:t>
            </w:r>
          </w:p>
        </w:tc>
        <w:tc>
          <w:tcPr>
            <w:tcW w:w="3213" w:type="dxa"/>
            <w:tcBorders>
              <w:top w:val="single" w:color="auto" w:sz="2" w:space="0"/>
              <w:left w:val="single" w:color="auto" w:sz="2" w:space="0"/>
              <w:bottom w:val="single" w:color="auto" w:sz="2" w:space="0"/>
              <w:right w:val="single" w:color="auto" w:sz="2" w:space="0"/>
            </w:tcBorders>
            <w:vAlign w:val="center"/>
          </w:tcPr>
          <w:p w14:paraId="358B9587">
            <w:pPr>
              <w:spacing w:before="0" w:after="0" w:line="240" w:lineRule="exact"/>
              <w:jc w:val="right"/>
              <w:rPr>
                <w:rFonts w:ascii="宋体" w:hAnsi="宋体" w:eastAsia="宋体" w:cs="宋体"/>
                <w:sz w:val="18"/>
                <w:szCs w:val="18"/>
              </w:rPr>
            </w:pPr>
            <w:r>
              <w:rPr>
                <w:rFonts w:ascii="宋体" w:hAnsi="宋体" w:eastAsia="宋体" w:cs="宋体"/>
                <w:sz w:val="18"/>
                <w:szCs w:val="18"/>
              </w:rPr>
              <w:t>92,383,823.52</w:t>
            </w:r>
          </w:p>
        </w:tc>
      </w:tr>
      <w:tr w14:paraId="226DF4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499D491">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其中：数据资源</w:t>
            </w:r>
          </w:p>
        </w:tc>
        <w:tc>
          <w:tcPr>
            <w:tcW w:w="3213" w:type="dxa"/>
            <w:tcBorders>
              <w:top w:val="single" w:color="auto" w:sz="2" w:space="0"/>
              <w:left w:val="single" w:color="auto" w:sz="2" w:space="0"/>
              <w:bottom w:val="single" w:color="auto" w:sz="2" w:space="0"/>
              <w:right w:val="single" w:color="auto" w:sz="2" w:space="0"/>
            </w:tcBorders>
            <w:vAlign w:val="center"/>
          </w:tcPr>
          <w:p w14:paraId="7467F80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B8D9005">
            <w:pPr>
              <w:spacing w:before="0" w:after="0" w:line="240" w:lineRule="exact"/>
              <w:jc w:val="right"/>
              <w:rPr>
                <w:rFonts w:ascii="宋体" w:hAnsi="宋体" w:eastAsia="宋体" w:cs="宋体"/>
                <w:sz w:val="18"/>
                <w:szCs w:val="18"/>
              </w:rPr>
            </w:pPr>
          </w:p>
        </w:tc>
      </w:tr>
      <w:tr w14:paraId="3D07D1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E8606E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合同资产</w:t>
            </w:r>
          </w:p>
        </w:tc>
        <w:tc>
          <w:tcPr>
            <w:tcW w:w="3213" w:type="dxa"/>
            <w:tcBorders>
              <w:top w:val="single" w:color="auto" w:sz="2" w:space="0"/>
              <w:left w:val="single" w:color="auto" w:sz="2" w:space="0"/>
              <w:bottom w:val="single" w:color="auto" w:sz="2" w:space="0"/>
              <w:right w:val="single" w:color="auto" w:sz="2" w:space="0"/>
            </w:tcBorders>
            <w:vAlign w:val="center"/>
          </w:tcPr>
          <w:p w14:paraId="1BD7E62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BC4AB7B">
            <w:pPr>
              <w:spacing w:before="0" w:after="0" w:line="240" w:lineRule="exact"/>
              <w:jc w:val="right"/>
              <w:rPr>
                <w:rFonts w:ascii="宋体" w:hAnsi="宋体" w:eastAsia="宋体" w:cs="宋体"/>
                <w:sz w:val="18"/>
                <w:szCs w:val="18"/>
              </w:rPr>
            </w:pPr>
          </w:p>
        </w:tc>
      </w:tr>
      <w:tr w14:paraId="711F45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647008B">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持有待售资产</w:t>
            </w:r>
          </w:p>
        </w:tc>
        <w:tc>
          <w:tcPr>
            <w:tcW w:w="3213" w:type="dxa"/>
            <w:tcBorders>
              <w:top w:val="single" w:color="auto" w:sz="2" w:space="0"/>
              <w:left w:val="single" w:color="auto" w:sz="2" w:space="0"/>
              <w:bottom w:val="single" w:color="auto" w:sz="2" w:space="0"/>
              <w:right w:val="single" w:color="auto" w:sz="2" w:space="0"/>
            </w:tcBorders>
            <w:vAlign w:val="center"/>
          </w:tcPr>
          <w:p w14:paraId="605F72C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CFF3181">
            <w:pPr>
              <w:spacing w:before="0" w:after="0" w:line="240" w:lineRule="exact"/>
              <w:jc w:val="right"/>
              <w:rPr>
                <w:rFonts w:ascii="宋体" w:hAnsi="宋体" w:eastAsia="宋体" w:cs="宋体"/>
                <w:sz w:val="18"/>
                <w:szCs w:val="18"/>
              </w:rPr>
            </w:pPr>
          </w:p>
        </w:tc>
      </w:tr>
      <w:tr w14:paraId="6EB06F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E7959C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一年内到期的非流动资产</w:t>
            </w:r>
          </w:p>
        </w:tc>
        <w:tc>
          <w:tcPr>
            <w:tcW w:w="3213" w:type="dxa"/>
            <w:tcBorders>
              <w:top w:val="single" w:color="auto" w:sz="2" w:space="0"/>
              <w:left w:val="single" w:color="auto" w:sz="2" w:space="0"/>
              <w:bottom w:val="single" w:color="auto" w:sz="2" w:space="0"/>
              <w:right w:val="single" w:color="auto" w:sz="2" w:space="0"/>
            </w:tcBorders>
            <w:vAlign w:val="center"/>
          </w:tcPr>
          <w:p w14:paraId="693BE9DD">
            <w:pPr>
              <w:spacing w:before="0" w:after="0" w:line="240" w:lineRule="exact"/>
              <w:jc w:val="right"/>
              <w:rPr>
                <w:rFonts w:ascii="宋体" w:hAnsi="宋体" w:eastAsia="宋体" w:cs="宋体"/>
                <w:sz w:val="18"/>
                <w:szCs w:val="18"/>
              </w:rPr>
            </w:pPr>
            <w:r>
              <w:rPr>
                <w:rFonts w:ascii="宋体" w:hAnsi="宋体" w:eastAsia="宋体" w:cs="宋体"/>
                <w:sz w:val="18"/>
                <w:szCs w:val="18"/>
              </w:rPr>
              <w:t>128,301.77</w:t>
            </w:r>
          </w:p>
        </w:tc>
        <w:tc>
          <w:tcPr>
            <w:tcW w:w="3213" w:type="dxa"/>
            <w:tcBorders>
              <w:top w:val="single" w:color="auto" w:sz="2" w:space="0"/>
              <w:left w:val="single" w:color="auto" w:sz="2" w:space="0"/>
              <w:bottom w:val="single" w:color="auto" w:sz="2" w:space="0"/>
              <w:right w:val="single" w:color="auto" w:sz="2" w:space="0"/>
            </w:tcBorders>
            <w:vAlign w:val="center"/>
          </w:tcPr>
          <w:p w14:paraId="6D55FAA5">
            <w:pPr>
              <w:spacing w:before="0" w:after="0" w:line="240" w:lineRule="exact"/>
              <w:jc w:val="right"/>
              <w:rPr>
                <w:rFonts w:ascii="宋体" w:hAnsi="宋体" w:eastAsia="宋体" w:cs="宋体"/>
                <w:sz w:val="18"/>
                <w:szCs w:val="18"/>
              </w:rPr>
            </w:pPr>
          </w:p>
        </w:tc>
      </w:tr>
      <w:tr w14:paraId="03C7AC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B900B8C">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其他流动资产</w:t>
            </w:r>
          </w:p>
        </w:tc>
        <w:tc>
          <w:tcPr>
            <w:tcW w:w="3213" w:type="dxa"/>
            <w:tcBorders>
              <w:top w:val="single" w:color="auto" w:sz="2" w:space="0"/>
              <w:left w:val="single" w:color="auto" w:sz="2" w:space="0"/>
              <w:bottom w:val="single" w:color="auto" w:sz="2" w:space="0"/>
              <w:right w:val="single" w:color="auto" w:sz="2" w:space="0"/>
            </w:tcBorders>
            <w:vAlign w:val="center"/>
          </w:tcPr>
          <w:p w14:paraId="5E2CD4A8">
            <w:pPr>
              <w:spacing w:before="0" w:after="0" w:line="240" w:lineRule="exact"/>
              <w:jc w:val="right"/>
              <w:rPr>
                <w:rFonts w:ascii="宋体" w:hAnsi="宋体" w:eastAsia="宋体" w:cs="宋体"/>
                <w:sz w:val="18"/>
                <w:szCs w:val="18"/>
              </w:rPr>
            </w:pPr>
            <w:r>
              <w:rPr>
                <w:rFonts w:ascii="宋体" w:hAnsi="宋体" w:eastAsia="宋体" w:cs="宋体"/>
                <w:sz w:val="18"/>
                <w:szCs w:val="18"/>
              </w:rPr>
              <w:t>25,826,487.97</w:t>
            </w:r>
          </w:p>
        </w:tc>
        <w:tc>
          <w:tcPr>
            <w:tcW w:w="3213" w:type="dxa"/>
            <w:tcBorders>
              <w:top w:val="single" w:color="auto" w:sz="2" w:space="0"/>
              <w:left w:val="single" w:color="auto" w:sz="2" w:space="0"/>
              <w:bottom w:val="single" w:color="auto" w:sz="2" w:space="0"/>
              <w:right w:val="single" w:color="auto" w:sz="2" w:space="0"/>
            </w:tcBorders>
            <w:vAlign w:val="center"/>
          </w:tcPr>
          <w:p w14:paraId="531DFA8B">
            <w:pPr>
              <w:spacing w:before="0" w:after="0" w:line="240" w:lineRule="exact"/>
              <w:jc w:val="right"/>
              <w:rPr>
                <w:rFonts w:ascii="宋体" w:hAnsi="宋体" w:eastAsia="宋体" w:cs="宋体"/>
                <w:sz w:val="18"/>
                <w:szCs w:val="18"/>
              </w:rPr>
            </w:pPr>
            <w:r>
              <w:rPr>
                <w:rFonts w:ascii="宋体" w:hAnsi="宋体" w:eastAsia="宋体" w:cs="宋体"/>
                <w:sz w:val="18"/>
                <w:szCs w:val="18"/>
              </w:rPr>
              <w:t>20,575,623.20</w:t>
            </w:r>
          </w:p>
        </w:tc>
      </w:tr>
      <w:tr w14:paraId="473EBA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E2C94E2">
            <w:pPr>
              <w:spacing w:before="40" w:after="40" w:line="240" w:lineRule="exact"/>
              <w:jc w:val="left"/>
              <w:rPr>
                <w:rFonts w:ascii="宋体" w:hAnsi="宋体" w:eastAsia="宋体" w:cs="宋体"/>
                <w:sz w:val="18"/>
                <w:szCs w:val="18"/>
              </w:rPr>
            </w:pPr>
            <w:r>
              <w:rPr>
                <w:rFonts w:ascii="宋体" w:hAnsi="宋体" w:eastAsia="宋体" w:cs="宋体"/>
                <w:sz w:val="18"/>
                <w:szCs w:val="18"/>
              </w:rPr>
              <w:t>流动资产合计</w:t>
            </w:r>
          </w:p>
        </w:tc>
        <w:tc>
          <w:tcPr>
            <w:tcW w:w="3213" w:type="dxa"/>
            <w:tcBorders>
              <w:top w:val="single" w:color="auto" w:sz="2" w:space="0"/>
              <w:left w:val="single" w:color="auto" w:sz="2" w:space="0"/>
              <w:bottom w:val="single" w:color="auto" w:sz="2" w:space="0"/>
              <w:right w:val="single" w:color="auto" w:sz="2" w:space="0"/>
            </w:tcBorders>
            <w:vAlign w:val="center"/>
          </w:tcPr>
          <w:p w14:paraId="3207874F">
            <w:pPr>
              <w:spacing w:before="0" w:after="0" w:line="240" w:lineRule="exact"/>
              <w:jc w:val="right"/>
              <w:rPr>
                <w:rFonts w:ascii="宋体" w:hAnsi="宋体" w:eastAsia="宋体" w:cs="宋体"/>
                <w:sz w:val="18"/>
                <w:szCs w:val="18"/>
              </w:rPr>
            </w:pPr>
            <w:r>
              <w:rPr>
                <w:rFonts w:ascii="宋体" w:hAnsi="宋体" w:eastAsia="宋体" w:cs="宋体"/>
                <w:sz w:val="18"/>
                <w:szCs w:val="18"/>
              </w:rPr>
              <w:t>364,049,587.27</w:t>
            </w:r>
          </w:p>
        </w:tc>
        <w:tc>
          <w:tcPr>
            <w:tcW w:w="3213" w:type="dxa"/>
            <w:tcBorders>
              <w:top w:val="single" w:color="auto" w:sz="2" w:space="0"/>
              <w:left w:val="single" w:color="auto" w:sz="2" w:space="0"/>
              <w:bottom w:val="single" w:color="auto" w:sz="2" w:space="0"/>
              <w:right w:val="single" w:color="auto" w:sz="2" w:space="0"/>
            </w:tcBorders>
            <w:vAlign w:val="center"/>
          </w:tcPr>
          <w:p w14:paraId="63CEAB17">
            <w:pPr>
              <w:spacing w:before="0" w:after="0" w:line="240" w:lineRule="exact"/>
              <w:jc w:val="right"/>
              <w:rPr>
                <w:rFonts w:ascii="宋体" w:hAnsi="宋体" w:eastAsia="宋体" w:cs="宋体"/>
                <w:sz w:val="18"/>
                <w:szCs w:val="18"/>
              </w:rPr>
            </w:pPr>
            <w:r>
              <w:rPr>
                <w:rFonts w:ascii="宋体" w:hAnsi="宋体" w:eastAsia="宋体" w:cs="宋体"/>
                <w:sz w:val="18"/>
                <w:szCs w:val="18"/>
              </w:rPr>
              <w:t>332,690,931.54</w:t>
            </w:r>
          </w:p>
        </w:tc>
      </w:tr>
      <w:tr w14:paraId="1FF756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A22B1DB">
            <w:pPr>
              <w:spacing w:before="40" w:after="40" w:line="240" w:lineRule="exact"/>
              <w:jc w:val="left"/>
              <w:rPr>
                <w:rFonts w:ascii="宋体" w:hAnsi="宋体" w:eastAsia="宋体" w:cs="宋体"/>
                <w:sz w:val="18"/>
                <w:szCs w:val="18"/>
              </w:rPr>
            </w:pPr>
            <w:r>
              <w:rPr>
                <w:rFonts w:ascii="宋体" w:hAnsi="宋体" w:eastAsia="宋体" w:cs="宋体"/>
                <w:sz w:val="18"/>
                <w:szCs w:val="18"/>
              </w:rPr>
              <w:t>非流动资产：</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2AC23DC"/>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7178952"/>
        </w:tc>
      </w:tr>
      <w:tr w14:paraId="2DAB3C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DB4B5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债权投资</w:t>
            </w:r>
          </w:p>
        </w:tc>
        <w:tc>
          <w:tcPr>
            <w:tcW w:w="3213" w:type="dxa"/>
            <w:tcBorders>
              <w:top w:val="single" w:color="auto" w:sz="2" w:space="0"/>
              <w:left w:val="single" w:color="auto" w:sz="2" w:space="0"/>
              <w:bottom w:val="single" w:color="auto" w:sz="2" w:space="0"/>
              <w:right w:val="single" w:color="auto" w:sz="2" w:space="0"/>
            </w:tcBorders>
            <w:vAlign w:val="center"/>
          </w:tcPr>
          <w:p w14:paraId="318956D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CFAD085">
            <w:pPr>
              <w:spacing w:before="0" w:after="0" w:line="240" w:lineRule="exact"/>
              <w:jc w:val="right"/>
              <w:rPr>
                <w:rFonts w:ascii="宋体" w:hAnsi="宋体" w:eastAsia="宋体" w:cs="宋体"/>
                <w:sz w:val="18"/>
                <w:szCs w:val="18"/>
              </w:rPr>
            </w:pPr>
          </w:p>
        </w:tc>
      </w:tr>
      <w:tr w14:paraId="16FCF5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3579E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其他债权投资</w:t>
            </w:r>
          </w:p>
        </w:tc>
        <w:tc>
          <w:tcPr>
            <w:tcW w:w="3213" w:type="dxa"/>
            <w:tcBorders>
              <w:top w:val="single" w:color="auto" w:sz="2" w:space="0"/>
              <w:left w:val="single" w:color="auto" w:sz="2" w:space="0"/>
              <w:bottom w:val="single" w:color="auto" w:sz="2" w:space="0"/>
              <w:right w:val="single" w:color="auto" w:sz="2" w:space="0"/>
            </w:tcBorders>
            <w:vAlign w:val="center"/>
          </w:tcPr>
          <w:p w14:paraId="195B854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74DBCDF">
            <w:pPr>
              <w:spacing w:before="0" w:after="0" w:line="240" w:lineRule="exact"/>
              <w:jc w:val="right"/>
              <w:rPr>
                <w:rFonts w:ascii="宋体" w:hAnsi="宋体" w:eastAsia="宋体" w:cs="宋体"/>
                <w:sz w:val="18"/>
                <w:szCs w:val="18"/>
              </w:rPr>
            </w:pPr>
          </w:p>
        </w:tc>
      </w:tr>
      <w:tr w14:paraId="157FC4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58DD36F">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长期应收款</w:t>
            </w:r>
          </w:p>
        </w:tc>
        <w:tc>
          <w:tcPr>
            <w:tcW w:w="3213" w:type="dxa"/>
            <w:tcBorders>
              <w:top w:val="single" w:color="auto" w:sz="2" w:space="0"/>
              <w:left w:val="single" w:color="auto" w:sz="2" w:space="0"/>
              <w:bottom w:val="single" w:color="auto" w:sz="2" w:space="0"/>
              <w:right w:val="single" w:color="auto" w:sz="2" w:space="0"/>
            </w:tcBorders>
            <w:vAlign w:val="center"/>
          </w:tcPr>
          <w:p w14:paraId="3C747328">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1294AA9">
            <w:pPr>
              <w:spacing w:before="0" w:after="0" w:line="240" w:lineRule="exact"/>
              <w:jc w:val="right"/>
              <w:rPr>
                <w:rFonts w:ascii="宋体" w:hAnsi="宋体" w:eastAsia="宋体" w:cs="宋体"/>
                <w:sz w:val="18"/>
                <w:szCs w:val="18"/>
              </w:rPr>
            </w:pPr>
          </w:p>
        </w:tc>
      </w:tr>
      <w:tr w14:paraId="160474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EC0F08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长期股权投资</w:t>
            </w:r>
          </w:p>
        </w:tc>
        <w:tc>
          <w:tcPr>
            <w:tcW w:w="3213" w:type="dxa"/>
            <w:tcBorders>
              <w:top w:val="single" w:color="auto" w:sz="2" w:space="0"/>
              <w:left w:val="single" w:color="auto" w:sz="2" w:space="0"/>
              <w:bottom w:val="single" w:color="auto" w:sz="2" w:space="0"/>
              <w:right w:val="single" w:color="auto" w:sz="2" w:space="0"/>
            </w:tcBorders>
            <w:vAlign w:val="center"/>
          </w:tcPr>
          <w:p w14:paraId="2D9166FD">
            <w:pPr>
              <w:spacing w:before="0" w:after="0" w:line="240" w:lineRule="exact"/>
              <w:jc w:val="right"/>
              <w:rPr>
                <w:rFonts w:ascii="宋体" w:hAnsi="宋体" w:eastAsia="宋体" w:cs="宋体"/>
                <w:sz w:val="18"/>
                <w:szCs w:val="18"/>
              </w:rPr>
            </w:pPr>
            <w:r>
              <w:rPr>
                <w:rFonts w:ascii="宋体" w:hAnsi="宋体" w:eastAsia="宋体" w:cs="宋体"/>
                <w:sz w:val="18"/>
                <w:szCs w:val="18"/>
              </w:rPr>
              <w:t>717,300,443.41</w:t>
            </w:r>
          </w:p>
        </w:tc>
        <w:tc>
          <w:tcPr>
            <w:tcW w:w="3213" w:type="dxa"/>
            <w:tcBorders>
              <w:top w:val="single" w:color="auto" w:sz="2" w:space="0"/>
              <w:left w:val="single" w:color="auto" w:sz="2" w:space="0"/>
              <w:bottom w:val="single" w:color="auto" w:sz="2" w:space="0"/>
              <w:right w:val="single" w:color="auto" w:sz="2" w:space="0"/>
            </w:tcBorders>
            <w:vAlign w:val="center"/>
          </w:tcPr>
          <w:p w14:paraId="212DAAF4">
            <w:pPr>
              <w:spacing w:before="0" w:after="0" w:line="240" w:lineRule="exact"/>
              <w:jc w:val="right"/>
              <w:rPr>
                <w:rFonts w:ascii="宋体" w:hAnsi="宋体" w:eastAsia="宋体" w:cs="宋体"/>
                <w:sz w:val="18"/>
                <w:szCs w:val="18"/>
              </w:rPr>
            </w:pPr>
            <w:r>
              <w:rPr>
                <w:rFonts w:ascii="宋体" w:hAnsi="宋体" w:eastAsia="宋体" w:cs="宋体"/>
                <w:sz w:val="18"/>
                <w:szCs w:val="18"/>
              </w:rPr>
              <w:t>779,082,773.49</w:t>
            </w:r>
          </w:p>
        </w:tc>
      </w:tr>
      <w:tr w14:paraId="0ED86E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6414AB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其他权益工具投资</w:t>
            </w:r>
          </w:p>
        </w:tc>
        <w:tc>
          <w:tcPr>
            <w:tcW w:w="3213" w:type="dxa"/>
            <w:tcBorders>
              <w:top w:val="single" w:color="auto" w:sz="2" w:space="0"/>
              <w:left w:val="single" w:color="auto" w:sz="2" w:space="0"/>
              <w:bottom w:val="single" w:color="auto" w:sz="2" w:space="0"/>
              <w:right w:val="single" w:color="auto" w:sz="2" w:space="0"/>
            </w:tcBorders>
            <w:vAlign w:val="center"/>
          </w:tcPr>
          <w:p w14:paraId="0154052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CFE2838">
            <w:pPr>
              <w:spacing w:before="0" w:after="0" w:line="240" w:lineRule="exact"/>
              <w:jc w:val="right"/>
              <w:rPr>
                <w:rFonts w:ascii="宋体" w:hAnsi="宋体" w:eastAsia="宋体" w:cs="宋体"/>
                <w:sz w:val="18"/>
                <w:szCs w:val="18"/>
              </w:rPr>
            </w:pPr>
          </w:p>
        </w:tc>
      </w:tr>
      <w:tr w14:paraId="016D0B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528E94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其他非流动金融资产</w:t>
            </w:r>
          </w:p>
        </w:tc>
        <w:tc>
          <w:tcPr>
            <w:tcW w:w="3213" w:type="dxa"/>
            <w:tcBorders>
              <w:top w:val="single" w:color="auto" w:sz="2" w:space="0"/>
              <w:left w:val="single" w:color="auto" w:sz="2" w:space="0"/>
              <w:bottom w:val="single" w:color="auto" w:sz="2" w:space="0"/>
              <w:right w:val="single" w:color="auto" w:sz="2" w:space="0"/>
            </w:tcBorders>
            <w:vAlign w:val="center"/>
          </w:tcPr>
          <w:p w14:paraId="4720D34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07AE42E">
            <w:pPr>
              <w:spacing w:before="0" w:after="0" w:line="240" w:lineRule="exact"/>
              <w:jc w:val="right"/>
              <w:rPr>
                <w:rFonts w:ascii="宋体" w:hAnsi="宋体" w:eastAsia="宋体" w:cs="宋体"/>
                <w:sz w:val="18"/>
                <w:szCs w:val="18"/>
              </w:rPr>
            </w:pPr>
          </w:p>
        </w:tc>
      </w:tr>
      <w:tr w14:paraId="5FCBF0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886309C">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投资性房地产</w:t>
            </w:r>
          </w:p>
        </w:tc>
        <w:tc>
          <w:tcPr>
            <w:tcW w:w="3213" w:type="dxa"/>
            <w:tcBorders>
              <w:top w:val="single" w:color="auto" w:sz="2" w:space="0"/>
              <w:left w:val="single" w:color="auto" w:sz="2" w:space="0"/>
              <w:bottom w:val="single" w:color="auto" w:sz="2" w:space="0"/>
              <w:right w:val="single" w:color="auto" w:sz="2" w:space="0"/>
            </w:tcBorders>
            <w:vAlign w:val="center"/>
          </w:tcPr>
          <w:p w14:paraId="4279ADE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4B08CDB">
            <w:pPr>
              <w:spacing w:before="0" w:after="0" w:line="240" w:lineRule="exact"/>
              <w:jc w:val="right"/>
              <w:rPr>
                <w:rFonts w:ascii="宋体" w:hAnsi="宋体" w:eastAsia="宋体" w:cs="宋体"/>
                <w:sz w:val="18"/>
                <w:szCs w:val="18"/>
              </w:rPr>
            </w:pPr>
          </w:p>
        </w:tc>
      </w:tr>
      <w:tr w14:paraId="600468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7CB32A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固定资产</w:t>
            </w:r>
          </w:p>
        </w:tc>
        <w:tc>
          <w:tcPr>
            <w:tcW w:w="3213" w:type="dxa"/>
            <w:tcBorders>
              <w:top w:val="single" w:color="auto" w:sz="2" w:space="0"/>
              <w:left w:val="single" w:color="auto" w:sz="2" w:space="0"/>
              <w:bottom w:val="single" w:color="auto" w:sz="2" w:space="0"/>
              <w:right w:val="single" w:color="auto" w:sz="2" w:space="0"/>
            </w:tcBorders>
            <w:vAlign w:val="center"/>
          </w:tcPr>
          <w:p w14:paraId="0DBCE3DE">
            <w:pPr>
              <w:spacing w:before="0" w:after="0" w:line="240" w:lineRule="exact"/>
              <w:jc w:val="right"/>
              <w:rPr>
                <w:rFonts w:ascii="宋体" w:hAnsi="宋体" w:eastAsia="宋体" w:cs="宋体"/>
                <w:sz w:val="18"/>
                <w:szCs w:val="18"/>
              </w:rPr>
            </w:pPr>
            <w:r>
              <w:rPr>
                <w:rFonts w:ascii="宋体" w:hAnsi="宋体" w:eastAsia="宋体" w:cs="宋体"/>
                <w:sz w:val="18"/>
                <w:szCs w:val="18"/>
              </w:rPr>
              <w:t>404,064,383.64</w:t>
            </w:r>
          </w:p>
        </w:tc>
        <w:tc>
          <w:tcPr>
            <w:tcW w:w="3213" w:type="dxa"/>
            <w:tcBorders>
              <w:top w:val="single" w:color="auto" w:sz="2" w:space="0"/>
              <w:left w:val="single" w:color="auto" w:sz="2" w:space="0"/>
              <w:bottom w:val="single" w:color="auto" w:sz="2" w:space="0"/>
              <w:right w:val="single" w:color="auto" w:sz="2" w:space="0"/>
            </w:tcBorders>
            <w:vAlign w:val="center"/>
          </w:tcPr>
          <w:p w14:paraId="798FD124">
            <w:pPr>
              <w:spacing w:before="0" w:after="0" w:line="240" w:lineRule="exact"/>
              <w:jc w:val="right"/>
              <w:rPr>
                <w:rFonts w:ascii="宋体" w:hAnsi="宋体" w:eastAsia="宋体" w:cs="宋体"/>
                <w:sz w:val="18"/>
                <w:szCs w:val="18"/>
              </w:rPr>
            </w:pPr>
            <w:r>
              <w:rPr>
                <w:rFonts w:ascii="宋体" w:hAnsi="宋体" w:eastAsia="宋体" w:cs="宋体"/>
                <w:sz w:val="18"/>
                <w:szCs w:val="18"/>
              </w:rPr>
              <w:t>444,833,213.19</w:t>
            </w:r>
          </w:p>
        </w:tc>
      </w:tr>
      <w:tr w14:paraId="3CDD00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377D3B6">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在建工程</w:t>
            </w:r>
          </w:p>
        </w:tc>
        <w:tc>
          <w:tcPr>
            <w:tcW w:w="3213" w:type="dxa"/>
            <w:tcBorders>
              <w:top w:val="single" w:color="auto" w:sz="2" w:space="0"/>
              <w:left w:val="single" w:color="auto" w:sz="2" w:space="0"/>
              <w:bottom w:val="single" w:color="auto" w:sz="2" w:space="0"/>
              <w:right w:val="single" w:color="auto" w:sz="2" w:space="0"/>
            </w:tcBorders>
            <w:vAlign w:val="center"/>
          </w:tcPr>
          <w:p w14:paraId="7B340B2D">
            <w:pPr>
              <w:spacing w:before="0" w:after="0" w:line="240" w:lineRule="exact"/>
              <w:jc w:val="right"/>
              <w:rPr>
                <w:rFonts w:ascii="宋体" w:hAnsi="宋体" w:eastAsia="宋体" w:cs="宋体"/>
                <w:sz w:val="18"/>
                <w:szCs w:val="18"/>
              </w:rPr>
            </w:pPr>
            <w:r>
              <w:rPr>
                <w:rFonts w:ascii="宋体" w:hAnsi="宋体" w:eastAsia="宋体" w:cs="宋体"/>
                <w:sz w:val="18"/>
                <w:szCs w:val="18"/>
              </w:rPr>
              <w:t>1,001,770.53</w:t>
            </w:r>
          </w:p>
        </w:tc>
        <w:tc>
          <w:tcPr>
            <w:tcW w:w="3213" w:type="dxa"/>
            <w:tcBorders>
              <w:top w:val="single" w:color="auto" w:sz="2" w:space="0"/>
              <w:left w:val="single" w:color="auto" w:sz="2" w:space="0"/>
              <w:bottom w:val="single" w:color="auto" w:sz="2" w:space="0"/>
              <w:right w:val="single" w:color="auto" w:sz="2" w:space="0"/>
            </w:tcBorders>
            <w:vAlign w:val="center"/>
          </w:tcPr>
          <w:p w14:paraId="027B856A">
            <w:pPr>
              <w:spacing w:before="0" w:after="0" w:line="240" w:lineRule="exact"/>
              <w:jc w:val="right"/>
              <w:rPr>
                <w:rFonts w:ascii="宋体" w:hAnsi="宋体" w:eastAsia="宋体" w:cs="宋体"/>
                <w:sz w:val="18"/>
                <w:szCs w:val="18"/>
              </w:rPr>
            </w:pPr>
            <w:r>
              <w:rPr>
                <w:rFonts w:ascii="宋体" w:hAnsi="宋体" w:eastAsia="宋体" w:cs="宋体"/>
                <w:sz w:val="18"/>
                <w:szCs w:val="18"/>
              </w:rPr>
              <w:t>6,012,390.58</w:t>
            </w:r>
          </w:p>
        </w:tc>
      </w:tr>
      <w:tr w14:paraId="4C0433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9D166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生产性生物资产</w:t>
            </w:r>
          </w:p>
        </w:tc>
        <w:tc>
          <w:tcPr>
            <w:tcW w:w="3213" w:type="dxa"/>
            <w:tcBorders>
              <w:top w:val="single" w:color="auto" w:sz="2" w:space="0"/>
              <w:left w:val="single" w:color="auto" w:sz="2" w:space="0"/>
              <w:bottom w:val="single" w:color="auto" w:sz="2" w:space="0"/>
              <w:right w:val="single" w:color="auto" w:sz="2" w:space="0"/>
            </w:tcBorders>
            <w:vAlign w:val="center"/>
          </w:tcPr>
          <w:p w14:paraId="10AEDFE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E9CF802">
            <w:pPr>
              <w:spacing w:before="0" w:after="0" w:line="240" w:lineRule="exact"/>
              <w:jc w:val="right"/>
              <w:rPr>
                <w:rFonts w:ascii="宋体" w:hAnsi="宋体" w:eastAsia="宋体" w:cs="宋体"/>
                <w:sz w:val="18"/>
                <w:szCs w:val="18"/>
              </w:rPr>
            </w:pPr>
          </w:p>
        </w:tc>
      </w:tr>
      <w:tr w14:paraId="57E708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9929004">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油气资产</w:t>
            </w:r>
          </w:p>
        </w:tc>
        <w:tc>
          <w:tcPr>
            <w:tcW w:w="3213" w:type="dxa"/>
            <w:tcBorders>
              <w:top w:val="single" w:color="auto" w:sz="2" w:space="0"/>
              <w:left w:val="single" w:color="auto" w:sz="2" w:space="0"/>
              <w:bottom w:val="single" w:color="auto" w:sz="2" w:space="0"/>
              <w:right w:val="single" w:color="auto" w:sz="2" w:space="0"/>
            </w:tcBorders>
            <w:vAlign w:val="center"/>
          </w:tcPr>
          <w:p w14:paraId="615CB49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7A5FD82">
            <w:pPr>
              <w:spacing w:before="0" w:after="0" w:line="240" w:lineRule="exact"/>
              <w:jc w:val="right"/>
              <w:rPr>
                <w:rFonts w:ascii="宋体" w:hAnsi="宋体" w:eastAsia="宋体" w:cs="宋体"/>
                <w:sz w:val="18"/>
                <w:szCs w:val="18"/>
              </w:rPr>
            </w:pPr>
          </w:p>
        </w:tc>
      </w:tr>
      <w:tr w14:paraId="3A3AEE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11CEF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使用权资产</w:t>
            </w:r>
          </w:p>
        </w:tc>
        <w:tc>
          <w:tcPr>
            <w:tcW w:w="3213" w:type="dxa"/>
            <w:tcBorders>
              <w:top w:val="single" w:color="auto" w:sz="2" w:space="0"/>
              <w:left w:val="single" w:color="auto" w:sz="2" w:space="0"/>
              <w:bottom w:val="single" w:color="auto" w:sz="2" w:space="0"/>
              <w:right w:val="single" w:color="auto" w:sz="2" w:space="0"/>
            </w:tcBorders>
            <w:vAlign w:val="center"/>
          </w:tcPr>
          <w:p w14:paraId="3E494E01">
            <w:pPr>
              <w:spacing w:before="0" w:after="0" w:line="240" w:lineRule="exact"/>
              <w:jc w:val="right"/>
              <w:rPr>
                <w:rFonts w:ascii="宋体" w:hAnsi="宋体" w:eastAsia="宋体" w:cs="宋体"/>
                <w:sz w:val="18"/>
                <w:szCs w:val="18"/>
              </w:rPr>
            </w:pPr>
            <w:r>
              <w:rPr>
                <w:rFonts w:ascii="宋体" w:hAnsi="宋体" w:eastAsia="宋体" w:cs="宋体"/>
                <w:sz w:val="18"/>
                <w:szCs w:val="18"/>
              </w:rPr>
              <w:t>318,256.19</w:t>
            </w:r>
          </w:p>
        </w:tc>
        <w:tc>
          <w:tcPr>
            <w:tcW w:w="3213" w:type="dxa"/>
            <w:tcBorders>
              <w:top w:val="single" w:color="auto" w:sz="2" w:space="0"/>
              <w:left w:val="single" w:color="auto" w:sz="2" w:space="0"/>
              <w:bottom w:val="single" w:color="auto" w:sz="2" w:space="0"/>
              <w:right w:val="single" w:color="auto" w:sz="2" w:space="0"/>
            </w:tcBorders>
            <w:vAlign w:val="center"/>
          </w:tcPr>
          <w:p w14:paraId="04E68871">
            <w:pPr>
              <w:spacing w:before="0" w:after="0" w:line="240" w:lineRule="exact"/>
              <w:jc w:val="right"/>
              <w:rPr>
                <w:rFonts w:ascii="宋体" w:hAnsi="宋体" w:eastAsia="宋体" w:cs="宋体"/>
                <w:sz w:val="18"/>
                <w:szCs w:val="18"/>
              </w:rPr>
            </w:pPr>
            <w:r>
              <w:rPr>
                <w:rFonts w:ascii="宋体" w:hAnsi="宋体" w:eastAsia="宋体" w:cs="宋体"/>
                <w:sz w:val="18"/>
                <w:szCs w:val="18"/>
              </w:rPr>
              <w:t>445,582.40</w:t>
            </w:r>
          </w:p>
        </w:tc>
      </w:tr>
      <w:tr w14:paraId="129ACC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6FE9B2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无形资产</w:t>
            </w:r>
          </w:p>
        </w:tc>
        <w:tc>
          <w:tcPr>
            <w:tcW w:w="3213" w:type="dxa"/>
            <w:tcBorders>
              <w:top w:val="single" w:color="auto" w:sz="2" w:space="0"/>
              <w:left w:val="single" w:color="auto" w:sz="2" w:space="0"/>
              <w:bottom w:val="single" w:color="auto" w:sz="2" w:space="0"/>
              <w:right w:val="single" w:color="auto" w:sz="2" w:space="0"/>
            </w:tcBorders>
            <w:vAlign w:val="center"/>
          </w:tcPr>
          <w:p w14:paraId="1D1603D0">
            <w:pPr>
              <w:spacing w:before="0" w:after="0" w:line="240" w:lineRule="exact"/>
              <w:jc w:val="right"/>
              <w:rPr>
                <w:rFonts w:ascii="宋体" w:hAnsi="宋体" w:eastAsia="宋体" w:cs="宋体"/>
                <w:sz w:val="18"/>
                <w:szCs w:val="18"/>
              </w:rPr>
            </w:pPr>
            <w:r>
              <w:rPr>
                <w:rFonts w:ascii="宋体" w:hAnsi="宋体" w:eastAsia="宋体" w:cs="宋体"/>
                <w:sz w:val="18"/>
                <w:szCs w:val="18"/>
              </w:rPr>
              <w:t>78,097,169.95</w:t>
            </w:r>
          </w:p>
        </w:tc>
        <w:tc>
          <w:tcPr>
            <w:tcW w:w="3213" w:type="dxa"/>
            <w:tcBorders>
              <w:top w:val="single" w:color="auto" w:sz="2" w:space="0"/>
              <w:left w:val="single" w:color="auto" w:sz="2" w:space="0"/>
              <w:bottom w:val="single" w:color="auto" w:sz="2" w:space="0"/>
              <w:right w:val="single" w:color="auto" w:sz="2" w:space="0"/>
            </w:tcBorders>
            <w:vAlign w:val="center"/>
          </w:tcPr>
          <w:p w14:paraId="15E4CE1D">
            <w:pPr>
              <w:spacing w:before="0" w:after="0" w:line="240" w:lineRule="exact"/>
              <w:jc w:val="right"/>
              <w:rPr>
                <w:rFonts w:ascii="宋体" w:hAnsi="宋体" w:eastAsia="宋体" w:cs="宋体"/>
                <w:sz w:val="18"/>
                <w:szCs w:val="18"/>
              </w:rPr>
            </w:pPr>
            <w:r>
              <w:rPr>
                <w:rFonts w:ascii="宋体" w:hAnsi="宋体" w:eastAsia="宋体" w:cs="宋体"/>
                <w:sz w:val="18"/>
                <w:szCs w:val="18"/>
              </w:rPr>
              <w:t>85,351,488.70</w:t>
            </w:r>
          </w:p>
        </w:tc>
      </w:tr>
      <w:tr w14:paraId="1752EA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5BE78F1">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其中：数据资源</w:t>
            </w:r>
          </w:p>
        </w:tc>
        <w:tc>
          <w:tcPr>
            <w:tcW w:w="3213" w:type="dxa"/>
            <w:tcBorders>
              <w:top w:val="single" w:color="auto" w:sz="2" w:space="0"/>
              <w:left w:val="single" w:color="auto" w:sz="2" w:space="0"/>
              <w:bottom w:val="single" w:color="auto" w:sz="2" w:space="0"/>
              <w:right w:val="single" w:color="auto" w:sz="2" w:space="0"/>
            </w:tcBorders>
            <w:vAlign w:val="center"/>
          </w:tcPr>
          <w:p w14:paraId="456BF98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151B8FC">
            <w:pPr>
              <w:spacing w:before="0" w:after="0" w:line="240" w:lineRule="exact"/>
              <w:jc w:val="right"/>
              <w:rPr>
                <w:rFonts w:ascii="宋体" w:hAnsi="宋体" w:eastAsia="宋体" w:cs="宋体"/>
                <w:sz w:val="18"/>
                <w:szCs w:val="18"/>
              </w:rPr>
            </w:pPr>
          </w:p>
        </w:tc>
      </w:tr>
      <w:tr w14:paraId="0A42BF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851E21">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开发支出</w:t>
            </w:r>
          </w:p>
        </w:tc>
        <w:tc>
          <w:tcPr>
            <w:tcW w:w="3213" w:type="dxa"/>
            <w:tcBorders>
              <w:top w:val="single" w:color="auto" w:sz="2" w:space="0"/>
              <w:left w:val="single" w:color="auto" w:sz="2" w:space="0"/>
              <w:bottom w:val="single" w:color="auto" w:sz="2" w:space="0"/>
              <w:right w:val="single" w:color="auto" w:sz="2" w:space="0"/>
            </w:tcBorders>
            <w:vAlign w:val="center"/>
          </w:tcPr>
          <w:p w14:paraId="58C18D7C">
            <w:pPr>
              <w:spacing w:before="0" w:after="0" w:line="240" w:lineRule="exact"/>
              <w:jc w:val="right"/>
              <w:rPr>
                <w:rFonts w:ascii="宋体" w:hAnsi="宋体" w:eastAsia="宋体" w:cs="宋体"/>
                <w:sz w:val="18"/>
                <w:szCs w:val="18"/>
              </w:rPr>
            </w:pPr>
            <w:r>
              <w:rPr>
                <w:rFonts w:ascii="宋体" w:hAnsi="宋体" w:eastAsia="宋体" w:cs="宋体"/>
                <w:sz w:val="18"/>
                <w:szCs w:val="18"/>
              </w:rPr>
              <w:t>5,426,809.51</w:t>
            </w:r>
          </w:p>
        </w:tc>
        <w:tc>
          <w:tcPr>
            <w:tcW w:w="3213" w:type="dxa"/>
            <w:tcBorders>
              <w:top w:val="single" w:color="auto" w:sz="2" w:space="0"/>
              <w:left w:val="single" w:color="auto" w:sz="2" w:space="0"/>
              <w:bottom w:val="single" w:color="auto" w:sz="2" w:space="0"/>
              <w:right w:val="single" w:color="auto" w:sz="2" w:space="0"/>
            </w:tcBorders>
            <w:vAlign w:val="center"/>
          </w:tcPr>
          <w:p w14:paraId="4384D649">
            <w:pPr>
              <w:spacing w:before="0" w:after="0" w:line="240" w:lineRule="exact"/>
              <w:jc w:val="right"/>
              <w:rPr>
                <w:rFonts w:ascii="宋体" w:hAnsi="宋体" w:eastAsia="宋体" w:cs="宋体"/>
                <w:sz w:val="18"/>
                <w:szCs w:val="18"/>
              </w:rPr>
            </w:pPr>
            <w:r>
              <w:rPr>
                <w:rFonts w:ascii="宋体" w:hAnsi="宋体" w:eastAsia="宋体" w:cs="宋体"/>
                <w:sz w:val="18"/>
                <w:szCs w:val="18"/>
              </w:rPr>
              <w:t>5,004,731.72</w:t>
            </w:r>
          </w:p>
        </w:tc>
      </w:tr>
      <w:tr w14:paraId="22454A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E54A714">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其中：数据资源</w:t>
            </w:r>
          </w:p>
        </w:tc>
        <w:tc>
          <w:tcPr>
            <w:tcW w:w="3213" w:type="dxa"/>
            <w:tcBorders>
              <w:top w:val="single" w:color="auto" w:sz="2" w:space="0"/>
              <w:left w:val="single" w:color="auto" w:sz="2" w:space="0"/>
              <w:bottom w:val="single" w:color="auto" w:sz="2" w:space="0"/>
              <w:right w:val="single" w:color="auto" w:sz="2" w:space="0"/>
            </w:tcBorders>
            <w:vAlign w:val="center"/>
          </w:tcPr>
          <w:p w14:paraId="268EAFA8">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A30CE55">
            <w:pPr>
              <w:spacing w:before="0" w:after="0" w:line="240" w:lineRule="exact"/>
              <w:jc w:val="right"/>
              <w:rPr>
                <w:rFonts w:ascii="宋体" w:hAnsi="宋体" w:eastAsia="宋体" w:cs="宋体"/>
                <w:sz w:val="18"/>
                <w:szCs w:val="18"/>
              </w:rPr>
            </w:pPr>
          </w:p>
        </w:tc>
      </w:tr>
      <w:tr w14:paraId="64A744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A59DC2F">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商誉</w:t>
            </w:r>
          </w:p>
        </w:tc>
        <w:tc>
          <w:tcPr>
            <w:tcW w:w="3213" w:type="dxa"/>
            <w:tcBorders>
              <w:top w:val="single" w:color="auto" w:sz="2" w:space="0"/>
              <w:left w:val="single" w:color="auto" w:sz="2" w:space="0"/>
              <w:bottom w:val="single" w:color="auto" w:sz="2" w:space="0"/>
              <w:right w:val="single" w:color="auto" w:sz="2" w:space="0"/>
            </w:tcBorders>
            <w:vAlign w:val="center"/>
          </w:tcPr>
          <w:p w14:paraId="362E1B7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7600755">
            <w:pPr>
              <w:spacing w:before="0" w:after="0" w:line="240" w:lineRule="exact"/>
              <w:jc w:val="right"/>
              <w:rPr>
                <w:rFonts w:ascii="宋体" w:hAnsi="宋体" w:eastAsia="宋体" w:cs="宋体"/>
                <w:sz w:val="18"/>
                <w:szCs w:val="18"/>
              </w:rPr>
            </w:pPr>
          </w:p>
        </w:tc>
      </w:tr>
      <w:tr w14:paraId="5587DA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EFF5E1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长期待摊费用</w:t>
            </w:r>
          </w:p>
        </w:tc>
        <w:tc>
          <w:tcPr>
            <w:tcW w:w="3213" w:type="dxa"/>
            <w:tcBorders>
              <w:top w:val="single" w:color="auto" w:sz="2" w:space="0"/>
              <w:left w:val="single" w:color="auto" w:sz="2" w:space="0"/>
              <w:bottom w:val="single" w:color="auto" w:sz="2" w:space="0"/>
              <w:right w:val="single" w:color="auto" w:sz="2" w:space="0"/>
            </w:tcBorders>
            <w:vAlign w:val="center"/>
          </w:tcPr>
          <w:p w14:paraId="5232EAD5">
            <w:pPr>
              <w:spacing w:before="0" w:after="0" w:line="240" w:lineRule="exact"/>
              <w:jc w:val="right"/>
              <w:rPr>
                <w:rFonts w:ascii="宋体" w:hAnsi="宋体" w:eastAsia="宋体" w:cs="宋体"/>
                <w:sz w:val="18"/>
                <w:szCs w:val="18"/>
              </w:rPr>
            </w:pPr>
            <w:r>
              <w:rPr>
                <w:rFonts w:ascii="宋体" w:hAnsi="宋体" w:eastAsia="宋体" w:cs="宋体"/>
                <w:sz w:val="18"/>
                <w:szCs w:val="18"/>
              </w:rPr>
              <w:t>36,021,821.65</w:t>
            </w:r>
          </w:p>
        </w:tc>
        <w:tc>
          <w:tcPr>
            <w:tcW w:w="3213" w:type="dxa"/>
            <w:tcBorders>
              <w:top w:val="single" w:color="auto" w:sz="2" w:space="0"/>
              <w:left w:val="single" w:color="auto" w:sz="2" w:space="0"/>
              <w:bottom w:val="single" w:color="auto" w:sz="2" w:space="0"/>
              <w:right w:val="single" w:color="auto" w:sz="2" w:space="0"/>
            </w:tcBorders>
            <w:vAlign w:val="center"/>
          </w:tcPr>
          <w:p w14:paraId="1FD9DB27">
            <w:pPr>
              <w:spacing w:before="0" w:after="0" w:line="240" w:lineRule="exact"/>
              <w:jc w:val="right"/>
              <w:rPr>
                <w:rFonts w:ascii="宋体" w:hAnsi="宋体" w:eastAsia="宋体" w:cs="宋体"/>
                <w:sz w:val="18"/>
                <w:szCs w:val="18"/>
              </w:rPr>
            </w:pPr>
            <w:r>
              <w:rPr>
                <w:rFonts w:ascii="宋体" w:hAnsi="宋体" w:eastAsia="宋体" w:cs="宋体"/>
                <w:sz w:val="18"/>
                <w:szCs w:val="18"/>
              </w:rPr>
              <w:t>41,701,823.03</w:t>
            </w:r>
          </w:p>
        </w:tc>
      </w:tr>
      <w:tr w14:paraId="30C910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34ED65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递延所得税资产</w:t>
            </w:r>
          </w:p>
        </w:tc>
        <w:tc>
          <w:tcPr>
            <w:tcW w:w="3213" w:type="dxa"/>
            <w:tcBorders>
              <w:top w:val="single" w:color="auto" w:sz="2" w:space="0"/>
              <w:left w:val="single" w:color="auto" w:sz="2" w:space="0"/>
              <w:bottom w:val="single" w:color="auto" w:sz="2" w:space="0"/>
              <w:right w:val="single" w:color="auto" w:sz="2" w:space="0"/>
            </w:tcBorders>
            <w:vAlign w:val="center"/>
          </w:tcPr>
          <w:p w14:paraId="058CE968">
            <w:pPr>
              <w:spacing w:before="0" w:after="0" w:line="240" w:lineRule="exact"/>
              <w:jc w:val="right"/>
              <w:rPr>
                <w:rFonts w:ascii="宋体" w:hAnsi="宋体" w:eastAsia="宋体" w:cs="宋体"/>
                <w:sz w:val="18"/>
                <w:szCs w:val="18"/>
              </w:rPr>
            </w:pPr>
            <w:r>
              <w:rPr>
                <w:rFonts w:ascii="宋体" w:hAnsi="宋体" w:eastAsia="宋体" w:cs="宋体"/>
                <w:sz w:val="18"/>
                <w:szCs w:val="18"/>
              </w:rPr>
              <w:t>419,247.25</w:t>
            </w:r>
          </w:p>
        </w:tc>
        <w:tc>
          <w:tcPr>
            <w:tcW w:w="3213" w:type="dxa"/>
            <w:tcBorders>
              <w:top w:val="single" w:color="auto" w:sz="2" w:space="0"/>
              <w:left w:val="single" w:color="auto" w:sz="2" w:space="0"/>
              <w:bottom w:val="single" w:color="auto" w:sz="2" w:space="0"/>
              <w:right w:val="single" w:color="auto" w:sz="2" w:space="0"/>
            </w:tcBorders>
            <w:vAlign w:val="center"/>
          </w:tcPr>
          <w:p w14:paraId="70C19B3C">
            <w:pPr>
              <w:spacing w:before="0" w:after="0" w:line="240" w:lineRule="exact"/>
              <w:jc w:val="right"/>
              <w:rPr>
                <w:rFonts w:ascii="宋体" w:hAnsi="宋体" w:eastAsia="宋体" w:cs="宋体"/>
                <w:sz w:val="18"/>
                <w:szCs w:val="18"/>
              </w:rPr>
            </w:pPr>
            <w:r>
              <w:rPr>
                <w:rFonts w:ascii="宋体" w:hAnsi="宋体" w:eastAsia="宋体" w:cs="宋体"/>
                <w:sz w:val="18"/>
                <w:szCs w:val="18"/>
              </w:rPr>
              <w:t>334,798.21</w:t>
            </w:r>
          </w:p>
        </w:tc>
      </w:tr>
      <w:tr w14:paraId="0428B3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702BAF1">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其他非流动资产</w:t>
            </w:r>
          </w:p>
        </w:tc>
        <w:tc>
          <w:tcPr>
            <w:tcW w:w="3213" w:type="dxa"/>
            <w:tcBorders>
              <w:top w:val="single" w:color="auto" w:sz="2" w:space="0"/>
              <w:left w:val="single" w:color="auto" w:sz="2" w:space="0"/>
              <w:bottom w:val="single" w:color="auto" w:sz="2" w:space="0"/>
              <w:right w:val="single" w:color="auto" w:sz="2" w:space="0"/>
            </w:tcBorders>
            <w:vAlign w:val="center"/>
          </w:tcPr>
          <w:p w14:paraId="673E7D29">
            <w:pPr>
              <w:spacing w:before="0" w:after="0" w:line="240" w:lineRule="exact"/>
              <w:jc w:val="right"/>
              <w:rPr>
                <w:rFonts w:ascii="宋体" w:hAnsi="宋体" w:eastAsia="宋体" w:cs="宋体"/>
                <w:sz w:val="18"/>
                <w:szCs w:val="18"/>
              </w:rPr>
            </w:pPr>
            <w:r>
              <w:rPr>
                <w:rFonts w:ascii="宋体" w:hAnsi="宋体" w:eastAsia="宋体" w:cs="宋体"/>
                <w:sz w:val="18"/>
                <w:szCs w:val="18"/>
              </w:rPr>
              <w:t>8,013,348.72</w:t>
            </w:r>
          </w:p>
        </w:tc>
        <w:tc>
          <w:tcPr>
            <w:tcW w:w="3213" w:type="dxa"/>
            <w:tcBorders>
              <w:top w:val="single" w:color="auto" w:sz="2" w:space="0"/>
              <w:left w:val="single" w:color="auto" w:sz="2" w:space="0"/>
              <w:bottom w:val="single" w:color="auto" w:sz="2" w:space="0"/>
              <w:right w:val="single" w:color="auto" w:sz="2" w:space="0"/>
            </w:tcBorders>
            <w:vAlign w:val="center"/>
          </w:tcPr>
          <w:p w14:paraId="1F1AF6F1">
            <w:pPr>
              <w:spacing w:before="0" w:after="0" w:line="240" w:lineRule="exact"/>
              <w:jc w:val="right"/>
              <w:rPr>
                <w:rFonts w:ascii="宋体" w:hAnsi="宋体" w:eastAsia="宋体" w:cs="宋体"/>
                <w:sz w:val="18"/>
                <w:szCs w:val="18"/>
              </w:rPr>
            </w:pPr>
            <w:r>
              <w:rPr>
                <w:rFonts w:ascii="宋体" w:hAnsi="宋体" w:eastAsia="宋体" w:cs="宋体"/>
                <w:sz w:val="18"/>
                <w:szCs w:val="18"/>
              </w:rPr>
              <w:t>16,896,959.18</w:t>
            </w:r>
          </w:p>
        </w:tc>
      </w:tr>
      <w:tr w14:paraId="35A3B0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93BDBC7">
            <w:pPr>
              <w:spacing w:before="40" w:after="40" w:line="240" w:lineRule="exact"/>
              <w:jc w:val="left"/>
              <w:rPr>
                <w:rFonts w:ascii="宋体" w:hAnsi="宋体" w:eastAsia="宋体" w:cs="宋体"/>
                <w:sz w:val="18"/>
                <w:szCs w:val="18"/>
              </w:rPr>
            </w:pPr>
            <w:r>
              <w:rPr>
                <w:rFonts w:ascii="宋体" w:hAnsi="宋体" w:eastAsia="宋体" w:cs="宋体"/>
                <w:sz w:val="18"/>
                <w:szCs w:val="18"/>
              </w:rPr>
              <w:t>非流动资产合计</w:t>
            </w:r>
          </w:p>
        </w:tc>
        <w:tc>
          <w:tcPr>
            <w:tcW w:w="3213" w:type="dxa"/>
            <w:tcBorders>
              <w:top w:val="single" w:color="auto" w:sz="2" w:space="0"/>
              <w:left w:val="single" w:color="auto" w:sz="2" w:space="0"/>
              <w:bottom w:val="single" w:color="auto" w:sz="2" w:space="0"/>
              <w:right w:val="single" w:color="auto" w:sz="2" w:space="0"/>
            </w:tcBorders>
            <w:vAlign w:val="center"/>
          </w:tcPr>
          <w:p w14:paraId="6F991169">
            <w:pPr>
              <w:spacing w:before="0" w:after="0" w:line="240" w:lineRule="exact"/>
              <w:jc w:val="right"/>
              <w:rPr>
                <w:rFonts w:ascii="宋体" w:hAnsi="宋体" w:eastAsia="宋体" w:cs="宋体"/>
                <w:sz w:val="18"/>
                <w:szCs w:val="18"/>
              </w:rPr>
            </w:pPr>
            <w:r>
              <w:rPr>
                <w:rFonts w:ascii="宋体" w:hAnsi="宋体" w:eastAsia="宋体" w:cs="宋体"/>
                <w:sz w:val="18"/>
                <w:szCs w:val="18"/>
              </w:rPr>
              <w:t>1,250,663,250.85</w:t>
            </w:r>
          </w:p>
        </w:tc>
        <w:tc>
          <w:tcPr>
            <w:tcW w:w="3213" w:type="dxa"/>
            <w:tcBorders>
              <w:top w:val="single" w:color="auto" w:sz="2" w:space="0"/>
              <w:left w:val="single" w:color="auto" w:sz="2" w:space="0"/>
              <w:bottom w:val="single" w:color="auto" w:sz="2" w:space="0"/>
              <w:right w:val="single" w:color="auto" w:sz="2" w:space="0"/>
            </w:tcBorders>
            <w:vAlign w:val="center"/>
          </w:tcPr>
          <w:p w14:paraId="052BDD09">
            <w:pPr>
              <w:spacing w:before="0" w:after="0" w:line="240" w:lineRule="exact"/>
              <w:jc w:val="right"/>
              <w:rPr>
                <w:rFonts w:ascii="宋体" w:hAnsi="宋体" w:eastAsia="宋体" w:cs="宋体"/>
                <w:sz w:val="18"/>
                <w:szCs w:val="18"/>
              </w:rPr>
            </w:pPr>
            <w:r>
              <w:rPr>
                <w:rFonts w:ascii="宋体" w:hAnsi="宋体" w:eastAsia="宋体" w:cs="宋体"/>
                <w:sz w:val="18"/>
                <w:szCs w:val="18"/>
              </w:rPr>
              <w:t>1,379,663,760.50</w:t>
            </w:r>
          </w:p>
        </w:tc>
      </w:tr>
      <w:tr w14:paraId="21EDA2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092CB97">
            <w:pPr>
              <w:spacing w:before="40" w:after="40" w:line="240" w:lineRule="exact"/>
              <w:jc w:val="left"/>
              <w:rPr>
                <w:rFonts w:ascii="宋体" w:hAnsi="宋体" w:eastAsia="宋体" w:cs="宋体"/>
                <w:sz w:val="18"/>
                <w:szCs w:val="18"/>
              </w:rPr>
            </w:pPr>
            <w:r>
              <w:rPr>
                <w:rFonts w:ascii="宋体" w:hAnsi="宋体" w:eastAsia="宋体" w:cs="宋体"/>
                <w:sz w:val="18"/>
                <w:szCs w:val="18"/>
              </w:rPr>
              <w:t>资产总计</w:t>
            </w:r>
          </w:p>
        </w:tc>
        <w:tc>
          <w:tcPr>
            <w:tcW w:w="3213" w:type="dxa"/>
            <w:tcBorders>
              <w:top w:val="single" w:color="auto" w:sz="2" w:space="0"/>
              <w:left w:val="single" w:color="auto" w:sz="2" w:space="0"/>
              <w:bottom w:val="single" w:color="auto" w:sz="2" w:space="0"/>
              <w:right w:val="single" w:color="auto" w:sz="2" w:space="0"/>
            </w:tcBorders>
            <w:vAlign w:val="center"/>
          </w:tcPr>
          <w:p w14:paraId="7C627E9E">
            <w:pPr>
              <w:spacing w:before="0" w:after="0" w:line="240" w:lineRule="exact"/>
              <w:jc w:val="right"/>
              <w:rPr>
                <w:rFonts w:ascii="宋体" w:hAnsi="宋体" w:eastAsia="宋体" w:cs="宋体"/>
                <w:sz w:val="18"/>
                <w:szCs w:val="18"/>
              </w:rPr>
            </w:pPr>
            <w:r>
              <w:rPr>
                <w:rFonts w:ascii="宋体" w:hAnsi="宋体" w:eastAsia="宋体" w:cs="宋体"/>
                <w:sz w:val="18"/>
                <w:szCs w:val="18"/>
              </w:rPr>
              <w:t>1,614,712,838.12</w:t>
            </w:r>
          </w:p>
        </w:tc>
        <w:tc>
          <w:tcPr>
            <w:tcW w:w="3213" w:type="dxa"/>
            <w:tcBorders>
              <w:top w:val="single" w:color="auto" w:sz="2" w:space="0"/>
              <w:left w:val="single" w:color="auto" w:sz="2" w:space="0"/>
              <w:bottom w:val="single" w:color="auto" w:sz="2" w:space="0"/>
              <w:right w:val="single" w:color="auto" w:sz="2" w:space="0"/>
            </w:tcBorders>
            <w:vAlign w:val="center"/>
          </w:tcPr>
          <w:p w14:paraId="6B2B6612">
            <w:pPr>
              <w:spacing w:before="0" w:after="0" w:line="240" w:lineRule="exact"/>
              <w:jc w:val="right"/>
              <w:rPr>
                <w:rFonts w:ascii="宋体" w:hAnsi="宋体" w:eastAsia="宋体" w:cs="宋体"/>
                <w:sz w:val="18"/>
                <w:szCs w:val="18"/>
              </w:rPr>
            </w:pPr>
            <w:r>
              <w:rPr>
                <w:rFonts w:ascii="宋体" w:hAnsi="宋体" w:eastAsia="宋体" w:cs="宋体"/>
                <w:sz w:val="18"/>
                <w:szCs w:val="18"/>
              </w:rPr>
              <w:t>1,712,354,692.04</w:t>
            </w:r>
          </w:p>
        </w:tc>
      </w:tr>
      <w:tr w14:paraId="57494D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364DE90">
            <w:pPr>
              <w:spacing w:before="40" w:after="40" w:line="240" w:lineRule="exact"/>
              <w:jc w:val="left"/>
              <w:rPr>
                <w:rFonts w:ascii="宋体" w:hAnsi="宋体" w:eastAsia="宋体" w:cs="宋体"/>
                <w:sz w:val="18"/>
                <w:szCs w:val="18"/>
              </w:rPr>
            </w:pPr>
            <w:r>
              <w:rPr>
                <w:rFonts w:ascii="宋体" w:hAnsi="宋体" w:eastAsia="宋体" w:cs="宋体"/>
                <w:sz w:val="18"/>
                <w:szCs w:val="18"/>
              </w:rPr>
              <w:t>流动负债：</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E792C81"/>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0D198E"/>
        </w:tc>
      </w:tr>
      <w:tr w14:paraId="079561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93A0F2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短期借款</w:t>
            </w:r>
          </w:p>
        </w:tc>
        <w:tc>
          <w:tcPr>
            <w:tcW w:w="3213" w:type="dxa"/>
            <w:tcBorders>
              <w:top w:val="single" w:color="auto" w:sz="2" w:space="0"/>
              <w:left w:val="single" w:color="auto" w:sz="2" w:space="0"/>
              <w:bottom w:val="single" w:color="auto" w:sz="2" w:space="0"/>
              <w:right w:val="single" w:color="auto" w:sz="2" w:space="0"/>
            </w:tcBorders>
            <w:vAlign w:val="center"/>
          </w:tcPr>
          <w:p w14:paraId="29FCD009">
            <w:pPr>
              <w:spacing w:before="0" w:after="0" w:line="240" w:lineRule="exact"/>
              <w:jc w:val="right"/>
              <w:rPr>
                <w:rFonts w:ascii="宋体" w:hAnsi="宋体" w:eastAsia="宋体" w:cs="宋体"/>
                <w:sz w:val="18"/>
                <w:szCs w:val="18"/>
              </w:rPr>
            </w:pPr>
            <w:r>
              <w:rPr>
                <w:rFonts w:ascii="宋体" w:hAnsi="宋体" w:eastAsia="宋体" w:cs="宋体"/>
                <w:sz w:val="18"/>
                <w:szCs w:val="18"/>
              </w:rPr>
              <w:t>135,132,784.72</w:t>
            </w:r>
          </w:p>
        </w:tc>
        <w:tc>
          <w:tcPr>
            <w:tcW w:w="3213" w:type="dxa"/>
            <w:tcBorders>
              <w:top w:val="single" w:color="auto" w:sz="2" w:space="0"/>
              <w:left w:val="single" w:color="auto" w:sz="2" w:space="0"/>
              <w:bottom w:val="single" w:color="auto" w:sz="2" w:space="0"/>
              <w:right w:val="single" w:color="auto" w:sz="2" w:space="0"/>
            </w:tcBorders>
            <w:vAlign w:val="center"/>
          </w:tcPr>
          <w:p w14:paraId="3D130376">
            <w:pPr>
              <w:spacing w:before="0" w:after="0" w:line="240" w:lineRule="exact"/>
              <w:jc w:val="right"/>
              <w:rPr>
                <w:rFonts w:ascii="宋体" w:hAnsi="宋体" w:eastAsia="宋体" w:cs="宋体"/>
                <w:sz w:val="18"/>
                <w:szCs w:val="18"/>
              </w:rPr>
            </w:pPr>
            <w:r>
              <w:rPr>
                <w:rFonts w:ascii="宋体" w:hAnsi="宋体" w:eastAsia="宋体" w:cs="宋体"/>
                <w:sz w:val="18"/>
                <w:szCs w:val="18"/>
              </w:rPr>
              <w:t>164,182,424.75</w:t>
            </w:r>
          </w:p>
        </w:tc>
      </w:tr>
      <w:tr w14:paraId="043464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AC5B45A">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交易性金融负债</w:t>
            </w:r>
          </w:p>
        </w:tc>
        <w:tc>
          <w:tcPr>
            <w:tcW w:w="3213" w:type="dxa"/>
            <w:tcBorders>
              <w:top w:val="single" w:color="auto" w:sz="2" w:space="0"/>
              <w:left w:val="single" w:color="auto" w:sz="2" w:space="0"/>
              <w:bottom w:val="single" w:color="auto" w:sz="2" w:space="0"/>
              <w:right w:val="single" w:color="auto" w:sz="2" w:space="0"/>
            </w:tcBorders>
            <w:vAlign w:val="center"/>
          </w:tcPr>
          <w:p w14:paraId="0AD8D3F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5B935AE">
            <w:pPr>
              <w:spacing w:before="0" w:after="0" w:line="240" w:lineRule="exact"/>
              <w:jc w:val="right"/>
              <w:rPr>
                <w:rFonts w:ascii="宋体" w:hAnsi="宋体" w:eastAsia="宋体" w:cs="宋体"/>
                <w:sz w:val="18"/>
                <w:szCs w:val="18"/>
              </w:rPr>
            </w:pPr>
          </w:p>
        </w:tc>
      </w:tr>
      <w:tr w14:paraId="3C8AF6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87F3AFF">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衍生金融负债</w:t>
            </w:r>
          </w:p>
        </w:tc>
        <w:tc>
          <w:tcPr>
            <w:tcW w:w="3213" w:type="dxa"/>
            <w:tcBorders>
              <w:top w:val="single" w:color="auto" w:sz="2" w:space="0"/>
              <w:left w:val="single" w:color="auto" w:sz="2" w:space="0"/>
              <w:bottom w:val="single" w:color="auto" w:sz="2" w:space="0"/>
              <w:right w:val="single" w:color="auto" w:sz="2" w:space="0"/>
            </w:tcBorders>
            <w:vAlign w:val="center"/>
          </w:tcPr>
          <w:p w14:paraId="33BED804">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AA30F2C">
            <w:pPr>
              <w:spacing w:before="0" w:after="0" w:line="240" w:lineRule="exact"/>
              <w:jc w:val="right"/>
              <w:rPr>
                <w:rFonts w:ascii="宋体" w:hAnsi="宋体" w:eastAsia="宋体" w:cs="宋体"/>
                <w:sz w:val="18"/>
                <w:szCs w:val="18"/>
              </w:rPr>
            </w:pPr>
          </w:p>
        </w:tc>
      </w:tr>
      <w:tr w14:paraId="0B44C1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1A5D694">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应付票据</w:t>
            </w:r>
          </w:p>
        </w:tc>
        <w:tc>
          <w:tcPr>
            <w:tcW w:w="3213" w:type="dxa"/>
            <w:tcBorders>
              <w:top w:val="single" w:color="auto" w:sz="2" w:space="0"/>
              <w:left w:val="single" w:color="auto" w:sz="2" w:space="0"/>
              <w:bottom w:val="single" w:color="auto" w:sz="2" w:space="0"/>
              <w:right w:val="single" w:color="auto" w:sz="2" w:space="0"/>
            </w:tcBorders>
            <w:vAlign w:val="center"/>
          </w:tcPr>
          <w:p w14:paraId="080E38B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6FBE6B3">
            <w:pPr>
              <w:spacing w:before="0" w:after="0" w:line="240" w:lineRule="exact"/>
              <w:jc w:val="right"/>
              <w:rPr>
                <w:rFonts w:ascii="宋体" w:hAnsi="宋体" w:eastAsia="宋体" w:cs="宋体"/>
                <w:sz w:val="18"/>
                <w:szCs w:val="18"/>
              </w:rPr>
            </w:pPr>
          </w:p>
        </w:tc>
      </w:tr>
      <w:tr w14:paraId="3CCFA6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13A5CCF">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应付账款</w:t>
            </w:r>
          </w:p>
        </w:tc>
        <w:tc>
          <w:tcPr>
            <w:tcW w:w="3213" w:type="dxa"/>
            <w:tcBorders>
              <w:top w:val="single" w:color="auto" w:sz="2" w:space="0"/>
              <w:left w:val="single" w:color="auto" w:sz="2" w:space="0"/>
              <w:bottom w:val="single" w:color="auto" w:sz="2" w:space="0"/>
              <w:right w:val="single" w:color="auto" w:sz="2" w:space="0"/>
            </w:tcBorders>
            <w:vAlign w:val="center"/>
          </w:tcPr>
          <w:p w14:paraId="5E619014">
            <w:pPr>
              <w:spacing w:before="0" w:after="0" w:line="240" w:lineRule="exact"/>
              <w:jc w:val="right"/>
              <w:rPr>
                <w:rFonts w:ascii="宋体" w:hAnsi="宋体" w:eastAsia="宋体" w:cs="宋体"/>
                <w:sz w:val="18"/>
                <w:szCs w:val="18"/>
              </w:rPr>
            </w:pPr>
            <w:r>
              <w:rPr>
                <w:rFonts w:ascii="宋体" w:hAnsi="宋体" w:eastAsia="宋体" w:cs="宋体"/>
                <w:sz w:val="18"/>
                <w:szCs w:val="18"/>
              </w:rPr>
              <w:t>84,642,445.16</w:t>
            </w:r>
          </w:p>
        </w:tc>
        <w:tc>
          <w:tcPr>
            <w:tcW w:w="3213" w:type="dxa"/>
            <w:tcBorders>
              <w:top w:val="single" w:color="auto" w:sz="2" w:space="0"/>
              <w:left w:val="single" w:color="auto" w:sz="2" w:space="0"/>
              <w:bottom w:val="single" w:color="auto" w:sz="2" w:space="0"/>
              <w:right w:val="single" w:color="auto" w:sz="2" w:space="0"/>
            </w:tcBorders>
            <w:vAlign w:val="center"/>
          </w:tcPr>
          <w:p w14:paraId="3C26E03A">
            <w:pPr>
              <w:spacing w:before="0" w:after="0" w:line="240" w:lineRule="exact"/>
              <w:jc w:val="right"/>
              <w:rPr>
                <w:rFonts w:ascii="宋体" w:hAnsi="宋体" w:eastAsia="宋体" w:cs="宋体"/>
                <w:sz w:val="18"/>
                <w:szCs w:val="18"/>
              </w:rPr>
            </w:pPr>
            <w:r>
              <w:rPr>
                <w:rFonts w:ascii="宋体" w:hAnsi="宋体" w:eastAsia="宋体" w:cs="宋体"/>
                <w:sz w:val="18"/>
                <w:szCs w:val="18"/>
              </w:rPr>
              <w:t>73,617,845.92</w:t>
            </w:r>
          </w:p>
        </w:tc>
      </w:tr>
      <w:tr w14:paraId="234734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5EC749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预收款项</w:t>
            </w:r>
          </w:p>
        </w:tc>
        <w:tc>
          <w:tcPr>
            <w:tcW w:w="3213" w:type="dxa"/>
            <w:tcBorders>
              <w:top w:val="single" w:color="auto" w:sz="2" w:space="0"/>
              <w:left w:val="single" w:color="auto" w:sz="2" w:space="0"/>
              <w:bottom w:val="single" w:color="auto" w:sz="2" w:space="0"/>
              <w:right w:val="single" w:color="auto" w:sz="2" w:space="0"/>
            </w:tcBorders>
            <w:vAlign w:val="center"/>
          </w:tcPr>
          <w:p w14:paraId="17BBEC28">
            <w:pPr>
              <w:spacing w:before="0" w:after="0" w:line="240" w:lineRule="exact"/>
              <w:jc w:val="right"/>
              <w:rPr>
                <w:rFonts w:ascii="宋体" w:hAnsi="宋体" w:eastAsia="宋体" w:cs="宋体"/>
                <w:sz w:val="18"/>
                <w:szCs w:val="18"/>
              </w:rPr>
            </w:pPr>
            <w:r>
              <w:rPr>
                <w:rFonts w:ascii="宋体" w:hAnsi="宋体" w:eastAsia="宋体" w:cs="宋体"/>
                <w:sz w:val="18"/>
                <w:szCs w:val="18"/>
              </w:rPr>
              <w:t>9,017.89</w:t>
            </w:r>
          </w:p>
        </w:tc>
        <w:tc>
          <w:tcPr>
            <w:tcW w:w="3213" w:type="dxa"/>
            <w:tcBorders>
              <w:top w:val="single" w:color="auto" w:sz="2" w:space="0"/>
              <w:left w:val="single" w:color="auto" w:sz="2" w:space="0"/>
              <w:bottom w:val="single" w:color="auto" w:sz="2" w:space="0"/>
              <w:right w:val="single" w:color="auto" w:sz="2" w:space="0"/>
            </w:tcBorders>
            <w:vAlign w:val="center"/>
          </w:tcPr>
          <w:p w14:paraId="10AF9F76">
            <w:pPr>
              <w:spacing w:before="0" w:after="0" w:line="240" w:lineRule="exact"/>
              <w:jc w:val="right"/>
              <w:rPr>
                <w:rFonts w:ascii="宋体" w:hAnsi="宋体" w:eastAsia="宋体" w:cs="宋体"/>
                <w:sz w:val="18"/>
                <w:szCs w:val="18"/>
              </w:rPr>
            </w:pPr>
            <w:r>
              <w:rPr>
                <w:rFonts w:ascii="宋体" w:hAnsi="宋体" w:eastAsia="宋体" w:cs="宋体"/>
                <w:sz w:val="18"/>
                <w:szCs w:val="18"/>
              </w:rPr>
              <w:t>6,732.30</w:t>
            </w:r>
          </w:p>
        </w:tc>
      </w:tr>
      <w:tr w14:paraId="72EC05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28594A4">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合同负债</w:t>
            </w:r>
          </w:p>
        </w:tc>
        <w:tc>
          <w:tcPr>
            <w:tcW w:w="3213" w:type="dxa"/>
            <w:tcBorders>
              <w:top w:val="single" w:color="auto" w:sz="2" w:space="0"/>
              <w:left w:val="single" w:color="auto" w:sz="2" w:space="0"/>
              <w:bottom w:val="single" w:color="auto" w:sz="2" w:space="0"/>
              <w:right w:val="single" w:color="auto" w:sz="2" w:space="0"/>
            </w:tcBorders>
            <w:vAlign w:val="center"/>
          </w:tcPr>
          <w:p w14:paraId="33CA4237">
            <w:pPr>
              <w:spacing w:before="0" w:after="0" w:line="240" w:lineRule="exact"/>
              <w:jc w:val="right"/>
              <w:rPr>
                <w:rFonts w:ascii="宋体" w:hAnsi="宋体" w:eastAsia="宋体" w:cs="宋体"/>
                <w:sz w:val="18"/>
                <w:szCs w:val="18"/>
              </w:rPr>
            </w:pPr>
            <w:r>
              <w:rPr>
                <w:rFonts w:ascii="宋体" w:hAnsi="宋体" w:eastAsia="宋体" w:cs="宋体"/>
                <w:sz w:val="18"/>
                <w:szCs w:val="18"/>
              </w:rPr>
              <w:t>1,809,742.74</w:t>
            </w:r>
          </w:p>
        </w:tc>
        <w:tc>
          <w:tcPr>
            <w:tcW w:w="3213" w:type="dxa"/>
            <w:tcBorders>
              <w:top w:val="single" w:color="auto" w:sz="2" w:space="0"/>
              <w:left w:val="single" w:color="auto" w:sz="2" w:space="0"/>
              <w:bottom w:val="single" w:color="auto" w:sz="2" w:space="0"/>
              <w:right w:val="single" w:color="auto" w:sz="2" w:space="0"/>
            </w:tcBorders>
            <w:vAlign w:val="center"/>
          </w:tcPr>
          <w:p w14:paraId="0BE205FC">
            <w:pPr>
              <w:spacing w:before="0" w:after="0" w:line="240" w:lineRule="exact"/>
              <w:jc w:val="right"/>
              <w:rPr>
                <w:rFonts w:ascii="宋体" w:hAnsi="宋体" w:eastAsia="宋体" w:cs="宋体"/>
                <w:sz w:val="18"/>
                <w:szCs w:val="18"/>
              </w:rPr>
            </w:pPr>
            <w:r>
              <w:rPr>
                <w:rFonts w:ascii="宋体" w:hAnsi="宋体" w:eastAsia="宋体" w:cs="宋体"/>
                <w:sz w:val="18"/>
                <w:szCs w:val="18"/>
              </w:rPr>
              <w:t>9,163,887.15</w:t>
            </w:r>
          </w:p>
        </w:tc>
      </w:tr>
      <w:tr w14:paraId="359F37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9D99F1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应付职工薪酬</w:t>
            </w:r>
          </w:p>
        </w:tc>
        <w:tc>
          <w:tcPr>
            <w:tcW w:w="3213" w:type="dxa"/>
            <w:tcBorders>
              <w:top w:val="single" w:color="auto" w:sz="2" w:space="0"/>
              <w:left w:val="single" w:color="auto" w:sz="2" w:space="0"/>
              <w:bottom w:val="single" w:color="auto" w:sz="2" w:space="0"/>
              <w:right w:val="single" w:color="auto" w:sz="2" w:space="0"/>
            </w:tcBorders>
            <w:vAlign w:val="center"/>
          </w:tcPr>
          <w:p w14:paraId="58242826">
            <w:pPr>
              <w:spacing w:before="0" w:after="0" w:line="240" w:lineRule="exact"/>
              <w:jc w:val="right"/>
              <w:rPr>
                <w:rFonts w:ascii="宋体" w:hAnsi="宋体" w:eastAsia="宋体" w:cs="宋体"/>
                <w:sz w:val="18"/>
                <w:szCs w:val="18"/>
              </w:rPr>
            </w:pPr>
            <w:r>
              <w:rPr>
                <w:rFonts w:ascii="宋体" w:hAnsi="宋体" w:eastAsia="宋体" w:cs="宋体"/>
                <w:sz w:val="18"/>
                <w:szCs w:val="18"/>
              </w:rPr>
              <w:t>4,999,099.15</w:t>
            </w:r>
          </w:p>
        </w:tc>
        <w:tc>
          <w:tcPr>
            <w:tcW w:w="3213" w:type="dxa"/>
            <w:tcBorders>
              <w:top w:val="single" w:color="auto" w:sz="2" w:space="0"/>
              <w:left w:val="single" w:color="auto" w:sz="2" w:space="0"/>
              <w:bottom w:val="single" w:color="auto" w:sz="2" w:space="0"/>
              <w:right w:val="single" w:color="auto" w:sz="2" w:space="0"/>
            </w:tcBorders>
            <w:vAlign w:val="center"/>
          </w:tcPr>
          <w:p w14:paraId="4B97564D">
            <w:pPr>
              <w:spacing w:before="0" w:after="0" w:line="240" w:lineRule="exact"/>
              <w:jc w:val="right"/>
              <w:rPr>
                <w:rFonts w:ascii="宋体" w:hAnsi="宋体" w:eastAsia="宋体" w:cs="宋体"/>
                <w:sz w:val="18"/>
                <w:szCs w:val="18"/>
              </w:rPr>
            </w:pPr>
            <w:r>
              <w:rPr>
                <w:rFonts w:ascii="宋体" w:hAnsi="宋体" w:eastAsia="宋体" w:cs="宋体"/>
                <w:sz w:val="18"/>
                <w:szCs w:val="18"/>
              </w:rPr>
              <w:t>6,942,978.44</w:t>
            </w:r>
          </w:p>
        </w:tc>
      </w:tr>
      <w:tr w14:paraId="1406A6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D93E3FF">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应交税费</w:t>
            </w:r>
          </w:p>
        </w:tc>
        <w:tc>
          <w:tcPr>
            <w:tcW w:w="3213" w:type="dxa"/>
            <w:tcBorders>
              <w:top w:val="single" w:color="auto" w:sz="2" w:space="0"/>
              <w:left w:val="single" w:color="auto" w:sz="2" w:space="0"/>
              <w:bottom w:val="single" w:color="auto" w:sz="2" w:space="0"/>
              <w:right w:val="single" w:color="auto" w:sz="2" w:space="0"/>
            </w:tcBorders>
            <w:vAlign w:val="center"/>
          </w:tcPr>
          <w:p w14:paraId="31D4EC42">
            <w:pPr>
              <w:spacing w:before="0" w:after="0" w:line="240" w:lineRule="exact"/>
              <w:jc w:val="right"/>
              <w:rPr>
                <w:rFonts w:ascii="宋体" w:hAnsi="宋体" w:eastAsia="宋体" w:cs="宋体"/>
                <w:sz w:val="18"/>
                <w:szCs w:val="18"/>
              </w:rPr>
            </w:pPr>
            <w:r>
              <w:rPr>
                <w:rFonts w:ascii="宋体" w:hAnsi="宋体" w:eastAsia="宋体" w:cs="宋体"/>
                <w:sz w:val="18"/>
                <w:szCs w:val="18"/>
              </w:rPr>
              <w:t>2,689,826.66</w:t>
            </w:r>
          </w:p>
        </w:tc>
        <w:tc>
          <w:tcPr>
            <w:tcW w:w="3213" w:type="dxa"/>
            <w:tcBorders>
              <w:top w:val="single" w:color="auto" w:sz="2" w:space="0"/>
              <w:left w:val="single" w:color="auto" w:sz="2" w:space="0"/>
              <w:bottom w:val="single" w:color="auto" w:sz="2" w:space="0"/>
              <w:right w:val="single" w:color="auto" w:sz="2" w:space="0"/>
            </w:tcBorders>
            <w:vAlign w:val="center"/>
          </w:tcPr>
          <w:p w14:paraId="6D31A5EF">
            <w:pPr>
              <w:spacing w:before="0" w:after="0" w:line="240" w:lineRule="exact"/>
              <w:jc w:val="right"/>
              <w:rPr>
                <w:rFonts w:ascii="宋体" w:hAnsi="宋体" w:eastAsia="宋体" w:cs="宋体"/>
                <w:sz w:val="18"/>
                <w:szCs w:val="18"/>
              </w:rPr>
            </w:pPr>
            <w:r>
              <w:rPr>
                <w:rFonts w:ascii="宋体" w:hAnsi="宋体" w:eastAsia="宋体" w:cs="宋体"/>
                <w:sz w:val="18"/>
                <w:szCs w:val="18"/>
              </w:rPr>
              <w:t>1,104,093.68</w:t>
            </w:r>
          </w:p>
        </w:tc>
      </w:tr>
      <w:tr w14:paraId="0026F3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373EB4C">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其他应付款</w:t>
            </w:r>
          </w:p>
        </w:tc>
        <w:tc>
          <w:tcPr>
            <w:tcW w:w="3213" w:type="dxa"/>
            <w:tcBorders>
              <w:top w:val="single" w:color="auto" w:sz="2" w:space="0"/>
              <w:left w:val="single" w:color="auto" w:sz="2" w:space="0"/>
              <w:bottom w:val="single" w:color="auto" w:sz="2" w:space="0"/>
              <w:right w:val="single" w:color="auto" w:sz="2" w:space="0"/>
            </w:tcBorders>
            <w:vAlign w:val="center"/>
          </w:tcPr>
          <w:p w14:paraId="6F80BB5B">
            <w:pPr>
              <w:spacing w:before="0" w:after="0" w:line="240" w:lineRule="exact"/>
              <w:jc w:val="right"/>
              <w:rPr>
                <w:rFonts w:ascii="宋体" w:hAnsi="宋体" w:eastAsia="宋体" w:cs="宋体"/>
                <w:sz w:val="18"/>
                <w:szCs w:val="18"/>
              </w:rPr>
            </w:pPr>
            <w:r>
              <w:rPr>
                <w:rFonts w:ascii="宋体" w:hAnsi="宋体" w:eastAsia="宋体" w:cs="宋体"/>
                <w:sz w:val="18"/>
                <w:szCs w:val="18"/>
              </w:rPr>
              <w:t>15,234,089.38</w:t>
            </w:r>
          </w:p>
        </w:tc>
        <w:tc>
          <w:tcPr>
            <w:tcW w:w="3213" w:type="dxa"/>
            <w:tcBorders>
              <w:top w:val="single" w:color="auto" w:sz="2" w:space="0"/>
              <w:left w:val="single" w:color="auto" w:sz="2" w:space="0"/>
              <w:bottom w:val="single" w:color="auto" w:sz="2" w:space="0"/>
              <w:right w:val="single" w:color="auto" w:sz="2" w:space="0"/>
            </w:tcBorders>
            <w:vAlign w:val="center"/>
          </w:tcPr>
          <w:p w14:paraId="1318FCA7">
            <w:pPr>
              <w:spacing w:before="0" w:after="0" w:line="240" w:lineRule="exact"/>
              <w:jc w:val="right"/>
              <w:rPr>
                <w:rFonts w:ascii="宋体" w:hAnsi="宋体" w:eastAsia="宋体" w:cs="宋体"/>
                <w:sz w:val="18"/>
                <w:szCs w:val="18"/>
              </w:rPr>
            </w:pPr>
            <w:r>
              <w:rPr>
                <w:rFonts w:ascii="宋体" w:hAnsi="宋体" w:eastAsia="宋体" w:cs="宋体"/>
                <w:sz w:val="18"/>
                <w:szCs w:val="18"/>
              </w:rPr>
              <w:t>57,609,016.18</w:t>
            </w:r>
          </w:p>
        </w:tc>
      </w:tr>
      <w:tr w14:paraId="607CD8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14F237B">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其中：应付利息</w:t>
            </w:r>
          </w:p>
        </w:tc>
        <w:tc>
          <w:tcPr>
            <w:tcW w:w="3213" w:type="dxa"/>
            <w:tcBorders>
              <w:top w:val="single" w:color="auto" w:sz="2" w:space="0"/>
              <w:left w:val="single" w:color="auto" w:sz="2" w:space="0"/>
              <w:bottom w:val="single" w:color="auto" w:sz="2" w:space="0"/>
              <w:right w:val="single" w:color="auto" w:sz="2" w:space="0"/>
            </w:tcBorders>
            <w:vAlign w:val="center"/>
          </w:tcPr>
          <w:p w14:paraId="0189A34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B8ED197">
            <w:pPr>
              <w:spacing w:before="0" w:after="0" w:line="240" w:lineRule="exact"/>
              <w:jc w:val="right"/>
              <w:rPr>
                <w:rFonts w:ascii="宋体" w:hAnsi="宋体" w:eastAsia="宋体" w:cs="宋体"/>
                <w:sz w:val="18"/>
                <w:szCs w:val="18"/>
              </w:rPr>
            </w:pPr>
          </w:p>
        </w:tc>
      </w:tr>
      <w:tr w14:paraId="0A21A2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0A35AB1">
            <w:pPr>
              <w:spacing w:before="40" w:after="40" w:line="240" w:lineRule="exact"/>
              <w:ind w:firstLine="900" w:firstLineChars="500"/>
              <w:jc w:val="left"/>
              <w:rPr>
                <w:rFonts w:ascii="宋体" w:hAnsi="宋体" w:eastAsia="宋体" w:cs="宋体"/>
                <w:sz w:val="18"/>
                <w:szCs w:val="18"/>
              </w:rPr>
            </w:pPr>
            <w:r>
              <w:rPr>
                <w:rFonts w:ascii="宋体" w:hAnsi="宋体" w:eastAsia="宋体" w:cs="宋体"/>
                <w:sz w:val="18"/>
                <w:szCs w:val="18"/>
              </w:rPr>
              <w:t>应付股利</w:t>
            </w:r>
          </w:p>
        </w:tc>
        <w:tc>
          <w:tcPr>
            <w:tcW w:w="3213" w:type="dxa"/>
            <w:tcBorders>
              <w:top w:val="single" w:color="auto" w:sz="2" w:space="0"/>
              <w:left w:val="single" w:color="auto" w:sz="2" w:space="0"/>
              <w:bottom w:val="single" w:color="auto" w:sz="2" w:space="0"/>
              <w:right w:val="single" w:color="auto" w:sz="2" w:space="0"/>
            </w:tcBorders>
            <w:vAlign w:val="center"/>
          </w:tcPr>
          <w:p w14:paraId="1DC08B6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9A46D15">
            <w:pPr>
              <w:spacing w:before="0" w:after="0" w:line="240" w:lineRule="exact"/>
              <w:jc w:val="right"/>
              <w:rPr>
                <w:rFonts w:ascii="宋体" w:hAnsi="宋体" w:eastAsia="宋体" w:cs="宋体"/>
                <w:sz w:val="18"/>
                <w:szCs w:val="18"/>
              </w:rPr>
            </w:pPr>
          </w:p>
        </w:tc>
      </w:tr>
      <w:tr w14:paraId="262C2F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BB0CDEB">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持有待售负债</w:t>
            </w:r>
          </w:p>
        </w:tc>
        <w:tc>
          <w:tcPr>
            <w:tcW w:w="3213" w:type="dxa"/>
            <w:tcBorders>
              <w:top w:val="single" w:color="auto" w:sz="2" w:space="0"/>
              <w:left w:val="single" w:color="auto" w:sz="2" w:space="0"/>
              <w:bottom w:val="single" w:color="auto" w:sz="2" w:space="0"/>
              <w:right w:val="single" w:color="auto" w:sz="2" w:space="0"/>
            </w:tcBorders>
            <w:vAlign w:val="center"/>
          </w:tcPr>
          <w:p w14:paraId="3CF41ED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3D16DC5">
            <w:pPr>
              <w:spacing w:before="0" w:after="0" w:line="240" w:lineRule="exact"/>
              <w:jc w:val="right"/>
              <w:rPr>
                <w:rFonts w:ascii="宋体" w:hAnsi="宋体" w:eastAsia="宋体" w:cs="宋体"/>
                <w:sz w:val="18"/>
                <w:szCs w:val="18"/>
              </w:rPr>
            </w:pPr>
          </w:p>
        </w:tc>
      </w:tr>
      <w:tr w14:paraId="1AEB27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2CC686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一年内到期的非流动负债</w:t>
            </w:r>
          </w:p>
        </w:tc>
        <w:tc>
          <w:tcPr>
            <w:tcW w:w="3213" w:type="dxa"/>
            <w:tcBorders>
              <w:top w:val="single" w:color="auto" w:sz="2" w:space="0"/>
              <w:left w:val="single" w:color="auto" w:sz="2" w:space="0"/>
              <w:bottom w:val="single" w:color="auto" w:sz="2" w:space="0"/>
              <w:right w:val="single" w:color="auto" w:sz="2" w:space="0"/>
            </w:tcBorders>
            <w:vAlign w:val="center"/>
          </w:tcPr>
          <w:p w14:paraId="2DADD148">
            <w:pPr>
              <w:spacing w:before="0" w:after="0" w:line="240" w:lineRule="exact"/>
              <w:jc w:val="right"/>
              <w:rPr>
                <w:rFonts w:ascii="宋体" w:hAnsi="宋体" w:eastAsia="宋体" w:cs="宋体"/>
                <w:sz w:val="18"/>
                <w:szCs w:val="18"/>
              </w:rPr>
            </w:pPr>
            <w:r>
              <w:rPr>
                <w:rFonts w:ascii="宋体" w:hAnsi="宋体" w:eastAsia="宋体" w:cs="宋体"/>
                <w:sz w:val="18"/>
                <w:szCs w:val="18"/>
              </w:rPr>
              <w:t>118,017,355.78</w:t>
            </w:r>
          </w:p>
        </w:tc>
        <w:tc>
          <w:tcPr>
            <w:tcW w:w="3213" w:type="dxa"/>
            <w:tcBorders>
              <w:top w:val="single" w:color="auto" w:sz="2" w:space="0"/>
              <w:left w:val="single" w:color="auto" w:sz="2" w:space="0"/>
              <w:bottom w:val="single" w:color="auto" w:sz="2" w:space="0"/>
              <w:right w:val="single" w:color="auto" w:sz="2" w:space="0"/>
            </w:tcBorders>
            <w:vAlign w:val="center"/>
          </w:tcPr>
          <w:p w14:paraId="1D2D176C">
            <w:pPr>
              <w:spacing w:before="0" w:after="0" w:line="240" w:lineRule="exact"/>
              <w:jc w:val="right"/>
              <w:rPr>
                <w:rFonts w:ascii="宋体" w:hAnsi="宋体" w:eastAsia="宋体" w:cs="宋体"/>
                <w:sz w:val="18"/>
                <w:szCs w:val="18"/>
              </w:rPr>
            </w:pPr>
            <w:r>
              <w:rPr>
                <w:rFonts w:ascii="宋体" w:hAnsi="宋体" w:eastAsia="宋体" w:cs="宋体"/>
                <w:sz w:val="18"/>
                <w:szCs w:val="18"/>
              </w:rPr>
              <w:t>72,304,676.98</w:t>
            </w:r>
          </w:p>
        </w:tc>
      </w:tr>
      <w:tr w14:paraId="4E8E57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C8AB6C4">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其他流动负债</w:t>
            </w:r>
          </w:p>
        </w:tc>
        <w:tc>
          <w:tcPr>
            <w:tcW w:w="3213" w:type="dxa"/>
            <w:tcBorders>
              <w:top w:val="single" w:color="auto" w:sz="2" w:space="0"/>
              <w:left w:val="single" w:color="auto" w:sz="2" w:space="0"/>
              <w:bottom w:val="single" w:color="auto" w:sz="2" w:space="0"/>
              <w:right w:val="single" w:color="auto" w:sz="2" w:space="0"/>
            </w:tcBorders>
            <w:vAlign w:val="center"/>
          </w:tcPr>
          <w:p w14:paraId="4FF126CE">
            <w:pPr>
              <w:spacing w:before="0" w:after="0" w:line="240" w:lineRule="exact"/>
              <w:jc w:val="right"/>
              <w:rPr>
                <w:rFonts w:ascii="宋体" w:hAnsi="宋体" w:eastAsia="宋体" w:cs="宋体"/>
                <w:sz w:val="18"/>
                <w:szCs w:val="18"/>
              </w:rPr>
            </w:pPr>
            <w:r>
              <w:rPr>
                <w:rFonts w:ascii="宋体" w:hAnsi="宋体" w:eastAsia="宋体" w:cs="宋体"/>
                <w:sz w:val="18"/>
                <w:szCs w:val="18"/>
              </w:rPr>
              <w:t>153,742.13</w:t>
            </w:r>
          </w:p>
        </w:tc>
        <w:tc>
          <w:tcPr>
            <w:tcW w:w="3213" w:type="dxa"/>
            <w:tcBorders>
              <w:top w:val="single" w:color="auto" w:sz="2" w:space="0"/>
              <w:left w:val="single" w:color="auto" w:sz="2" w:space="0"/>
              <w:bottom w:val="single" w:color="auto" w:sz="2" w:space="0"/>
              <w:right w:val="single" w:color="auto" w:sz="2" w:space="0"/>
            </w:tcBorders>
            <w:vAlign w:val="center"/>
          </w:tcPr>
          <w:p w14:paraId="2F9A30C9">
            <w:pPr>
              <w:spacing w:before="0" w:after="0" w:line="240" w:lineRule="exact"/>
              <w:jc w:val="right"/>
              <w:rPr>
                <w:rFonts w:ascii="宋体" w:hAnsi="宋体" w:eastAsia="宋体" w:cs="宋体"/>
                <w:sz w:val="18"/>
                <w:szCs w:val="18"/>
              </w:rPr>
            </w:pPr>
            <w:r>
              <w:rPr>
                <w:rFonts w:ascii="宋体" w:hAnsi="宋体" w:eastAsia="宋体" w:cs="宋体"/>
                <w:sz w:val="18"/>
                <w:szCs w:val="18"/>
              </w:rPr>
              <w:t>1,112,418.22</w:t>
            </w:r>
          </w:p>
        </w:tc>
      </w:tr>
      <w:tr w14:paraId="1A12AE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141C5F9">
            <w:pPr>
              <w:spacing w:before="40" w:after="40" w:line="240" w:lineRule="exact"/>
              <w:jc w:val="left"/>
              <w:rPr>
                <w:rFonts w:ascii="宋体" w:hAnsi="宋体" w:eastAsia="宋体" w:cs="宋体"/>
                <w:sz w:val="18"/>
                <w:szCs w:val="18"/>
              </w:rPr>
            </w:pPr>
            <w:r>
              <w:rPr>
                <w:rFonts w:ascii="宋体" w:hAnsi="宋体" w:eastAsia="宋体" w:cs="宋体"/>
                <w:sz w:val="18"/>
                <w:szCs w:val="18"/>
              </w:rPr>
              <w:t>流动负债合计</w:t>
            </w:r>
          </w:p>
        </w:tc>
        <w:tc>
          <w:tcPr>
            <w:tcW w:w="3213" w:type="dxa"/>
            <w:tcBorders>
              <w:top w:val="single" w:color="auto" w:sz="2" w:space="0"/>
              <w:left w:val="single" w:color="auto" w:sz="2" w:space="0"/>
              <w:bottom w:val="single" w:color="auto" w:sz="2" w:space="0"/>
              <w:right w:val="single" w:color="auto" w:sz="2" w:space="0"/>
            </w:tcBorders>
            <w:vAlign w:val="center"/>
          </w:tcPr>
          <w:p w14:paraId="428AD38C">
            <w:pPr>
              <w:spacing w:before="0" w:after="0" w:line="240" w:lineRule="exact"/>
              <w:jc w:val="right"/>
              <w:rPr>
                <w:rFonts w:ascii="宋体" w:hAnsi="宋体" w:eastAsia="宋体" w:cs="宋体"/>
                <w:sz w:val="18"/>
                <w:szCs w:val="18"/>
              </w:rPr>
            </w:pPr>
            <w:r>
              <w:rPr>
                <w:rFonts w:ascii="宋体" w:hAnsi="宋体" w:eastAsia="宋体" w:cs="宋体"/>
                <w:sz w:val="18"/>
                <w:szCs w:val="18"/>
              </w:rPr>
              <w:t>362,688,103.61</w:t>
            </w:r>
          </w:p>
        </w:tc>
        <w:tc>
          <w:tcPr>
            <w:tcW w:w="3213" w:type="dxa"/>
            <w:tcBorders>
              <w:top w:val="single" w:color="auto" w:sz="2" w:space="0"/>
              <w:left w:val="single" w:color="auto" w:sz="2" w:space="0"/>
              <w:bottom w:val="single" w:color="auto" w:sz="2" w:space="0"/>
              <w:right w:val="single" w:color="auto" w:sz="2" w:space="0"/>
            </w:tcBorders>
            <w:vAlign w:val="center"/>
          </w:tcPr>
          <w:p w14:paraId="767F2B82">
            <w:pPr>
              <w:spacing w:before="0" w:after="0" w:line="240" w:lineRule="exact"/>
              <w:jc w:val="right"/>
              <w:rPr>
                <w:rFonts w:ascii="宋体" w:hAnsi="宋体" w:eastAsia="宋体" w:cs="宋体"/>
                <w:sz w:val="18"/>
                <w:szCs w:val="18"/>
              </w:rPr>
            </w:pPr>
            <w:r>
              <w:rPr>
                <w:rFonts w:ascii="宋体" w:hAnsi="宋体" w:eastAsia="宋体" w:cs="宋体"/>
                <w:sz w:val="18"/>
                <w:szCs w:val="18"/>
              </w:rPr>
              <w:t>386,044,073.62</w:t>
            </w:r>
          </w:p>
        </w:tc>
      </w:tr>
      <w:tr w14:paraId="051FD9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D8A17A7">
            <w:pPr>
              <w:spacing w:before="40" w:after="40" w:line="240" w:lineRule="exact"/>
              <w:jc w:val="left"/>
              <w:rPr>
                <w:rFonts w:ascii="宋体" w:hAnsi="宋体" w:eastAsia="宋体" w:cs="宋体"/>
                <w:sz w:val="18"/>
                <w:szCs w:val="18"/>
              </w:rPr>
            </w:pPr>
            <w:r>
              <w:rPr>
                <w:rFonts w:ascii="宋体" w:hAnsi="宋体" w:eastAsia="宋体" w:cs="宋体"/>
                <w:sz w:val="18"/>
                <w:szCs w:val="18"/>
              </w:rPr>
              <w:t>非流动负债：</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F85CDD0"/>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FCAF415"/>
        </w:tc>
      </w:tr>
      <w:tr w14:paraId="40E43D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E1C479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长期借款</w:t>
            </w:r>
          </w:p>
        </w:tc>
        <w:tc>
          <w:tcPr>
            <w:tcW w:w="3213" w:type="dxa"/>
            <w:tcBorders>
              <w:top w:val="single" w:color="auto" w:sz="2" w:space="0"/>
              <w:left w:val="single" w:color="auto" w:sz="2" w:space="0"/>
              <w:bottom w:val="single" w:color="auto" w:sz="2" w:space="0"/>
              <w:right w:val="single" w:color="auto" w:sz="2" w:space="0"/>
            </w:tcBorders>
            <w:vAlign w:val="center"/>
          </w:tcPr>
          <w:p w14:paraId="4EE8247D">
            <w:pPr>
              <w:spacing w:before="0" w:after="0" w:line="240" w:lineRule="exact"/>
              <w:jc w:val="right"/>
              <w:rPr>
                <w:rFonts w:ascii="宋体" w:hAnsi="宋体" w:eastAsia="宋体" w:cs="宋体"/>
                <w:sz w:val="18"/>
                <w:szCs w:val="18"/>
              </w:rPr>
            </w:pPr>
            <w:r>
              <w:rPr>
                <w:rFonts w:ascii="宋体" w:hAnsi="宋体" w:eastAsia="宋体" w:cs="宋体"/>
                <w:sz w:val="18"/>
                <w:szCs w:val="18"/>
              </w:rPr>
              <w:t>142,363,100.00</w:t>
            </w:r>
          </w:p>
        </w:tc>
        <w:tc>
          <w:tcPr>
            <w:tcW w:w="3213" w:type="dxa"/>
            <w:tcBorders>
              <w:top w:val="single" w:color="auto" w:sz="2" w:space="0"/>
              <w:left w:val="single" w:color="auto" w:sz="2" w:space="0"/>
              <w:bottom w:val="single" w:color="auto" w:sz="2" w:space="0"/>
              <w:right w:val="single" w:color="auto" w:sz="2" w:space="0"/>
            </w:tcBorders>
            <w:vAlign w:val="center"/>
          </w:tcPr>
          <w:p w14:paraId="313C541A">
            <w:pPr>
              <w:spacing w:before="0" w:after="0" w:line="240" w:lineRule="exact"/>
              <w:jc w:val="right"/>
              <w:rPr>
                <w:rFonts w:ascii="宋体" w:hAnsi="宋体" w:eastAsia="宋体" w:cs="宋体"/>
                <w:sz w:val="18"/>
                <w:szCs w:val="18"/>
              </w:rPr>
            </w:pPr>
            <w:r>
              <w:rPr>
                <w:rFonts w:ascii="宋体" w:hAnsi="宋体" w:eastAsia="宋体" w:cs="宋体"/>
                <w:sz w:val="18"/>
                <w:szCs w:val="18"/>
              </w:rPr>
              <w:t>167,692,100.00</w:t>
            </w:r>
          </w:p>
        </w:tc>
      </w:tr>
      <w:tr w14:paraId="21BC00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7380E4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应付债券</w:t>
            </w:r>
          </w:p>
        </w:tc>
        <w:tc>
          <w:tcPr>
            <w:tcW w:w="3213" w:type="dxa"/>
            <w:tcBorders>
              <w:top w:val="single" w:color="auto" w:sz="2" w:space="0"/>
              <w:left w:val="single" w:color="auto" w:sz="2" w:space="0"/>
              <w:bottom w:val="single" w:color="auto" w:sz="2" w:space="0"/>
              <w:right w:val="single" w:color="auto" w:sz="2" w:space="0"/>
            </w:tcBorders>
            <w:vAlign w:val="center"/>
          </w:tcPr>
          <w:p w14:paraId="255D5BB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E6E7B34">
            <w:pPr>
              <w:spacing w:before="0" w:after="0" w:line="240" w:lineRule="exact"/>
              <w:jc w:val="right"/>
              <w:rPr>
                <w:rFonts w:ascii="宋体" w:hAnsi="宋体" w:eastAsia="宋体" w:cs="宋体"/>
                <w:sz w:val="18"/>
                <w:szCs w:val="18"/>
              </w:rPr>
            </w:pPr>
          </w:p>
        </w:tc>
      </w:tr>
      <w:tr w14:paraId="22B7A9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0757CD">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其中：优先股</w:t>
            </w:r>
          </w:p>
        </w:tc>
        <w:tc>
          <w:tcPr>
            <w:tcW w:w="3213" w:type="dxa"/>
            <w:tcBorders>
              <w:top w:val="single" w:color="auto" w:sz="2" w:space="0"/>
              <w:left w:val="single" w:color="auto" w:sz="2" w:space="0"/>
              <w:bottom w:val="single" w:color="auto" w:sz="2" w:space="0"/>
              <w:right w:val="single" w:color="auto" w:sz="2" w:space="0"/>
            </w:tcBorders>
            <w:vAlign w:val="center"/>
          </w:tcPr>
          <w:p w14:paraId="41487BD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444594E">
            <w:pPr>
              <w:spacing w:before="0" w:after="0" w:line="240" w:lineRule="exact"/>
              <w:jc w:val="right"/>
              <w:rPr>
                <w:rFonts w:ascii="宋体" w:hAnsi="宋体" w:eastAsia="宋体" w:cs="宋体"/>
                <w:sz w:val="18"/>
                <w:szCs w:val="18"/>
              </w:rPr>
            </w:pPr>
          </w:p>
        </w:tc>
      </w:tr>
      <w:tr w14:paraId="3D9EA4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14D9AA2">
            <w:pPr>
              <w:spacing w:before="40" w:after="40" w:line="240" w:lineRule="exact"/>
              <w:ind w:firstLine="900" w:firstLineChars="500"/>
              <w:jc w:val="left"/>
              <w:rPr>
                <w:rFonts w:ascii="宋体" w:hAnsi="宋体" w:eastAsia="宋体" w:cs="宋体"/>
                <w:sz w:val="18"/>
                <w:szCs w:val="18"/>
              </w:rPr>
            </w:pPr>
            <w:r>
              <w:rPr>
                <w:rFonts w:ascii="宋体" w:hAnsi="宋体" w:eastAsia="宋体" w:cs="宋体"/>
                <w:sz w:val="18"/>
                <w:szCs w:val="18"/>
              </w:rPr>
              <w:t>永续债</w:t>
            </w:r>
          </w:p>
        </w:tc>
        <w:tc>
          <w:tcPr>
            <w:tcW w:w="3213" w:type="dxa"/>
            <w:tcBorders>
              <w:top w:val="single" w:color="auto" w:sz="2" w:space="0"/>
              <w:left w:val="single" w:color="auto" w:sz="2" w:space="0"/>
              <w:bottom w:val="single" w:color="auto" w:sz="2" w:space="0"/>
              <w:right w:val="single" w:color="auto" w:sz="2" w:space="0"/>
            </w:tcBorders>
            <w:vAlign w:val="center"/>
          </w:tcPr>
          <w:p w14:paraId="31852B9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B06563E">
            <w:pPr>
              <w:spacing w:before="0" w:after="0" w:line="240" w:lineRule="exact"/>
              <w:jc w:val="right"/>
              <w:rPr>
                <w:rFonts w:ascii="宋体" w:hAnsi="宋体" w:eastAsia="宋体" w:cs="宋体"/>
                <w:sz w:val="18"/>
                <w:szCs w:val="18"/>
              </w:rPr>
            </w:pPr>
          </w:p>
        </w:tc>
      </w:tr>
      <w:tr w14:paraId="076F62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1DB7B29">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租赁负债</w:t>
            </w:r>
          </w:p>
        </w:tc>
        <w:tc>
          <w:tcPr>
            <w:tcW w:w="3213" w:type="dxa"/>
            <w:tcBorders>
              <w:top w:val="single" w:color="auto" w:sz="2" w:space="0"/>
              <w:left w:val="single" w:color="auto" w:sz="2" w:space="0"/>
              <w:bottom w:val="single" w:color="auto" w:sz="2" w:space="0"/>
              <w:right w:val="single" w:color="auto" w:sz="2" w:space="0"/>
            </w:tcBorders>
            <w:vAlign w:val="center"/>
          </w:tcPr>
          <w:p w14:paraId="4A6CEE5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B79CD52">
            <w:pPr>
              <w:spacing w:before="0" w:after="0" w:line="240" w:lineRule="exact"/>
              <w:jc w:val="right"/>
              <w:rPr>
                <w:rFonts w:ascii="宋体" w:hAnsi="宋体" w:eastAsia="宋体" w:cs="宋体"/>
                <w:sz w:val="18"/>
                <w:szCs w:val="18"/>
              </w:rPr>
            </w:pPr>
            <w:r>
              <w:rPr>
                <w:rFonts w:ascii="宋体" w:hAnsi="宋体" w:eastAsia="宋体" w:cs="宋体"/>
                <w:sz w:val="18"/>
                <w:szCs w:val="18"/>
              </w:rPr>
              <w:t>94,867.35</w:t>
            </w:r>
          </w:p>
        </w:tc>
      </w:tr>
      <w:tr w14:paraId="5AF0AF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E27FBE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长期应付款</w:t>
            </w:r>
          </w:p>
        </w:tc>
        <w:tc>
          <w:tcPr>
            <w:tcW w:w="3213" w:type="dxa"/>
            <w:tcBorders>
              <w:top w:val="single" w:color="auto" w:sz="2" w:space="0"/>
              <w:left w:val="single" w:color="auto" w:sz="2" w:space="0"/>
              <w:bottom w:val="single" w:color="auto" w:sz="2" w:space="0"/>
              <w:right w:val="single" w:color="auto" w:sz="2" w:space="0"/>
            </w:tcBorders>
            <w:vAlign w:val="center"/>
          </w:tcPr>
          <w:p w14:paraId="1A09B76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A5C9C56">
            <w:pPr>
              <w:spacing w:before="0" w:after="0" w:line="240" w:lineRule="exact"/>
              <w:jc w:val="right"/>
              <w:rPr>
                <w:rFonts w:ascii="宋体" w:hAnsi="宋体" w:eastAsia="宋体" w:cs="宋体"/>
                <w:sz w:val="18"/>
                <w:szCs w:val="18"/>
              </w:rPr>
            </w:pPr>
          </w:p>
        </w:tc>
      </w:tr>
      <w:tr w14:paraId="7CE9FB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72735C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长期应付职工薪酬</w:t>
            </w:r>
          </w:p>
        </w:tc>
        <w:tc>
          <w:tcPr>
            <w:tcW w:w="3213" w:type="dxa"/>
            <w:tcBorders>
              <w:top w:val="single" w:color="auto" w:sz="2" w:space="0"/>
              <w:left w:val="single" w:color="auto" w:sz="2" w:space="0"/>
              <w:bottom w:val="single" w:color="auto" w:sz="2" w:space="0"/>
              <w:right w:val="single" w:color="auto" w:sz="2" w:space="0"/>
            </w:tcBorders>
            <w:vAlign w:val="center"/>
          </w:tcPr>
          <w:p w14:paraId="0DD1B64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A83BAC1">
            <w:pPr>
              <w:spacing w:before="0" w:after="0" w:line="240" w:lineRule="exact"/>
              <w:jc w:val="right"/>
              <w:rPr>
                <w:rFonts w:ascii="宋体" w:hAnsi="宋体" w:eastAsia="宋体" w:cs="宋体"/>
                <w:sz w:val="18"/>
                <w:szCs w:val="18"/>
              </w:rPr>
            </w:pPr>
          </w:p>
        </w:tc>
      </w:tr>
      <w:tr w14:paraId="69C2D1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A2E85D1">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预计负债</w:t>
            </w:r>
          </w:p>
        </w:tc>
        <w:tc>
          <w:tcPr>
            <w:tcW w:w="3213" w:type="dxa"/>
            <w:tcBorders>
              <w:top w:val="single" w:color="auto" w:sz="2" w:space="0"/>
              <w:left w:val="single" w:color="auto" w:sz="2" w:space="0"/>
              <w:bottom w:val="single" w:color="auto" w:sz="2" w:space="0"/>
              <w:right w:val="single" w:color="auto" w:sz="2" w:space="0"/>
            </w:tcBorders>
            <w:vAlign w:val="center"/>
          </w:tcPr>
          <w:p w14:paraId="32CEB5C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5B1A0E3">
            <w:pPr>
              <w:spacing w:before="0" w:after="0" w:line="240" w:lineRule="exact"/>
              <w:jc w:val="right"/>
              <w:rPr>
                <w:rFonts w:ascii="宋体" w:hAnsi="宋体" w:eastAsia="宋体" w:cs="宋体"/>
                <w:sz w:val="18"/>
                <w:szCs w:val="18"/>
              </w:rPr>
            </w:pPr>
          </w:p>
        </w:tc>
      </w:tr>
      <w:tr w14:paraId="30AA76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AA4BBE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递延收益</w:t>
            </w:r>
          </w:p>
        </w:tc>
        <w:tc>
          <w:tcPr>
            <w:tcW w:w="3213" w:type="dxa"/>
            <w:tcBorders>
              <w:top w:val="single" w:color="auto" w:sz="2" w:space="0"/>
              <w:left w:val="single" w:color="auto" w:sz="2" w:space="0"/>
              <w:bottom w:val="single" w:color="auto" w:sz="2" w:space="0"/>
              <w:right w:val="single" w:color="auto" w:sz="2" w:space="0"/>
            </w:tcBorders>
            <w:vAlign w:val="center"/>
          </w:tcPr>
          <w:p w14:paraId="0A7F5F1F">
            <w:pPr>
              <w:spacing w:before="0" w:after="0" w:line="240" w:lineRule="exact"/>
              <w:jc w:val="right"/>
              <w:rPr>
                <w:rFonts w:ascii="宋体" w:hAnsi="宋体" w:eastAsia="宋体" w:cs="宋体"/>
                <w:sz w:val="18"/>
                <w:szCs w:val="18"/>
              </w:rPr>
            </w:pPr>
            <w:r>
              <w:rPr>
                <w:rFonts w:ascii="宋体" w:hAnsi="宋体" w:eastAsia="宋体" w:cs="宋体"/>
                <w:sz w:val="18"/>
                <w:szCs w:val="18"/>
              </w:rPr>
              <w:t>12,187,584.07</w:t>
            </w:r>
          </w:p>
        </w:tc>
        <w:tc>
          <w:tcPr>
            <w:tcW w:w="3213" w:type="dxa"/>
            <w:tcBorders>
              <w:top w:val="single" w:color="auto" w:sz="2" w:space="0"/>
              <w:left w:val="single" w:color="auto" w:sz="2" w:space="0"/>
              <w:bottom w:val="single" w:color="auto" w:sz="2" w:space="0"/>
              <w:right w:val="single" w:color="auto" w:sz="2" w:space="0"/>
            </w:tcBorders>
            <w:vAlign w:val="center"/>
          </w:tcPr>
          <w:p w14:paraId="34278D3E">
            <w:pPr>
              <w:spacing w:before="0" w:after="0" w:line="240" w:lineRule="exact"/>
              <w:jc w:val="right"/>
              <w:rPr>
                <w:rFonts w:ascii="宋体" w:hAnsi="宋体" w:eastAsia="宋体" w:cs="宋体"/>
                <w:sz w:val="18"/>
                <w:szCs w:val="18"/>
              </w:rPr>
            </w:pPr>
            <w:r>
              <w:rPr>
                <w:rFonts w:ascii="宋体" w:hAnsi="宋体" w:eastAsia="宋体" w:cs="宋体"/>
                <w:sz w:val="18"/>
                <w:szCs w:val="18"/>
              </w:rPr>
              <w:t>13,397,304.49</w:t>
            </w:r>
          </w:p>
        </w:tc>
      </w:tr>
      <w:tr w14:paraId="504AFE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B58CAB6">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递延所得税负债</w:t>
            </w:r>
          </w:p>
        </w:tc>
        <w:tc>
          <w:tcPr>
            <w:tcW w:w="3213" w:type="dxa"/>
            <w:tcBorders>
              <w:top w:val="single" w:color="auto" w:sz="2" w:space="0"/>
              <w:left w:val="single" w:color="auto" w:sz="2" w:space="0"/>
              <w:bottom w:val="single" w:color="auto" w:sz="2" w:space="0"/>
              <w:right w:val="single" w:color="auto" w:sz="2" w:space="0"/>
            </w:tcBorders>
            <w:vAlign w:val="center"/>
          </w:tcPr>
          <w:p w14:paraId="48DAE21B">
            <w:pPr>
              <w:spacing w:before="0" w:after="0" w:line="240" w:lineRule="exact"/>
              <w:jc w:val="right"/>
              <w:rPr>
                <w:rFonts w:ascii="宋体" w:hAnsi="宋体" w:eastAsia="宋体" w:cs="宋体"/>
                <w:sz w:val="18"/>
                <w:szCs w:val="18"/>
              </w:rPr>
            </w:pPr>
            <w:r>
              <w:rPr>
                <w:rFonts w:ascii="宋体" w:hAnsi="宋体" w:eastAsia="宋体" w:cs="宋体"/>
                <w:sz w:val="18"/>
                <w:szCs w:val="18"/>
              </w:rPr>
              <w:t>419,247.25</w:t>
            </w:r>
          </w:p>
        </w:tc>
        <w:tc>
          <w:tcPr>
            <w:tcW w:w="3213" w:type="dxa"/>
            <w:tcBorders>
              <w:top w:val="single" w:color="auto" w:sz="2" w:space="0"/>
              <w:left w:val="single" w:color="auto" w:sz="2" w:space="0"/>
              <w:bottom w:val="single" w:color="auto" w:sz="2" w:space="0"/>
              <w:right w:val="single" w:color="auto" w:sz="2" w:space="0"/>
            </w:tcBorders>
            <w:vAlign w:val="center"/>
          </w:tcPr>
          <w:p w14:paraId="0C53CE1C">
            <w:pPr>
              <w:spacing w:before="0" w:after="0" w:line="240" w:lineRule="exact"/>
              <w:jc w:val="right"/>
              <w:rPr>
                <w:rFonts w:ascii="宋体" w:hAnsi="宋体" w:eastAsia="宋体" w:cs="宋体"/>
                <w:sz w:val="18"/>
                <w:szCs w:val="18"/>
              </w:rPr>
            </w:pPr>
            <w:r>
              <w:rPr>
                <w:rFonts w:ascii="宋体" w:hAnsi="宋体" w:eastAsia="宋体" w:cs="宋体"/>
                <w:sz w:val="18"/>
                <w:szCs w:val="18"/>
              </w:rPr>
              <w:t>334,798.21</w:t>
            </w:r>
          </w:p>
        </w:tc>
      </w:tr>
      <w:tr w14:paraId="427F84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DECCBC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其他非流动负债</w:t>
            </w:r>
          </w:p>
        </w:tc>
        <w:tc>
          <w:tcPr>
            <w:tcW w:w="3213" w:type="dxa"/>
            <w:tcBorders>
              <w:top w:val="single" w:color="auto" w:sz="2" w:space="0"/>
              <w:left w:val="single" w:color="auto" w:sz="2" w:space="0"/>
              <w:bottom w:val="single" w:color="auto" w:sz="2" w:space="0"/>
              <w:right w:val="single" w:color="auto" w:sz="2" w:space="0"/>
            </w:tcBorders>
            <w:vAlign w:val="center"/>
          </w:tcPr>
          <w:p w14:paraId="41BEC589">
            <w:pPr>
              <w:spacing w:before="0" w:after="0" w:line="240" w:lineRule="exact"/>
              <w:jc w:val="right"/>
              <w:rPr>
                <w:rFonts w:ascii="宋体" w:hAnsi="宋体" w:eastAsia="宋体" w:cs="宋体"/>
                <w:sz w:val="18"/>
                <w:szCs w:val="18"/>
              </w:rPr>
            </w:pPr>
            <w:r>
              <w:rPr>
                <w:rFonts w:ascii="宋体" w:hAnsi="宋体" w:eastAsia="宋体" w:cs="宋体"/>
                <w:sz w:val="18"/>
                <w:szCs w:val="18"/>
              </w:rPr>
              <w:t>35,200,000.00</w:t>
            </w:r>
          </w:p>
        </w:tc>
        <w:tc>
          <w:tcPr>
            <w:tcW w:w="3213" w:type="dxa"/>
            <w:tcBorders>
              <w:top w:val="single" w:color="auto" w:sz="2" w:space="0"/>
              <w:left w:val="single" w:color="auto" w:sz="2" w:space="0"/>
              <w:bottom w:val="single" w:color="auto" w:sz="2" w:space="0"/>
              <w:right w:val="single" w:color="auto" w:sz="2" w:space="0"/>
            </w:tcBorders>
            <w:vAlign w:val="center"/>
          </w:tcPr>
          <w:p w14:paraId="42021DF5">
            <w:pPr>
              <w:spacing w:before="0" w:after="0" w:line="240" w:lineRule="exact"/>
              <w:jc w:val="right"/>
              <w:rPr>
                <w:rFonts w:ascii="宋体" w:hAnsi="宋体" w:eastAsia="宋体" w:cs="宋体"/>
                <w:sz w:val="18"/>
                <w:szCs w:val="18"/>
              </w:rPr>
            </w:pPr>
            <w:r>
              <w:rPr>
                <w:rFonts w:ascii="宋体" w:hAnsi="宋体" w:eastAsia="宋体" w:cs="宋体"/>
                <w:sz w:val="18"/>
                <w:szCs w:val="18"/>
              </w:rPr>
              <w:t>17,306,666.67</w:t>
            </w:r>
          </w:p>
        </w:tc>
      </w:tr>
      <w:tr w14:paraId="1FFDD1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D475789">
            <w:pPr>
              <w:spacing w:before="40" w:after="40" w:line="240" w:lineRule="exact"/>
              <w:jc w:val="left"/>
              <w:rPr>
                <w:rFonts w:ascii="宋体" w:hAnsi="宋体" w:eastAsia="宋体" w:cs="宋体"/>
                <w:sz w:val="18"/>
                <w:szCs w:val="18"/>
              </w:rPr>
            </w:pPr>
            <w:r>
              <w:rPr>
                <w:rFonts w:ascii="宋体" w:hAnsi="宋体" w:eastAsia="宋体" w:cs="宋体"/>
                <w:sz w:val="18"/>
                <w:szCs w:val="18"/>
              </w:rPr>
              <w:t>非流动负债合计</w:t>
            </w:r>
          </w:p>
        </w:tc>
        <w:tc>
          <w:tcPr>
            <w:tcW w:w="3213" w:type="dxa"/>
            <w:tcBorders>
              <w:top w:val="single" w:color="auto" w:sz="2" w:space="0"/>
              <w:left w:val="single" w:color="auto" w:sz="2" w:space="0"/>
              <w:bottom w:val="single" w:color="auto" w:sz="2" w:space="0"/>
              <w:right w:val="single" w:color="auto" w:sz="2" w:space="0"/>
            </w:tcBorders>
            <w:vAlign w:val="center"/>
          </w:tcPr>
          <w:p w14:paraId="316B0843">
            <w:pPr>
              <w:spacing w:before="0" w:after="0" w:line="240" w:lineRule="exact"/>
              <w:jc w:val="right"/>
              <w:rPr>
                <w:rFonts w:ascii="宋体" w:hAnsi="宋体" w:eastAsia="宋体" w:cs="宋体"/>
                <w:sz w:val="18"/>
                <w:szCs w:val="18"/>
              </w:rPr>
            </w:pPr>
            <w:r>
              <w:rPr>
                <w:rFonts w:ascii="宋体" w:hAnsi="宋体" w:eastAsia="宋体" w:cs="宋体"/>
                <w:sz w:val="18"/>
                <w:szCs w:val="18"/>
              </w:rPr>
              <w:t>190,169,931.32</w:t>
            </w:r>
          </w:p>
        </w:tc>
        <w:tc>
          <w:tcPr>
            <w:tcW w:w="3213" w:type="dxa"/>
            <w:tcBorders>
              <w:top w:val="single" w:color="auto" w:sz="2" w:space="0"/>
              <w:left w:val="single" w:color="auto" w:sz="2" w:space="0"/>
              <w:bottom w:val="single" w:color="auto" w:sz="2" w:space="0"/>
              <w:right w:val="single" w:color="auto" w:sz="2" w:space="0"/>
            </w:tcBorders>
            <w:vAlign w:val="center"/>
          </w:tcPr>
          <w:p w14:paraId="0DCD2313">
            <w:pPr>
              <w:spacing w:before="0" w:after="0" w:line="240" w:lineRule="exact"/>
              <w:jc w:val="right"/>
              <w:rPr>
                <w:rFonts w:ascii="宋体" w:hAnsi="宋体" w:eastAsia="宋体" w:cs="宋体"/>
                <w:sz w:val="18"/>
                <w:szCs w:val="18"/>
              </w:rPr>
            </w:pPr>
            <w:r>
              <w:rPr>
                <w:rFonts w:ascii="宋体" w:hAnsi="宋体" w:eastAsia="宋体" w:cs="宋体"/>
                <w:sz w:val="18"/>
                <w:szCs w:val="18"/>
              </w:rPr>
              <w:t>198,825,736.72</w:t>
            </w:r>
          </w:p>
        </w:tc>
      </w:tr>
      <w:tr w14:paraId="1C8C57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61388A8">
            <w:pPr>
              <w:spacing w:before="40" w:after="40" w:line="240" w:lineRule="exact"/>
              <w:jc w:val="left"/>
              <w:rPr>
                <w:rFonts w:ascii="宋体" w:hAnsi="宋体" w:eastAsia="宋体" w:cs="宋体"/>
                <w:sz w:val="18"/>
                <w:szCs w:val="18"/>
              </w:rPr>
            </w:pPr>
            <w:r>
              <w:rPr>
                <w:rFonts w:ascii="宋体" w:hAnsi="宋体" w:eastAsia="宋体" w:cs="宋体"/>
                <w:sz w:val="18"/>
                <w:szCs w:val="18"/>
              </w:rPr>
              <w:t>负债合计</w:t>
            </w:r>
          </w:p>
        </w:tc>
        <w:tc>
          <w:tcPr>
            <w:tcW w:w="3213" w:type="dxa"/>
            <w:tcBorders>
              <w:top w:val="single" w:color="auto" w:sz="2" w:space="0"/>
              <w:left w:val="single" w:color="auto" w:sz="2" w:space="0"/>
              <w:bottom w:val="single" w:color="auto" w:sz="2" w:space="0"/>
              <w:right w:val="single" w:color="auto" w:sz="2" w:space="0"/>
            </w:tcBorders>
            <w:vAlign w:val="center"/>
          </w:tcPr>
          <w:p w14:paraId="76CF08E0">
            <w:pPr>
              <w:spacing w:before="0" w:after="0" w:line="240" w:lineRule="exact"/>
              <w:jc w:val="right"/>
              <w:rPr>
                <w:rFonts w:ascii="宋体" w:hAnsi="宋体" w:eastAsia="宋体" w:cs="宋体"/>
                <w:sz w:val="18"/>
                <w:szCs w:val="18"/>
              </w:rPr>
            </w:pPr>
            <w:r>
              <w:rPr>
                <w:rFonts w:ascii="宋体" w:hAnsi="宋体" w:eastAsia="宋体" w:cs="宋体"/>
                <w:sz w:val="18"/>
                <w:szCs w:val="18"/>
              </w:rPr>
              <w:t>552,858,034.93</w:t>
            </w:r>
          </w:p>
        </w:tc>
        <w:tc>
          <w:tcPr>
            <w:tcW w:w="3213" w:type="dxa"/>
            <w:tcBorders>
              <w:top w:val="single" w:color="auto" w:sz="2" w:space="0"/>
              <w:left w:val="single" w:color="auto" w:sz="2" w:space="0"/>
              <w:bottom w:val="single" w:color="auto" w:sz="2" w:space="0"/>
              <w:right w:val="single" w:color="auto" w:sz="2" w:space="0"/>
            </w:tcBorders>
            <w:vAlign w:val="center"/>
          </w:tcPr>
          <w:p w14:paraId="70C266DE">
            <w:pPr>
              <w:spacing w:before="0" w:after="0" w:line="240" w:lineRule="exact"/>
              <w:jc w:val="right"/>
              <w:rPr>
                <w:rFonts w:ascii="宋体" w:hAnsi="宋体" w:eastAsia="宋体" w:cs="宋体"/>
                <w:sz w:val="18"/>
                <w:szCs w:val="18"/>
              </w:rPr>
            </w:pPr>
            <w:r>
              <w:rPr>
                <w:rFonts w:ascii="宋体" w:hAnsi="宋体" w:eastAsia="宋体" w:cs="宋体"/>
                <w:sz w:val="18"/>
                <w:szCs w:val="18"/>
              </w:rPr>
              <w:t>584,869,810.34</w:t>
            </w:r>
          </w:p>
        </w:tc>
      </w:tr>
      <w:tr w14:paraId="5C22D4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C04EA8">
            <w:pPr>
              <w:spacing w:before="0" w:after="0" w:line="240" w:lineRule="exact"/>
              <w:jc w:val="left"/>
              <w:rPr>
                <w:rFonts w:ascii="宋体" w:hAnsi="宋体" w:eastAsia="宋体" w:cs="宋体"/>
                <w:sz w:val="18"/>
                <w:szCs w:val="18"/>
              </w:rPr>
            </w:pPr>
            <w:r>
              <w:rPr>
                <w:rFonts w:ascii="宋体" w:hAnsi="宋体" w:eastAsia="宋体" w:cs="宋体"/>
                <w:sz w:val="18"/>
                <w:szCs w:val="18"/>
              </w:rPr>
              <w:t>所有者权益：</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574AD59"/>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D1CF2A1"/>
        </w:tc>
      </w:tr>
      <w:tr w14:paraId="1F8615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C82EF8">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股本</w:t>
            </w:r>
          </w:p>
        </w:tc>
        <w:tc>
          <w:tcPr>
            <w:tcW w:w="3213" w:type="dxa"/>
            <w:tcBorders>
              <w:top w:val="single" w:color="auto" w:sz="2" w:space="0"/>
              <w:left w:val="single" w:color="auto" w:sz="2" w:space="0"/>
              <w:bottom w:val="single" w:color="auto" w:sz="2" w:space="0"/>
              <w:right w:val="single" w:color="auto" w:sz="2" w:space="0"/>
            </w:tcBorders>
            <w:vAlign w:val="center"/>
          </w:tcPr>
          <w:p w14:paraId="173D3F20">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3213" w:type="dxa"/>
            <w:tcBorders>
              <w:top w:val="single" w:color="auto" w:sz="2" w:space="0"/>
              <w:left w:val="single" w:color="auto" w:sz="2" w:space="0"/>
              <w:bottom w:val="single" w:color="auto" w:sz="2" w:space="0"/>
              <w:right w:val="single" w:color="auto" w:sz="2" w:space="0"/>
            </w:tcBorders>
            <w:vAlign w:val="center"/>
          </w:tcPr>
          <w:p w14:paraId="35D8CBBC">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r>
      <w:tr w14:paraId="426177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A5681E4">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其他权益工具</w:t>
            </w:r>
          </w:p>
        </w:tc>
        <w:tc>
          <w:tcPr>
            <w:tcW w:w="3213" w:type="dxa"/>
            <w:tcBorders>
              <w:top w:val="single" w:color="auto" w:sz="2" w:space="0"/>
              <w:left w:val="single" w:color="auto" w:sz="2" w:space="0"/>
              <w:bottom w:val="single" w:color="auto" w:sz="2" w:space="0"/>
              <w:right w:val="single" w:color="auto" w:sz="2" w:space="0"/>
            </w:tcBorders>
            <w:vAlign w:val="center"/>
          </w:tcPr>
          <w:p w14:paraId="459A3D4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528FBC2">
            <w:pPr>
              <w:spacing w:before="0" w:after="0" w:line="240" w:lineRule="exact"/>
              <w:jc w:val="right"/>
              <w:rPr>
                <w:rFonts w:ascii="宋体" w:hAnsi="宋体" w:eastAsia="宋体" w:cs="宋体"/>
                <w:sz w:val="18"/>
                <w:szCs w:val="18"/>
              </w:rPr>
            </w:pPr>
          </w:p>
        </w:tc>
      </w:tr>
      <w:tr w14:paraId="392F85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CC81202">
            <w:pPr>
              <w:spacing w:before="0" w:after="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其中：优先股</w:t>
            </w:r>
          </w:p>
        </w:tc>
        <w:tc>
          <w:tcPr>
            <w:tcW w:w="3213" w:type="dxa"/>
            <w:tcBorders>
              <w:top w:val="single" w:color="auto" w:sz="2" w:space="0"/>
              <w:left w:val="single" w:color="auto" w:sz="2" w:space="0"/>
              <w:bottom w:val="single" w:color="auto" w:sz="2" w:space="0"/>
              <w:right w:val="single" w:color="auto" w:sz="2" w:space="0"/>
            </w:tcBorders>
            <w:vAlign w:val="center"/>
          </w:tcPr>
          <w:p w14:paraId="7D1ECD1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9EC6F75">
            <w:pPr>
              <w:spacing w:before="0" w:after="0" w:line="240" w:lineRule="exact"/>
              <w:jc w:val="right"/>
              <w:rPr>
                <w:rFonts w:ascii="宋体" w:hAnsi="宋体" w:eastAsia="宋体" w:cs="宋体"/>
                <w:sz w:val="18"/>
                <w:szCs w:val="18"/>
              </w:rPr>
            </w:pPr>
          </w:p>
        </w:tc>
      </w:tr>
      <w:tr w14:paraId="28DDDF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7AE1116">
            <w:pPr>
              <w:spacing w:before="0" w:after="0" w:line="240" w:lineRule="exact"/>
              <w:ind w:firstLine="900" w:firstLineChars="500"/>
              <w:jc w:val="left"/>
              <w:rPr>
                <w:rFonts w:ascii="宋体" w:hAnsi="宋体" w:eastAsia="宋体" w:cs="宋体"/>
                <w:sz w:val="18"/>
                <w:szCs w:val="18"/>
              </w:rPr>
            </w:pPr>
            <w:r>
              <w:rPr>
                <w:rFonts w:ascii="宋体" w:hAnsi="宋体" w:eastAsia="宋体" w:cs="宋体"/>
                <w:sz w:val="18"/>
                <w:szCs w:val="18"/>
              </w:rPr>
              <w:t>永续债</w:t>
            </w:r>
          </w:p>
        </w:tc>
        <w:tc>
          <w:tcPr>
            <w:tcW w:w="3213" w:type="dxa"/>
            <w:tcBorders>
              <w:top w:val="single" w:color="auto" w:sz="2" w:space="0"/>
              <w:left w:val="single" w:color="auto" w:sz="2" w:space="0"/>
              <w:bottom w:val="single" w:color="auto" w:sz="2" w:space="0"/>
              <w:right w:val="single" w:color="auto" w:sz="2" w:space="0"/>
            </w:tcBorders>
            <w:vAlign w:val="center"/>
          </w:tcPr>
          <w:p w14:paraId="11A9F6F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C3B432C">
            <w:pPr>
              <w:spacing w:before="0" w:after="0" w:line="240" w:lineRule="exact"/>
              <w:jc w:val="right"/>
              <w:rPr>
                <w:rFonts w:ascii="宋体" w:hAnsi="宋体" w:eastAsia="宋体" w:cs="宋体"/>
                <w:sz w:val="18"/>
                <w:szCs w:val="18"/>
              </w:rPr>
            </w:pPr>
          </w:p>
        </w:tc>
      </w:tr>
      <w:tr w14:paraId="18774F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A887290">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资本公积</w:t>
            </w:r>
          </w:p>
        </w:tc>
        <w:tc>
          <w:tcPr>
            <w:tcW w:w="3213" w:type="dxa"/>
            <w:tcBorders>
              <w:top w:val="single" w:color="auto" w:sz="2" w:space="0"/>
              <w:left w:val="single" w:color="auto" w:sz="2" w:space="0"/>
              <w:bottom w:val="single" w:color="auto" w:sz="2" w:space="0"/>
              <w:right w:val="single" w:color="auto" w:sz="2" w:space="0"/>
            </w:tcBorders>
            <w:vAlign w:val="center"/>
          </w:tcPr>
          <w:p w14:paraId="6A87B95A">
            <w:pPr>
              <w:spacing w:before="0" w:after="0" w:line="240" w:lineRule="exact"/>
              <w:jc w:val="right"/>
              <w:rPr>
                <w:rFonts w:ascii="宋体" w:hAnsi="宋体" w:eastAsia="宋体" w:cs="宋体"/>
                <w:sz w:val="18"/>
                <w:szCs w:val="18"/>
              </w:rPr>
            </w:pPr>
            <w:r>
              <w:rPr>
                <w:rFonts w:ascii="宋体" w:hAnsi="宋体" w:eastAsia="宋体" w:cs="宋体"/>
                <w:sz w:val="18"/>
                <w:szCs w:val="18"/>
              </w:rPr>
              <w:t>675,753,512.82</w:t>
            </w:r>
          </w:p>
        </w:tc>
        <w:tc>
          <w:tcPr>
            <w:tcW w:w="3213" w:type="dxa"/>
            <w:tcBorders>
              <w:top w:val="single" w:color="auto" w:sz="2" w:space="0"/>
              <w:left w:val="single" w:color="auto" w:sz="2" w:space="0"/>
              <w:bottom w:val="single" w:color="auto" w:sz="2" w:space="0"/>
              <w:right w:val="single" w:color="auto" w:sz="2" w:space="0"/>
            </w:tcBorders>
            <w:vAlign w:val="center"/>
          </w:tcPr>
          <w:p w14:paraId="193F49F0">
            <w:pPr>
              <w:spacing w:before="0" w:after="0" w:line="240" w:lineRule="exact"/>
              <w:jc w:val="right"/>
              <w:rPr>
                <w:rFonts w:ascii="宋体" w:hAnsi="宋体" w:eastAsia="宋体" w:cs="宋体"/>
                <w:sz w:val="18"/>
                <w:szCs w:val="18"/>
              </w:rPr>
            </w:pPr>
            <w:r>
              <w:rPr>
                <w:rFonts w:ascii="宋体" w:hAnsi="宋体" w:eastAsia="宋体" w:cs="宋体"/>
                <w:sz w:val="18"/>
                <w:szCs w:val="18"/>
              </w:rPr>
              <w:t>675,753,512.82</w:t>
            </w:r>
          </w:p>
        </w:tc>
      </w:tr>
      <w:tr w14:paraId="18E42B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4FA277F">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减：库存股</w:t>
            </w:r>
          </w:p>
        </w:tc>
        <w:tc>
          <w:tcPr>
            <w:tcW w:w="3213" w:type="dxa"/>
            <w:tcBorders>
              <w:top w:val="single" w:color="auto" w:sz="2" w:space="0"/>
              <w:left w:val="single" w:color="auto" w:sz="2" w:space="0"/>
              <w:bottom w:val="single" w:color="auto" w:sz="2" w:space="0"/>
              <w:right w:val="single" w:color="auto" w:sz="2" w:space="0"/>
            </w:tcBorders>
            <w:vAlign w:val="center"/>
          </w:tcPr>
          <w:p w14:paraId="4F482672">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C955ED8">
            <w:pPr>
              <w:spacing w:before="0" w:after="0" w:line="240" w:lineRule="exact"/>
              <w:jc w:val="right"/>
              <w:rPr>
                <w:rFonts w:ascii="宋体" w:hAnsi="宋体" w:eastAsia="宋体" w:cs="宋体"/>
                <w:sz w:val="18"/>
                <w:szCs w:val="18"/>
              </w:rPr>
            </w:pPr>
          </w:p>
        </w:tc>
      </w:tr>
      <w:tr w14:paraId="192002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ADD5C2C">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其他综合收益</w:t>
            </w:r>
          </w:p>
        </w:tc>
        <w:tc>
          <w:tcPr>
            <w:tcW w:w="3213" w:type="dxa"/>
            <w:tcBorders>
              <w:top w:val="single" w:color="auto" w:sz="2" w:space="0"/>
              <w:left w:val="single" w:color="auto" w:sz="2" w:space="0"/>
              <w:bottom w:val="single" w:color="auto" w:sz="2" w:space="0"/>
              <w:right w:val="single" w:color="auto" w:sz="2" w:space="0"/>
            </w:tcBorders>
            <w:vAlign w:val="center"/>
          </w:tcPr>
          <w:p w14:paraId="0D25143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B3C5911">
            <w:pPr>
              <w:spacing w:before="0" w:after="0" w:line="240" w:lineRule="exact"/>
              <w:jc w:val="right"/>
              <w:rPr>
                <w:rFonts w:ascii="宋体" w:hAnsi="宋体" w:eastAsia="宋体" w:cs="宋体"/>
                <w:sz w:val="18"/>
                <w:szCs w:val="18"/>
              </w:rPr>
            </w:pPr>
          </w:p>
        </w:tc>
      </w:tr>
      <w:tr w14:paraId="256B95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879420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专项储备</w:t>
            </w:r>
          </w:p>
        </w:tc>
        <w:tc>
          <w:tcPr>
            <w:tcW w:w="3213" w:type="dxa"/>
            <w:tcBorders>
              <w:top w:val="single" w:color="auto" w:sz="2" w:space="0"/>
              <w:left w:val="single" w:color="auto" w:sz="2" w:space="0"/>
              <w:bottom w:val="single" w:color="auto" w:sz="2" w:space="0"/>
              <w:right w:val="single" w:color="auto" w:sz="2" w:space="0"/>
            </w:tcBorders>
            <w:vAlign w:val="center"/>
          </w:tcPr>
          <w:p w14:paraId="6A15243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15D6BEE">
            <w:pPr>
              <w:spacing w:before="0" w:after="0" w:line="240" w:lineRule="exact"/>
              <w:jc w:val="right"/>
              <w:rPr>
                <w:rFonts w:ascii="宋体" w:hAnsi="宋体" w:eastAsia="宋体" w:cs="宋体"/>
                <w:sz w:val="18"/>
                <w:szCs w:val="18"/>
              </w:rPr>
            </w:pPr>
          </w:p>
        </w:tc>
      </w:tr>
      <w:tr w14:paraId="4B23DE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32A9CE9">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盈余公积</w:t>
            </w:r>
          </w:p>
        </w:tc>
        <w:tc>
          <w:tcPr>
            <w:tcW w:w="3213" w:type="dxa"/>
            <w:tcBorders>
              <w:top w:val="single" w:color="auto" w:sz="2" w:space="0"/>
              <w:left w:val="single" w:color="auto" w:sz="2" w:space="0"/>
              <w:bottom w:val="single" w:color="auto" w:sz="2" w:space="0"/>
              <w:right w:val="single" w:color="auto" w:sz="2" w:space="0"/>
            </w:tcBorders>
            <w:vAlign w:val="center"/>
          </w:tcPr>
          <w:p w14:paraId="57569C62">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3213" w:type="dxa"/>
            <w:tcBorders>
              <w:top w:val="single" w:color="auto" w:sz="2" w:space="0"/>
              <w:left w:val="single" w:color="auto" w:sz="2" w:space="0"/>
              <w:bottom w:val="single" w:color="auto" w:sz="2" w:space="0"/>
              <w:right w:val="single" w:color="auto" w:sz="2" w:space="0"/>
            </w:tcBorders>
            <w:vAlign w:val="center"/>
          </w:tcPr>
          <w:p w14:paraId="505895FB">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r>
      <w:tr w14:paraId="66551D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582E557">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未分配利润</w:t>
            </w:r>
          </w:p>
        </w:tc>
        <w:tc>
          <w:tcPr>
            <w:tcW w:w="3213" w:type="dxa"/>
            <w:tcBorders>
              <w:top w:val="single" w:color="auto" w:sz="2" w:space="0"/>
              <w:left w:val="single" w:color="auto" w:sz="2" w:space="0"/>
              <w:bottom w:val="single" w:color="auto" w:sz="2" w:space="0"/>
              <w:right w:val="single" w:color="auto" w:sz="2" w:space="0"/>
            </w:tcBorders>
            <w:vAlign w:val="center"/>
          </w:tcPr>
          <w:p w14:paraId="71F0480A">
            <w:pPr>
              <w:spacing w:before="0" w:after="0" w:line="240" w:lineRule="exact"/>
              <w:jc w:val="right"/>
              <w:rPr>
                <w:rFonts w:ascii="宋体" w:hAnsi="宋体" w:eastAsia="宋体" w:cs="宋体"/>
                <w:sz w:val="18"/>
                <w:szCs w:val="18"/>
              </w:rPr>
            </w:pPr>
            <w:r>
              <w:rPr>
                <w:rFonts w:ascii="宋体" w:hAnsi="宋体" w:eastAsia="宋体" w:cs="宋体"/>
                <w:sz w:val="18"/>
                <w:szCs w:val="18"/>
              </w:rPr>
              <w:t>182,440,457.06</w:t>
            </w:r>
          </w:p>
        </w:tc>
        <w:tc>
          <w:tcPr>
            <w:tcW w:w="3213" w:type="dxa"/>
            <w:tcBorders>
              <w:top w:val="single" w:color="auto" w:sz="2" w:space="0"/>
              <w:left w:val="single" w:color="auto" w:sz="2" w:space="0"/>
              <w:bottom w:val="single" w:color="auto" w:sz="2" w:space="0"/>
              <w:right w:val="single" w:color="auto" w:sz="2" w:space="0"/>
            </w:tcBorders>
            <w:vAlign w:val="center"/>
          </w:tcPr>
          <w:p w14:paraId="7C6026B2">
            <w:pPr>
              <w:spacing w:before="0" w:after="0" w:line="240" w:lineRule="exact"/>
              <w:jc w:val="right"/>
              <w:rPr>
                <w:rFonts w:ascii="宋体" w:hAnsi="宋体" w:eastAsia="宋体" w:cs="宋体"/>
                <w:sz w:val="18"/>
                <w:szCs w:val="18"/>
              </w:rPr>
            </w:pPr>
            <w:r>
              <w:rPr>
                <w:rFonts w:ascii="宋体" w:hAnsi="宋体" w:eastAsia="宋体" w:cs="宋体"/>
                <w:sz w:val="18"/>
                <w:szCs w:val="18"/>
              </w:rPr>
              <w:t>248,070,535.57</w:t>
            </w:r>
          </w:p>
        </w:tc>
      </w:tr>
      <w:tr w14:paraId="14975E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FE5E09E">
            <w:pPr>
              <w:spacing w:before="0" w:after="0" w:line="240" w:lineRule="exact"/>
              <w:jc w:val="left"/>
              <w:rPr>
                <w:rFonts w:ascii="宋体" w:hAnsi="宋体" w:eastAsia="宋体" w:cs="宋体"/>
                <w:sz w:val="18"/>
                <w:szCs w:val="18"/>
              </w:rPr>
            </w:pPr>
            <w:r>
              <w:rPr>
                <w:rFonts w:ascii="宋体" w:hAnsi="宋体" w:eastAsia="宋体" w:cs="宋体"/>
                <w:sz w:val="18"/>
                <w:szCs w:val="18"/>
              </w:rPr>
              <w:t>所有者权益合计</w:t>
            </w:r>
          </w:p>
        </w:tc>
        <w:tc>
          <w:tcPr>
            <w:tcW w:w="3213" w:type="dxa"/>
            <w:tcBorders>
              <w:top w:val="single" w:color="auto" w:sz="2" w:space="0"/>
              <w:left w:val="single" w:color="auto" w:sz="2" w:space="0"/>
              <w:bottom w:val="single" w:color="auto" w:sz="2" w:space="0"/>
              <w:right w:val="single" w:color="auto" w:sz="2" w:space="0"/>
            </w:tcBorders>
            <w:vAlign w:val="center"/>
          </w:tcPr>
          <w:p w14:paraId="32B5BFA4">
            <w:pPr>
              <w:spacing w:before="0" w:after="0" w:line="240" w:lineRule="exact"/>
              <w:jc w:val="right"/>
              <w:rPr>
                <w:rFonts w:ascii="宋体" w:hAnsi="宋体" w:eastAsia="宋体" w:cs="宋体"/>
                <w:sz w:val="18"/>
                <w:szCs w:val="18"/>
              </w:rPr>
            </w:pPr>
            <w:r>
              <w:rPr>
                <w:rFonts w:ascii="宋体" w:hAnsi="宋体" w:eastAsia="宋体" w:cs="宋体"/>
                <w:sz w:val="18"/>
                <w:szCs w:val="18"/>
              </w:rPr>
              <w:t>1,061,854,803.19</w:t>
            </w:r>
          </w:p>
        </w:tc>
        <w:tc>
          <w:tcPr>
            <w:tcW w:w="3213" w:type="dxa"/>
            <w:tcBorders>
              <w:top w:val="single" w:color="auto" w:sz="2" w:space="0"/>
              <w:left w:val="single" w:color="auto" w:sz="2" w:space="0"/>
              <w:bottom w:val="single" w:color="auto" w:sz="2" w:space="0"/>
              <w:right w:val="single" w:color="auto" w:sz="2" w:space="0"/>
            </w:tcBorders>
            <w:vAlign w:val="center"/>
          </w:tcPr>
          <w:p w14:paraId="446E58B0">
            <w:pPr>
              <w:spacing w:before="0" w:after="0" w:line="240" w:lineRule="exact"/>
              <w:jc w:val="right"/>
              <w:rPr>
                <w:rFonts w:ascii="宋体" w:hAnsi="宋体" w:eastAsia="宋体" w:cs="宋体"/>
                <w:sz w:val="18"/>
                <w:szCs w:val="18"/>
              </w:rPr>
            </w:pPr>
            <w:r>
              <w:rPr>
                <w:rFonts w:ascii="宋体" w:hAnsi="宋体" w:eastAsia="宋体" w:cs="宋体"/>
                <w:sz w:val="18"/>
                <w:szCs w:val="18"/>
              </w:rPr>
              <w:t>1,127,484,881.70</w:t>
            </w:r>
          </w:p>
        </w:tc>
      </w:tr>
      <w:tr w14:paraId="691836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63B3023">
            <w:pPr>
              <w:spacing w:before="0" w:after="0" w:line="240" w:lineRule="exact"/>
              <w:jc w:val="left"/>
              <w:rPr>
                <w:rFonts w:ascii="宋体" w:hAnsi="宋体" w:eastAsia="宋体" w:cs="宋体"/>
                <w:sz w:val="18"/>
                <w:szCs w:val="18"/>
              </w:rPr>
            </w:pPr>
            <w:r>
              <w:rPr>
                <w:rFonts w:ascii="宋体" w:hAnsi="宋体" w:eastAsia="宋体" w:cs="宋体"/>
                <w:sz w:val="18"/>
                <w:szCs w:val="18"/>
              </w:rPr>
              <w:t>负债和所有者权益总计</w:t>
            </w:r>
          </w:p>
        </w:tc>
        <w:tc>
          <w:tcPr>
            <w:tcW w:w="3213" w:type="dxa"/>
            <w:tcBorders>
              <w:top w:val="single" w:color="auto" w:sz="2" w:space="0"/>
              <w:left w:val="single" w:color="auto" w:sz="2" w:space="0"/>
              <w:bottom w:val="single" w:color="auto" w:sz="2" w:space="0"/>
              <w:right w:val="single" w:color="auto" w:sz="2" w:space="0"/>
            </w:tcBorders>
            <w:vAlign w:val="center"/>
          </w:tcPr>
          <w:p w14:paraId="5061D360">
            <w:pPr>
              <w:spacing w:before="0" w:after="0" w:line="240" w:lineRule="exact"/>
              <w:jc w:val="right"/>
              <w:rPr>
                <w:rFonts w:ascii="宋体" w:hAnsi="宋体" w:eastAsia="宋体" w:cs="宋体"/>
                <w:sz w:val="18"/>
                <w:szCs w:val="18"/>
              </w:rPr>
            </w:pPr>
            <w:r>
              <w:rPr>
                <w:rFonts w:ascii="宋体" w:hAnsi="宋体" w:eastAsia="宋体" w:cs="宋体"/>
                <w:sz w:val="18"/>
                <w:szCs w:val="18"/>
              </w:rPr>
              <w:t>1,614,712,838.12</w:t>
            </w:r>
          </w:p>
        </w:tc>
        <w:tc>
          <w:tcPr>
            <w:tcW w:w="3213" w:type="dxa"/>
            <w:tcBorders>
              <w:top w:val="single" w:color="auto" w:sz="2" w:space="0"/>
              <w:left w:val="single" w:color="auto" w:sz="2" w:space="0"/>
              <w:bottom w:val="single" w:color="auto" w:sz="2" w:space="0"/>
              <w:right w:val="single" w:color="auto" w:sz="2" w:space="0"/>
            </w:tcBorders>
            <w:vAlign w:val="center"/>
          </w:tcPr>
          <w:p w14:paraId="482F0B9A">
            <w:pPr>
              <w:spacing w:before="0" w:after="0" w:line="240" w:lineRule="exact"/>
              <w:jc w:val="right"/>
              <w:rPr>
                <w:rFonts w:ascii="宋体" w:hAnsi="宋体" w:eastAsia="宋体" w:cs="宋体"/>
                <w:sz w:val="18"/>
                <w:szCs w:val="18"/>
              </w:rPr>
            </w:pPr>
            <w:r>
              <w:rPr>
                <w:rFonts w:ascii="宋体" w:hAnsi="宋体" w:eastAsia="宋体" w:cs="宋体"/>
                <w:sz w:val="18"/>
                <w:szCs w:val="18"/>
              </w:rPr>
              <w:t>1,712,354,692.04</w:t>
            </w:r>
          </w:p>
        </w:tc>
      </w:tr>
    </w:tbl>
    <w:p w14:paraId="4DB78D6B">
      <w:pPr>
        <w:keepNext/>
        <w:keepLines/>
        <w:spacing w:before="300" w:after="300" w:line="280" w:lineRule="exact"/>
        <w:jc w:val="left"/>
        <w:outlineLvl w:val="2"/>
        <w:rPr>
          <w:rFonts w:ascii="宋体" w:hAnsi="宋体" w:eastAsia="宋体" w:cs="宋体"/>
          <w:b/>
          <w:bCs/>
          <w:sz w:val="21"/>
          <w:szCs w:val="21"/>
        </w:rPr>
      </w:pPr>
      <w:bookmarkStart w:id="155" w:name="_Toc989042"/>
      <w:r>
        <w:rPr>
          <w:rFonts w:ascii="宋体" w:hAnsi="宋体" w:eastAsia="宋体" w:cs="宋体"/>
          <w:b/>
          <w:bCs/>
          <w:sz w:val="21"/>
          <w:szCs w:val="21"/>
        </w:rPr>
        <w:t>3、合并利润表</w:t>
      </w:r>
      <w:bookmarkEnd w:id="155"/>
    </w:p>
    <w:p w14:paraId="73A32A7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B50B2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672080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0AC1488">
            <w:pPr>
              <w:spacing w:before="40" w:after="40" w:line="240" w:lineRule="exact"/>
              <w:jc w:val="center"/>
              <w:rPr>
                <w:rFonts w:ascii="宋体" w:hAnsi="宋体" w:eastAsia="宋体" w:cs="宋体"/>
                <w:sz w:val="18"/>
                <w:szCs w:val="18"/>
              </w:rPr>
            </w:pPr>
            <w:r>
              <w:rPr>
                <w:rFonts w:ascii="宋体" w:hAnsi="宋体" w:eastAsia="宋体" w:cs="宋体"/>
                <w:sz w:val="18"/>
                <w:szCs w:val="18"/>
              </w:rPr>
              <w:t>2024年度</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AEBEB32">
            <w:pPr>
              <w:spacing w:before="40" w:after="40" w:line="240" w:lineRule="exact"/>
              <w:jc w:val="center"/>
              <w:rPr>
                <w:rFonts w:ascii="宋体" w:hAnsi="宋体" w:eastAsia="宋体" w:cs="宋体"/>
                <w:sz w:val="18"/>
                <w:szCs w:val="18"/>
              </w:rPr>
            </w:pPr>
            <w:r>
              <w:rPr>
                <w:rFonts w:ascii="宋体" w:hAnsi="宋体" w:eastAsia="宋体" w:cs="宋体"/>
                <w:sz w:val="18"/>
                <w:szCs w:val="18"/>
              </w:rPr>
              <w:t>2023年度</w:t>
            </w:r>
          </w:p>
        </w:tc>
      </w:tr>
      <w:tr w14:paraId="2C3DB1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3D3D5F5">
            <w:pPr>
              <w:spacing w:before="40" w:after="40" w:line="240" w:lineRule="exact"/>
              <w:jc w:val="left"/>
              <w:rPr>
                <w:rFonts w:ascii="宋体" w:hAnsi="宋体" w:eastAsia="宋体" w:cs="宋体"/>
                <w:sz w:val="18"/>
                <w:szCs w:val="18"/>
              </w:rPr>
            </w:pPr>
            <w:r>
              <w:rPr>
                <w:rFonts w:ascii="宋体" w:hAnsi="宋体" w:eastAsia="宋体" w:cs="宋体"/>
                <w:sz w:val="18"/>
                <w:szCs w:val="18"/>
              </w:rPr>
              <w:t>一、营业总收入</w:t>
            </w:r>
          </w:p>
        </w:tc>
        <w:tc>
          <w:tcPr>
            <w:tcW w:w="3213" w:type="dxa"/>
            <w:tcBorders>
              <w:top w:val="single" w:color="auto" w:sz="2" w:space="0"/>
              <w:left w:val="single" w:color="auto" w:sz="2" w:space="0"/>
              <w:bottom w:val="single" w:color="auto" w:sz="2" w:space="0"/>
              <w:right w:val="single" w:color="auto" w:sz="2" w:space="0"/>
            </w:tcBorders>
            <w:vAlign w:val="center"/>
          </w:tcPr>
          <w:p w14:paraId="74660DCA">
            <w:pPr>
              <w:spacing w:before="0" w:after="0" w:line="240" w:lineRule="exact"/>
              <w:jc w:val="right"/>
              <w:rPr>
                <w:rFonts w:ascii="宋体" w:hAnsi="宋体" w:eastAsia="宋体" w:cs="宋体"/>
                <w:sz w:val="18"/>
                <w:szCs w:val="18"/>
              </w:rPr>
            </w:pPr>
            <w:r>
              <w:rPr>
                <w:rFonts w:ascii="宋体" w:hAnsi="宋体" w:eastAsia="宋体" w:cs="宋体"/>
                <w:sz w:val="18"/>
                <w:szCs w:val="18"/>
              </w:rPr>
              <w:t>441,457,673.77</w:t>
            </w:r>
          </w:p>
        </w:tc>
        <w:tc>
          <w:tcPr>
            <w:tcW w:w="3213" w:type="dxa"/>
            <w:tcBorders>
              <w:top w:val="single" w:color="auto" w:sz="2" w:space="0"/>
              <w:left w:val="single" w:color="auto" w:sz="2" w:space="0"/>
              <w:bottom w:val="single" w:color="auto" w:sz="2" w:space="0"/>
              <w:right w:val="single" w:color="auto" w:sz="2" w:space="0"/>
            </w:tcBorders>
            <w:vAlign w:val="center"/>
          </w:tcPr>
          <w:p w14:paraId="17B1AD64">
            <w:pPr>
              <w:spacing w:before="0" w:after="0" w:line="240" w:lineRule="exact"/>
              <w:jc w:val="right"/>
              <w:rPr>
                <w:rFonts w:ascii="宋体" w:hAnsi="宋体" w:eastAsia="宋体" w:cs="宋体"/>
                <w:sz w:val="18"/>
                <w:szCs w:val="18"/>
              </w:rPr>
            </w:pPr>
            <w:r>
              <w:rPr>
                <w:rFonts w:ascii="宋体" w:hAnsi="宋体" w:eastAsia="宋体" w:cs="宋体"/>
                <w:sz w:val="18"/>
                <w:szCs w:val="18"/>
              </w:rPr>
              <w:t>422,714,889.10</w:t>
            </w:r>
          </w:p>
        </w:tc>
      </w:tr>
      <w:tr w14:paraId="35F255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94DDF59">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其中：营业收入</w:t>
            </w:r>
          </w:p>
        </w:tc>
        <w:tc>
          <w:tcPr>
            <w:tcW w:w="3213" w:type="dxa"/>
            <w:tcBorders>
              <w:top w:val="single" w:color="auto" w:sz="2" w:space="0"/>
              <w:left w:val="single" w:color="auto" w:sz="2" w:space="0"/>
              <w:bottom w:val="single" w:color="auto" w:sz="2" w:space="0"/>
              <w:right w:val="single" w:color="auto" w:sz="2" w:space="0"/>
            </w:tcBorders>
            <w:vAlign w:val="center"/>
          </w:tcPr>
          <w:p w14:paraId="0ECF3052">
            <w:pPr>
              <w:spacing w:before="0" w:after="0" w:line="240" w:lineRule="exact"/>
              <w:jc w:val="right"/>
              <w:rPr>
                <w:rFonts w:ascii="宋体" w:hAnsi="宋体" w:eastAsia="宋体" w:cs="宋体"/>
                <w:sz w:val="18"/>
                <w:szCs w:val="18"/>
              </w:rPr>
            </w:pPr>
            <w:r>
              <w:rPr>
                <w:rFonts w:ascii="宋体" w:hAnsi="宋体" w:eastAsia="宋体" w:cs="宋体"/>
                <w:sz w:val="18"/>
                <w:szCs w:val="18"/>
              </w:rPr>
              <w:t>441,457,673.77</w:t>
            </w:r>
          </w:p>
        </w:tc>
        <w:tc>
          <w:tcPr>
            <w:tcW w:w="3213" w:type="dxa"/>
            <w:tcBorders>
              <w:top w:val="single" w:color="auto" w:sz="2" w:space="0"/>
              <w:left w:val="single" w:color="auto" w:sz="2" w:space="0"/>
              <w:bottom w:val="single" w:color="auto" w:sz="2" w:space="0"/>
              <w:right w:val="single" w:color="auto" w:sz="2" w:space="0"/>
            </w:tcBorders>
            <w:vAlign w:val="center"/>
          </w:tcPr>
          <w:p w14:paraId="24FBC34B">
            <w:pPr>
              <w:spacing w:before="0" w:after="0" w:line="240" w:lineRule="exact"/>
              <w:jc w:val="right"/>
              <w:rPr>
                <w:rFonts w:ascii="宋体" w:hAnsi="宋体" w:eastAsia="宋体" w:cs="宋体"/>
                <w:sz w:val="18"/>
                <w:szCs w:val="18"/>
              </w:rPr>
            </w:pPr>
            <w:r>
              <w:rPr>
                <w:rFonts w:ascii="宋体" w:hAnsi="宋体" w:eastAsia="宋体" w:cs="宋体"/>
                <w:sz w:val="18"/>
                <w:szCs w:val="18"/>
              </w:rPr>
              <w:t>422,714,889.10</w:t>
            </w:r>
          </w:p>
        </w:tc>
      </w:tr>
      <w:tr w14:paraId="686AE4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544903D">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利息收入</w:t>
            </w:r>
          </w:p>
        </w:tc>
        <w:tc>
          <w:tcPr>
            <w:tcW w:w="3213" w:type="dxa"/>
            <w:tcBorders>
              <w:top w:val="single" w:color="auto" w:sz="2" w:space="0"/>
              <w:left w:val="single" w:color="auto" w:sz="2" w:space="0"/>
              <w:bottom w:val="single" w:color="auto" w:sz="2" w:space="0"/>
              <w:right w:val="single" w:color="auto" w:sz="2" w:space="0"/>
            </w:tcBorders>
            <w:vAlign w:val="center"/>
          </w:tcPr>
          <w:p w14:paraId="635BCD8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812C7BF">
            <w:pPr>
              <w:spacing w:before="0" w:after="0" w:line="240" w:lineRule="exact"/>
              <w:jc w:val="right"/>
              <w:rPr>
                <w:rFonts w:ascii="宋体" w:hAnsi="宋体" w:eastAsia="宋体" w:cs="宋体"/>
                <w:sz w:val="18"/>
                <w:szCs w:val="18"/>
              </w:rPr>
            </w:pPr>
          </w:p>
        </w:tc>
      </w:tr>
      <w:tr w14:paraId="628EE7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77F3DA4">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已赚保费</w:t>
            </w:r>
          </w:p>
        </w:tc>
        <w:tc>
          <w:tcPr>
            <w:tcW w:w="3213" w:type="dxa"/>
            <w:tcBorders>
              <w:top w:val="single" w:color="auto" w:sz="2" w:space="0"/>
              <w:left w:val="single" w:color="auto" w:sz="2" w:space="0"/>
              <w:bottom w:val="single" w:color="auto" w:sz="2" w:space="0"/>
              <w:right w:val="single" w:color="auto" w:sz="2" w:space="0"/>
            </w:tcBorders>
            <w:vAlign w:val="center"/>
          </w:tcPr>
          <w:p w14:paraId="088757E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FCFEC57">
            <w:pPr>
              <w:spacing w:before="0" w:after="0" w:line="240" w:lineRule="exact"/>
              <w:jc w:val="right"/>
              <w:rPr>
                <w:rFonts w:ascii="宋体" w:hAnsi="宋体" w:eastAsia="宋体" w:cs="宋体"/>
                <w:sz w:val="18"/>
                <w:szCs w:val="18"/>
              </w:rPr>
            </w:pPr>
          </w:p>
        </w:tc>
      </w:tr>
      <w:tr w14:paraId="2821B2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54B0A5">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手续费及佣金收入</w:t>
            </w:r>
          </w:p>
        </w:tc>
        <w:tc>
          <w:tcPr>
            <w:tcW w:w="3213" w:type="dxa"/>
            <w:tcBorders>
              <w:top w:val="single" w:color="auto" w:sz="2" w:space="0"/>
              <w:left w:val="single" w:color="auto" w:sz="2" w:space="0"/>
              <w:bottom w:val="single" w:color="auto" w:sz="2" w:space="0"/>
              <w:right w:val="single" w:color="auto" w:sz="2" w:space="0"/>
            </w:tcBorders>
            <w:vAlign w:val="center"/>
          </w:tcPr>
          <w:p w14:paraId="27837A64">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C5F67F8">
            <w:pPr>
              <w:spacing w:before="0" w:after="0" w:line="240" w:lineRule="exact"/>
              <w:jc w:val="right"/>
              <w:rPr>
                <w:rFonts w:ascii="宋体" w:hAnsi="宋体" w:eastAsia="宋体" w:cs="宋体"/>
                <w:sz w:val="18"/>
                <w:szCs w:val="18"/>
              </w:rPr>
            </w:pPr>
          </w:p>
        </w:tc>
      </w:tr>
      <w:tr w14:paraId="5FD8B4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9A9D0D8">
            <w:pPr>
              <w:spacing w:before="40" w:after="40" w:line="240" w:lineRule="exact"/>
              <w:jc w:val="left"/>
              <w:rPr>
                <w:rFonts w:ascii="宋体" w:hAnsi="宋体" w:eastAsia="宋体" w:cs="宋体"/>
                <w:sz w:val="18"/>
                <w:szCs w:val="18"/>
              </w:rPr>
            </w:pPr>
            <w:r>
              <w:rPr>
                <w:rFonts w:ascii="宋体" w:hAnsi="宋体" w:eastAsia="宋体" w:cs="宋体"/>
                <w:sz w:val="18"/>
                <w:szCs w:val="18"/>
              </w:rPr>
              <w:t>二、营业总成本</w:t>
            </w:r>
          </w:p>
        </w:tc>
        <w:tc>
          <w:tcPr>
            <w:tcW w:w="3213" w:type="dxa"/>
            <w:tcBorders>
              <w:top w:val="single" w:color="auto" w:sz="2" w:space="0"/>
              <w:left w:val="single" w:color="auto" w:sz="2" w:space="0"/>
              <w:bottom w:val="single" w:color="auto" w:sz="2" w:space="0"/>
              <w:right w:val="single" w:color="auto" w:sz="2" w:space="0"/>
            </w:tcBorders>
            <w:vAlign w:val="center"/>
          </w:tcPr>
          <w:p w14:paraId="621F6EAF">
            <w:pPr>
              <w:spacing w:before="0" w:after="0" w:line="240" w:lineRule="exact"/>
              <w:jc w:val="right"/>
              <w:rPr>
                <w:rFonts w:ascii="宋体" w:hAnsi="宋体" w:eastAsia="宋体" w:cs="宋体"/>
                <w:sz w:val="18"/>
                <w:szCs w:val="18"/>
              </w:rPr>
            </w:pPr>
            <w:r>
              <w:rPr>
                <w:rFonts w:ascii="宋体" w:hAnsi="宋体" w:eastAsia="宋体" w:cs="宋体"/>
                <w:sz w:val="18"/>
                <w:szCs w:val="18"/>
              </w:rPr>
              <w:t>566,791,996.24</w:t>
            </w:r>
          </w:p>
        </w:tc>
        <w:tc>
          <w:tcPr>
            <w:tcW w:w="3213" w:type="dxa"/>
            <w:tcBorders>
              <w:top w:val="single" w:color="auto" w:sz="2" w:space="0"/>
              <w:left w:val="single" w:color="auto" w:sz="2" w:space="0"/>
              <w:bottom w:val="single" w:color="auto" w:sz="2" w:space="0"/>
              <w:right w:val="single" w:color="auto" w:sz="2" w:space="0"/>
            </w:tcBorders>
            <w:vAlign w:val="center"/>
          </w:tcPr>
          <w:p w14:paraId="4CFAFA64">
            <w:pPr>
              <w:spacing w:before="0" w:after="0" w:line="240" w:lineRule="exact"/>
              <w:jc w:val="right"/>
              <w:rPr>
                <w:rFonts w:ascii="宋体" w:hAnsi="宋体" w:eastAsia="宋体" w:cs="宋体"/>
                <w:sz w:val="18"/>
                <w:szCs w:val="18"/>
              </w:rPr>
            </w:pPr>
            <w:r>
              <w:rPr>
                <w:rFonts w:ascii="宋体" w:hAnsi="宋体" w:eastAsia="宋体" w:cs="宋体"/>
                <w:sz w:val="18"/>
                <w:szCs w:val="18"/>
              </w:rPr>
              <w:t>657,276,619.67</w:t>
            </w:r>
          </w:p>
        </w:tc>
      </w:tr>
      <w:tr w14:paraId="022A6E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A24C8F">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其中：营业成本</w:t>
            </w:r>
          </w:p>
        </w:tc>
        <w:tc>
          <w:tcPr>
            <w:tcW w:w="3213" w:type="dxa"/>
            <w:tcBorders>
              <w:top w:val="single" w:color="auto" w:sz="2" w:space="0"/>
              <w:left w:val="single" w:color="auto" w:sz="2" w:space="0"/>
              <w:bottom w:val="single" w:color="auto" w:sz="2" w:space="0"/>
              <w:right w:val="single" w:color="auto" w:sz="2" w:space="0"/>
            </w:tcBorders>
            <w:vAlign w:val="center"/>
          </w:tcPr>
          <w:p w14:paraId="01410B0B">
            <w:pPr>
              <w:spacing w:before="0" w:after="0" w:line="240" w:lineRule="exact"/>
              <w:jc w:val="right"/>
              <w:rPr>
                <w:rFonts w:ascii="宋体" w:hAnsi="宋体" w:eastAsia="宋体" w:cs="宋体"/>
                <w:sz w:val="18"/>
                <w:szCs w:val="18"/>
              </w:rPr>
            </w:pPr>
            <w:r>
              <w:rPr>
                <w:rFonts w:ascii="宋体" w:hAnsi="宋体" w:eastAsia="宋体" w:cs="宋体"/>
                <w:sz w:val="18"/>
                <w:szCs w:val="18"/>
              </w:rPr>
              <w:t>167,362,189.97</w:t>
            </w:r>
          </w:p>
        </w:tc>
        <w:tc>
          <w:tcPr>
            <w:tcW w:w="3213" w:type="dxa"/>
            <w:tcBorders>
              <w:top w:val="single" w:color="auto" w:sz="2" w:space="0"/>
              <w:left w:val="single" w:color="auto" w:sz="2" w:space="0"/>
              <w:bottom w:val="single" w:color="auto" w:sz="2" w:space="0"/>
              <w:right w:val="single" w:color="auto" w:sz="2" w:space="0"/>
            </w:tcBorders>
            <w:vAlign w:val="center"/>
          </w:tcPr>
          <w:p w14:paraId="47EE4B6B">
            <w:pPr>
              <w:spacing w:before="0" w:after="0" w:line="240" w:lineRule="exact"/>
              <w:jc w:val="right"/>
              <w:rPr>
                <w:rFonts w:ascii="宋体" w:hAnsi="宋体" w:eastAsia="宋体" w:cs="宋体"/>
                <w:sz w:val="18"/>
                <w:szCs w:val="18"/>
              </w:rPr>
            </w:pPr>
            <w:r>
              <w:rPr>
                <w:rFonts w:ascii="宋体" w:hAnsi="宋体" w:eastAsia="宋体" w:cs="宋体"/>
                <w:sz w:val="18"/>
                <w:szCs w:val="18"/>
              </w:rPr>
              <w:t>180,048,637.42</w:t>
            </w:r>
          </w:p>
        </w:tc>
      </w:tr>
      <w:tr w14:paraId="45982F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04C22A9">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利息支出</w:t>
            </w:r>
          </w:p>
        </w:tc>
        <w:tc>
          <w:tcPr>
            <w:tcW w:w="3213" w:type="dxa"/>
            <w:tcBorders>
              <w:top w:val="single" w:color="auto" w:sz="2" w:space="0"/>
              <w:left w:val="single" w:color="auto" w:sz="2" w:space="0"/>
              <w:bottom w:val="single" w:color="auto" w:sz="2" w:space="0"/>
              <w:right w:val="single" w:color="auto" w:sz="2" w:space="0"/>
            </w:tcBorders>
            <w:vAlign w:val="center"/>
          </w:tcPr>
          <w:p w14:paraId="00E6F6B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79198D3">
            <w:pPr>
              <w:spacing w:before="0" w:after="0" w:line="240" w:lineRule="exact"/>
              <w:jc w:val="right"/>
              <w:rPr>
                <w:rFonts w:ascii="宋体" w:hAnsi="宋体" w:eastAsia="宋体" w:cs="宋体"/>
                <w:sz w:val="18"/>
                <w:szCs w:val="18"/>
              </w:rPr>
            </w:pPr>
          </w:p>
        </w:tc>
      </w:tr>
      <w:tr w14:paraId="1B8658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CAA2652">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手续费及佣金支出</w:t>
            </w:r>
          </w:p>
        </w:tc>
        <w:tc>
          <w:tcPr>
            <w:tcW w:w="3213" w:type="dxa"/>
            <w:tcBorders>
              <w:top w:val="single" w:color="auto" w:sz="2" w:space="0"/>
              <w:left w:val="single" w:color="auto" w:sz="2" w:space="0"/>
              <w:bottom w:val="single" w:color="auto" w:sz="2" w:space="0"/>
              <w:right w:val="single" w:color="auto" w:sz="2" w:space="0"/>
            </w:tcBorders>
            <w:vAlign w:val="center"/>
          </w:tcPr>
          <w:p w14:paraId="23163F08">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2526C2C">
            <w:pPr>
              <w:spacing w:before="0" w:after="0" w:line="240" w:lineRule="exact"/>
              <w:jc w:val="right"/>
              <w:rPr>
                <w:rFonts w:ascii="宋体" w:hAnsi="宋体" w:eastAsia="宋体" w:cs="宋体"/>
                <w:sz w:val="18"/>
                <w:szCs w:val="18"/>
              </w:rPr>
            </w:pPr>
          </w:p>
        </w:tc>
      </w:tr>
      <w:tr w14:paraId="113EF7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32188C5">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退保金</w:t>
            </w:r>
          </w:p>
        </w:tc>
        <w:tc>
          <w:tcPr>
            <w:tcW w:w="3213" w:type="dxa"/>
            <w:tcBorders>
              <w:top w:val="single" w:color="auto" w:sz="2" w:space="0"/>
              <w:left w:val="single" w:color="auto" w:sz="2" w:space="0"/>
              <w:bottom w:val="single" w:color="auto" w:sz="2" w:space="0"/>
              <w:right w:val="single" w:color="auto" w:sz="2" w:space="0"/>
            </w:tcBorders>
            <w:vAlign w:val="center"/>
          </w:tcPr>
          <w:p w14:paraId="5624DC3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E98896C">
            <w:pPr>
              <w:spacing w:before="0" w:after="0" w:line="240" w:lineRule="exact"/>
              <w:jc w:val="right"/>
              <w:rPr>
                <w:rFonts w:ascii="宋体" w:hAnsi="宋体" w:eastAsia="宋体" w:cs="宋体"/>
                <w:sz w:val="18"/>
                <w:szCs w:val="18"/>
              </w:rPr>
            </w:pPr>
          </w:p>
        </w:tc>
      </w:tr>
      <w:tr w14:paraId="350D69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30AC22B">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赔付支出净额</w:t>
            </w:r>
          </w:p>
        </w:tc>
        <w:tc>
          <w:tcPr>
            <w:tcW w:w="3213" w:type="dxa"/>
            <w:tcBorders>
              <w:top w:val="single" w:color="auto" w:sz="2" w:space="0"/>
              <w:left w:val="single" w:color="auto" w:sz="2" w:space="0"/>
              <w:bottom w:val="single" w:color="auto" w:sz="2" w:space="0"/>
              <w:right w:val="single" w:color="auto" w:sz="2" w:space="0"/>
            </w:tcBorders>
            <w:vAlign w:val="center"/>
          </w:tcPr>
          <w:p w14:paraId="041CE6D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7F22866">
            <w:pPr>
              <w:spacing w:before="0" w:after="0" w:line="240" w:lineRule="exact"/>
              <w:jc w:val="right"/>
              <w:rPr>
                <w:rFonts w:ascii="宋体" w:hAnsi="宋体" w:eastAsia="宋体" w:cs="宋体"/>
                <w:sz w:val="18"/>
                <w:szCs w:val="18"/>
              </w:rPr>
            </w:pPr>
          </w:p>
        </w:tc>
      </w:tr>
      <w:tr w14:paraId="62970F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CDA520F">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提取保险责任合同准备金净额</w:t>
            </w:r>
          </w:p>
        </w:tc>
        <w:tc>
          <w:tcPr>
            <w:tcW w:w="3213" w:type="dxa"/>
            <w:tcBorders>
              <w:top w:val="single" w:color="auto" w:sz="2" w:space="0"/>
              <w:left w:val="single" w:color="auto" w:sz="2" w:space="0"/>
              <w:bottom w:val="single" w:color="auto" w:sz="2" w:space="0"/>
              <w:right w:val="single" w:color="auto" w:sz="2" w:space="0"/>
            </w:tcBorders>
            <w:vAlign w:val="center"/>
          </w:tcPr>
          <w:p w14:paraId="3958A31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70728C1">
            <w:pPr>
              <w:spacing w:before="0" w:after="0" w:line="240" w:lineRule="exact"/>
              <w:jc w:val="right"/>
              <w:rPr>
                <w:rFonts w:ascii="宋体" w:hAnsi="宋体" w:eastAsia="宋体" w:cs="宋体"/>
                <w:sz w:val="18"/>
                <w:szCs w:val="18"/>
              </w:rPr>
            </w:pPr>
          </w:p>
        </w:tc>
      </w:tr>
      <w:tr w14:paraId="60688B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4F6A951">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保单红利支出</w:t>
            </w:r>
          </w:p>
        </w:tc>
        <w:tc>
          <w:tcPr>
            <w:tcW w:w="3213" w:type="dxa"/>
            <w:tcBorders>
              <w:top w:val="single" w:color="auto" w:sz="2" w:space="0"/>
              <w:left w:val="single" w:color="auto" w:sz="2" w:space="0"/>
              <w:bottom w:val="single" w:color="auto" w:sz="2" w:space="0"/>
              <w:right w:val="single" w:color="auto" w:sz="2" w:space="0"/>
            </w:tcBorders>
            <w:vAlign w:val="center"/>
          </w:tcPr>
          <w:p w14:paraId="17AAB72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BACBD53">
            <w:pPr>
              <w:spacing w:before="0" w:after="0" w:line="240" w:lineRule="exact"/>
              <w:jc w:val="right"/>
              <w:rPr>
                <w:rFonts w:ascii="宋体" w:hAnsi="宋体" w:eastAsia="宋体" w:cs="宋体"/>
                <w:sz w:val="18"/>
                <w:szCs w:val="18"/>
              </w:rPr>
            </w:pPr>
          </w:p>
        </w:tc>
      </w:tr>
      <w:tr w14:paraId="443D7C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AB6080C">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分保费用</w:t>
            </w:r>
          </w:p>
        </w:tc>
        <w:tc>
          <w:tcPr>
            <w:tcW w:w="3213" w:type="dxa"/>
            <w:tcBorders>
              <w:top w:val="single" w:color="auto" w:sz="2" w:space="0"/>
              <w:left w:val="single" w:color="auto" w:sz="2" w:space="0"/>
              <w:bottom w:val="single" w:color="auto" w:sz="2" w:space="0"/>
              <w:right w:val="single" w:color="auto" w:sz="2" w:space="0"/>
            </w:tcBorders>
            <w:vAlign w:val="center"/>
          </w:tcPr>
          <w:p w14:paraId="6D3CDBC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76AE670">
            <w:pPr>
              <w:spacing w:before="0" w:after="0" w:line="240" w:lineRule="exact"/>
              <w:jc w:val="right"/>
              <w:rPr>
                <w:rFonts w:ascii="宋体" w:hAnsi="宋体" w:eastAsia="宋体" w:cs="宋体"/>
                <w:sz w:val="18"/>
                <w:szCs w:val="18"/>
              </w:rPr>
            </w:pPr>
          </w:p>
        </w:tc>
      </w:tr>
      <w:tr w14:paraId="1EC141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BC68CAD">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税金及附加</w:t>
            </w:r>
          </w:p>
        </w:tc>
        <w:tc>
          <w:tcPr>
            <w:tcW w:w="3213" w:type="dxa"/>
            <w:tcBorders>
              <w:top w:val="single" w:color="auto" w:sz="2" w:space="0"/>
              <w:left w:val="single" w:color="auto" w:sz="2" w:space="0"/>
              <w:bottom w:val="single" w:color="auto" w:sz="2" w:space="0"/>
              <w:right w:val="single" w:color="auto" w:sz="2" w:space="0"/>
            </w:tcBorders>
            <w:vAlign w:val="center"/>
          </w:tcPr>
          <w:p w14:paraId="4C07EBD8">
            <w:pPr>
              <w:spacing w:before="0" w:after="0" w:line="240" w:lineRule="exact"/>
              <w:jc w:val="right"/>
              <w:rPr>
                <w:rFonts w:ascii="宋体" w:hAnsi="宋体" w:eastAsia="宋体" w:cs="宋体"/>
                <w:sz w:val="18"/>
                <w:szCs w:val="18"/>
              </w:rPr>
            </w:pPr>
            <w:r>
              <w:rPr>
                <w:rFonts w:ascii="宋体" w:hAnsi="宋体" w:eastAsia="宋体" w:cs="宋体"/>
                <w:sz w:val="18"/>
                <w:szCs w:val="18"/>
              </w:rPr>
              <w:t>9,436,655.04</w:t>
            </w:r>
          </w:p>
        </w:tc>
        <w:tc>
          <w:tcPr>
            <w:tcW w:w="3213" w:type="dxa"/>
            <w:tcBorders>
              <w:top w:val="single" w:color="auto" w:sz="2" w:space="0"/>
              <w:left w:val="single" w:color="auto" w:sz="2" w:space="0"/>
              <w:bottom w:val="single" w:color="auto" w:sz="2" w:space="0"/>
              <w:right w:val="single" w:color="auto" w:sz="2" w:space="0"/>
            </w:tcBorders>
            <w:vAlign w:val="center"/>
          </w:tcPr>
          <w:p w14:paraId="3F93EAC8">
            <w:pPr>
              <w:spacing w:before="0" w:after="0" w:line="240" w:lineRule="exact"/>
              <w:jc w:val="right"/>
              <w:rPr>
                <w:rFonts w:ascii="宋体" w:hAnsi="宋体" w:eastAsia="宋体" w:cs="宋体"/>
                <w:sz w:val="18"/>
                <w:szCs w:val="18"/>
              </w:rPr>
            </w:pPr>
            <w:r>
              <w:rPr>
                <w:rFonts w:ascii="宋体" w:hAnsi="宋体" w:eastAsia="宋体" w:cs="宋体"/>
                <w:sz w:val="18"/>
                <w:szCs w:val="18"/>
              </w:rPr>
              <w:t>8,804,156.32</w:t>
            </w:r>
          </w:p>
        </w:tc>
      </w:tr>
      <w:tr w14:paraId="28DF1B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4B8BA33">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销售费用</w:t>
            </w:r>
          </w:p>
        </w:tc>
        <w:tc>
          <w:tcPr>
            <w:tcW w:w="3213" w:type="dxa"/>
            <w:tcBorders>
              <w:top w:val="single" w:color="auto" w:sz="2" w:space="0"/>
              <w:left w:val="single" w:color="auto" w:sz="2" w:space="0"/>
              <w:bottom w:val="single" w:color="auto" w:sz="2" w:space="0"/>
              <w:right w:val="single" w:color="auto" w:sz="2" w:space="0"/>
            </w:tcBorders>
            <w:vAlign w:val="center"/>
          </w:tcPr>
          <w:p w14:paraId="311CEC3F">
            <w:pPr>
              <w:spacing w:before="0" w:after="0" w:line="240" w:lineRule="exact"/>
              <w:jc w:val="right"/>
              <w:rPr>
                <w:rFonts w:ascii="宋体" w:hAnsi="宋体" w:eastAsia="宋体" w:cs="宋体"/>
                <w:sz w:val="18"/>
                <w:szCs w:val="18"/>
              </w:rPr>
            </w:pPr>
            <w:r>
              <w:rPr>
                <w:rFonts w:ascii="宋体" w:hAnsi="宋体" w:eastAsia="宋体" w:cs="宋体"/>
                <w:sz w:val="18"/>
                <w:szCs w:val="18"/>
              </w:rPr>
              <w:t>199,237,589.20</w:t>
            </w:r>
          </w:p>
        </w:tc>
        <w:tc>
          <w:tcPr>
            <w:tcW w:w="3213" w:type="dxa"/>
            <w:tcBorders>
              <w:top w:val="single" w:color="auto" w:sz="2" w:space="0"/>
              <w:left w:val="single" w:color="auto" w:sz="2" w:space="0"/>
              <w:bottom w:val="single" w:color="auto" w:sz="2" w:space="0"/>
              <w:right w:val="single" w:color="auto" w:sz="2" w:space="0"/>
            </w:tcBorders>
            <w:vAlign w:val="center"/>
          </w:tcPr>
          <w:p w14:paraId="4E167EA6">
            <w:pPr>
              <w:spacing w:before="0" w:after="0" w:line="240" w:lineRule="exact"/>
              <w:jc w:val="right"/>
              <w:rPr>
                <w:rFonts w:ascii="宋体" w:hAnsi="宋体" w:eastAsia="宋体" w:cs="宋体"/>
                <w:sz w:val="18"/>
                <w:szCs w:val="18"/>
              </w:rPr>
            </w:pPr>
            <w:r>
              <w:rPr>
                <w:rFonts w:ascii="宋体" w:hAnsi="宋体" w:eastAsia="宋体" w:cs="宋体"/>
                <w:sz w:val="18"/>
                <w:szCs w:val="18"/>
              </w:rPr>
              <w:t>189,793,190.11</w:t>
            </w:r>
          </w:p>
        </w:tc>
      </w:tr>
      <w:tr w14:paraId="45D241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FE0F755">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管理费用</w:t>
            </w:r>
          </w:p>
        </w:tc>
        <w:tc>
          <w:tcPr>
            <w:tcW w:w="3213" w:type="dxa"/>
            <w:tcBorders>
              <w:top w:val="single" w:color="auto" w:sz="2" w:space="0"/>
              <w:left w:val="single" w:color="auto" w:sz="2" w:space="0"/>
              <w:bottom w:val="single" w:color="auto" w:sz="2" w:space="0"/>
              <w:right w:val="single" w:color="auto" w:sz="2" w:space="0"/>
            </w:tcBorders>
            <w:vAlign w:val="center"/>
          </w:tcPr>
          <w:p w14:paraId="5CC98775">
            <w:pPr>
              <w:spacing w:before="0" w:after="0" w:line="240" w:lineRule="exact"/>
              <w:jc w:val="right"/>
              <w:rPr>
                <w:rFonts w:ascii="宋体" w:hAnsi="宋体" w:eastAsia="宋体" w:cs="宋体"/>
                <w:sz w:val="18"/>
                <w:szCs w:val="18"/>
              </w:rPr>
            </w:pPr>
            <w:r>
              <w:rPr>
                <w:rFonts w:ascii="宋体" w:hAnsi="宋体" w:eastAsia="宋体" w:cs="宋体"/>
                <w:sz w:val="18"/>
                <w:szCs w:val="18"/>
              </w:rPr>
              <w:t>112,513,744.59</w:t>
            </w:r>
          </w:p>
        </w:tc>
        <w:tc>
          <w:tcPr>
            <w:tcW w:w="3213" w:type="dxa"/>
            <w:tcBorders>
              <w:top w:val="single" w:color="auto" w:sz="2" w:space="0"/>
              <w:left w:val="single" w:color="auto" w:sz="2" w:space="0"/>
              <w:bottom w:val="single" w:color="auto" w:sz="2" w:space="0"/>
              <w:right w:val="single" w:color="auto" w:sz="2" w:space="0"/>
            </w:tcBorders>
            <w:vAlign w:val="center"/>
          </w:tcPr>
          <w:p w14:paraId="02B3B4C0">
            <w:pPr>
              <w:spacing w:before="0" w:after="0" w:line="240" w:lineRule="exact"/>
              <w:jc w:val="right"/>
              <w:rPr>
                <w:rFonts w:ascii="宋体" w:hAnsi="宋体" w:eastAsia="宋体" w:cs="宋体"/>
                <w:sz w:val="18"/>
                <w:szCs w:val="18"/>
              </w:rPr>
            </w:pPr>
            <w:r>
              <w:rPr>
                <w:rFonts w:ascii="宋体" w:hAnsi="宋体" w:eastAsia="宋体" w:cs="宋体"/>
                <w:sz w:val="18"/>
                <w:szCs w:val="18"/>
              </w:rPr>
              <w:t>114,921,442.81</w:t>
            </w:r>
          </w:p>
        </w:tc>
      </w:tr>
      <w:tr w14:paraId="79F412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9803A6">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研发费用</w:t>
            </w:r>
          </w:p>
        </w:tc>
        <w:tc>
          <w:tcPr>
            <w:tcW w:w="3213" w:type="dxa"/>
            <w:tcBorders>
              <w:top w:val="single" w:color="auto" w:sz="2" w:space="0"/>
              <w:left w:val="single" w:color="auto" w:sz="2" w:space="0"/>
              <w:bottom w:val="single" w:color="auto" w:sz="2" w:space="0"/>
              <w:right w:val="single" w:color="auto" w:sz="2" w:space="0"/>
            </w:tcBorders>
            <w:vAlign w:val="center"/>
          </w:tcPr>
          <w:p w14:paraId="4590A09D">
            <w:pPr>
              <w:spacing w:before="0" w:after="0" w:line="240" w:lineRule="exact"/>
              <w:jc w:val="right"/>
              <w:rPr>
                <w:rFonts w:ascii="宋体" w:hAnsi="宋体" w:eastAsia="宋体" w:cs="宋体"/>
                <w:sz w:val="18"/>
                <w:szCs w:val="18"/>
              </w:rPr>
            </w:pPr>
            <w:r>
              <w:rPr>
                <w:rFonts w:ascii="宋体" w:hAnsi="宋体" w:eastAsia="宋体" w:cs="宋体"/>
                <w:sz w:val="18"/>
                <w:szCs w:val="18"/>
              </w:rPr>
              <w:t>44,052,307.08</w:t>
            </w:r>
          </w:p>
        </w:tc>
        <w:tc>
          <w:tcPr>
            <w:tcW w:w="3213" w:type="dxa"/>
            <w:tcBorders>
              <w:top w:val="single" w:color="auto" w:sz="2" w:space="0"/>
              <w:left w:val="single" w:color="auto" w:sz="2" w:space="0"/>
              <w:bottom w:val="single" w:color="auto" w:sz="2" w:space="0"/>
              <w:right w:val="single" w:color="auto" w:sz="2" w:space="0"/>
            </w:tcBorders>
            <w:vAlign w:val="center"/>
          </w:tcPr>
          <w:p w14:paraId="515641EB">
            <w:pPr>
              <w:spacing w:before="0" w:after="0" w:line="240" w:lineRule="exact"/>
              <w:jc w:val="right"/>
              <w:rPr>
                <w:rFonts w:ascii="宋体" w:hAnsi="宋体" w:eastAsia="宋体" w:cs="宋体"/>
                <w:sz w:val="18"/>
                <w:szCs w:val="18"/>
              </w:rPr>
            </w:pPr>
            <w:r>
              <w:rPr>
                <w:rFonts w:ascii="宋体" w:hAnsi="宋体" w:eastAsia="宋体" w:cs="宋体"/>
                <w:sz w:val="18"/>
                <w:szCs w:val="18"/>
              </w:rPr>
              <w:t>132,957,002.38</w:t>
            </w:r>
          </w:p>
        </w:tc>
      </w:tr>
      <w:tr w14:paraId="210B20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2DF6F65">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财务费用</w:t>
            </w:r>
          </w:p>
        </w:tc>
        <w:tc>
          <w:tcPr>
            <w:tcW w:w="3213" w:type="dxa"/>
            <w:tcBorders>
              <w:top w:val="single" w:color="auto" w:sz="2" w:space="0"/>
              <w:left w:val="single" w:color="auto" w:sz="2" w:space="0"/>
              <w:bottom w:val="single" w:color="auto" w:sz="2" w:space="0"/>
              <w:right w:val="single" w:color="auto" w:sz="2" w:space="0"/>
            </w:tcBorders>
            <w:vAlign w:val="center"/>
          </w:tcPr>
          <w:p w14:paraId="4867552E">
            <w:pPr>
              <w:spacing w:before="0" w:after="0" w:line="240" w:lineRule="exact"/>
              <w:jc w:val="right"/>
              <w:rPr>
                <w:rFonts w:ascii="宋体" w:hAnsi="宋体" w:eastAsia="宋体" w:cs="宋体"/>
                <w:sz w:val="18"/>
                <w:szCs w:val="18"/>
              </w:rPr>
            </w:pPr>
            <w:r>
              <w:rPr>
                <w:rFonts w:ascii="宋体" w:hAnsi="宋体" w:eastAsia="宋体" w:cs="宋体"/>
                <w:sz w:val="18"/>
                <w:szCs w:val="18"/>
              </w:rPr>
              <w:t>34,189,510.36</w:t>
            </w:r>
          </w:p>
        </w:tc>
        <w:tc>
          <w:tcPr>
            <w:tcW w:w="3213" w:type="dxa"/>
            <w:tcBorders>
              <w:top w:val="single" w:color="auto" w:sz="2" w:space="0"/>
              <w:left w:val="single" w:color="auto" w:sz="2" w:space="0"/>
              <w:bottom w:val="single" w:color="auto" w:sz="2" w:space="0"/>
              <w:right w:val="single" w:color="auto" w:sz="2" w:space="0"/>
            </w:tcBorders>
            <w:vAlign w:val="center"/>
          </w:tcPr>
          <w:p w14:paraId="74CDDEC1">
            <w:pPr>
              <w:spacing w:before="0" w:after="0" w:line="240" w:lineRule="exact"/>
              <w:jc w:val="right"/>
              <w:rPr>
                <w:rFonts w:ascii="宋体" w:hAnsi="宋体" w:eastAsia="宋体" w:cs="宋体"/>
                <w:sz w:val="18"/>
                <w:szCs w:val="18"/>
              </w:rPr>
            </w:pPr>
            <w:r>
              <w:rPr>
                <w:rFonts w:ascii="宋体" w:hAnsi="宋体" w:eastAsia="宋体" w:cs="宋体"/>
                <w:sz w:val="18"/>
                <w:szCs w:val="18"/>
              </w:rPr>
              <w:t>30,752,190.63</w:t>
            </w:r>
          </w:p>
        </w:tc>
      </w:tr>
      <w:tr w14:paraId="4C7113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E8B84CE">
            <w:pPr>
              <w:spacing w:before="40" w:after="40" w:line="240" w:lineRule="exact"/>
              <w:ind w:firstLine="900" w:firstLineChars="500"/>
              <w:jc w:val="left"/>
              <w:rPr>
                <w:rFonts w:ascii="宋体" w:hAnsi="宋体" w:eastAsia="宋体" w:cs="宋体"/>
                <w:sz w:val="18"/>
                <w:szCs w:val="18"/>
              </w:rPr>
            </w:pPr>
            <w:r>
              <w:rPr>
                <w:rFonts w:ascii="宋体" w:hAnsi="宋体" w:eastAsia="宋体" w:cs="宋体"/>
                <w:sz w:val="18"/>
                <w:szCs w:val="18"/>
              </w:rPr>
              <w:t>其中：利息费用</w:t>
            </w:r>
          </w:p>
        </w:tc>
        <w:tc>
          <w:tcPr>
            <w:tcW w:w="3213" w:type="dxa"/>
            <w:tcBorders>
              <w:top w:val="single" w:color="auto" w:sz="2" w:space="0"/>
              <w:left w:val="single" w:color="auto" w:sz="2" w:space="0"/>
              <w:bottom w:val="single" w:color="auto" w:sz="2" w:space="0"/>
              <w:right w:val="single" w:color="auto" w:sz="2" w:space="0"/>
            </w:tcBorders>
            <w:vAlign w:val="center"/>
          </w:tcPr>
          <w:p w14:paraId="3273D080">
            <w:pPr>
              <w:spacing w:before="0" w:after="0" w:line="240" w:lineRule="exact"/>
              <w:jc w:val="right"/>
              <w:rPr>
                <w:rFonts w:ascii="宋体" w:hAnsi="宋体" w:eastAsia="宋体" w:cs="宋体"/>
                <w:sz w:val="18"/>
                <w:szCs w:val="18"/>
              </w:rPr>
            </w:pPr>
            <w:r>
              <w:rPr>
                <w:rFonts w:ascii="宋体" w:hAnsi="宋体" w:eastAsia="宋体" w:cs="宋体"/>
                <w:sz w:val="18"/>
                <w:szCs w:val="18"/>
              </w:rPr>
              <w:t>35,547,005.46</w:t>
            </w:r>
          </w:p>
        </w:tc>
        <w:tc>
          <w:tcPr>
            <w:tcW w:w="3213" w:type="dxa"/>
            <w:tcBorders>
              <w:top w:val="single" w:color="auto" w:sz="2" w:space="0"/>
              <w:left w:val="single" w:color="auto" w:sz="2" w:space="0"/>
              <w:bottom w:val="single" w:color="auto" w:sz="2" w:space="0"/>
              <w:right w:val="single" w:color="auto" w:sz="2" w:space="0"/>
            </w:tcBorders>
            <w:vAlign w:val="center"/>
          </w:tcPr>
          <w:p w14:paraId="01C88E6F">
            <w:pPr>
              <w:spacing w:before="0" w:after="0" w:line="240" w:lineRule="exact"/>
              <w:jc w:val="right"/>
              <w:rPr>
                <w:rFonts w:ascii="宋体" w:hAnsi="宋体" w:eastAsia="宋体" w:cs="宋体"/>
                <w:sz w:val="18"/>
                <w:szCs w:val="18"/>
              </w:rPr>
            </w:pPr>
            <w:r>
              <w:rPr>
                <w:rFonts w:ascii="宋体" w:hAnsi="宋体" w:eastAsia="宋体" w:cs="宋体"/>
                <w:sz w:val="18"/>
                <w:szCs w:val="18"/>
              </w:rPr>
              <w:t>35,025,391.22</w:t>
            </w:r>
          </w:p>
        </w:tc>
      </w:tr>
      <w:tr w14:paraId="7C971F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FD4BF76">
            <w:pPr>
              <w:spacing w:before="40" w:after="40" w:line="240" w:lineRule="exact"/>
              <w:ind w:firstLine="1440" w:firstLineChars="800"/>
              <w:jc w:val="left"/>
              <w:rPr>
                <w:rFonts w:ascii="宋体" w:hAnsi="宋体" w:eastAsia="宋体" w:cs="宋体"/>
                <w:sz w:val="18"/>
                <w:szCs w:val="18"/>
              </w:rPr>
            </w:pPr>
            <w:r>
              <w:rPr>
                <w:rFonts w:ascii="宋体" w:hAnsi="宋体" w:eastAsia="宋体" w:cs="宋体"/>
                <w:sz w:val="18"/>
                <w:szCs w:val="18"/>
              </w:rPr>
              <w:t>利息收入</w:t>
            </w:r>
          </w:p>
        </w:tc>
        <w:tc>
          <w:tcPr>
            <w:tcW w:w="3213" w:type="dxa"/>
            <w:tcBorders>
              <w:top w:val="single" w:color="auto" w:sz="2" w:space="0"/>
              <w:left w:val="single" w:color="auto" w:sz="2" w:space="0"/>
              <w:bottom w:val="single" w:color="auto" w:sz="2" w:space="0"/>
              <w:right w:val="single" w:color="auto" w:sz="2" w:space="0"/>
            </w:tcBorders>
            <w:vAlign w:val="center"/>
          </w:tcPr>
          <w:p w14:paraId="65A7FF21">
            <w:pPr>
              <w:spacing w:before="0" w:after="0" w:line="240" w:lineRule="exact"/>
              <w:jc w:val="right"/>
              <w:rPr>
                <w:rFonts w:ascii="宋体" w:hAnsi="宋体" w:eastAsia="宋体" w:cs="宋体"/>
                <w:sz w:val="18"/>
                <w:szCs w:val="18"/>
              </w:rPr>
            </w:pPr>
            <w:r>
              <w:rPr>
                <w:rFonts w:ascii="宋体" w:hAnsi="宋体" w:eastAsia="宋体" w:cs="宋体"/>
                <w:sz w:val="18"/>
                <w:szCs w:val="18"/>
              </w:rPr>
              <w:t>1,412,154.32</w:t>
            </w:r>
          </w:p>
        </w:tc>
        <w:tc>
          <w:tcPr>
            <w:tcW w:w="3213" w:type="dxa"/>
            <w:tcBorders>
              <w:top w:val="single" w:color="auto" w:sz="2" w:space="0"/>
              <w:left w:val="single" w:color="auto" w:sz="2" w:space="0"/>
              <w:bottom w:val="single" w:color="auto" w:sz="2" w:space="0"/>
              <w:right w:val="single" w:color="auto" w:sz="2" w:space="0"/>
            </w:tcBorders>
            <w:vAlign w:val="center"/>
          </w:tcPr>
          <w:p w14:paraId="6879A842">
            <w:pPr>
              <w:spacing w:before="0" w:after="0" w:line="240" w:lineRule="exact"/>
              <w:jc w:val="right"/>
              <w:rPr>
                <w:rFonts w:ascii="宋体" w:hAnsi="宋体" w:eastAsia="宋体" w:cs="宋体"/>
                <w:sz w:val="18"/>
                <w:szCs w:val="18"/>
              </w:rPr>
            </w:pPr>
            <w:r>
              <w:rPr>
                <w:rFonts w:ascii="宋体" w:hAnsi="宋体" w:eastAsia="宋体" w:cs="宋体"/>
                <w:sz w:val="18"/>
                <w:szCs w:val="18"/>
              </w:rPr>
              <w:t>4,497,793.00</w:t>
            </w:r>
          </w:p>
        </w:tc>
      </w:tr>
      <w:tr w14:paraId="26F8C9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AF5C16F">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加：其他收益</w:t>
            </w:r>
          </w:p>
        </w:tc>
        <w:tc>
          <w:tcPr>
            <w:tcW w:w="3213" w:type="dxa"/>
            <w:tcBorders>
              <w:top w:val="single" w:color="auto" w:sz="2" w:space="0"/>
              <w:left w:val="single" w:color="auto" w:sz="2" w:space="0"/>
              <w:bottom w:val="single" w:color="auto" w:sz="2" w:space="0"/>
              <w:right w:val="single" w:color="auto" w:sz="2" w:space="0"/>
            </w:tcBorders>
            <w:vAlign w:val="center"/>
          </w:tcPr>
          <w:p w14:paraId="3B4DBD85">
            <w:pPr>
              <w:spacing w:before="0" w:after="0" w:line="240" w:lineRule="exact"/>
              <w:jc w:val="right"/>
              <w:rPr>
                <w:rFonts w:ascii="宋体" w:hAnsi="宋体" w:eastAsia="宋体" w:cs="宋体"/>
                <w:sz w:val="18"/>
                <w:szCs w:val="18"/>
              </w:rPr>
            </w:pPr>
            <w:r>
              <w:rPr>
                <w:rFonts w:ascii="宋体" w:hAnsi="宋体" w:eastAsia="宋体" w:cs="宋体"/>
                <w:sz w:val="18"/>
                <w:szCs w:val="18"/>
              </w:rPr>
              <w:t>46,904,612.78</w:t>
            </w:r>
          </w:p>
        </w:tc>
        <w:tc>
          <w:tcPr>
            <w:tcW w:w="3213" w:type="dxa"/>
            <w:tcBorders>
              <w:top w:val="single" w:color="auto" w:sz="2" w:space="0"/>
              <w:left w:val="single" w:color="auto" w:sz="2" w:space="0"/>
              <w:bottom w:val="single" w:color="auto" w:sz="2" w:space="0"/>
              <w:right w:val="single" w:color="auto" w:sz="2" w:space="0"/>
            </w:tcBorders>
            <w:vAlign w:val="center"/>
          </w:tcPr>
          <w:p w14:paraId="1C7D1973">
            <w:pPr>
              <w:spacing w:before="0" w:after="0" w:line="240" w:lineRule="exact"/>
              <w:jc w:val="right"/>
              <w:rPr>
                <w:rFonts w:ascii="宋体" w:hAnsi="宋体" w:eastAsia="宋体" w:cs="宋体"/>
                <w:sz w:val="18"/>
                <w:szCs w:val="18"/>
              </w:rPr>
            </w:pPr>
            <w:r>
              <w:rPr>
                <w:rFonts w:ascii="宋体" w:hAnsi="宋体" w:eastAsia="宋体" w:cs="宋体"/>
                <w:sz w:val="18"/>
                <w:szCs w:val="18"/>
              </w:rPr>
              <w:t>9,257,262.40</w:t>
            </w:r>
          </w:p>
        </w:tc>
      </w:tr>
      <w:tr w14:paraId="2F06F0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9CD892C">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投资收益（损失以“－”号填列）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7B543980">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3213" w:type="dxa"/>
            <w:tcBorders>
              <w:top w:val="single" w:color="auto" w:sz="2" w:space="0"/>
              <w:left w:val="single" w:color="auto" w:sz="2" w:space="0"/>
              <w:bottom w:val="single" w:color="auto" w:sz="2" w:space="0"/>
              <w:right w:val="single" w:color="auto" w:sz="2" w:space="0"/>
            </w:tcBorders>
            <w:vAlign w:val="center"/>
          </w:tcPr>
          <w:p w14:paraId="5F05AFE2">
            <w:pPr>
              <w:spacing w:before="0" w:after="0" w:line="240" w:lineRule="exact"/>
              <w:jc w:val="right"/>
              <w:rPr>
                <w:rFonts w:ascii="宋体" w:hAnsi="宋体" w:eastAsia="宋体" w:cs="宋体"/>
                <w:sz w:val="18"/>
                <w:szCs w:val="18"/>
              </w:rPr>
            </w:pPr>
            <w:r>
              <w:rPr>
                <w:rFonts w:ascii="宋体" w:hAnsi="宋体" w:eastAsia="宋体" w:cs="宋体"/>
                <w:sz w:val="18"/>
                <w:szCs w:val="18"/>
              </w:rPr>
              <w:t>-61,841,520.22</w:t>
            </w:r>
          </w:p>
        </w:tc>
      </w:tr>
      <w:tr w14:paraId="27222B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126FAE0">
            <w:pPr>
              <w:spacing w:before="40" w:after="40" w:line="240" w:lineRule="exact"/>
              <w:ind w:firstLine="900" w:firstLineChars="500"/>
              <w:jc w:val="left"/>
              <w:rPr>
                <w:rFonts w:ascii="宋体" w:hAnsi="宋体" w:eastAsia="宋体" w:cs="宋体"/>
                <w:sz w:val="18"/>
                <w:szCs w:val="18"/>
              </w:rPr>
            </w:pPr>
            <w:r>
              <w:rPr>
                <w:rFonts w:ascii="宋体" w:hAnsi="宋体" w:eastAsia="宋体" w:cs="宋体"/>
                <w:sz w:val="18"/>
                <w:szCs w:val="18"/>
              </w:rPr>
              <w:t>其中：对联营企业和合营企业的投资收益</w:t>
            </w:r>
          </w:p>
        </w:tc>
        <w:tc>
          <w:tcPr>
            <w:tcW w:w="3213" w:type="dxa"/>
            <w:tcBorders>
              <w:top w:val="single" w:color="auto" w:sz="2" w:space="0"/>
              <w:left w:val="single" w:color="auto" w:sz="2" w:space="0"/>
              <w:bottom w:val="single" w:color="auto" w:sz="2" w:space="0"/>
              <w:right w:val="single" w:color="auto" w:sz="2" w:space="0"/>
            </w:tcBorders>
            <w:vAlign w:val="center"/>
          </w:tcPr>
          <w:p w14:paraId="7C91547A">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3213" w:type="dxa"/>
            <w:tcBorders>
              <w:top w:val="single" w:color="auto" w:sz="2" w:space="0"/>
              <w:left w:val="single" w:color="auto" w:sz="2" w:space="0"/>
              <w:bottom w:val="single" w:color="auto" w:sz="2" w:space="0"/>
              <w:right w:val="single" w:color="auto" w:sz="2" w:space="0"/>
            </w:tcBorders>
            <w:vAlign w:val="center"/>
          </w:tcPr>
          <w:p w14:paraId="3C8336E2">
            <w:pPr>
              <w:spacing w:before="0" w:after="0" w:line="240" w:lineRule="exact"/>
              <w:jc w:val="right"/>
              <w:rPr>
                <w:rFonts w:ascii="宋体" w:hAnsi="宋体" w:eastAsia="宋体" w:cs="宋体"/>
                <w:sz w:val="18"/>
                <w:szCs w:val="18"/>
              </w:rPr>
            </w:pPr>
            <w:r>
              <w:rPr>
                <w:rFonts w:ascii="宋体" w:hAnsi="宋体" w:eastAsia="宋体" w:cs="宋体"/>
                <w:sz w:val="18"/>
                <w:szCs w:val="18"/>
              </w:rPr>
              <w:t>-61,931,371.88</w:t>
            </w:r>
          </w:p>
        </w:tc>
      </w:tr>
      <w:tr w14:paraId="441615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C0F4FA5">
            <w:pPr>
              <w:spacing w:before="40" w:after="40" w:line="240" w:lineRule="exact"/>
              <w:ind w:firstLine="1440" w:firstLineChars="800"/>
              <w:jc w:val="left"/>
              <w:rPr>
                <w:rFonts w:ascii="宋体" w:hAnsi="宋体" w:eastAsia="宋体" w:cs="宋体"/>
                <w:sz w:val="18"/>
                <w:szCs w:val="18"/>
              </w:rPr>
            </w:pPr>
            <w:r>
              <w:rPr>
                <w:rFonts w:ascii="宋体" w:hAnsi="宋体" w:eastAsia="宋体" w:cs="宋体"/>
                <w:sz w:val="18"/>
                <w:szCs w:val="18"/>
              </w:rPr>
              <w:t>以摊余成本计量的金融资产终止确认收益</w:t>
            </w:r>
          </w:p>
        </w:tc>
        <w:tc>
          <w:tcPr>
            <w:tcW w:w="3213" w:type="dxa"/>
            <w:tcBorders>
              <w:top w:val="single" w:color="auto" w:sz="2" w:space="0"/>
              <w:left w:val="single" w:color="auto" w:sz="2" w:space="0"/>
              <w:bottom w:val="single" w:color="auto" w:sz="2" w:space="0"/>
              <w:right w:val="single" w:color="auto" w:sz="2" w:space="0"/>
            </w:tcBorders>
            <w:vAlign w:val="center"/>
          </w:tcPr>
          <w:p w14:paraId="599F764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DC8D0BB">
            <w:pPr>
              <w:spacing w:before="0" w:after="0" w:line="240" w:lineRule="exact"/>
              <w:jc w:val="right"/>
              <w:rPr>
                <w:rFonts w:ascii="宋体" w:hAnsi="宋体" w:eastAsia="宋体" w:cs="宋体"/>
                <w:sz w:val="18"/>
                <w:szCs w:val="18"/>
              </w:rPr>
            </w:pPr>
          </w:p>
        </w:tc>
      </w:tr>
      <w:tr w14:paraId="75EC2D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D84A12A">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汇兑收益（损失以“-”号填列）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3DA6FD8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16F77F0">
            <w:pPr>
              <w:spacing w:before="0" w:after="0" w:line="240" w:lineRule="exact"/>
              <w:jc w:val="right"/>
              <w:rPr>
                <w:rFonts w:ascii="宋体" w:hAnsi="宋体" w:eastAsia="宋体" w:cs="宋体"/>
                <w:sz w:val="18"/>
                <w:szCs w:val="18"/>
              </w:rPr>
            </w:pPr>
          </w:p>
        </w:tc>
      </w:tr>
      <w:tr w14:paraId="2B9D45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6CF5501">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净敞口套期收益（损失以“－”号填列）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1333E0D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76DCD1B">
            <w:pPr>
              <w:spacing w:before="0" w:after="0" w:line="240" w:lineRule="exact"/>
              <w:jc w:val="right"/>
              <w:rPr>
                <w:rFonts w:ascii="宋体" w:hAnsi="宋体" w:eastAsia="宋体" w:cs="宋体"/>
                <w:sz w:val="18"/>
                <w:szCs w:val="18"/>
              </w:rPr>
            </w:pPr>
          </w:p>
        </w:tc>
      </w:tr>
      <w:tr w14:paraId="21EA2A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2ABBAFC">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公允价值变动收益（损失以“－”号填列）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79907DA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89AA1CC">
            <w:pPr>
              <w:spacing w:before="0" w:after="0" w:line="240" w:lineRule="exact"/>
              <w:jc w:val="right"/>
              <w:rPr>
                <w:rFonts w:ascii="宋体" w:hAnsi="宋体" w:eastAsia="宋体" w:cs="宋体"/>
                <w:sz w:val="18"/>
                <w:szCs w:val="18"/>
              </w:rPr>
            </w:pPr>
          </w:p>
        </w:tc>
      </w:tr>
      <w:tr w14:paraId="0F74F9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DFA8355">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信用减值损失（损失以“-”号填列）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16170FF3">
            <w:pPr>
              <w:spacing w:before="0" w:after="0" w:line="240" w:lineRule="exact"/>
              <w:jc w:val="right"/>
              <w:rPr>
                <w:rFonts w:ascii="宋体" w:hAnsi="宋体" w:eastAsia="宋体" w:cs="宋体"/>
                <w:sz w:val="18"/>
                <w:szCs w:val="18"/>
              </w:rPr>
            </w:pPr>
            <w:r>
              <w:rPr>
                <w:rFonts w:ascii="宋体" w:hAnsi="宋体" w:eastAsia="宋体" w:cs="宋体"/>
                <w:sz w:val="18"/>
                <w:szCs w:val="18"/>
              </w:rPr>
              <w:t>-552,973.81</w:t>
            </w:r>
          </w:p>
        </w:tc>
        <w:tc>
          <w:tcPr>
            <w:tcW w:w="3213" w:type="dxa"/>
            <w:tcBorders>
              <w:top w:val="single" w:color="auto" w:sz="2" w:space="0"/>
              <w:left w:val="single" w:color="auto" w:sz="2" w:space="0"/>
              <w:bottom w:val="single" w:color="auto" w:sz="2" w:space="0"/>
              <w:right w:val="single" w:color="auto" w:sz="2" w:space="0"/>
            </w:tcBorders>
            <w:vAlign w:val="center"/>
          </w:tcPr>
          <w:p w14:paraId="0E1DB905">
            <w:pPr>
              <w:spacing w:before="0" w:after="0" w:line="240" w:lineRule="exact"/>
              <w:jc w:val="right"/>
              <w:rPr>
                <w:rFonts w:ascii="宋体" w:hAnsi="宋体" w:eastAsia="宋体" w:cs="宋体"/>
                <w:sz w:val="18"/>
                <w:szCs w:val="18"/>
              </w:rPr>
            </w:pPr>
            <w:r>
              <w:rPr>
                <w:rFonts w:ascii="宋体" w:hAnsi="宋体" w:eastAsia="宋体" w:cs="宋体"/>
                <w:sz w:val="18"/>
                <w:szCs w:val="18"/>
              </w:rPr>
              <w:t>-1,767,460.49</w:t>
            </w:r>
          </w:p>
        </w:tc>
      </w:tr>
      <w:tr w14:paraId="5AE312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CFABCC0">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资产减值损失（损失以“-”号填列）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6425E315">
            <w:pPr>
              <w:spacing w:before="0" w:after="0" w:line="240" w:lineRule="exact"/>
              <w:jc w:val="right"/>
              <w:rPr>
                <w:rFonts w:ascii="宋体" w:hAnsi="宋体" w:eastAsia="宋体" w:cs="宋体"/>
                <w:sz w:val="18"/>
                <w:szCs w:val="18"/>
              </w:rPr>
            </w:pPr>
            <w:r>
              <w:rPr>
                <w:rFonts w:ascii="宋体" w:hAnsi="宋体" w:eastAsia="宋体" w:cs="宋体"/>
                <w:sz w:val="18"/>
                <w:szCs w:val="18"/>
              </w:rPr>
              <w:t>-74,541,884.94</w:t>
            </w:r>
          </w:p>
        </w:tc>
        <w:tc>
          <w:tcPr>
            <w:tcW w:w="3213" w:type="dxa"/>
            <w:tcBorders>
              <w:top w:val="single" w:color="auto" w:sz="2" w:space="0"/>
              <w:left w:val="single" w:color="auto" w:sz="2" w:space="0"/>
              <w:bottom w:val="single" w:color="auto" w:sz="2" w:space="0"/>
              <w:right w:val="single" w:color="auto" w:sz="2" w:space="0"/>
            </w:tcBorders>
            <w:vAlign w:val="center"/>
          </w:tcPr>
          <w:p w14:paraId="003464FD">
            <w:pPr>
              <w:spacing w:before="0" w:after="0" w:line="240" w:lineRule="exact"/>
              <w:jc w:val="right"/>
              <w:rPr>
                <w:rFonts w:ascii="宋体" w:hAnsi="宋体" w:eastAsia="宋体" w:cs="宋体"/>
                <w:sz w:val="18"/>
                <w:szCs w:val="18"/>
              </w:rPr>
            </w:pPr>
            <w:r>
              <w:rPr>
                <w:rFonts w:ascii="宋体" w:hAnsi="宋体" w:eastAsia="宋体" w:cs="宋体"/>
                <w:sz w:val="18"/>
                <w:szCs w:val="18"/>
              </w:rPr>
              <w:t>-6,560,634.74</w:t>
            </w:r>
          </w:p>
        </w:tc>
      </w:tr>
      <w:tr w14:paraId="39CEB9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9324681">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资产处置收益（损失以“-”号填列）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0DB234BF">
            <w:pPr>
              <w:spacing w:before="0" w:after="0" w:line="240" w:lineRule="exact"/>
              <w:jc w:val="right"/>
              <w:rPr>
                <w:rFonts w:ascii="宋体" w:hAnsi="宋体" w:eastAsia="宋体" w:cs="宋体"/>
                <w:sz w:val="18"/>
                <w:szCs w:val="18"/>
              </w:rPr>
            </w:pPr>
            <w:r>
              <w:rPr>
                <w:rFonts w:ascii="宋体" w:hAnsi="宋体" w:eastAsia="宋体" w:cs="宋体"/>
                <w:sz w:val="18"/>
                <w:szCs w:val="18"/>
              </w:rPr>
              <w:t>12,812.64</w:t>
            </w:r>
          </w:p>
        </w:tc>
        <w:tc>
          <w:tcPr>
            <w:tcW w:w="3213" w:type="dxa"/>
            <w:tcBorders>
              <w:top w:val="single" w:color="auto" w:sz="2" w:space="0"/>
              <w:left w:val="single" w:color="auto" w:sz="2" w:space="0"/>
              <w:bottom w:val="single" w:color="auto" w:sz="2" w:space="0"/>
              <w:right w:val="single" w:color="auto" w:sz="2" w:space="0"/>
            </w:tcBorders>
            <w:vAlign w:val="center"/>
          </w:tcPr>
          <w:p w14:paraId="4D139103">
            <w:pPr>
              <w:spacing w:before="0" w:after="0" w:line="240" w:lineRule="exact"/>
              <w:jc w:val="right"/>
              <w:rPr>
                <w:rFonts w:ascii="宋体" w:hAnsi="宋体" w:eastAsia="宋体" w:cs="宋体"/>
                <w:sz w:val="18"/>
                <w:szCs w:val="18"/>
              </w:rPr>
            </w:pPr>
            <w:r>
              <w:rPr>
                <w:rFonts w:ascii="宋体" w:hAnsi="宋体" w:eastAsia="宋体" w:cs="宋体"/>
                <w:sz w:val="18"/>
                <w:szCs w:val="18"/>
              </w:rPr>
              <w:t>-19,052.48</w:t>
            </w:r>
          </w:p>
        </w:tc>
      </w:tr>
      <w:tr w14:paraId="2233DC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E0E331D">
            <w:pPr>
              <w:spacing w:before="40" w:after="40" w:line="240" w:lineRule="exact"/>
              <w:jc w:val="left"/>
              <w:rPr>
                <w:rFonts w:ascii="宋体" w:hAnsi="宋体" w:eastAsia="宋体" w:cs="宋体"/>
                <w:sz w:val="18"/>
                <w:szCs w:val="18"/>
              </w:rPr>
            </w:pPr>
            <w:r>
              <w:rPr>
                <w:rFonts w:ascii="宋体" w:hAnsi="宋体" w:eastAsia="宋体" w:cs="宋体"/>
                <w:sz w:val="18"/>
                <w:szCs w:val="18"/>
              </w:rPr>
              <w:t>三、营业利润（亏损以“－”号填列）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61670CE1">
            <w:pPr>
              <w:spacing w:before="0" w:after="0" w:line="240" w:lineRule="exact"/>
              <w:jc w:val="right"/>
              <w:rPr>
                <w:rFonts w:ascii="宋体" w:hAnsi="宋体" w:eastAsia="宋体" w:cs="宋体"/>
                <w:sz w:val="18"/>
                <w:szCs w:val="18"/>
              </w:rPr>
            </w:pPr>
            <w:r>
              <w:rPr>
                <w:rFonts w:ascii="宋体" w:hAnsi="宋体" w:eastAsia="宋体" w:cs="宋体"/>
                <w:sz w:val="18"/>
                <w:szCs w:val="18"/>
              </w:rPr>
              <w:t>-164,507,003.04</w:t>
            </w:r>
          </w:p>
        </w:tc>
        <w:tc>
          <w:tcPr>
            <w:tcW w:w="3213" w:type="dxa"/>
            <w:tcBorders>
              <w:top w:val="single" w:color="auto" w:sz="2" w:space="0"/>
              <w:left w:val="single" w:color="auto" w:sz="2" w:space="0"/>
              <w:bottom w:val="single" w:color="auto" w:sz="2" w:space="0"/>
              <w:right w:val="single" w:color="auto" w:sz="2" w:space="0"/>
            </w:tcBorders>
            <w:vAlign w:val="center"/>
          </w:tcPr>
          <w:p w14:paraId="26E9686D">
            <w:pPr>
              <w:spacing w:before="0" w:after="0" w:line="240" w:lineRule="exact"/>
              <w:jc w:val="right"/>
              <w:rPr>
                <w:rFonts w:ascii="宋体" w:hAnsi="宋体" w:eastAsia="宋体" w:cs="宋体"/>
                <w:sz w:val="18"/>
                <w:szCs w:val="18"/>
              </w:rPr>
            </w:pPr>
            <w:r>
              <w:rPr>
                <w:rFonts w:ascii="宋体" w:hAnsi="宋体" w:eastAsia="宋体" w:cs="宋体"/>
                <w:sz w:val="18"/>
                <w:szCs w:val="18"/>
              </w:rPr>
              <w:t>-295,493,136.10</w:t>
            </w:r>
          </w:p>
        </w:tc>
      </w:tr>
      <w:tr w14:paraId="325636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AFD6F7B">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加：营业外收入</w:t>
            </w:r>
          </w:p>
        </w:tc>
        <w:tc>
          <w:tcPr>
            <w:tcW w:w="3213" w:type="dxa"/>
            <w:tcBorders>
              <w:top w:val="single" w:color="auto" w:sz="2" w:space="0"/>
              <w:left w:val="single" w:color="auto" w:sz="2" w:space="0"/>
              <w:bottom w:val="single" w:color="auto" w:sz="2" w:space="0"/>
              <w:right w:val="single" w:color="auto" w:sz="2" w:space="0"/>
            </w:tcBorders>
            <w:vAlign w:val="center"/>
          </w:tcPr>
          <w:p w14:paraId="46E4A6E2">
            <w:pPr>
              <w:spacing w:before="0" w:after="0" w:line="240" w:lineRule="exact"/>
              <w:jc w:val="right"/>
              <w:rPr>
                <w:rFonts w:ascii="宋体" w:hAnsi="宋体" w:eastAsia="宋体" w:cs="宋体"/>
                <w:sz w:val="18"/>
                <w:szCs w:val="18"/>
              </w:rPr>
            </w:pPr>
            <w:r>
              <w:rPr>
                <w:rFonts w:ascii="宋体" w:hAnsi="宋体" w:eastAsia="宋体" w:cs="宋体"/>
                <w:sz w:val="18"/>
                <w:szCs w:val="18"/>
              </w:rPr>
              <w:t>3,181,188.41</w:t>
            </w:r>
          </w:p>
        </w:tc>
        <w:tc>
          <w:tcPr>
            <w:tcW w:w="3213" w:type="dxa"/>
            <w:tcBorders>
              <w:top w:val="single" w:color="auto" w:sz="2" w:space="0"/>
              <w:left w:val="single" w:color="auto" w:sz="2" w:space="0"/>
              <w:bottom w:val="single" w:color="auto" w:sz="2" w:space="0"/>
              <w:right w:val="single" w:color="auto" w:sz="2" w:space="0"/>
            </w:tcBorders>
            <w:vAlign w:val="center"/>
          </w:tcPr>
          <w:p w14:paraId="6472FE06">
            <w:pPr>
              <w:spacing w:before="0" w:after="0" w:line="240" w:lineRule="exact"/>
              <w:jc w:val="right"/>
              <w:rPr>
                <w:rFonts w:ascii="宋体" w:hAnsi="宋体" w:eastAsia="宋体" w:cs="宋体"/>
                <w:sz w:val="18"/>
                <w:szCs w:val="18"/>
              </w:rPr>
            </w:pPr>
            <w:r>
              <w:rPr>
                <w:rFonts w:ascii="宋体" w:hAnsi="宋体" w:eastAsia="宋体" w:cs="宋体"/>
                <w:sz w:val="18"/>
                <w:szCs w:val="18"/>
              </w:rPr>
              <w:t>975,343.86</w:t>
            </w:r>
          </w:p>
        </w:tc>
      </w:tr>
      <w:tr w14:paraId="1D8F3E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E6D320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减：营业外支出</w:t>
            </w:r>
          </w:p>
        </w:tc>
        <w:tc>
          <w:tcPr>
            <w:tcW w:w="3213" w:type="dxa"/>
            <w:tcBorders>
              <w:top w:val="single" w:color="auto" w:sz="2" w:space="0"/>
              <w:left w:val="single" w:color="auto" w:sz="2" w:space="0"/>
              <w:bottom w:val="single" w:color="auto" w:sz="2" w:space="0"/>
              <w:right w:val="single" w:color="auto" w:sz="2" w:space="0"/>
            </w:tcBorders>
            <w:vAlign w:val="center"/>
          </w:tcPr>
          <w:p w14:paraId="203480D2">
            <w:pPr>
              <w:spacing w:before="0" w:after="0" w:line="240" w:lineRule="exact"/>
              <w:jc w:val="right"/>
              <w:rPr>
                <w:rFonts w:ascii="宋体" w:hAnsi="宋体" w:eastAsia="宋体" w:cs="宋体"/>
                <w:sz w:val="18"/>
                <w:szCs w:val="18"/>
              </w:rPr>
            </w:pPr>
            <w:r>
              <w:rPr>
                <w:rFonts w:ascii="宋体" w:hAnsi="宋体" w:eastAsia="宋体" w:cs="宋体"/>
                <w:sz w:val="18"/>
                <w:szCs w:val="18"/>
              </w:rPr>
              <w:t>3,079,691.91</w:t>
            </w:r>
          </w:p>
        </w:tc>
        <w:tc>
          <w:tcPr>
            <w:tcW w:w="3213" w:type="dxa"/>
            <w:tcBorders>
              <w:top w:val="single" w:color="auto" w:sz="2" w:space="0"/>
              <w:left w:val="single" w:color="auto" w:sz="2" w:space="0"/>
              <w:bottom w:val="single" w:color="auto" w:sz="2" w:space="0"/>
              <w:right w:val="single" w:color="auto" w:sz="2" w:space="0"/>
            </w:tcBorders>
            <w:vAlign w:val="center"/>
          </w:tcPr>
          <w:p w14:paraId="7F5FF7D3">
            <w:pPr>
              <w:spacing w:before="0" w:after="0" w:line="240" w:lineRule="exact"/>
              <w:jc w:val="right"/>
              <w:rPr>
                <w:rFonts w:ascii="宋体" w:hAnsi="宋体" w:eastAsia="宋体" w:cs="宋体"/>
                <w:sz w:val="18"/>
                <w:szCs w:val="18"/>
              </w:rPr>
            </w:pPr>
            <w:r>
              <w:rPr>
                <w:rFonts w:ascii="宋体" w:hAnsi="宋体" w:eastAsia="宋体" w:cs="宋体"/>
                <w:sz w:val="18"/>
                <w:szCs w:val="18"/>
              </w:rPr>
              <w:t>3,511,262.66</w:t>
            </w:r>
          </w:p>
        </w:tc>
      </w:tr>
      <w:tr w14:paraId="0A9388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4AEC984">
            <w:pPr>
              <w:spacing w:before="40" w:after="40" w:line="240" w:lineRule="exact"/>
              <w:jc w:val="left"/>
              <w:rPr>
                <w:rFonts w:ascii="宋体" w:hAnsi="宋体" w:eastAsia="宋体" w:cs="宋体"/>
                <w:sz w:val="18"/>
                <w:szCs w:val="18"/>
              </w:rPr>
            </w:pPr>
            <w:r>
              <w:rPr>
                <w:rFonts w:ascii="宋体" w:hAnsi="宋体" w:eastAsia="宋体" w:cs="宋体"/>
                <w:sz w:val="18"/>
                <w:szCs w:val="18"/>
              </w:rPr>
              <w:t>四、利润总额（亏损总额以“－”号填列）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46EF61EE">
            <w:pPr>
              <w:spacing w:before="0" w:after="0" w:line="240" w:lineRule="exact"/>
              <w:jc w:val="right"/>
              <w:rPr>
                <w:rFonts w:ascii="宋体" w:hAnsi="宋体" w:eastAsia="宋体" w:cs="宋体"/>
                <w:sz w:val="18"/>
                <w:szCs w:val="18"/>
              </w:rPr>
            </w:pPr>
            <w:r>
              <w:rPr>
                <w:rFonts w:ascii="宋体" w:hAnsi="宋体" w:eastAsia="宋体" w:cs="宋体"/>
                <w:sz w:val="18"/>
                <w:szCs w:val="18"/>
              </w:rPr>
              <w:t>-164,405,506.54</w:t>
            </w:r>
          </w:p>
        </w:tc>
        <w:tc>
          <w:tcPr>
            <w:tcW w:w="3213" w:type="dxa"/>
            <w:tcBorders>
              <w:top w:val="single" w:color="auto" w:sz="2" w:space="0"/>
              <w:left w:val="single" w:color="auto" w:sz="2" w:space="0"/>
              <w:bottom w:val="single" w:color="auto" w:sz="2" w:space="0"/>
              <w:right w:val="single" w:color="auto" w:sz="2" w:space="0"/>
            </w:tcBorders>
            <w:vAlign w:val="center"/>
          </w:tcPr>
          <w:p w14:paraId="44D8C9BC">
            <w:pPr>
              <w:spacing w:before="0" w:after="0" w:line="240" w:lineRule="exact"/>
              <w:jc w:val="right"/>
              <w:rPr>
                <w:rFonts w:ascii="宋体" w:hAnsi="宋体" w:eastAsia="宋体" w:cs="宋体"/>
                <w:sz w:val="18"/>
                <w:szCs w:val="18"/>
              </w:rPr>
            </w:pPr>
            <w:r>
              <w:rPr>
                <w:rFonts w:ascii="宋体" w:hAnsi="宋体" w:eastAsia="宋体" w:cs="宋体"/>
                <w:sz w:val="18"/>
                <w:szCs w:val="18"/>
              </w:rPr>
              <w:t>-298,029,054.90</w:t>
            </w:r>
          </w:p>
        </w:tc>
      </w:tr>
      <w:tr w14:paraId="1028BE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0A9FC3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减：所得税费用</w:t>
            </w:r>
          </w:p>
        </w:tc>
        <w:tc>
          <w:tcPr>
            <w:tcW w:w="3213" w:type="dxa"/>
            <w:tcBorders>
              <w:top w:val="single" w:color="auto" w:sz="2" w:space="0"/>
              <w:left w:val="single" w:color="auto" w:sz="2" w:space="0"/>
              <w:bottom w:val="single" w:color="auto" w:sz="2" w:space="0"/>
              <w:right w:val="single" w:color="auto" w:sz="2" w:space="0"/>
            </w:tcBorders>
            <w:vAlign w:val="center"/>
          </w:tcPr>
          <w:p w14:paraId="232B9A51">
            <w:pPr>
              <w:spacing w:before="0" w:after="0" w:line="240" w:lineRule="exact"/>
              <w:jc w:val="right"/>
              <w:rPr>
                <w:rFonts w:ascii="宋体" w:hAnsi="宋体" w:eastAsia="宋体" w:cs="宋体"/>
                <w:sz w:val="18"/>
                <w:szCs w:val="18"/>
              </w:rPr>
            </w:pPr>
            <w:r>
              <w:rPr>
                <w:rFonts w:ascii="宋体" w:hAnsi="宋体" w:eastAsia="宋体" w:cs="宋体"/>
                <w:sz w:val="18"/>
                <w:szCs w:val="18"/>
              </w:rPr>
              <w:t>8,061,531.36</w:t>
            </w:r>
          </w:p>
        </w:tc>
        <w:tc>
          <w:tcPr>
            <w:tcW w:w="3213" w:type="dxa"/>
            <w:tcBorders>
              <w:top w:val="single" w:color="auto" w:sz="2" w:space="0"/>
              <w:left w:val="single" w:color="auto" w:sz="2" w:space="0"/>
              <w:bottom w:val="single" w:color="auto" w:sz="2" w:space="0"/>
              <w:right w:val="single" w:color="auto" w:sz="2" w:space="0"/>
            </w:tcBorders>
            <w:vAlign w:val="center"/>
          </w:tcPr>
          <w:p w14:paraId="001150E7">
            <w:pPr>
              <w:spacing w:before="0" w:after="0" w:line="240" w:lineRule="exact"/>
              <w:jc w:val="right"/>
              <w:rPr>
                <w:rFonts w:ascii="宋体" w:hAnsi="宋体" w:eastAsia="宋体" w:cs="宋体"/>
                <w:sz w:val="18"/>
                <w:szCs w:val="18"/>
              </w:rPr>
            </w:pPr>
            <w:r>
              <w:rPr>
                <w:rFonts w:ascii="宋体" w:hAnsi="宋体" w:eastAsia="宋体" w:cs="宋体"/>
                <w:sz w:val="18"/>
                <w:szCs w:val="18"/>
              </w:rPr>
              <w:t>76,874,410.01</w:t>
            </w:r>
          </w:p>
        </w:tc>
      </w:tr>
      <w:tr w14:paraId="1F56B6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AEEDBC1">
            <w:pPr>
              <w:spacing w:before="0" w:after="0" w:line="240" w:lineRule="exact"/>
              <w:jc w:val="left"/>
              <w:rPr>
                <w:rFonts w:ascii="宋体" w:hAnsi="宋体" w:eastAsia="宋体" w:cs="宋体"/>
                <w:sz w:val="18"/>
                <w:szCs w:val="18"/>
              </w:rPr>
            </w:pPr>
            <w:r>
              <w:rPr>
                <w:rFonts w:ascii="宋体" w:hAnsi="宋体" w:eastAsia="宋体" w:cs="宋体"/>
                <w:sz w:val="18"/>
                <w:szCs w:val="18"/>
              </w:rPr>
              <w:t>五、净利润（净亏损以“－”号填列）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6915D0D7">
            <w:pPr>
              <w:spacing w:before="0" w:after="0" w:line="240" w:lineRule="exact"/>
              <w:jc w:val="right"/>
              <w:rPr>
                <w:rFonts w:ascii="宋体" w:hAnsi="宋体" w:eastAsia="宋体" w:cs="宋体"/>
                <w:sz w:val="18"/>
                <w:szCs w:val="18"/>
              </w:rPr>
            </w:pPr>
            <w:r>
              <w:rPr>
                <w:rFonts w:ascii="宋体" w:hAnsi="宋体" w:eastAsia="宋体" w:cs="宋体"/>
                <w:sz w:val="18"/>
                <w:szCs w:val="18"/>
              </w:rPr>
              <w:t>-172,467,037.90</w:t>
            </w:r>
          </w:p>
        </w:tc>
        <w:tc>
          <w:tcPr>
            <w:tcW w:w="3213" w:type="dxa"/>
            <w:tcBorders>
              <w:top w:val="single" w:color="auto" w:sz="2" w:space="0"/>
              <w:left w:val="single" w:color="auto" w:sz="2" w:space="0"/>
              <w:bottom w:val="single" w:color="auto" w:sz="2" w:space="0"/>
              <w:right w:val="single" w:color="auto" w:sz="2" w:space="0"/>
            </w:tcBorders>
            <w:vAlign w:val="center"/>
          </w:tcPr>
          <w:p w14:paraId="31941136">
            <w:pPr>
              <w:spacing w:before="0" w:after="0" w:line="240" w:lineRule="exact"/>
              <w:jc w:val="right"/>
              <w:rPr>
                <w:rFonts w:ascii="宋体" w:hAnsi="宋体" w:eastAsia="宋体" w:cs="宋体"/>
                <w:sz w:val="18"/>
                <w:szCs w:val="18"/>
              </w:rPr>
            </w:pPr>
            <w:r>
              <w:rPr>
                <w:rFonts w:ascii="宋体" w:hAnsi="宋体" w:eastAsia="宋体" w:cs="宋体"/>
                <w:sz w:val="18"/>
                <w:szCs w:val="18"/>
              </w:rPr>
              <w:t>-374,903,464.91</w:t>
            </w:r>
          </w:p>
        </w:tc>
      </w:tr>
      <w:tr w14:paraId="045E5E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478C88C">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（一）按经营持续性分类</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9234B79"/>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164BF1F"/>
        </w:tc>
      </w:tr>
      <w:tr w14:paraId="62FEED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A978440">
            <w:pPr>
              <w:spacing w:before="0" w:after="0" w:line="240" w:lineRule="exact"/>
              <w:ind w:firstLine="360" w:firstLineChars="200"/>
              <w:jc w:val="left"/>
              <w:rPr>
                <w:rFonts w:ascii="宋体" w:hAnsi="宋体" w:eastAsia="宋体" w:cs="宋体"/>
                <w:sz w:val="18"/>
                <w:szCs w:val="18"/>
              </w:rPr>
            </w:pPr>
            <w:r>
              <w:rPr>
                <w:rFonts w:ascii="宋体" w:hAnsi="宋体" w:eastAsia="宋体" w:cs="宋体"/>
                <w:sz w:val="18"/>
                <w:szCs w:val="18"/>
              </w:rPr>
              <w:t>1.持续经营净利润（净亏损以“－”号填列）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022B33E4">
            <w:pPr>
              <w:spacing w:before="0" w:after="0" w:line="240" w:lineRule="exact"/>
              <w:jc w:val="right"/>
              <w:rPr>
                <w:rFonts w:ascii="宋体" w:hAnsi="宋体" w:eastAsia="宋体" w:cs="宋体"/>
                <w:sz w:val="18"/>
                <w:szCs w:val="18"/>
              </w:rPr>
            </w:pPr>
            <w:r>
              <w:rPr>
                <w:rFonts w:ascii="宋体" w:hAnsi="宋体" w:eastAsia="宋体" w:cs="宋体"/>
                <w:sz w:val="18"/>
                <w:szCs w:val="18"/>
              </w:rPr>
              <w:t>-172,467,037.90</w:t>
            </w:r>
          </w:p>
        </w:tc>
        <w:tc>
          <w:tcPr>
            <w:tcW w:w="3213" w:type="dxa"/>
            <w:tcBorders>
              <w:top w:val="single" w:color="auto" w:sz="2" w:space="0"/>
              <w:left w:val="single" w:color="auto" w:sz="2" w:space="0"/>
              <w:bottom w:val="single" w:color="auto" w:sz="2" w:space="0"/>
              <w:right w:val="single" w:color="auto" w:sz="2" w:space="0"/>
            </w:tcBorders>
            <w:vAlign w:val="center"/>
          </w:tcPr>
          <w:p w14:paraId="5F68EAB5">
            <w:pPr>
              <w:spacing w:before="0" w:after="0" w:line="240" w:lineRule="exact"/>
              <w:jc w:val="right"/>
              <w:rPr>
                <w:rFonts w:ascii="宋体" w:hAnsi="宋体" w:eastAsia="宋体" w:cs="宋体"/>
                <w:sz w:val="18"/>
                <w:szCs w:val="18"/>
              </w:rPr>
            </w:pPr>
            <w:r>
              <w:rPr>
                <w:rFonts w:ascii="宋体" w:hAnsi="宋体" w:eastAsia="宋体" w:cs="宋体"/>
                <w:sz w:val="18"/>
                <w:szCs w:val="18"/>
              </w:rPr>
              <w:t>-374,903,464.91</w:t>
            </w:r>
          </w:p>
        </w:tc>
      </w:tr>
      <w:tr w14:paraId="4C2A82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9DB1DF6">
            <w:pPr>
              <w:spacing w:before="0" w:after="0" w:line="240" w:lineRule="exact"/>
              <w:ind w:firstLine="360" w:firstLineChars="200"/>
              <w:jc w:val="left"/>
              <w:rPr>
                <w:rFonts w:ascii="宋体" w:hAnsi="宋体" w:eastAsia="宋体" w:cs="宋体"/>
                <w:sz w:val="18"/>
                <w:szCs w:val="18"/>
              </w:rPr>
            </w:pPr>
            <w:r>
              <w:rPr>
                <w:rFonts w:ascii="宋体" w:hAnsi="宋体" w:eastAsia="宋体" w:cs="宋体"/>
                <w:sz w:val="18"/>
                <w:szCs w:val="18"/>
              </w:rPr>
              <w:t>2.终止经营净利润（净亏损以“－”号填列）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18FFCF9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A528B44">
            <w:pPr>
              <w:spacing w:before="0" w:after="0" w:line="240" w:lineRule="exact"/>
              <w:jc w:val="right"/>
              <w:rPr>
                <w:rFonts w:ascii="宋体" w:hAnsi="宋体" w:eastAsia="宋体" w:cs="宋体"/>
                <w:sz w:val="18"/>
                <w:szCs w:val="18"/>
              </w:rPr>
            </w:pPr>
          </w:p>
        </w:tc>
      </w:tr>
      <w:tr w14:paraId="46AE70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E4EB3DD">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（二）按所有权归属分类</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78E39D"/>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4759DA1"/>
        </w:tc>
      </w:tr>
      <w:tr w14:paraId="107656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6428B5E">
            <w:pPr>
              <w:spacing w:before="0" w:after="0" w:line="240" w:lineRule="exact"/>
              <w:ind w:firstLine="360" w:firstLineChars="200"/>
              <w:jc w:val="left"/>
              <w:rPr>
                <w:rFonts w:ascii="宋体" w:hAnsi="宋体" w:eastAsia="宋体" w:cs="宋体"/>
                <w:sz w:val="18"/>
                <w:szCs w:val="18"/>
              </w:rPr>
            </w:pPr>
            <w:r>
              <w:rPr>
                <w:rFonts w:ascii="宋体" w:hAnsi="宋体" w:eastAsia="宋体" w:cs="宋体"/>
                <w:sz w:val="18"/>
                <w:szCs w:val="18"/>
              </w:rPr>
              <w:t>1.归属于母公司股东的净利润</w:t>
            </w:r>
          </w:p>
        </w:tc>
        <w:tc>
          <w:tcPr>
            <w:tcW w:w="3213" w:type="dxa"/>
            <w:tcBorders>
              <w:top w:val="single" w:color="auto" w:sz="2" w:space="0"/>
              <w:left w:val="single" w:color="auto" w:sz="2" w:space="0"/>
              <w:bottom w:val="single" w:color="auto" w:sz="2" w:space="0"/>
              <w:right w:val="single" w:color="auto" w:sz="2" w:space="0"/>
            </w:tcBorders>
            <w:vAlign w:val="center"/>
          </w:tcPr>
          <w:p w14:paraId="54E39573">
            <w:pPr>
              <w:spacing w:before="0" w:after="0" w:line="240" w:lineRule="exact"/>
              <w:jc w:val="right"/>
              <w:rPr>
                <w:rFonts w:ascii="宋体" w:hAnsi="宋体" w:eastAsia="宋体" w:cs="宋体"/>
                <w:sz w:val="18"/>
                <w:szCs w:val="18"/>
              </w:rPr>
            </w:pPr>
            <w:r>
              <w:rPr>
                <w:rFonts w:ascii="宋体" w:hAnsi="宋体" w:eastAsia="宋体" w:cs="宋体"/>
                <w:sz w:val="18"/>
                <w:szCs w:val="18"/>
              </w:rPr>
              <w:t>-156,304,356.74</w:t>
            </w:r>
          </w:p>
        </w:tc>
        <w:tc>
          <w:tcPr>
            <w:tcW w:w="3213" w:type="dxa"/>
            <w:tcBorders>
              <w:top w:val="single" w:color="auto" w:sz="2" w:space="0"/>
              <w:left w:val="single" w:color="auto" w:sz="2" w:space="0"/>
              <w:bottom w:val="single" w:color="auto" w:sz="2" w:space="0"/>
              <w:right w:val="single" w:color="auto" w:sz="2" w:space="0"/>
            </w:tcBorders>
            <w:vAlign w:val="center"/>
          </w:tcPr>
          <w:p w14:paraId="2C3859B7">
            <w:pPr>
              <w:spacing w:before="0" w:after="0" w:line="240" w:lineRule="exact"/>
              <w:jc w:val="right"/>
              <w:rPr>
                <w:rFonts w:ascii="宋体" w:hAnsi="宋体" w:eastAsia="宋体" w:cs="宋体"/>
                <w:sz w:val="18"/>
                <w:szCs w:val="18"/>
              </w:rPr>
            </w:pPr>
            <w:r>
              <w:rPr>
                <w:rFonts w:ascii="宋体" w:hAnsi="宋体" w:eastAsia="宋体" w:cs="宋体"/>
                <w:sz w:val="18"/>
                <w:szCs w:val="18"/>
              </w:rPr>
              <w:t>-348,589,843.18</w:t>
            </w:r>
          </w:p>
        </w:tc>
      </w:tr>
      <w:tr w14:paraId="31AA98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C08788D">
            <w:pPr>
              <w:spacing w:before="0" w:after="0" w:line="240" w:lineRule="exact"/>
              <w:ind w:firstLine="360" w:firstLineChars="200"/>
              <w:jc w:val="left"/>
              <w:rPr>
                <w:rFonts w:ascii="宋体" w:hAnsi="宋体" w:eastAsia="宋体" w:cs="宋体"/>
                <w:sz w:val="18"/>
                <w:szCs w:val="18"/>
              </w:rPr>
            </w:pPr>
            <w:r>
              <w:rPr>
                <w:rFonts w:ascii="宋体" w:hAnsi="宋体" w:eastAsia="宋体" w:cs="宋体"/>
                <w:sz w:val="18"/>
                <w:szCs w:val="18"/>
              </w:rPr>
              <w:t>2.少数股东损益</w:t>
            </w:r>
          </w:p>
        </w:tc>
        <w:tc>
          <w:tcPr>
            <w:tcW w:w="3213" w:type="dxa"/>
            <w:tcBorders>
              <w:top w:val="single" w:color="auto" w:sz="2" w:space="0"/>
              <w:left w:val="single" w:color="auto" w:sz="2" w:space="0"/>
              <w:bottom w:val="single" w:color="auto" w:sz="2" w:space="0"/>
              <w:right w:val="single" w:color="auto" w:sz="2" w:space="0"/>
            </w:tcBorders>
            <w:vAlign w:val="center"/>
          </w:tcPr>
          <w:p w14:paraId="6E5EFE68">
            <w:pPr>
              <w:spacing w:before="0" w:after="0" w:line="240" w:lineRule="exact"/>
              <w:jc w:val="right"/>
              <w:rPr>
                <w:rFonts w:ascii="宋体" w:hAnsi="宋体" w:eastAsia="宋体" w:cs="宋体"/>
                <w:sz w:val="18"/>
                <w:szCs w:val="18"/>
              </w:rPr>
            </w:pPr>
            <w:r>
              <w:rPr>
                <w:rFonts w:ascii="宋体" w:hAnsi="宋体" w:eastAsia="宋体" w:cs="宋体"/>
                <w:sz w:val="18"/>
                <w:szCs w:val="18"/>
              </w:rPr>
              <w:t>-16,162,681.16</w:t>
            </w:r>
          </w:p>
        </w:tc>
        <w:tc>
          <w:tcPr>
            <w:tcW w:w="3213" w:type="dxa"/>
            <w:tcBorders>
              <w:top w:val="single" w:color="auto" w:sz="2" w:space="0"/>
              <w:left w:val="single" w:color="auto" w:sz="2" w:space="0"/>
              <w:bottom w:val="single" w:color="auto" w:sz="2" w:space="0"/>
              <w:right w:val="single" w:color="auto" w:sz="2" w:space="0"/>
            </w:tcBorders>
            <w:vAlign w:val="center"/>
          </w:tcPr>
          <w:p w14:paraId="32E41590">
            <w:pPr>
              <w:spacing w:before="0" w:after="0" w:line="240" w:lineRule="exact"/>
              <w:jc w:val="right"/>
              <w:rPr>
                <w:rFonts w:ascii="宋体" w:hAnsi="宋体" w:eastAsia="宋体" w:cs="宋体"/>
                <w:sz w:val="18"/>
                <w:szCs w:val="18"/>
              </w:rPr>
            </w:pPr>
            <w:r>
              <w:rPr>
                <w:rFonts w:ascii="宋体" w:hAnsi="宋体" w:eastAsia="宋体" w:cs="宋体"/>
                <w:sz w:val="18"/>
                <w:szCs w:val="18"/>
              </w:rPr>
              <w:t>-26,313,621.73</w:t>
            </w:r>
          </w:p>
        </w:tc>
      </w:tr>
      <w:tr w14:paraId="07C0C0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23BD96">
            <w:pPr>
              <w:spacing w:before="0" w:after="0" w:line="240" w:lineRule="exact"/>
              <w:jc w:val="left"/>
              <w:rPr>
                <w:rFonts w:ascii="宋体" w:hAnsi="宋体" w:eastAsia="宋体" w:cs="宋体"/>
                <w:sz w:val="18"/>
                <w:szCs w:val="18"/>
              </w:rPr>
            </w:pPr>
            <w:r>
              <w:rPr>
                <w:rFonts w:ascii="宋体" w:hAnsi="宋体" w:eastAsia="宋体" w:cs="宋体"/>
                <w:sz w:val="18"/>
                <w:szCs w:val="18"/>
              </w:rPr>
              <w:t>六、其他综合收益的税后净额</w:t>
            </w:r>
          </w:p>
        </w:tc>
        <w:tc>
          <w:tcPr>
            <w:tcW w:w="3213" w:type="dxa"/>
            <w:tcBorders>
              <w:top w:val="single" w:color="auto" w:sz="2" w:space="0"/>
              <w:left w:val="single" w:color="auto" w:sz="2" w:space="0"/>
              <w:bottom w:val="single" w:color="auto" w:sz="2" w:space="0"/>
              <w:right w:val="single" w:color="auto" w:sz="2" w:space="0"/>
            </w:tcBorders>
            <w:vAlign w:val="center"/>
          </w:tcPr>
          <w:p w14:paraId="0A1C21B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14E6111">
            <w:pPr>
              <w:spacing w:before="0" w:after="0" w:line="240" w:lineRule="exact"/>
              <w:jc w:val="right"/>
              <w:rPr>
                <w:rFonts w:ascii="宋体" w:hAnsi="宋体" w:eastAsia="宋体" w:cs="宋体"/>
                <w:sz w:val="18"/>
                <w:szCs w:val="18"/>
              </w:rPr>
            </w:pPr>
          </w:p>
        </w:tc>
      </w:tr>
      <w:tr w14:paraId="08FD86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AEEB6D9">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归属母公司所有者的其他综合收益的税后净额</w:t>
            </w:r>
          </w:p>
        </w:tc>
        <w:tc>
          <w:tcPr>
            <w:tcW w:w="3213" w:type="dxa"/>
            <w:tcBorders>
              <w:top w:val="single" w:color="auto" w:sz="2" w:space="0"/>
              <w:left w:val="single" w:color="auto" w:sz="2" w:space="0"/>
              <w:bottom w:val="single" w:color="auto" w:sz="2" w:space="0"/>
              <w:right w:val="single" w:color="auto" w:sz="2" w:space="0"/>
            </w:tcBorders>
            <w:vAlign w:val="center"/>
          </w:tcPr>
          <w:p w14:paraId="2670737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F7A20FB">
            <w:pPr>
              <w:spacing w:before="0" w:after="0" w:line="240" w:lineRule="exact"/>
              <w:jc w:val="right"/>
              <w:rPr>
                <w:rFonts w:ascii="宋体" w:hAnsi="宋体" w:eastAsia="宋体" w:cs="宋体"/>
                <w:sz w:val="18"/>
                <w:szCs w:val="18"/>
              </w:rPr>
            </w:pPr>
          </w:p>
        </w:tc>
      </w:tr>
      <w:tr w14:paraId="4CA9D0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361352C">
            <w:pPr>
              <w:spacing w:before="0" w:after="0" w:line="240" w:lineRule="exact"/>
              <w:ind w:firstLine="360" w:firstLineChars="200"/>
              <w:jc w:val="left"/>
              <w:rPr>
                <w:rFonts w:ascii="宋体" w:hAnsi="宋体" w:eastAsia="宋体" w:cs="宋体"/>
                <w:sz w:val="18"/>
                <w:szCs w:val="18"/>
              </w:rPr>
            </w:pPr>
            <w:r>
              <w:rPr>
                <w:rFonts w:ascii="宋体" w:hAnsi="宋体" w:eastAsia="宋体" w:cs="宋体"/>
                <w:sz w:val="18"/>
                <w:szCs w:val="18"/>
              </w:rPr>
              <w:t>（一）不能重分类进损益的其他综合收益</w:t>
            </w:r>
          </w:p>
        </w:tc>
        <w:tc>
          <w:tcPr>
            <w:tcW w:w="3213" w:type="dxa"/>
            <w:tcBorders>
              <w:top w:val="single" w:color="auto" w:sz="2" w:space="0"/>
              <w:left w:val="single" w:color="auto" w:sz="2" w:space="0"/>
              <w:bottom w:val="single" w:color="auto" w:sz="2" w:space="0"/>
              <w:right w:val="single" w:color="auto" w:sz="2" w:space="0"/>
            </w:tcBorders>
            <w:vAlign w:val="center"/>
          </w:tcPr>
          <w:p w14:paraId="0126A61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51764DA">
            <w:pPr>
              <w:spacing w:before="0" w:after="0" w:line="240" w:lineRule="exact"/>
              <w:jc w:val="right"/>
              <w:rPr>
                <w:rFonts w:ascii="宋体" w:hAnsi="宋体" w:eastAsia="宋体" w:cs="宋体"/>
                <w:sz w:val="18"/>
                <w:szCs w:val="18"/>
              </w:rPr>
            </w:pPr>
          </w:p>
        </w:tc>
      </w:tr>
      <w:tr w14:paraId="066EAD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B6BC7DB">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1.重新计量设定受益计划变动额</w:t>
            </w:r>
          </w:p>
        </w:tc>
        <w:tc>
          <w:tcPr>
            <w:tcW w:w="3213" w:type="dxa"/>
            <w:tcBorders>
              <w:top w:val="single" w:color="auto" w:sz="2" w:space="0"/>
              <w:left w:val="single" w:color="auto" w:sz="2" w:space="0"/>
              <w:bottom w:val="single" w:color="auto" w:sz="2" w:space="0"/>
              <w:right w:val="single" w:color="auto" w:sz="2" w:space="0"/>
            </w:tcBorders>
            <w:vAlign w:val="center"/>
          </w:tcPr>
          <w:p w14:paraId="43B5455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092A9DD">
            <w:pPr>
              <w:spacing w:before="0" w:after="0" w:line="240" w:lineRule="exact"/>
              <w:jc w:val="right"/>
              <w:rPr>
                <w:rFonts w:ascii="宋体" w:hAnsi="宋体" w:eastAsia="宋体" w:cs="宋体"/>
                <w:sz w:val="18"/>
                <w:szCs w:val="18"/>
              </w:rPr>
            </w:pPr>
          </w:p>
        </w:tc>
      </w:tr>
      <w:tr w14:paraId="1AF985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E5D4AEA">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2.权益法下不能转损益的其他综合收益</w:t>
            </w:r>
          </w:p>
        </w:tc>
        <w:tc>
          <w:tcPr>
            <w:tcW w:w="3213" w:type="dxa"/>
            <w:tcBorders>
              <w:top w:val="single" w:color="auto" w:sz="2" w:space="0"/>
              <w:left w:val="single" w:color="auto" w:sz="2" w:space="0"/>
              <w:bottom w:val="single" w:color="auto" w:sz="2" w:space="0"/>
              <w:right w:val="single" w:color="auto" w:sz="2" w:space="0"/>
            </w:tcBorders>
            <w:vAlign w:val="center"/>
          </w:tcPr>
          <w:p w14:paraId="796E973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91A4905">
            <w:pPr>
              <w:spacing w:before="0" w:after="0" w:line="240" w:lineRule="exact"/>
              <w:jc w:val="right"/>
              <w:rPr>
                <w:rFonts w:ascii="宋体" w:hAnsi="宋体" w:eastAsia="宋体" w:cs="宋体"/>
                <w:sz w:val="18"/>
                <w:szCs w:val="18"/>
              </w:rPr>
            </w:pPr>
          </w:p>
        </w:tc>
      </w:tr>
      <w:tr w14:paraId="79A4CD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2B6472E">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3.其他权益工具投资公允价值变动</w:t>
            </w:r>
          </w:p>
        </w:tc>
        <w:tc>
          <w:tcPr>
            <w:tcW w:w="3213" w:type="dxa"/>
            <w:tcBorders>
              <w:top w:val="single" w:color="auto" w:sz="2" w:space="0"/>
              <w:left w:val="single" w:color="auto" w:sz="2" w:space="0"/>
              <w:bottom w:val="single" w:color="auto" w:sz="2" w:space="0"/>
              <w:right w:val="single" w:color="auto" w:sz="2" w:space="0"/>
            </w:tcBorders>
            <w:vAlign w:val="center"/>
          </w:tcPr>
          <w:p w14:paraId="01C45A3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25BD2A8">
            <w:pPr>
              <w:spacing w:before="0" w:after="0" w:line="240" w:lineRule="exact"/>
              <w:jc w:val="right"/>
              <w:rPr>
                <w:rFonts w:ascii="宋体" w:hAnsi="宋体" w:eastAsia="宋体" w:cs="宋体"/>
                <w:sz w:val="18"/>
                <w:szCs w:val="18"/>
              </w:rPr>
            </w:pPr>
          </w:p>
        </w:tc>
      </w:tr>
      <w:tr w14:paraId="052245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F60242C">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4.企业自身信用风险公允价值变动</w:t>
            </w:r>
          </w:p>
        </w:tc>
        <w:tc>
          <w:tcPr>
            <w:tcW w:w="3213" w:type="dxa"/>
            <w:tcBorders>
              <w:top w:val="single" w:color="auto" w:sz="2" w:space="0"/>
              <w:left w:val="single" w:color="auto" w:sz="2" w:space="0"/>
              <w:bottom w:val="single" w:color="auto" w:sz="2" w:space="0"/>
              <w:right w:val="single" w:color="auto" w:sz="2" w:space="0"/>
            </w:tcBorders>
            <w:vAlign w:val="center"/>
          </w:tcPr>
          <w:p w14:paraId="1834DAC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DA05D06">
            <w:pPr>
              <w:spacing w:before="0" w:after="0" w:line="240" w:lineRule="exact"/>
              <w:jc w:val="right"/>
              <w:rPr>
                <w:rFonts w:ascii="宋体" w:hAnsi="宋体" w:eastAsia="宋体" w:cs="宋体"/>
                <w:sz w:val="18"/>
                <w:szCs w:val="18"/>
              </w:rPr>
            </w:pPr>
          </w:p>
        </w:tc>
      </w:tr>
      <w:tr w14:paraId="232570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F7CD45F">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5.其他</w:t>
            </w:r>
          </w:p>
        </w:tc>
        <w:tc>
          <w:tcPr>
            <w:tcW w:w="3213" w:type="dxa"/>
            <w:tcBorders>
              <w:top w:val="single" w:color="auto" w:sz="2" w:space="0"/>
              <w:left w:val="single" w:color="auto" w:sz="2" w:space="0"/>
              <w:bottom w:val="single" w:color="auto" w:sz="2" w:space="0"/>
              <w:right w:val="single" w:color="auto" w:sz="2" w:space="0"/>
            </w:tcBorders>
            <w:vAlign w:val="center"/>
          </w:tcPr>
          <w:p w14:paraId="445AD14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63F075E">
            <w:pPr>
              <w:spacing w:before="0" w:after="0" w:line="240" w:lineRule="exact"/>
              <w:jc w:val="right"/>
              <w:rPr>
                <w:rFonts w:ascii="宋体" w:hAnsi="宋体" w:eastAsia="宋体" w:cs="宋体"/>
                <w:sz w:val="18"/>
                <w:szCs w:val="18"/>
              </w:rPr>
            </w:pPr>
          </w:p>
        </w:tc>
      </w:tr>
      <w:tr w14:paraId="4082EA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773A129">
            <w:pPr>
              <w:spacing w:before="0" w:after="0" w:line="240" w:lineRule="exact"/>
              <w:ind w:firstLine="360" w:firstLineChars="200"/>
              <w:jc w:val="left"/>
              <w:rPr>
                <w:rFonts w:ascii="宋体" w:hAnsi="宋体" w:eastAsia="宋体" w:cs="宋体"/>
                <w:sz w:val="18"/>
                <w:szCs w:val="18"/>
              </w:rPr>
            </w:pPr>
            <w:r>
              <w:rPr>
                <w:rFonts w:ascii="宋体" w:hAnsi="宋体" w:eastAsia="宋体" w:cs="宋体"/>
                <w:sz w:val="18"/>
                <w:szCs w:val="18"/>
              </w:rPr>
              <w:t>（二）将重分类进损益的其他综合收益</w:t>
            </w:r>
          </w:p>
        </w:tc>
        <w:tc>
          <w:tcPr>
            <w:tcW w:w="3213" w:type="dxa"/>
            <w:tcBorders>
              <w:top w:val="single" w:color="auto" w:sz="2" w:space="0"/>
              <w:left w:val="single" w:color="auto" w:sz="2" w:space="0"/>
              <w:bottom w:val="single" w:color="auto" w:sz="2" w:space="0"/>
              <w:right w:val="single" w:color="auto" w:sz="2" w:space="0"/>
            </w:tcBorders>
            <w:vAlign w:val="center"/>
          </w:tcPr>
          <w:p w14:paraId="351835B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259DB7F">
            <w:pPr>
              <w:spacing w:before="0" w:after="0" w:line="240" w:lineRule="exact"/>
              <w:jc w:val="right"/>
              <w:rPr>
                <w:rFonts w:ascii="宋体" w:hAnsi="宋体" w:eastAsia="宋体" w:cs="宋体"/>
                <w:sz w:val="18"/>
                <w:szCs w:val="18"/>
              </w:rPr>
            </w:pPr>
          </w:p>
        </w:tc>
      </w:tr>
      <w:tr w14:paraId="1E7754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D3B2905">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1.权益法下可转损益的其他综合收益</w:t>
            </w:r>
          </w:p>
        </w:tc>
        <w:tc>
          <w:tcPr>
            <w:tcW w:w="3213" w:type="dxa"/>
            <w:tcBorders>
              <w:top w:val="single" w:color="auto" w:sz="2" w:space="0"/>
              <w:left w:val="single" w:color="auto" w:sz="2" w:space="0"/>
              <w:bottom w:val="single" w:color="auto" w:sz="2" w:space="0"/>
              <w:right w:val="single" w:color="auto" w:sz="2" w:space="0"/>
            </w:tcBorders>
            <w:vAlign w:val="center"/>
          </w:tcPr>
          <w:p w14:paraId="272A254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DB5CAA3">
            <w:pPr>
              <w:spacing w:before="0" w:after="0" w:line="240" w:lineRule="exact"/>
              <w:jc w:val="right"/>
              <w:rPr>
                <w:rFonts w:ascii="宋体" w:hAnsi="宋体" w:eastAsia="宋体" w:cs="宋体"/>
                <w:sz w:val="18"/>
                <w:szCs w:val="18"/>
              </w:rPr>
            </w:pPr>
          </w:p>
        </w:tc>
      </w:tr>
      <w:tr w14:paraId="487385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119B33">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2.其他债权投资公允价值变动</w:t>
            </w:r>
          </w:p>
        </w:tc>
        <w:tc>
          <w:tcPr>
            <w:tcW w:w="3213" w:type="dxa"/>
            <w:tcBorders>
              <w:top w:val="single" w:color="auto" w:sz="2" w:space="0"/>
              <w:left w:val="single" w:color="auto" w:sz="2" w:space="0"/>
              <w:bottom w:val="single" w:color="auto" w:sz="2" w:space="0"/>
              <w:right w:val="single" w:color="auto" w:sz="2" w:space="0"/>
            </w:tcBorders>
            <w:vAlign w:val="center"/>
          </w:tcPr>
          <w:p w14:paraId="324F85A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B3E5C8C">
            <w:pPr>
              <w:spacing w:before="0" w:after="0" w:line="240" w:lineRule="exact"/>
              <w:jc w:val="right"/>
              <w:rPr>
                <w:rFonts w:ascii="宋体" w:hAnsi="宋体" w:eastAsia="宋体" w:cs="宋体"/>
                <w:sz w:val="18"/>
                <w:szCs w:val="18"/>
              </w:rPr>
            </w:pPr>
          </w:p>
        </w:tc>
      </w:tr>
      <w:tr w14:paraId="725BDB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F0F7D70">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3.金融资产重分类计入其他综合收益的金额</w:t>
            </w:r>
          </w:p>
        </w:tc>
        <w:tc>
          <w:tcPr>
            <w:tcW w:w="3213" w:type="dxa"/>
            <w:tcBorders>
              <w:top w:val="single" w:color="auto" w:sz="2" w:space="0"/>
              <w:left w:val="single" w:color="auto" w:sz="2" w:space="0"/>
              <w:bottom w:val="single" w:color="auto" w:sz="2" w:space="0"/>
              <w:right w:val="single" w:color="auto" w:sz="2" w:space="0"/>
            </w:tcBorders>
            <w:vAlign w:val="center"/>
          </w:tcPr>
          <w:p w14:paraId="455A15E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42712D5">
            <w:pPr>
              <w:spacing w:before="0" w:after="0" w:line="240" w:lineRule="exact"/>
              <w:jc w:val="right"/>
              <w:rPr>
                <w:rFonts w:ascii="宋体" w:hAnsi="宋体" w:eastAsia="宋体" w:cs="宋体"/>
                <w:sz w:val="18"/>
                <w:szCs w:val="18"/>
              </w:rPr>
            </w:pPr>
          </w:p>
        </w:tc>
      </w:tr>
      <w:tr w14:paraId="4A850E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20EA86A">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4.其他债权投资信用减值准备</w:t>
            </w:r>
          </w:p>
        </w:tc>
        <w:tc>
          <w:tcPr>
            <w:tcW w:w="3213" w:type="dxa"/>
            <w:tcBorders>
              <w:top w:val="single" w:color="auto" w:sz="2" w:space="0"/>
              <w:left w:val="single" w:color="auto" w:sz="2" w:space="0"/>
              <w:bottom w:val="single" w:color="auto" w:sz="2" w:space="0"/>
              <w:right w:val="single" w:color="auto" w:sz="2" w:space="0"/>
            </w:tcBorders>
            <w:vAlign w:val="center"/>
          </w:tcPr>
          <w:p w14:paraId="1C53484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3141114">
            <w:pPr>
              <w:spacing w:before="0" w:after="0" w:line="240" w:lineRule="exact"/>
              <w:jc w:val="right"/>
              <w:rPr>
                <w:rFonts w:ascii="宋体" w:hAnsi="宋体" w:eastAsia="宋体" w:cs="宋体"/>
                <w:sz w:val="18"/>
                <w:szCs w:val="18"/>
              </w:rPr>
            </w:pPr>
          </w:p>
        </w:tc>
      </w:tr>
      <w:tr w14:paraId="0FCFDF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90F8E9">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5.现金流量套期储备</w:t>
            </w:r>
          </w:p>
        </w:tc>
        <w:tc>
          <w:tcPr>
            <w:tcW w:w="3213" w:type="dxa"/>
            <w:tcBorders>
              <w:top w:val="single" w:color="auto" w:sz="2" w:space="0"/>
              <w:left w:val="single" w:color="auto" w:sz="2" w:space="0"/>
              <w:bottom w:val="single" w:color="auto" w:sz="2" w:space="0"/>
              <w:right w:val="single" w:color="auto" w:sz="2" w:space="0"/>
            </w:tcBorders>
            <w:vAlign w:val="center"/>
          </w:tcPr>
          <w:p w14:paraId="25AA969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4510511">
            <w:pPr>
              <w:spacing w:before="0" w:after="0" w:line="240" w:lineRule="exact"/>
              <w:jc w:val="right"/>
              <w:rPr>
                <w:rFonts w:ascii="宋体" w:hAnsi="宋体" w:eastAsia="宋体" w:cs="宋体"/>
                <w:sz w:val="18"/>
                <w:szCs w:val="18"/>
              </w:rPr>
            </w:pPr>
          </w:p>
        </w:tc>
      </w:tr>
      <w:tr w14:paraId="2D857A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9E4E7DA">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6.外币财务报表折算差额</w:t>
            </w:r>
          </w:p>
        </w:tc>
        <w:tc>
          <w:tcPr>
            <w:tcW w:w="3213" w:type="dxa"/>
            <w:tcBorders>
              <w:top w:val="single" w:color="auto" w:sz="2" w:space="0"/>
              <w:left w:val="single" w:color="auto" w:sz="2" w:space="0"/>
              <w:bottom w:val="single" w:color="auto" w:sz="2" w:space="0"/>
              <w:right w:val="single" w:color="auto" w:sz="2" w:space="0"/>
            </w:tcBorders>
            <w:vAlign w:val="center"/>
          </w:tcPr>
          <w:p w14:paraId="6935D30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1A50A7E">
            <w:pPr>
              <w:spacing w:before="0" w:after="0" w:line="240" w:lineRule="exact"/>
              <w:jc w:val="right"/>
              <w:rPr>
                <w:rFonts w:ascii="宋体" w:hAnsi="宋体" w:eastAsia="宋体" w:cs="宋体"/>
                <w:sz w:val="18"/>
                <w:szCs w:val="18"/>
              </w:rPr>
            </w:pPr>
          </w:p>
        </w:tc>
      </w:tr>
      <w:tr w14:paraId="1BB252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6BBD946">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7.其他</w:t>
            </w:r>
          </w:p>
        </w:tc>
        <w:tc>
          <w:tcPr>
            <w:tcW w:w="3213" w:type="dxa"/>
            <w:tcBorders>
              <w:top w:val="single" w:color="auto" w:sz="2" w:space="0"/>
              <w:left w:val="single" w:color="auto" w:sz="2" w:space="0"/>
              <w:bottom w:val="single" w:color="auto" w:sz="2" w:space="0"/>
              <w:right w:val="single" w:color="auto" w:sz="2" w:space="0"/>
            </w:tcBorders>
            <w:vAlign w:val="center"/>
          </w:tcPr>
          <w:p w14:paraId="39A57C82">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798C543">
            <w:pPr>
              <w:spacing w:before="0" w:after="0" w:line="240" w:lineRule="exact"/>
              <w:jc w:val="right"/>
              <w:rPr>
                <w:rFonts w:ascii="宋体" w:hAnsi="宋体" w:eastAsia="宋体" w:cs="宋体"/>
                <w:sz w:val="18"/>
                <w:szCs w:val="18"/>
              </w:rPr>
            </w:pPr>
          </w:p>
        </w:tc>
      </w:tr>
      <w:tr w14:paraId="783D1B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BCD3189">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归属于少数股东的其他综合收益的税后净额</w:t>
            </w:r>
          </w:p>
        </w:tc>
        <w:tc>
          <w:tcPr>
            <w:tcW w:w="3213" w:type="dxa"/>
            <w:tcBorders>
              <w:top w:val="single" w:color="auto" w:sz="2" w:space="0"/>
              <w:left w:val="single" w:color="auto" w:sz="2" w:space="0"/>
              <w:bottom w:val="single" w:color="auto" w:sz="2" w:space="0"/>
              <w:right w:val="single" w:color="auto" w:sz="2" w:space="0"/>
            </w:tcBorders>
            <w:vAlign w:val="center"/>
          </w:tcPr>
          <w:p w14:paraId="264D537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2B23821">
            <w:pPr>
              <w:spacing w:before="0" w:after="0" w:line="240" w:lineRule="exact"/>
              <w:jc w:val="right"/>
              <w:rPr>
                <w:rFonts w:ascii="宋体" w:hAnsi="宋体" w:eastAsia="宋体" w:cs="宋体"/>
                <w:sz w:val="18"/>
                <w:szCs w:val="18"/>
              </w:rPr>
            </w:pPr>
          </w:p>
        </w:tc>
      </w:tr>
      <w:tr w14:paraId="63EF21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6115A00">
            <w:pPr>
              <w:spacing w:before="0" w:after="0" w:line="240" w:lineRule="exact"/>
              <w:jc w:val="left"/>
              <w:rPr>
                <w:rFonts w:ascii="宋体" w:hAnsi="宋体" w:eastAsia="宋体" w:cs="宋体"/>
                <w:sz w:val="18"/>
                <w:szCs w:val="18"/>
              </w:rPr>
            </w:pPr>
            <w:r>
              <w:rPr>
                <w:rFonts w:ascii="宋体" w:hAnsi="宋体" w:eastAsia="宋体" w:cs="宋体"/>
                <w:sz w:val="18"/>
                <w:szCs w:val="18"/>
              </w:rPr>
              <w:t>七、综合收益总额</w:t>
            </w:r>
          </w:p>
        </w:tc>
        <w:tc>
          <w:tcPr>
            <w:tcW w:w="3213" w:type="dxa"/>
            <w:tcBorders>
              <w:top w:val="single" w:color="auto" w:sz="2" w:space="0"/>
              <w:left w:val="single" w:color="auto" w:sz="2" w:space="0"/>
              <w:bottom w:val="single" w:color="auto" w:sz="2" w:space="0"/>
              <w:right w:val="single" w:color="auto" w:sz="2" w:space="0"/>
            </w:tcBorders>
            <w:vAlign w:val="center"/>
          </w:tcPr>
          <w:p w14:paraId="0D654D55">
            <w:pPr>
              <w:spacing w:before="0" w:after="0" w:line="240" w:lineRule="exact"/>
              <w:jc w:val="right"/>
              <w:rPr>
                <w:rFonts w:ascii="宋体" w:hAnsi="宋体" w:eastAsia="宋体" w:cs="宋体"/>
                <w:sz w:val="18"/>
                <w:szCs w:val="18"/>
              </w:rPr>
            </w:pPr>
            <w:r>
              <w:rPr>
                <w:rFonts w:ascii="宋体" w:hAnsi="宋体" w:eastAsia="宋体" w:cs="宋体"/>
                <w:sz w:val="18"/>
                <w:szCs w:val="18"/>
              </w:rPr>
              <w:t>-172,467,037.90</w:t>
            </w:r>
          </w:p>
        </w:tc>
        <w:tc>
          <w:tcPr>
            <w:tcW w:w="3213" w:type="dxa"/>
            <w:tcBorders>
              <w:top w:val="single" w:color="auto" w:sz="2" w:space="0"/>
              <w:left w:val="single" w:color="auto" w:sz="2" w:space="0"/>
              <w:bottom w:val="single" w:color="auto" w:sz="2" w:space="0"/>
              <w:right w:val="single" w:color="auto" w:sz="2" w:space="0"/>
            </w:tcBorders>
            <w:vAlign w:val="center"/>
          </w:tcPr>
          <w:p w14:paraId="0F06EC98">
            <w:pPr>
              <w:spacing w:before="0" w:after="0" w:line="240" w:lineRule="exact"/>
              <w:jc w:val="right"/>
              <w:rPr>
                <w:rFonts w:ascii="宋体" w:hAnsi="宋体" w:eastAsia="宋体" w:cs="宋体"/>
                <w:sz w:val="18"/>
                <w:szCs w:val="18"/>
              </w:rPr>
            </w:pPr>
            <w:r>
              <w:rPr>
                <w:rFonts w:ascii="宋体" w:hAnsi="宋体" w:eastAsia="宋体" w:cs="宋体"/>
                <w:sz w:val="18"/>
                <w:szCs w:val="18"/>
              </w:rPr>
              <w:t>-374,903,464.91</w:t>
            </w:r>
          </w:p>
        </w:tc>
      </w:tr>
      <w:tr w14:paraId="653929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C14A24A">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归属于母公司所有者的综合收益总额</w:t>
            </w:r>
          </w:p>
        </w:tc>
        <w:tc>
          <w:tcPr>
            <w:tcW w:w="3213" w:type="dxa"/>
            <w:tcBorders>
              <w:top w:val="single" w:color="auto" w:sz="2" w:space="0"/>
              <w:left w:val="single" w:color="auto" w:sz="2" w:space="0"/>
              <w:bottom w:val="single" w:color="auto" w:sz="2" w:space="0"/>
              <w:right w:val="single" w:color="auto" w:sz="2" w:space="0"/>
            </w:tcBorders>
            <w:vAlign w:val="center"/>
          </w:tcPr>
          <w:p w14:paraId="05184470">
            <w:pPr>
              <w:spacing w:before="0" w:after="0" w:line="240" w:lineRule="exact"/>
              <w:jc w:val="right"/>
              <w:rPr>
                <w:rFonts w:ascii="宋体" w:hAnsi="宋体" w:eastAsia="宋体" w:cs="宋体"/>
                <w:sz w:val="18"/>
                <w:szCs w:val="18"/>
              </w:rPr>
            </w:pPr>
            <w:r>
              <w:rPr>
                <w:rFonts w:ascii="宋体" w:hAnsi="宋体" w:eastAsia="宋体" w:cs="宋体"/>
                <w:sz w:val="18"/>
                <w:szCs w:val="18"/>
              </w:rPr>
              <w:t>-156,304,356.74</w:t>
            </w:r>
          </w:p>
        </w:tc>
        <w:tc>
          <w:tcPr>
            <w:tcW w:w="3213" w:type="dxa"/>
            <w:tcBorders>
              <w:top w:val="single" w:color="auto" w:sz="2" w:space="0"/>
              <w:left w:val="single" w:color="auto" w:sz="2" w:space="0"/>
              <w:bottom w:val="single" w:color="auto" w:sz="2" w:space="0"/>
              <w:right w:val="single" w:color="auto" w:sz="2" w:space="0"/>
            </w:tcBorders>
            <w:vAlign w:val="center"/>
          </w:tcPr>
          <w:p w14:paraId="4FD19EEF">
            <w:pPr>
              <w:spacing w:before="0" w:after="0" w:line="240" w:lineRule="exact"/>
              <w:jc w:val="right"/>
              <w:rPr>
                <w:rFonts w:ascii="宋体" w:hAnsi="宋体" w:eastAsia="宋体" w:cs="宋体"/>
                <w:sz w:val="18"/>
                <w:szCs w:val="18"/>
              </w:rPr>
            </w:pPr>
            <w:r>
              <w:rPr>
                <w:rFonts w:ascii="宋体" w:hAnsi="宋体" w:eastAsia="宋体" w:cs="宋体"/>
                <w:sz w:val="18"/>
                <w:szCs w:val="18"/>
              </w:rPr>
              <w:t>-348,589,843.18</w:t>
            </w:r>
          </w:p>
        </w:tc>
      </w:tr>
      <w:tr w14:paraId="1338FD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35C6BB6">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归属于少数股东的综合收益总额</w:t>
            </w:r>
          </w:p>
        </w:tc>
        <w:tc>
          <w:tcPr>
            <w:tcW w:w="3213" w:type="dxa"/>
            <w:tcBorders>
              <w:top w:val="single" w:color="auto" w:sz="2" w:space="0"/>
              <w:left w:val="single" w:color="auto" w:sz="2" w:space="0"/>
              <w:bottom w:val="single" w:color="auto" w:sz="2" w:space="0"/>
              <w:right w:val="single" w:color="auto" w:sz="2" w:space="0"/>
            </w:tcBorders>
            <w:vAlign w:val="center"/>
          </w:tcPr>
          <w:p w14:paraId="058296C7">
            <w:pPr>
              <w:spacing w:before="0" w:after="0" w:line="240" w:lineRule="exact"/>
              <w:jc w:val="right"/>
              <w:rPr>
                <w:rFonts w:ascii="宋体" w:hAnsi="宋体" w:eastAsia="宋体" w:cs="宋体"/>
                <w:sz w:val="18"/>
                <w:szCs w:val="18"/>
              </w:rPr>
            </w:pPr>
            <w:r>
              <w:rPr>
                <w:rFonts w:ascii="宋体" w:hAnsi="宋体" w:eastAsia="宋体" w:cs="宋体"/>
                <w:sz w:val="18"/>
                <w:szCs w:val="18"/>
              </w:rPr>
              <w:t>-16,162,681.16</w:t>
            </w:r>
          </w:p>
        </w:tc>
        <w:tc>
          <w:tcPr>
            <w:tcW w:w="3213" w:type="dxa"/>
            <w:tcBorders>
              <w:top w:val="single" w:color="auto" w:sz="2" w:space="0"/>
              <w:left w:val="single" w:color="auto" w:sz="2" w:space="0"/>
              <w:bottom w:val="single" w:color="auto" w:sz="2" w:space="0"/>
              <w:right w:val="single" w:color="auto" w:sz="2" w:space="0"/>
            </w:tcBorders>
            <w:vAlign w:val="center"/>
          </w:tcPr>
          <w:p w14:paraId="2EC3373B">
            <w:pPr>
              <w:spacing w:before="0" w:after="0" w:line="240" w:lineRule="exact"/>
              <w:jc w:val="right"/>
              <w:rPr>
                <w:rFonts w:ascii="宋体" w:hAnsi="宋体" w:eastAsia="宋体" w:cs="宋体"/>
                <w:sz w:val="18"/>
                <w:szCs w:val="18"/>
              </w:rPr>
            </w:pPr>
            <w:r>
              <w:rPr>
                <w:rFonts w:ascii="宋体" w:hAnsi="宋体" w:eastAsia="宋体" w:cs="宋体"/>
                <w:sz w:val="18"/>
                <w:szCs w:val="18"/>
              </w:rPr>
              <w:t>-26,313,621.73</w:t>
            </w:r>
          </w:p>
        </w:tc>
      </w:tr>
      <w:tr w14:paraId="187DCE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097BEB">
            <w:pPr>
              <w:spacing w:before="0" w:after="0" w:line="240" w:lineRule="exact"/>
              <w:jc w:val="left"/>
              <w:rPr>
                <w:rFonts w:ascii="宋体" w:hAnsi="宋体" w:eastAsia="宋体" w:cs="宋体"/>
                <w:sz w:val="18"/>
                <w:szCs w:val="18"/>
              </w:rPr>
            </w:pPr>
            <w:r>
              <w:rPr>
                <w:rFonts w:ascii="宋体" w:hAnsi="宋体" w:eastAsia="宋体" w:cs="宋体"/>
                <w:sz w:val="18"/>
                <w:szCs w:val="18"/>
              </w:rPr>
              <w:t>八、每股收益</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1579C7B"/>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A54325"/>
        </w:tc>
      </w:tr>
      <w:tr w14:paraId="299DF8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7A1007C">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（一）基本每股收益</w:t>
            </w:r>
          </w:p>
        </w:tc>
        <w:tc>
          <w:tcPr>
            <w:tcW w:w="3213" w:type="dxa"/>
            <w:tcBorders>
              <w:top w:val="single" w:color="auto" w:sz="2" w:space="0"/>
              <w:left w:val="single" w:color="auto" w:sz="2" w:space="0"/>
              <w:bottom w:val="single" w:color="auto" w:sz="2" w:space="0"/>
              <w:right w:val="single" w:color="auto" w:sz="2" w:space="0"/>
            </w:tcBorders>
            <w:vAlign w:val="center"/>
          </w:tcPr>
          <w:p w14:paraId="467D3341">
            <w:pPr>
              <w:spacing w:before="0" w:after="0" w:line="240" w:lineRule="exact"/>
              <w:jc w:val="right"/>
              <w:rPr>
                <w:rFonts w:ascii="宋体" w:hAnsi="宋体" w:eastAsia="宋体" w:cs="宋体"/>
                <w:sz w:val="18"/>
                <w:szCs w:val="18"/>
              </w:rPr>
            </w:pPr>
            <w:r>
              <w:rPr>
                <w:rFonts w:ascii="宋体" w:hAnsi="宋体" w:eastAsia="宋体" w:cs="宋体"/>
                <w:sz w:val="18"/>
                <w:szCs w:val="18"/>
              </w:rPr>
              <w:t>-0.9814</w:t>
            </w:r>
          </w:p>
        </w:tc>
        <w:tc>
          <w:tcPr>
            <w:tcW w:w="3213" w:type="dxa"/>
            <w:tcBorders>
              <w:top w:val="single" w:color="auto" w:sz="2" w:space="0"/>
              <w:left w:val="single" w:color="auto" w:sz="2" w:space="0"/>
              <w:bottom w:val="single" w:color="auto" w:sz="2" w:space="0"/>
              <w:right w:val="single" w:color="auto" w:sz="2" w:space="0"/>
            </w:tcBorders>
            <w:vAlign w:val="center"/>
          </w:tcPr>
          <w:p w14:paraId="040B371D">
            <w:pPr>
              <w:spacing w:before="0" w:after="0" w:line="240" w:lineRule="exact"/>
              <w:jc w:val="right"/>
              <w:rPr>
                <w:rFonts w:ascii="宋体" w:hAnsi="宋体" w:eastAsia="宋体" w:cs="宋体"/>
                <w:sz w:val="18"/>
                <w:szCs w:val="18"/>
              </w:rPr>
            </w:pPr>
            <w:r>
              <w:rPr>
                <w:rFonts w:ascii="宋体" w:hAnsi="宋体" w:eastAsia="宋体" w:cs="宋体"/>
                <w:sz w:val="18"/>
                <w:szCs w:val="18"/>
              </w:rPr>
              <w:t>-2.1887</w:t>
            </w:r>
          </w:p>
        </w:tc>
      </w:tr>
      <w:tr w14:paraId="57316D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526A10C">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（二）稀释每股收益</w:t>
            </w:r>
          </w:p>
        </w:tc>
        <w:tc>
          <w:tcPr>
            <w:tcW w:w="3213" w:type="dxa"/>
            <w:tcBorders>
              <w:top w:val="single" w:color="auto" w:sz="2" w:space="0"/>
              <w:left w:val="single" w:color="auto" w:sz="2" w:space="0"/>
              <w:bottom w:val="single" w:color="auto" w:sz="2" w:space="0"/>
              <w:right w:val="single" w:color="auto" w:sz="2" w:space="0"/>
            </w:tcBorders>
            <w:vAlign w:val="center"/>
          </w:tcPr>
          <w:p w14:paraId="40A9E097">
            <w:pPr>
              <w:spacing w:before="0" w:after="0" w:line="240" w:lineRule="exact"/>
              <w:jc w:val="right"/>
              <w:rPr>
                <w:rFonts w:ascii="宋体" w:hAnsi="宋体" w:eastAsia="宋体" w:cs="宋体"/>
                <w:sz w:val="18"/>
                <w:szCs w:val="18"/>
              </w:rPr>
            </w:pPr>
            <w:r>
              <w:rPr>
                <w:rFonts w:ascii="宋体" w:hAnsi="宋体" w:eastAsia="宋体" w:cs="宋体"/>
                <w:sz w:val="18"/>
                <w:szCs w:val="18"/>
              </w:rPr>
              <w:t>-0.9814</w:t>
            </w:r>
          </w:p>
        </w:tc>
        <w:tc>
          <w:tcPr>
            <w:tcW w:w="3213" w:type="dxa"/>
            <w:tcBorders>
              <w:top w:val="single" w:color="auto" w:sz="2" w:space="0"/>
              <w:left w:val="single" w:color="auto" w:sz="2" w:space="0"/>
              <w:bottom w:val="single" w:color="auto" w:sz="2" w:space="0"/>
              <w:right w:val="single" w:color="auto" w:sz="2" w:space="0"/>
            </w:tcBorders>
            <w:vAlign w:val="center"/>
          </w:tcPr>
          <w:p w14:paraId="5B8CC4FC">
            <w:pPr>
              <w:spacing w:before="0" w:after="0" w:line="240" w:lineRule="exact"/>
              <w:jc w:val="right"/>
              <w:rPr>
                <w:rFonts w:ascii="宋体" w:hAnsi="宋体" w:eastAsia="宋体" w:cs="宋体"/>
                <w:sz w:val="18"/>
                <w:szCs w:val="18"/>
              </w:rPr>
            </w:pPr>
            <w:r>
              <w:rPr>
                <w:rFonts w:ascii="宋体" w:hAnsi="宋体" w:eastAsia="宋体" w:cs="宋体"/>
                <w:sz w:val="18"/>
                <w:szCs w:val="18"/>
              </w:rPr>
              <w:t>-2.1887</w:t>
            </w:r>
          </w:p>
        </w:tc>
      </w:tr>
    </w:tbl>
    <w:p w14:paraId="3716D294">
      <w:pPr>
        <w:spacing w:before="40" w:after="40" w:line="240" w:lineRule="exact"/>
        <w:jc w:val="left"/>
        <w:rPr>
          <w:rFonts w:ascii="宋体" w:hAnsi="宋体" w:eastAsia="宋体" w:cs="宋体"/>
          <w:sz w:val="18"/>
          <w:szCs w:val="18"/>
        </w:rPr>
      </w:pPr>
      <w:r>
        <w:rPr>
          <w:rFonts w:ascii="宋体" w:hAnsi="宋体" w:eastAsia="宋体" w:cs="宋体"/>
          <w:sz w:val="18"/>
          <w:szCs w:val="18"/>
        </w:rPr>
        <w:t>本期发生同一控制下企业合并的，被合并方在合并前实现的净利润为：元，上期被合并方实现的净利润为：元。</w:t>
      </w:r>
    </w:p>
    <w:p w14:paraId="2C4C8CB5">
      <w:pPr>
        <w:spacing w:before="40" w:after="40" w:line="240" w:lineRule="exact"/>
        <w:jc w:val="left"/>
        <w:rPr>
          <w:rFonts w:ascii="宋体" w:hAnsi="宋体" w:eastAsia="宋体" w:cs="宋体"/>
          <w:sz w:val="18"/>
          <w:szCs w:val="18"/>
        </w:rPr>
      </w:pPr>
      <w:r>
        <w:rPr>
          <w:rFonts w:ascii="宋体" w:hAnsi="宋体" w:eastAsia="宋体" w:cs="宋体"/>
          <w:sz w:val="18"/>
          <w:szCs w:val="18"/>
        </w:rPr>
        <w:t>法定代表人：李国平    主管会计工作负责人：官建辉    会计机构负责人：林艳虹</w:t>
      </w:r>
    </w:p>
    <w:p w14:paraId="3BD6B5FB">
      <w:pPr>
        <w:keepNext/>
        <w:keepLines/>
        <w:spacing w:before="300" w:after="300" w:line="280" w:lineRule="exact"/>
        <w:jc w:val="left"/>
        <w:outlineLvl w:val="2"/>
        <w:rPr>
          <w:rFonts w:ascii="宋体" w:hAnsi="宋体" w:eastAsia="宋体" w:cs="宋体"/>
          <w:b/>
          <w:bCs/>
          <w:sz w:val="21"/>
          <w:szCs w:val="21"/>
        </w:rPr>
      </w:pPr>
      <w:bookmarkStart w:id="156" w:name="_Toc989043"/>
      <w:r>
        <w:rPr>
          <w:rFonts w:ascii="宋体" w:hAnsi="宋体" w:eastAsia="宋体" w:cs="宋体"/>
          <w:b/>
          <w:bCs/>
          <w:sz w:val="21"/>
          <w:szCs w:val="21"/>
        </w:rPr>
        <w:t>4、母公司利润表</w:t>
      </w:r>
      <w:bookmarkEnd w:id="156"/>
    </w:p>
    <w:p w14:paraId="013C28B0">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90788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C2C20B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E168C08">
            <w:pPr>
              <w:spacing w:before="40" w:after="40" w:line="240" w:lineRule="exact"/>
              <w:jc w:val="center"/>
              <w:rPr>
                <w:rFonts w:ascii="宋体" w:hAnsi="宋体" w:eastAsia="宋体" w:cs="宋体"/>
                <w:sz w:val="18"/>
                <w:szCs w:val="18"/>
              </w:rPr>
            </w:pPr>
            <w:r>
              <w:rPr>
                <w:rFonts w:ascii="宋体" w:hAnsi="宋体" w:eastAsia="宋体" w:cs="宋体"/>
                <w:sz w:val="18"/>
                <w:szCs w:val="18"/>
              </w:rPr>
              <w:t>2024年度</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58B4D1D">
            <w:pPr>
              <w:spacing w:before="40" w:after="40" w:line="240" w:lineRule="exact"/>
              <w:jc w:val="center"/>
              <w:rPr>
                <w:rFonts w:ascii="宋体" w:hAnsi="宋体" w:eastAsia="宋体" w:cs="宋体"/>
                <w:sz w:val="18"/>
                <w:szCs w:val="18"/>
              </w:rPr>
            </w:pPr>
            <w:r>
              <w:rPr>
                <w:rFonts w:ascii="宋体" w:hAnsi="宋体" w:eastAsia="宋体" w:cs="宋体"/>
                <w:sz w:val="18"/>
                <w:szCs w:val="18"/>
              </w:rPr>
              <w:t>2023年度</w:t>
            </w:r>
          </w:p>
        </w:tc>
      </w:tr>
      <w:tr w14:paraId="6AD354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ED7CA93">
            <w:pPr>
              <w:spacing w:before="40" w:after="40" w:line="240" w:lineRule="exact"/>
              <w:jc w:val="left"/>
              <w:rPr>
                <w:rFonts w:ascii="宋体" w:hAnsi="宋体" w:eastAsia="宋体" w:cs="宋体"/>
                <w:sz w:val="18"/>
                <w:szCs w:val="18"/>
              </w:rPr>
            </w:pPr>
            <w:r>
              <w:rPr>
                <w:rFonts w:ascii="宋体" w:hAnsi="宋体" w:eastAsia="宋体" w:cs="宋体"/>
                <w:sz w:val="18"/>
                <w:szCs w:val="18"/>
              </w:rPr>
              <w:t>一、营业收入</w:t>
            </w:r>
          </w:p>
        </w:tc>
        <w:tc>
          <w:tcPr>
            <w:tcW w:w="3213" w:type="dxa"/>
            <w:tcBorders>
              <w:top w:val="single" w:color="auto" w:sz="2" w:space="0"/>
              <w:left w:val="single" w:color="auto" w:sz="2" w:space="0"/>
              <w:bottom w:val="single" w:color="auto" w:sz="2" w:space="0"/>
              <w:right w:val="single" w:color="auto" w:sz="2" w:space="0"/>
            </w:tcBorders>
            <w:vAlign w:val="center"/>
          </w:tcPr>
          <w:p w14:paraId="09BDE31A">
            <w:pPr>
              <w:spacing w:before="0" w:after="0" w:line="240" w:lineRule="exact"/>
              <w:jc w:val="right"/>
              <w:rPr>
                <w:rFonts w:ascii="宋体" w:hAnsi="宋体" w:eastAsia="宋体" w:cs="宋体"/>
                <w:sz w:val="18"/>
                <w:szCs w:val="18"/>
              </w:rPr>
            </w:pPr>
            <w:r>
              <w:rPr>
                <w:rFonts w:ascii="宋体" w:hAnsi="宋体" w:eastAsia="宋体" w:cs="宋体"/>
                <w:sz w:val="18"/>
                <w:szCs w:val="18"/>
              </w:rPr>
              <w:t>241,612,788.65</w:t>
            </w:r>
          </w:p>
        </w:tc>
        <w:tc>
          <w:tcPr>
            <w:tcW w:w="3213" w:type="dxa"/>
            <w:tcBorders>
              <w:top w:val="single" w:color="auto" w:sz="2" w:space="0"/>
              <w:left w:val="single" w:color="auto" w:sz="2" w:space="0"/>
              <w:bottom w:val="single" w:color="auto" w:sz="2" w:space="0"/>
              <w:right w:val="single" w:color="auto" w:sz="2" w:space="0"/>
            </w:tcBorders>
            <w:vAlign w:val="center"/>
          </w:tcPr>
          <w:p w14:paraId="1F3B6771">
            <w:pPr>
              <w:spacing w:before="0" w:after="0" w:line="240" w:lineRule="exact"/>
              <w:jc w:val="right"/>
              <w:rPr>
                <w:rFonts w:ascii="宋体" w:hAnsi="宋体" w:eastAsia="宋体" w:cs="宋体"/>
                <w:sz w:val="18"/>
                <w:szCs w:val="18"/>
              </w:rPr>
            </w:pPr>
            <w:r>
              <w:rPr>
                <w:rFonts w:ascii="宋体" w:hAnsi="宋体" w:eastAsia="宋体" w:cs="宋体"/>
                <w:sz w:val="18"/>
                <w:szCs w:val="18"/>
              </w:rPr>
              <w:t>209,887,278.97</w:t>
            </w:r>
          </w:p>
        </w:tc>
      </w:tr>
      <w:tr w14:paraId="320F83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735413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减：营业成本</w:t>
            </w:r>
          </w:p>
        </w:tc>
        <w:tc>
          <w:tcPr>
            <w:tcW w:w="3213" w:type="dxa"/>
            <w:tcBorders>
              <w:top w:val="single" w:color="auto" w:sz="2" w:space="0"/>
              <w:left w:val="single" w:color="auto" w:sz="2" w:space="0"/>
              <w:bottom w:val="single" w:color="auto" w:sz="2" w:space="0"/>
              <w:right w:val="single" w:color="auto" w:sz="2" w:space="0"/>
            </w:tcBorders>
            <w:vAlign w:val="center"/>
          </w:tcPr>
          <w:p w14:paraId="0BD6FBC2">
            <w:pPr>
              <w:spacing w:before="0" w:after="0" w:line="240" w:lineRule="exact"/>
              <w:jc w:val="right"/>
              <w:rPr>
                <w:rFonts w:ascii="宋体" w:hAnsi="宋体" w:eastAsia="宋体" w:cs="宋体"/>
                <w:sz w:val="18"/>
                <w:szCs w:val="18"/>
              </w:rPr>
            </w:pPr>
            <w:r>
              <w:rPr>
                <w:rFonts w:ascii="宋体" w:hAnsi="宋体" w:eastAsia="宋体" w:cs="宋体"/>
                <w:sz w:val="18"/>
                <w:szCs w:val="18"/>
              </w:rPr>
              <w:t>145,447,823.50</w:t>
            </w:r>
          </w:p>
        </w:tc>
        <w:tc>
          <w:tcPr>
            <w:tcW w:w="3213" w:type="dxa"/>
            <w:tcBorders>
              <w:top w:val="single" w:color="auto" w:sz="2" w:space="0"/>
              <w:left w:val="single" w:color="auto" w:sz="2" w:space="0"/>
              <w:bottom w:val="single" w:color="auto" w:sz="2" w:space="0"/>
              <w:right w:val="single" w:color="auto" w:sz="2" w:space="0"/>
            </w:tcBorders>
            <w:vAlign w:val="center"/>
          </w:tcPr>
          <w:p w14:paraId="4371CC07">
            <w:pPr>
              <w:spacing w:before="0" w:after="0" w:line="240" w:lineRule="exact"/>
              <w:jc w:val="right"/>
              <w:rPr>
                <w:rFonts w:ascii="宋体" w:hAnsi="宋体" w:eastAsia="宋体" w:cs="宋体"/>
                <w:sz w:val="18"/>
                <w:szCs w:val="18"/>
              </w:rPr>
            </w:pPr>
            <w:r>
              <w:rPr>
                <w:rFonts w:ascii="宋体" w:hAnsi="宋体" w:eastAsia="宋体" w:cs="宋体"/>
                <w:sz w:val="18"/>
                <w:szCs w:val="18"/>
              </w:rPr>
              <w:t>140,021,868.30</w:t>
            </w:r>
          </w:p>
        </w:tc>
      </w:tr>
      <w:tr w14:paraId="7567BD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832CDBA">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税金及附加</w:t>
            </w:r>
          </w:p>
        </w:tc>
        <w:tc>
          <w:tcPr>
            <w:tcW w:w="3213" w:type="dxa"/>
            <w:tcBorders>
              <w:top w:val="single" w:color="auto" w:sz="2" w:space="0"/>
              <w:left w:val="single" w:color="auto" w:sz="2" w:space="0"/>
              <w:bottom w:val="single" w:color="auto" w:sz="2" w:space="0"/>
              <w:right w:val="single" w:color="auto" w:sz="2" w:space="0"/>
            </w:tcBorders>
            <w:vAlign w:val="center"/>
          </w:tcPr>
          <w:p w14:paraId="221BAE1B">
            <w:pPr>
              <w:spacing w:before="0" w:after="0" w:line="240" w:lineRule="exact"/>
              <w:jc w:val="right"/>
              <w:rPr>
                <w:rFonts w:ascii="宋体" w:hAnsi="宋体" w:eastAsia="宋体" w:cs="宋体"/>
                <w:sz w:val="18"/>
                <w:szCs w:val="18"/>
              </w:rPr>
            </w:pPr>
            <w:r>
              <w:rPr>
                <w:rFonts w:ascii="宋体" w:hAnsi="宋体" w:eastAsia="宋体" w:cs="宋体"/>
                <w:sz w:val="18"/>
                <w:szCs w:val="18"/>
              </w:rPr>
              <w:t>4,495,755.52</w:t>
            </w:r>
          </w:p>
        </w:tc>
        <w:tc>
          <w:tcPr>
            <w:tcW w:w="3213" w:type="dxa"/>
            <w:tcBorders>
              <w:top w:val="single" w:color="auto" w:sz="2" w:space="0"/>
              <w:left w:val="single" w:color="auto" w:sz="2" w:space="0"/>
              <w:bottom w:val="single" w:color="auto" w:sz="2" w:space="0"/>
              <w:right w:val="single" w:color="auto" w:sz="2" w:space="0"/>
            </w:tcBorders>
            <w:vAlign w:val="center"/>
          </w:tcPr>
          <w:p w14:paraId="730FED7C">
            <w:pPr>
              <w:spacing w:before="0" w:after="0" w:line="240" w:lineRule="exact"/>
              <w:jc w:val="right"/>
              <w:rPr>
                <w:rFonts w:ascii="宋体" w:hAnsi="宋体" w:eastAsia="宋体" w:cs="宋体"/>
                <w:sz w:val="18"/>
                <w:szCs w:val="18"/>
              </w:rPr>
            </w:pPr>
            <w:r>
              <w:rPr>
                <w:rFonts w:ascii="宋体" w:hAnsi="宋体" w:eastAsia="宋体" w:cs="宋体"/>
                <w:sz w:val="18"/>
                <w:szCs w:val="18"/>
              </w:rPr>
              <w:t>3,884,899.07</w:t>
            </w:r>
          </w:p>
        </w:tc>
      </w:tr>
      <w:tr w14:paraId="4211CD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13AA3D">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销售费用</w:t>
            </w:r>
          </w:p>
        </w:tc>
        <w:tc>
          <w:tcPr>
            <w:tcW w:w="3213" w:type="dxa"/>
            <w:tcBorders>
              <w:top w:val="single" w:color="auto" w:sz="2" w:space="0"/>
              <w:left w:val="single" w:color="auto" w:sz="2" w:space="0"/>
              <w:bottom w:val="single" w:color="auto" w:sz="2" w:space="0"/>
              <w:right w:val="single" w:color="auto" w:sz="2" w:space="0"/>
            </w:tcBorders>
            <w:vAlign w:val="center"/>
          </w:tcPr>
          <w:p w14:paraId="01427638">
            <w:pPr>
              <w:spacing w:before="0" w:after="0" w:line="240" w:lineRule="exact"/>
              <w:jc w:val="right"/>
              <w:rPr>
                <w:rFonts w:ascii="宋体" w:hAnsi="宋体" w:eastAsia="宋体" w:cs="宋体"/>
                <w:sz w:val="18"/>
                <w:szCs w:val="18"/>
              </w:rPr>
            </w:pPr>
            <w:r>
              <w:rPr>
                <w:rFonts w:ascii="宋体" w:hAnsi="宋体" w:eastAsia="宋体" w:cs="宋体"/>
                <w:sz w:val="18"/>
                <w:szCs w:val="18"/>
              </w:rPr>
              <w:t>48,467,693.85</w:t>
            </w:r>
          </w:p>
        </w:tc>
        <w:tc>
          <w:tcPr>
            <w:tcW w:w="3213" w:type="dxa"/>
            <w:tcBorders>
              <w:top w:val="single" w:color="auto" w:sz="2" w:space="0"/>
              <w:left w:val="single" w:color="auto" w:sz="2" w:space="0"/>
              <w:bottom w:val="single" w:color="auto" w:sz="2" w:space="0"/>
              <w:right w:val="single" w:color="auto" w:sz="2" w:space="0"/>
            </w:tcBorders>
            <w:vAlign w:val="center"/>
          </w:tcPr>
          <w:p w14:paraId="5167939F">
            <w:pPr>
              <w:spacing w:before="0" w:after="0" w:line="240" w:lineRule="exact"/>
              <w:jc w:val="right"/>
              <w:rPr>
                <w:rFonts w:ascii="宋体" w:hAnsi="宋体" w:eastAsia="宋体" w:cs="宋体"/>
                <w:sz w:val="18"/>
                <w:szCs w:val="18"/>
              </w:rPr>
            </w:pPr>
            <w:r>
              <w:rPr>
                <w:rFonts w:ascii="宋体" w:hAnsi="宋体" w:eastAsia="宋体" w:cs="宋体"/>
                <w:sz w:val="18"/>
                <w:szCs w:val="18"/>
              </w:rPr>
              <w:t>43,946,388.43</w:t>
            </w:r>
          </w:p>
        </w:tc>
      </w:tr>
      <w:tr w14:paraId="42F1BB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0229C53">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管理费用</w:t>
            </w:r>
          </w:p>
        </w:tc>
        <w:tc>
          <w:tcPr>
            <w:tcW w:w="3213" w:type="dxa"/>
            <w:tcBorders>
              <w:top w:val="single" w:color="auto" w:sz="2" w:space="0"/>
              <w:left w:val="single" w:color="auto" w:sz="2" w:space="0"/>
              <w:bottom w:val="single" w:color="auto" w:sz="2" w:space="0"/>
              <w:right w:val="single" w:color="auto" w:sz="2" w:space="0"/>
            </w:tcBorders>
            <w:vAlign w:val="center"/>
          </w:tcPr>
          <w:p w14:paraId="4D901711">
            <w:pPr>
              <w:spacing w:before="0" w:after="0" w:line="240" w:lineRule="exact"/>
              <w:jc w:val="right"/>
              <w:rPr>
                <w:rFonts w:ascii="宋体" w:hAnsi="宋体" w:eastAsia="宋体" w:cs="宋体"/>
                <w:sz w:val="18"/>
                <w:szCs w:val="18"/>
              </w:rPr>
            </w:pPr>
            <w:r>
              <w:rPr>
                <w:rFonts w:ascii="宋体" w:hAnsi="宋体" w:eastAsia="宋体" w:cs="宋体"/>
                <w:sz w:val="18"/>
                <w:szCs w:val="18"/>
              </w:rPr>
              <w:t>74,407,539.09</w:t>
            </w:r>
          </w:p>
        </w:tc>
        <w:tc>
          <w:tcPr>
            <w:tcW w:w="3213" w:type="dxa"/>
            <w:tcBorders>
              <w:top w:val="single" w:color="auto" w:sz="2" w:space="0"/>
              <w:left w:val="single" w:color="auto" w:sz="2" w:space="0"/>
              <w:bottom w:val="single" w:color="auto" w:sz="2" w:space="0"/>
              <w:right w:val="single" w:color="auto" w:sz="2" w:space="0"/>
            </w:tcBorders>
            <w:vAlign w:val="center"/>
          </w:tcPr>
          <w:p w14:paraId="3DCD9BBE">
            <w:pPr>
              <w:spacing w:before="0" w:after="0" w:line="240" w:lineRule="exact"/>
              <w:jc w:val="right"/>
              <w:rPr>
                <w:rFonts w:ascii="宋体" w:hAnsi="宋体" w:eastAsia="宋体" w:cs="宋体"/>
                <w:sz w:val="18"/>
                <w:szCs w:val="18"/>
              </w:rPr>
            </w:pPr>
            <w:r>
              <w:rPr>
                <w:rFonts w:ascii="宋体" w:hAnsi="宋体" w:eastAsia="宋体" w:cs="宋体"/>
                <w:sz w:val="18"/>
                <w:szCs w:val="18"/>
              </w:rPr>
              <w:t>74,103,197.30</w:t>
            </w:r>
          </w:p>
        </w:tc>
      </w:tr>
      <w:tr w14:paraId="2DEE10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D105680">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研发费用</w:t>
            </w:r>
          </w:p>
        </w:tc>
        <w:tc>
          <w:tcPr>
            <w:tcW w:w="3213" w:type="dxa"/>
            <w:tcBorders>
              <w:top w:val="single" w:color="auto" w:sz="2" w:space="0"/>
              <w:left w:val="single" w:color="auto" w:sz="2" w:space="0"/>
              <w:bottom w:val="single" w:color="auto" w:sz="2" w:space="0"/>
              <w:right w:val="single" w:color="auto" w:sz="2" w:space="0"/>
            </w:tcBorders>
            <w:vAlign w:val="center"/>
          </w:tcPr>
          <w:p w14:paraId="726658D3">
            <w:pPr>
              <w:spacing w:before="0" w:after="0" w:line="240" w:lineRule="exact"/>
              <w:jc w:val="right"/>
              <w:rPr>
                <w:rFonts w:ascii="宋体" w:hAnsi="宋体" w:eastAsia="宋体" w:cs="宋体"/>
                <w:sz w:val="18"/>
                <w:szCs w:val="18"/>
              </w:rPr>
            </w:pPr>
            <w:r>
              <w:rPr>
                <w:rFonts w:ascii="宋体" w:hAnsi="宋体" w:eastAsia="宋体" w:cs="宋体"/>
                <w:sz w:val="18"/>
                <w:szCs w:val="18"/>
              </w:rPr>
              <w:t>8,839,383.47</w:t>
            </w:r>
          </w:p>
        </w:tc>
        <w:tc>
          <w:tcPr>
            <w:tcW w:w="3213" w:type="dxa"/>
            <w:tcBorders>
              <w:top w:val="single" w:color="auto" w:sz="2" w:space="0"/>
              <w:left w:val="single" w:color="auto" w:sz="2" w:space="0"/>
              <w:bottom w:val="single" w:color="auto" w:sz="2" w:space="0"/>
              <w:right w:val="single" w:color="auto" w:sz="2" w:space="0"/>
            </w:tcBorders>
            <w:vAlign w:val="center"/>
          </w:tcPr>
          <w:p w14:paraId="6804AF11">
            <w:pPr>
              <w:spacing w:before="0" w:after="0" w:line="240" w:lineRule="exact"/>
              <w:jc w:val="right"/>
              <w:rPr>
                <w:rFonts w:ascii="宋体" w:hAnsi="宋体" w:eastAsia="宋体" w:cs="宋体"/>
                <w:sz w:val="18"/>
                <w:szCs w:val="18"/>
              </w:rPr>
            </w:pPr>
            <w:r>
              <w:rPr>
                <w:rFonts w:ascii="宋体" w:hAnsi="宋体" w:eastAsia="宋体" w:cs="宋体"/>
                <w:sz w:val="18"/>
                <w:szCs w:val="18"/>
              </w:rPr>
              <w:t>28,498,262.21</w:t>
            </w:r>
          </w:p>
        </w:tc>
      </w:tr>
      <w:tr w14:paraId="499895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57C354A">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财务费用</w:t>
            </w:r>
          </w:p>
        </w:tc>
        <w:tc>
          <w:tcPr>
            <w:tcW w:w="3213" w:type="dxa"/>
            <w:tcBorders>
              <w:top w:val="single" w:color="auto" w:sz="2" w:space="0"/>
              <w:left w:val="single" w:color="auto" w:sz="2" w:space="0"/>
              <w:bottom w:val="single" w:color="auto" w:sz="2" w:space="0"/>
              <w:right w:val="single" w:color="auto" w:sz="2" w:space="0"/>
            </w:tcBorders>
            <w:vAlign w:val="center"/>
          </w:tcPr>
          <w:p w14:paraId="115B07BF">
            <w:pPr>
              <w:spacing w:before="0" w:after="0" w:line="240" w:lineRule="exact"/>
              <w:jc w:val="right"/>
              <w:rPr>
                <w:rFonts w:ascii="宋体" w:hAnsi="宋体" w:eastAsia="宋体" w:cs="宋体"/>
                <w:sz w:val="18"/>
                <w:szCs w:val="18"/>
              </w:rPr>
            </w:pPr>
            <w:r>
              <w:rPr>
                <w:rFonts w:ascii="宋体" w:hAnsi="宋体" w:eastAsia="宋体" w:cs="宋体"/>
                <w:sz w:val="18"/>
                <w:szCs w:val="18"/>
              </w:rPr>
              <w:t>12,511,432.92</w:t>
            </w:r>
          </w:p>
        </w:tc>
        <w:tc>
          <w:tcPr>
            <w:tcW w:w="3213" w:type="dxa"/>
            <w:tcBorders>
              <w:top w:val="single" w:color="auto" w:sz="2" w:space="0"/>
              <w:left w:val="single" w:color="auto" w:sz="2" w:space="0"/>
              <w:bottom w:val="single" w:color="auto" w:sz="2" w:space="0"/>
              <w:right w:val="single" w:color="auto" w:sz="2" w:space="0"/>
            </w:tcBorders>
            <w:vAlign w:val="center"/>
          </w:tcPr>
          <w:p w14:paraId="518CDA3F">
            <w:pPr>
              <w:spacing w:before="0" w:after="0" w:line="240" w:lineRule="exact"/>
              <w:jc w:val="right"/>
              <w:rPr>
                <w:rFonts w:ascii="宋体" w:hAnsi="宋体" w:eastAsia="宋体" w:cs="宋体"/>
                <w:sz w:val="18"/>
                <w:szCs w:val="18"/>
              </w:rPr>
            </w:pPr>
            <w:r>
              <w:rPr>
                <w:rFonts w:ascii="宋体" w:hAnsi="宋体" w:eastAsia="宋体" w:cs="宋体"/>
                <w:sz w:val="18"/>
                <w:szCs w:val="18"/>
              </w:rPr>
              <w:t>12,786,465.60</w:t>
            </w:r>
          </w:p>
        </w:tc>
      </w:tr>
      <w:tr w14:paraId="4F54E8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F624624">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其中：利息费用</w:t>
            </w:r>
          </w:p>
        </w:tc>
        <w:tc>
          <w:tcPr>
            <w:tcW w:w="3213" w:type="dxa"/>
            <w:tcBorders>
              <w:top w:val="single" w:color="auto" w:sz="2" w:space="0"/>
              <w:left w:val="single" w:color="auto" w:sz="2" w:space="0"/>
              <w:bottom w:val="single" w:color="auto" w:sz="2" w:space="0"/>
              <w:right w:val="single" w:color="auto" w:sz="2" w:space="0"/>
            </w:tcBorders>
            <w:vAlign w:val="center"/>
          </w:tcPr>
          <w:p w14:paraId="3FCCCF4B">
            <w:pPr>
              <w:spacing w:before="0" w:after="0" w:line="240" w:lineRule="exact"/>
              <w:jc w:val="right"/>
              <w:rPr>
                <w:rFonts w:ascii="宋体" w:hAnsi="宋体" w:eastAsia="宋体" w:cs="宋体"/>
                <w:sz w:val="18"/>
                <w:szCs w:val="18"/>
              </w:rPr>
            </w:pPr>
            <w:r>
              <w:rPr>
                <w:rFonts w:ascii="宋体" w:hAnsi="宋体" w:eastAsia="宋体" w:cs="宋体"/>
                <w:sz w:val="18"/>
                <w:szCs w:val="18"/>
              </w:rPr>
              <w:t>15,504,158.91</w:t>
            </w:r>
          </w:p>
        </w:tc>
        <w:tc>
          <w:tcPr>
            <w:tcW w:w="3213" w:type="dxa"/>
            <w:tcBorders>
              <w:top w:val="single" w:color="auto" w:sz="2" w:space="0"/>
              <w:left w:val="single" w:color="auto" w:sz="2" w:space="0"/>
              <w:bottom w:val="single" w:color="auto" w:sz="2" w:space="0"/>
              <w:right w:val="single" w:color="auto" w:sz="2" w:space="0"/>
            </w:tcBorders>
            <w:vAlign w:val="center"/>
          </w:tcPr>
          <w:p w14:paraId="1AE74BDC">
            <w:pPr>
              <w:spacing w:before="0" w:after="0" w:line="240" w:lineRule="exact"/>
              <w:jc w:val="right"/>
              <w:rPr>
                <w:rFonts w:ascii="宋体" w:hAnsi="宋体" w:eastAsia="宋体" w:cs="宋体"/>
                <w:sz w:val="18"/>
                <w:szCs w:val="18"/>
              </w:rPr>
            </w:pPr>
            <w:r>
              <w:rPr>
                <w:rFonts w:ascii="宋体" w:hAnsi="宋体" w:eastAsia="宋体" w:cs="宋体"/>
                <w:sz w:val="18"/>
                <w:szCs w:val="18"/>
              </w:rPr>
              <w:t>16,113,093.55</w:t>
            </w:r>
          </w:p>
        </w:tc>
      </w:tr>
      <w:tr w14:paraId="09E97C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0B92852">
            <w:pPr>
              <w:spacing w:before="40" w:after="40" w:line="240" w:lineRule="exact"/>
              <w:ind w:firstLine="1260" w:firstLineChars="700"/>
              <w:jc w:val="left"/>
              <w:rPr>
                <w:rFonts w:ascii="宋体" w:hAnsi="宋体" w:eastAsia="宋体" w:cs="宋体"/>
                <w:sz w:val="18"/>
                <w:szCs w:val="18"/>
              </w:rPr>
            </w:pPr>
            <w:r>
              <w:rPr>
                <w:rFonts w:ascii="宋体" w:hAnsi="宋体" w:eastAsia="宋体" w:cs="宋体"/>
                <w:sz w:val="18"/>
                <w:szCs w:val="18"/>
              </w:rPr>
              <w:t>利息收入</w:t>
            </w:r>
          </w:p>
        </w:tc>
        <w:tc>
          <w:tcPr>
            <w:tcW w:w="3213" w:type="dxa"/>
            <w:tcBorders>
              <w:top w:val="single" w:color="auto" w:sz="2" w:space="0"/>
              <w:left w:val="single" w:color="auto" w:sz="2" w:space="0"/>
              <w:bottom w:val="single" w:color="auto" w:sz="2" w:space="0"/>
              <w:right w:val="single" w:color="auto" w:sz="2" w:space="0"/>
            </w:tcBorders>
            <w:vAlign w:val="center"/>
          </w:tcPr>
          <w:p w14:paraId="77ECB5D5">
            <w:pPr>
              <w:spacing w:before="0" w:after="0" w:line="240" w:lineRule="exact"/>
              <w:jc w:val="right"/>
              <w:rPr>
                <w:rFonts w:ascii="宋体" w:hAnsi="宋体" w:eastAsia="宋体" w:cs="宋体"/>
                <w:sz w:val="18"/>
                <w:szCs w:val="18"/>
              </w:rPr>
            </w:pPr>
            <w:r>
              <w:rPr>
                <w:rFonts w:ascii="宋体" w:hAnsi="宋体" w:eastAsia="宋体" w:cs="宋体"/>
                <w:sz w:val="18"/>
                <w:szCs w:val="18"/>
              </w:rPr>
              <w:t>3,013,202.12</w:t>
            </w:r>
          </w:p>
        </w:tc>
        <w:tc>
          <w:tcPr>
            <w:tcW w:w="3213" w:type="dxa"/>
            <w:tcBorders>
              <w:top w:val="single" w:color="auto" w:sz="2" w:space="0"/>
              <w:left w:val="single" w:color="auto" w:sz="2" w:space="0"/>
              <w:bottom w:val="single" w:color="auto" w:sz="2" w:space="0"/>
              <w:right w:val="single" w:color="auto" w:sz="2" w:space="0"/>
            </w:tcBorders>
            <w:vAlign w:val="center"/>
          </w:tcPr>
          <w:p w14:paraId="6AA87682">
            <w:pPr>
              <w:spacing w:before="0" w:after="0" w:line="240" w:lineRule="exact"/>
              <w:jc w:val="right"/>
              <w:rPr>
                <w:rFonts w:ascii="宋体" w:hAnsi="宋体" w:eastAsia="宋体" w:cs="宋体"/>
                <w:sz w:val="18"/>
                <w:szCs w:val="18"/>
              </w:rPr>
            </w:pPr>
            <w:r>
              <w:rPr>
                <w:rFonts w:ascii="宋体" w:hAnsi="宋体" w:eastAsia="宋体" w:cs="宋体"/>
                <w:sz w:val="18"/>
                <w:szCs w:val="18"/>
              </w:rPr>
              <w:t>3,519,459.36</w:t>
            </w:r>
          </w:p>
        </w:tc>
      </w:tr>
      <w:tr w14:paraId="0450BF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D943AD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加：其他收益</w:t>
            </w:r>
          </w:p>
        </w:tc>
        <w:tc>
          <w:tcPr>
            <w:tcW w:w="3213" w:type="dxa"/>
            <w:tcBorders>
              <w:top w:val="single" w:color="auto" w:sz="2" w:space="0"/>
              <w:left w:val="single" w:color="auto" w:sz="2" w:space="0"/>
              <w:bottom w:val="single" w:color="auto" w:sz="2" w:space="0"/>
              <w:right w:val="single" w:color="auto" w:sz="2" w:space="0"/>
            </w:tcBorders>
            <w:vAlign w:val="center"/>
          </w:tcPr>
          <w:p w14:paraId="087ADD83">
            <w:pPr>
              <w:spacing w:before="0" w:after="0" w:line="240" w:lineRule="exact"/>
              <w:jc w:val="right"/>
              <w:rPr>
                <w:rFonts w:ascii="宋体" w:hAnsi="宋体" w:eastAsia="宋体" w:cs="宋体"/>
                <w:sz w:val="18"/>
                <w:szCs w:val="18"/>
              </w:rPr>
            </w:pPr>
            <w:r>
              <w:rPr>
                <w:rFonts w:ascii="宋体" w:hAnsi="宋体" w:eastAsia="宋体" w:cs="宋体"/>
                <w:sz w:val="18"/>
                <w:szCs w:val="18"/>
              </w:rPr>
              <w:t>23,385,385.91</w:t>
            </w:r>
          </w:p>
        </w:tc>
        <w:tc>
          <w:tcPr>
            <w:tcW w:w="3213" w:type="dxa"/>
            <w:tcBorders>
              <w:top w:val="single" w:color="auto" w:sz="2" w:space="0"/>
              <w:left w:val="single" w:color="auto" w:sz="2" w:space="0"/>
              <w:bottom w:val="single" w:color="auto" w:sz="2" w:space="0"/>
              <w:right w:val="single" w:color="auto" w:sz="2" w:space="0"/>
            </w:tcBorders>
            <w:vAlign w:val="center"/>
          </w:tcPr>
          <w:p w14:paraId="74DB45E4">
            <w:pPr>
              <w:spacing w:before="0" w:after="0" w:line="240" w:lineRule="exact"/>
              <w:jc w:val="right"/>
              <w:rPr>
                <w:rFonts w:ascii="宋体" w:hAnsi="宋体" w:eastAsia="宋体" w:cs="宋体"/>
                <w:sz w:val="18"/>
                <w:szCs w:val="18"/>
              </w:rPr>
            </w:pPr>
            <w:r>
              <w:rPr>
                <w:rFonts w:ascii="宋体" w:hAnsi="宋体" w:eastAsia="宋体" w:cs="宋体"/>
                <w:sz w:val="18"/>
                <w:szCs w:val="18"/>
              </w:rPr>
              <w:t>5,841,366.18</w:t>
            </w:r>
          </w:p>
        </w:tc>
      </w:tr>
      <w:tr w14:paraId="3B1AE8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C0EC5AE">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投资收益（损失以“－”号填列）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78668016">
            <w:pPr>
              <w:spacing w:before="0" w:after="0" w:line="240" w:lineRule="exact"/>
              <w:jc w:val="right"/>
              <w:rPr>
                <w:rFonts w:ascii="宋体" w:hAnsi="宋体" w:eastAsia="宋体" w:cs="宋体"/>
                <w:sz w:val="18"/>
                <w:szCs w:val="18"/>
              </w:rPr>
            </w:pPr>
            <w:r>
              <w:rPr>
                <w:rFonts w:ascii="宋体" w:hAnsi="宋体" w:eastAsia="宋体" w:cs="宋体"/>
                <w:sz w:val="18"/>
                <w:szCs w:val="18"/>
              </w:rPr>
              <w:t>9,004,752.76</w:t>
            </w:r>
          </w:p>
        </w:tc>
        <w:tc>
          <w:tcPr>
            <w:tcW w:w="3213" w:type="dxa"/>
            <w:tcBorders>
              <w:top w:val="single" w:color="auto" w:sz="2" w:space="0"/>
              <w:left w:val="single" w:color="auto" w:sz="2" w:space="0"/>
              <w:bottom w:val="single" w:color="auto" w:sz="2" w:space="0"/>
              <w:right w:val="single" w:color="auto" w:sz="2" w:space="0"/>
            </w:tcBorders>
            <w:vAlign w:val="center"/>
          </w:tcPr>
          <w:p w14:paraId="6B989083">
            <w:pPr>
              <w:spacing w:before="0" w:after="0" w:line="240" w:lineRule="exact"/>
              <w:jc w:val="right"/>
              <w:rPr>
                <w:rFonts w:ascii="宋体" w:hAnsi="宋体" w:eastAsia="宋体" w:cs="宋体"/>
                <w:sz w:val="18"/>
                <w:szCs w:val="18"/>
              </w:rPr>
            </w:pPr>
            <w:r>
              <w:rPr>
                <w:rFonts w:ascii="宋体" w:hAnsi="宋体" w:eastAsia="宋体" w:cs="宋体"/>
                <w:sz w:val="18"/>
                <w:szCs w:val="18"/>
              </w:rPr>
              <w:t>-47,821,632.72</w:t>
            </w:r>
          </w:p>
        </w:tc>
      </w:tr>
      <w:tr w14:paraId="5A9EC3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89789EB">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其中：对联营企业和合营企业的投资收益</w:t>
            </w:r>
          </w:p>
        </w:tc>
        <w:tc>
          <w:tcPr>
            <w:tcW w:w="3213" w:type="dxa"/>
            <w:tcBorders>
              <w:top w:val="single" w:color="auto" w:sz="2" w:space="0"/>
              <w:left w:val="single" w:color="auto" w:sz="2" w:space="0"/>
              <w:bottom w:val="single" w:color="auto" w:sz="2" w:space="0"/>
              <w:right w:val="single" w:color="auto" w:sz="2" w:space="0"/>
            </w:tcBorders>
            <w:vAlign w:val="center"/>
          </w:tcPr>
          <w:p w14:paraId="78ADE300">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3213" w:type="dxa"/>
            <w:tcBorders>
              <w:top w:val="single" w:color="auto" w:sz="2" w:space="0"/>
              <w:left w:val="single" w:color="auto" w:sz="2" w:space="0"/>
              <w:bottom w:val="single" w:color="auto" w:sz="2" w:space="0"/>
              <w:right w:val="single" w:color="auto" w:sz="2" w:space="0"/>
            </w:tcBorders>
            <w:vAlign w:val="center"/>
          </w:tcPr>
          <w:p w14:paraId="7F61A867">
            <w:pPr>
              <w:spacing w:before="0" w:after="0" w:line="240" w:lineRule="exact"/>
              <w:jc w:val="right"/>
              <w:rPr>
                <w:rFonts w:ascii="宋体" w:hAnsi="宋体" w:eastAsia="宋体" w:cs="宋体"/>
                <w:sz w:val="18"/>
                <w:szCs w:val="18"/>
              </w:rPr>
            </w:pPr>
            <w:r>
              <w:rPr>
                <w:rFonts w:ascii="宋体" w:hAnsi="宋体" w:eastAsia="宋体" w:cs="宋体"/>
                <w:sz w:val="18"/>
                <w:szCs w:val="18"/>
              </w:rPr>
              <w:t>-61,931,371.88</w:t>
            </w:r>
          </w:p>
        </w:tc>
      </w:tr>
      <w:tr w14:paraId="434018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0B1ACA5">
            <w:pPr>
              <w:spacing w:before="40" w:after="40" w:line="240" w:lineRule="exact"/>
              <w:ind w:firstLine="1260" w:firstLineChars="700"/>
              <w:jc w:val="left"/>
              <w:rPr>
                <w:rFonts w:ascii="宋体" w:hAnsi="宋体" w:eastAsia="宋体" w:cs="宋体"/>
                <w:sz w:val="18"/>
                <w:szCs w:val="18"/>
              </w:rPr>
            </w:pPr>
            <w:r>
              <w:rPr>
                <w:rFonts w:ascii="宋体" w:hAnsi="宋体" w:eastAsia="宋体" w:cs="宋体"/>
                <w:sz w:val="18"/>
                <w:szCs w:val="18"/>
              </w:rPr>
              <w:t>以摊余成本计量的金融资产终止确认收益（损失以“-”号填列）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4018EA8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7CC200E">
            <w:pPr>
              <w:spacing w:before="0" w:after="0" w:line="240" w:lineRule="exact"/>
              <w:jc w:val="right"/>
              <w:rPr>
                <w:rFonts w:ascii="宋体" w:hAnsi="宋体" w:eastAsia="宋体" w:cs="宋体"/>
                <w:sz w:val="18"/>
                <w:szCs w:val="18"/>
              </w:rPr>
            </w:pPr>
          </w:p>
        </w:tc>
      </w:tr>
      <w:tr w14:paraId="5F212B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E398EBB">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净敞口套期收益（损失以“－”号填列）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5E945D7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DB54668">
            <w:pPr>
              <w:spacing w:before="0" w:after="0" w:line="240" w:lineRule="exact"/>
              <w:jc w:val="right"/>
              <w:rPr>
                <w:rFonts w:ascii="宋体" w:hAnsi="宋体" w:eastAsia="宋体" w:cs="宋体"/>
                <w:sz w:val="18"/>
                <w:szCs w:val="18"/>
              </w:rPr>
            </w:pPr>
          </w:p>
        </w:tc>
      </w:tr>
      <w:tr w14:paraId="0C33FD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E4D00BA">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公允价值变动收益（损失以“－”号填列）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501806B8">
            <w:pPr>
              <w:spacing w:before="0" w:after="0" w:line="240" w:lineRule="exact"/>
              <w:jc w:val="right"/>
              <w:rPr>
                <w:rFonts w:ascii="宋体" w:hAnsi="宋体" w:eastAsia="宋体" w:cs="宋体"/>
                <w:sz w:val="18"/>
                <w:szCs w:val="18"/>
              </w:rPr>
            </w:pPr>
            <w:r>
              <w:rPr>
                <w:rFonts w:ascii="宋体" w:hAnsi="宋体" w:eastAsia="宋体" w:cs="宋体"/>
                <w:sz w:val="18"/>
                <w:szCs w:val="18"/>
              </w:rPr>
              <w:t>-17,893,333.33</w:t>
            </w:r>
          </w:p>
        </w:tc>
        <w:tc>
          <w:tcPr>
            <w:tcW w:w="3213" w:type="dxa"/>
            <w:tcBorders>
              <w:top w:val="single" w:color="auto" w:sz="2" w:space="0"/>
              <w:left w:val="single" w:color="auto" w:sz="2" w:space="0"/>
              <w:bottom w:val="single" w:color="auto" w:sz="2" w:space="0"/>
              <w:right w:val="single" w:color="auto" w:sz="2" w:space="0"/>
            </w:tcBorders>
            <w:vAlign w:val="center"/>
          </w:tcPr>
          <w:p w14:paraId="41174A20">
            <w:pPr>
              <w:spacing w:before="0" w:after="0" w:line="240" w:lineRule="exact"/>
              <w:jc w:val="right"/>
              <w:rPr>
                <w:rFonts w:ascii="宋体" w:hAnsi="宋体" w:eastAsia="宋体" w:cs="宋体"/>
                <w:sz w:val="18"/>
                <w:szCs w:val="18"/>
              </w:rPr>
            </w:pPr>
            <w:r>
              <w:rPr>
                <w:rFonts w:ascii="宋体" w:hAnsi="宋体" w:eastAsia="宋体" w:cs="宋体"/>
                <w:sz w:val="18"/>
                <w:szCs w:val="18"/>
              </w:rPr>
              <w:t>-17,306,666.67</w:t>
            </w:r>
          </w:p>
        </w:tc>
      </w:tr>
      <w:tr w14:paraId="3164F0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7467CD9">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信用减值损失（损失以“-”号填列）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756DDE94">
            <w:pPr>
              <w:spacing w:before="0" w:after="0" w:line="240" w:lineRule="exact"/>
              <w:jc w:val="right"/>
              <w:rPr>
                <w:rFonts w:ascii="宋体" w:hAnsi="宋体" w:eastAsia="宋体" w:cs="宋体"/>
                <w:sz w:val="18"/>
                <w:szCs w:val="18"/>
              </w:rPr>
            </w:pPr>
            <w:r>
              <w:rPr>
                <w:rFonts w:ascii="宋体" w:hAnsi="宋体" w:eastAsia="宋体" w:cs="宋体"/>
                <w:sz w:val="18"/>
                <w:szCs w:val="18"/>
              </w:rPr>
              <w:t>-46,976.26</w:t>
            </w:r>
          </w:p>
        </w:tc>
        <w:tc>
          <w:tcPr>
            <w:tcW w:w="3213" w:type="dxa"/>
            <w:tcBorders>
              <w:top w:val="single" w:color="auto" w:sz="2" w:space="0"/>
              <w:left w:val="single" w:color="auto" w:sz="2" w:space="0"/>
              <w:bottom w:val="single" w:color="auto" w:sz="2" w:space="0"/>
              <w:right w:val="single" w:color="auto" w:sz="2" w:space="0"/>
            </w:tcBorders>
            <w:vAlign w:val="center"/>
          </w:tcPr>
          <w:p w14:paraId="7A6AA9C3">
            <w:pPr>
              <w:spacing w:before="0" w:after="0" w:line="240" w:lineRule="exact"/>
              <w:jc w:val="right"/>
              <w:rPr>
                <w:rFonts w:ascii="宋体" w:hAnsi="宋体" w:eastAsia="宋体" w:cs="宋体"/>
                <w:sz w:val="18"/>
                <w:szCs w:val="18"/>
              </w:rPr>
            </w:pPr>
            <w:r>
              <w:rPr>
                <w:rFonts w:ascii="宋体" w:hAnsi="宋体" w:eastAsia="宋体" w:cs="宋体"/>
                <w:sz w:val="18"/>
                <w:szCs w:val="18"/>
              </w:rPr>
              <w:t>124,305.23</w:t>
            </w:r>
          </w:p>
        </w:tc>
      </w:tr>
      <w:tr w14:paraId="590AB2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28DE6F">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资产减值损失（损失以“-”号填列）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77C62EE4">
            <w:pPr>
              <w:spacing w:before="0" w:after="0" w:line="240" w:lineRule="exact"/>
              <w:jc w:val="right"/>
              <w:rPr>
                <w:rFonts w:ascii="宋体" w:hAnsi="宋体" w:eastAsia="宋体" w:cs="宋体"/>
                <w:sz w:val="18"/>
                <w:szCs w:val="18"/>
              </w:rPr>
            </w:pPr>
            <w:r>
              <w:rPr>
                <w:rFonts w:ascii="宋体" w:hAnsi="宋体" w:eastAsia="宋体" w:cs="宋体"/>
                <w:sz w:val="18"/>
                <w:szCs w:val="18"/>
              </w:rPr>
              <w:t>-29,464,727.32</w:t>
            </w:r>
          </w:p>
        </w:tc>
        <w:tc>
          <w:tcPr>
            <w:tcW w:w="3213" w:type="dxa"/>
            <w:tcBorders>
              <w:top w:val="single" w:color="auto" w:sz="2" w:space="0"/>
              <w:left w:val="single" w:color="auto" w:sz="2" w:space="0"/>
              <w:bottom w:val="single" w:color="auto" w:sz="2" w:space="0"/>
              <w:right w:val="single" w:color="auto" w:sz="2" w:space="0"/>
            </w:tcBorders>
            <w:vAlign w:val="center"/>
          </w:tcPr>
          <w:p w14:paraId="32EFAABC">
            <w:pPr>
              <w:spacing w:before="0" w:after="0" w:line="240" w:lineRule="exact"/>
              <w:jc w:val="right"/>
              <w:rPr>
                <w:rFonts w:ascii="宋体" w:hAnsi="宋体" w:eastAsia="宋体" w:cs="宋体"/>
                <w:sz w:val="18"/>
                <w:szCs w:val="18"/>
              </w:rPr>
            </w:pPr>
            <w:r>
              <w:rPr>
                <w:rFonts w:ascii="宋体" w:hAnsi="宋体" w:eastAsia="宋体" w:cs="宋体"/>
                <w:sz w:val="18"/>
                <w:szCs w:val="18"/>
              </w:rPr>
              <w:t>-6,102,546.57</w:t>
            </w:r>
          </w:p>
        </w:tc>
      </w:tr>
      <w:tr w14:paraId="3DD037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FFEB3B8">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资产处置收益（损失以“-”号填列）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2771ACD3">
            <w:pPr>
              <w:spacing w:before="0" w:after="0" w:line="240" w:lineRule="exact"/>
              <w:jc w:val="right"/>
              <w:rPr>
                <w:rFonts w:ascii="宋体" w:hAnsi="宋体" w:eastAsia="宋体" w:cs="宋体"/>
                <w:sz w:val="18"/>
                <w:szCs w:val="18"/>
              </w:rPr>
            </w:pPr>
            <w:r>
              <w:rPr>
                <w:rFonts w:ascii="宋体" w:hAnsi="宋体" w:eastAsia="宋体" w:cs="宋体"/>
                <w:sz w:val="18"/>
                <w:szCs w:val="18"/>
              </w:rPr>
              <w:t>9,723.29</w:t>
            </w:r>
          </w:p>
        </w:tc>
        <w:tc>
          <w:tcPr>
            <w:tcW w:w="3213" w:type="dxa"/>
            <w:tcBorders>
              <w:top w:val="single" w:color="auto" w:sz="2" w:space="0"/>
              <w:left w:val="single" w:color="auto" w:sz="2" w:space="0"/>
              <w:bottom w:val="single" w:color="auto" w:sz="2" w:space="0"/>
              <w:right w:val="single" w:color="auto" w:sz="2" w:space="0"/>
            </w:tcBorders>
            <w:vAlign w:val="center"/>
          </w:tcPr>
          <w:p w14:paraId="7D8E5FAF">
            <w:pPr>
              <w:spacing w:before="0" w:after="0" w:line="240" w:lineRule="exact"/>
              <w:jc w:val="right"/>
              <w:rPr>
                <w:rFonts w:ascii="宋体" w:hAnsi="宋体" w:eastAsia="宋体" w:cs="宋体"/>
                <w:sz w:val="18"/>
                <w:szCs w:val="18"/>
              </w:rPr>
            </w:pPr>
            <w:r>
              <w:rPr>
                <w:rFonts w:ascii="宋体" w:hAnsi="宋体" w:eastAsia="宋体" w:cs="宋体"/>
                <w:sz w:val="18"/>
                <w:szCs w:val="18"/>
              </w:rPr>
              <w:t>-20,197.73</w:t>
            </w:r>
          </w:p>
        </w:tc>
      </w:tr>
      <w:tr w14:paraId="79E6F1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D3B075F">
            <w:pPr>
              <w:spacing w:before="40" w:after="40" w:line="240" w:lineRule="exact"/>
              <w:jc w:val="left"/>
              <w:rPr>
                <w:rFonts w:ascii="宋体" w:hAnsi="宋体" w:eastAsia="宋体" w:cs="宋体"/>
                <w:sz w:val="18"/>
                <w:szCs w:val="18"/>
              </w:rPr>
            </w:pPr>
            <w:r>
              <w:rPr>
                <w:rFonts w:ascii="宋体" w:hAnsi="宋体" w:eastAsia="宋体" w:cs="宋体"/>
                <w:sz w:val="18"/>
                <w:szCs w:val="18"/>
              </w:rPr>
              <w:t>二、营业利润（亏损以“－”号填列）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333B5503">
            <w:pPr>
              <w:spacing w:before="0" w:after="0" w:line="240" w:lineRule="exact"/>
              <w:jc w:val="right"/>
              <w:rPr>
                <w:rFonts w:ascii="宋体" w:hAnsi="宋体" w:eastAsia="宋体" w:cs="宋体"/>
                <w:sz w:val="18"/>
                <w:szCs w:val="18"/>
              </w:rPr>
            </w:pPr>
            <w:r>
              <w:rPr>
                <w:rFonts w:ascii="宋体" w:hAnsi="宋体" w:eastAsia="宋体" w:cs="宋体"/>
                <w:sz w:val="18"/>
                <w:szCs w:val="18"/>
              </w:rPr>
              <w:t>-67,562,014.65</w:t>
            </w:r>
          </w:p>
        </w:tc>
        <w:tc>
          <w:tcPr>
            <w:tcW w:w="3213" w:type="dxa"/>
            <w:tcBorders>
              <w:top w:val="single" w:color="auto" w:sz="2" w:space="0"/>
              <w:left w:val="single" w:color="auto" w:sz="2" w:space="0"/>
              <w:bottom w:val="single" w:color="auto" w:sz="2" w:space="0"/>
              <w:right w:val="single" w:color="auto" w:sz="2" w:space="0"/>
            </w:tcBorders>
            <w:vAlign w:val="center"/>
          </w:tcPr>
          <w:p w14:paraId="618A612A">
            <w:pPr>
              <w:spacing w:before="0" w:after="0" w:line="240" w:lineRule="exact"/>
              <w:jc w:val="right"/>
              <w:rPr>
                <w:rFonts w:ascii="宋体" w:hAnsi="宋体" w:eastAsia="宋体" w:cs="宋体"/>
                <w:sz w:val="18"/>
                <w:szCs w:val="18"/>
              </w:rPr>
            </w:pPr>
            <w:r>
              <w:rPr>
                <w:rFonts w:ascii="宋体" w:hAnsi="宋体" w:eastAsia="宋体" w:cs="宋体"/>
                <w:sz w:val="18"/>
                <w:szCs w:val="18"/>
              </w:rPr>
              <w:t>-158,639,174.22</w:t>
            </w:r>
          </w:p>
        </w:tc>
      </w:tr>
      <w:tr w14:paraId="593AA4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26DC61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加：营业外收入</w:t>
            </w:r>
          </w:p>
        </w:tc>
        <w:tc>
          <w:tcPr>
            <w:tcW w:w="3213" w:type="dxa"/>
            <w:tcBorders>
              <w:top w:val="single" w:color="auto" w:sz="2" w:space="0"/>
              <w:left w:val="single" w:color="auto" w:sz="2" w:space="0"/>
              <w:bottom w:val="single" w:color="auto" w:sz="2" w:space="0"/>
              <w:right w:val="single" w:color="auto" w:sz="2" w:space="0"/>
            </w:tcBorders>
            <w:vAlign w:val="center"/>
          </w:tcPr>
          <w:p w14:paraId="03568203">
            <w:pPr>
              <w:spacing w:before="0" w:after="0" w:line="240" w:lineRule="exact"/>
              <w:jc w:val="right"/>
              <w:rPr>
                <w:rFonts w:ascii="宋体" w:hAnsi="宋体" w:eastAsia="宋体" w:cs="宋体"/>
                <w:sz w:val="18"/>
                <w:szCs w:val="18"/>
              </w:rPr>
            </w:pPr>
            <w:r>
              <w:rPr>
                <w:rFonts w:ascii="宋体" w:hAnsi="宋体" w:eastAsia="宋体" w:cs="宋体"/>
                <w:sz w:val="18"/>
                <w:szCs w:val="18"/>
              </w:rPr>
              <w:t>3,028,978.87</w:t>
            </w:r>
          </w:p>
        </w:tc>
        <w:tc>
          <w:tcPr>
            <w:tcW w:w="3213" w:type="dxa"/>
            <w:tcBorders>
              <w:top w:val="single" w:color="auto" w:sz="2" w:space="0"/>
              <w:left w:val="single" w:color="auto" w:sz="2" w:space="0"/>
              <w:bottom w:val="single" w:color="auto" w:sz="2" w:space="0"/>
              <w:right w:val="single" w:color="auto" w:sz="2" w:space="0"/>
            </w:tcBorders>
            <w:vAlign w:val="center"/>
          </w:tcPr>
          <w:p w14:paraId="4C2B2CA0">
            <w:pPr>
              <w:spacing w:before="0" w:after="0" w:line="240" w:lineRule="exact"/>
              <w:jc w:val="right"/>
              <w:rPr>
                <w:rFonts w:ascii="宋体" w:hAnsi="宋体" w:eastAsia="宋体" w:cs="宋体"/>
                <w:sz w:val="18"/>
                <w:szCs w:val="18"/>
              </w:rPr>
            </w:pPr>
            <w:r>
              <w:rPr>
                <w:rFonts w:ascii="宋体" w:hAnsi="宋体" w:eastAsia="宋体" w:cs="宋体"/>
                <w:sz w:val="18"/>
                <w:szCs w:val="18"/>
              </w:rPr>
              <w:t>489,184.47</w:t>
            </w:r>
          </w:p>
        </w:tc>
      </w:tr>
      <w:tr w14:paraId="1F6E2A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C6EFD1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减：营业外支出</w:t>
            </w:r>
          </w:p>
        </w:tc>
        <w:tc>
          <w:tcPr>
            <w:tcW w:w="3213" w:type="dxa"/>
            <w:tcBorders>
              <w:top w:val="single" w:color="auto" w:sz="2" w:space="0"/>
              <w:left w:val="single" w:color="auto" w:sz="2" w:space="0"/>
              <w:bottom w:val="single" w:color="auto" w:sz="2" w:space="0"/>
              <w:right w:val="single" w:color="auto" w:sz="2" w:space="0"/>
            </w:tcBorders>
            <w:vAlign w:val="center"/>
          </w:tcPr>
          <w:p w14:paraId="0C508509">
            <w:pPr>
              <w:spacing w:before="0" w:after="0" w:line="240" w:lineRule="exact"/>
              <w:jc w:val="right"/>
              <w:rPr>
                <w:rFonts w:ascii="宋体" w:hAnsi="宋体" w:eastAsia="宋体" w:cs="宋体"/>
                <w:sz w:val="18"/>
                <w:szCs w:val="18"/>
              </w:rPr>
            </w:pPr>
            <w:r>
              <w:rPr>
                <w:rFonts w:ascii="宋体" w:hAnsi="宋体" w:eastAsia="宋体" w:cs="宋体"/>
                <w:sz w:val="18"/>
                <w:szCs w:val="18"/>
              </w:rPr>
              <w:t>1,097,042.73</w:t>
            </w:r>
          </w:p>
        </w:tc>
        <w:tc>
          <w:tcPr>
            <w:tcW w:w="3213" w:type="dxa"/>
            <w:tcBorders>
              <w:top w:val="single" w:color="auto" w:sz="2" w:space="0"/>
              <w:left w:val="single" w:color="auto" w:sz="2" w:space="0"/>
              <w:bottom w:val="single" w:color="auto" w:sz="2" w:space="0"/>
              <w:right w:val="single" w:color="auto" w:sz="2" w:space="0"/>
            </w:tcBorders>
            <w:vAlign w:val="center"/>
          </w:tcPr>
          <w:p w14:paraId="4DC96037">
            <w:pPr>
              <w:spacing w:before="0" w:after="0" w:line="240" w:lineRule="exact"/>
              <w:jc w:val="right"/>
              <w:rPr>
                <w:rFonts w:ascii="宋体" w:hAnsi="宋体" w:eastAsia="宋体" w:cs="宋体"/>
                <w:sz w:val="18"/>
                <w:szCs w:val="18"/>
              </w:rPr>
            </w:pPr>
            <w:r>
              <w:rPr>
                <w:rFonts w:ascii="宋体" w:hAnsi="宋体" w:eastAsia="宋体" w:cs="宋体"/>
                <w:sz w:val="18"/>
                <w:szCs w:val="18"/>
              </w:rPr>
              <w:t>3,015,813.89</w:t>
            </w:r>
          </w:p>
        </w:tc>
      </w:tr>
      <w:tr w14:paraId="07471D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9D4AA13">
            <w:pPr>
              <w:spacing w:before="40" w:after="40" w:line="240" w:lineRule="exact"/>
              <w:jc w:val="left"/>
              <w:rPr>
                <w:rFonts w:ascii="宋体" w:hAnsi="宋体" w:eastAsia="宋体" w:cs="宋体"/>
                <w:sz w:val="18"/>
                <w:szCs w:val="18"/>
              </w:rPr>
            </w:pPr>
            <w:r>
              <w:rPr>
                <w:rFonts w:ascii="宋体" w:hAnsi="宋体" w:eastAsia="宋体" w:cs="宋体"/>
                <w:sz w:val="18"/>
                <w:szCs w:val="18"/>
              </w:rPr>
              <w:t>三、利润总额（亏损总额以“－”号填列）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477FE692">
            <w:pPr>
              <w:spacing w:before="0" w:after="0" w:line="240" w:lineRule="exact"/>
              <w:jc w:val="right"/>
              <w:rPr>
                <w:rFonts w:ascii="宋体" w:hAnsi="宋体" w:eastAsia="宋体" w:cs="宋体"/>
                <w:sz w:val="18"/>
                <w:szCs w:val="18"/>
              </w:rPr>
            </w:pPr>
            <w:r>
              <w:rPr>
                <w:rFonts w:ascii="宋体" w:hAnsi="宋体" w:eastAsia="宋体" w:cs="宋体"/>
                <w:sz w:val="18"/>
                <w:szCs w:val="18"/>
              </w:rPr>
              <w:t>-65,630,078.51</w:t>
            </w:r>
          </w:p>
        </w:tc>
        <w:tc>
          <w:tcPr>
            <w:tcW w:w="3213" w:type="dxa"/>
            <w:tcBorders>
              <w:top w:val="single" w:color="auto" w:sz="2" w:space="0"/>
              <w:left w:val="single" w:color="auto" w:sz="2" w:space="0"/>
              <w:bottom w:val="single" w:color="auto" w:sz="2" w:space="0"/>
              <w:right w:val="single" w:color="auto" w:sz="2" w:space="0"/>
            </w:tcBorders>
            <w:vAlign w:val="center"/>
          </w:tcPr>
          <w:p w14:paraId="01580F12">
            <w:pPr>
              <w:spacing w:before="0" w:after="0" w:line="240" w:lineRule="exact"/>
              <w:jc w:val="right"/>
              <w:rPr>
                <w:rFonts w:ascii="宋体" w:hAnsi="宋体" w:eastAsia="宋体" w:cs="宋体"/>
                <w:sz w:val="18"/>
                <w:szCs w:val="18"/>
              </w:rPr>
            </w:pPr>
            <w:r>
              <w:rPr>
                <w:rFonts w:ascii="宋体" w:hAnsi="宋体" w:eastAsia="宋体" w:cs="宋体"/>
                <w:sz w:val="18"/>
                <w:szCs w:val="18"/>
              </w:rPr>
              <w:t>-161,165,803.64</w:t>
            </w:r>
          </w:p>
        </w:tc>
      </w:tr>
      <w:tr w14:paraId="668154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7D377E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减：所得税费用</w:t>
            </w:r>
          </w:p>
        </w:tc>
        <w:tc>
          <w:tcPr>
            <w:tcW w:w="3213" w:type="dxa"/>
            <w:tcBorders>
              <w:top w:val="single" w:color="auto" w:sz="2" w:space="0"/>
              <w:left w:val="single" w:color="auto" w:sz="2" w:space="0"/>
              <w:bottom w:val="single" w:color="auto" w:sz="2" w:space="0"/>
              <w:right w:val="single" w:color="auto" w:sz="2" w:space="0"/>
            </w:tcBorders>
            <w:vAlign w:val="center"/>
          </w:tcPr>
          <w:p w14:paraId="6DAD1A9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FB2074C">
            <w:pPr>
              <w:spacing w:before="0" w:after="0" w:line="240" w:lineRule="exact"/>
              <w:jc w:val="right"/>
              <w:rPr>
                <w:rFonts w:ascii="宋体" w:hAnsi="宋体" w:eastAsia="宋体" w:cs="宋体"/>
                <w:sz w:val="18"/>
                <w:szCs w:val="18"/>
              </w:rPr>
            </w:pPr>
            <w:r>
              <w:rPr>
                <w:rFonts w:ascii="宋体" w:hAnsi="宋体" w:eastAsia="宋体" w:cs="宋体"/>
                <w:sz w:val="18"/>
                <w:szCs w:val="18"/>
              </w:rPr>
              <w:t>37,409,107.61</w:t>
            </w:r>
          </w:p>
        </w:tc>
      </w:tr>
      <w:tr w14:paraId="4CFAE6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5A14B9C">
            <w:pPr>
              <w:spacing w:before="0" w:after="0" w:line="240" w:lineRule="exact"/>
              <w:jc w:val="left"/>
              <w:rPr>
                <w:rFonts w:ascii="宋体" w:hAnsi="宋体" w:eastAsia="宋体" w:cs="宋体"/>
                <w:sz w:val="18"/>
                <w:szCs w:val="18"/>
              </w:rPr>
            </w:pPr>
            <w:r>
              <w:rPr>
                <w:rFonts w:ascii="宋体" w:hAnsi="宋体" w:eastAsia="宋体" w:cs="宋体"/>
                <w:sz w:val="18"/>
                <w:szCs w:val="18"/>
              </w:rPr>
              <w:t>四、净利润（净亏损以“－”号填列）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104E540D">
            <w:pPr>
              <w:spacing w:before="0" w:after="0" w:line="240" w:lineRule="exact"/>
              <w:jc w:val="right"/>
              <w:rPr>
                <w:rFonts w:ascii="宋体" w:hAnsi="宋体" w:eastAsia="宋体" w:cs="宋体"/>
                <w:sz w:val="18"/>
                <w:szCs w:val="18"/>
              </w:rPr>
            </w:pPr>
            <w:r>
              <w:rPr>
                <w:rFonts w:ascii="宋体" w:hAnsi="宋体" w:eastAsia="宋体" w:cs="宋体"/>
                <w:sz w:val="18"/>
                <w:szCs w:val="18"/>
              </w:rPr>
              <w:t>-65,630,078.51</w:t>
            </w:r>
          </w:p>
        </w:tc>
        <w:tc>
          <w:tcPr>
            <w:tcW w:w="3213" w:type="dxa"/>
            <w:tcBorders>
              <w:top w:val="single" w:color="auto" w:sz="2" w:space="0"/>
              <w:left w:val="single" w:color="auto" w:sz="2" w:space="0"/>
              <w:bottom w:val="single" w:color="auto" w:sz="2" w:space="0"/>
              <w:right w:val="single" w:color="auto" w:sz="2" w:space="0"/>
            </w:tcBorders>
            <w:vAlign w:val="center"/>
          </w:tcPr>
          <w:p w14:paraId="3DAD4FE8">
            <w:pPr>
              <w:spacing w:before="0" w:after="0" w:line="240" w:lineRule="exact"/>
              <w:jc w:val="right"/>
              <w:rPr>
                <w:rFonts w:ascii="宋体" w:hAnsi="宋体" w:eastAsia="宋体" w:cs="宋体"/>
                <w:sz w:val="18"/>
                <w:szCs w:val="18"/>
              </w:rPr>
            </w:pPr>
            <w:r>
              <w:rPr>
                <w:rFonts w:ascii="宋体" w:hAnsi="宋体" w:eastAsia="宋体" w:cs="宋体"/>
                <w:sz w:val="18"/>
                <w:szCs w:val="18"/>
              </w:rPr>
              <w:t>-198,574,911.25</w:t>
            </w:r>
          </w:p>
        </w:tc>
      </w:tr>
      <w:tr w14:paraId="62FE01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AA14980">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（一）持续经营净利润（净亏损以“－”号填列）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0EEE4E6A">
            <w:pPr>
              <w:spacing w:before="0" w:after="0" w:line="240" w:lineRule="exact"/>
              <w:jc w:val="right"/>
              <w:rPr>
                <w:rFonts w:ascii="宋体" w:hAnsi="宋体" w:eastAsia="宋体" w:cs="宋体"/>
                <w:sz w:val="18"/>
                <w:szCs w:val="18"/>
              </w:rPr>
            </w:pPr>
            <w:r>
              <w:rPr>
                <w:rFonts w:ascii="宋体" w:hAnsi="宋体" w:eastAsia="宋体" w:cs="宋体"/>
                <w:sz w:val="18"/>
                <w:szCs w:val="18"/>
              </w:rPr>
              <w:t>-65,630,078.51</w:t>
            </w:r>
          </w:p>
        </w:tc>
        <w:tc>
          <w:tcPr>
            <w:tcW w:w="3213" w:type="dxa"/>
            <w:tcBorders>
              <w:top w:val="single" w:color="auto" w:sz="2" w:space="0"/>
              <w:left w:val="single" w:color="auto" w:sz="2" w:space="0"/>
              <w:bottom w:val="single" w:color="auto" w:sz="2" w:space="0"/>
              <w:right w:val="single" w:color="auto" w:sz="2" w:space="0"/>
            </w:tcBorders>
            <w:vAlign w:val="center"/>
          </w:tcPr>
          <w:p w14:paraId="4E0A55F4">
            <w:pPr>
              <w:spacing w:before="0" w:after="0" w:line="240" w:lineRule="exact"/>
              <w:jc w:val="right"/>
              <w:rPr>
                <w:rFonts w:ascii="宋体" w:hAnsi="宋体" w:eastAsia="宋体" w:cs="宋体"/>
                <w:sz w:val="18"/>
                <w:szCs w:val="18"/>
              </w:rPr>
            </w:pPr>
            <w:r>
              <w:rPr>
                <w:rFonts w:ascii="宋体" w:hAnsi="宋体" w:eastAsia="宋体" w:cs="宋体"/>
                <w:sz w:val="18"/>
                <w:szCs w:val="18"/>
              </w:rPr>
              <w:t>-198,574,911.25</w:t>
            </w:r>
          </w:p>
        </w:tc>
      </w:tr>
      <w:tr w14:paraId="4664D0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5D8B625">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（二）终止经营净利润（净亏损以“－”号填列）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715317F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A5216B6">
            <w:pPr>
              <w:spacing w:before="0" w:after="0" w:line="240" w:lineRule="exact"/>
              <w:jc w:val="right"/>
              <w:rPr>
                <w:rFonts w:ascii="宋体" w:hAnsi="宋体" w:eastAsia="宋体" w:cs="宋体"/>
                <w:sz w:val="18"/>
                <w:szCs w:val="18"/>
              </w:rPr>
            </w:pPr>
          </w:p>
        </w:tc>
      </w:tr>
      <w:tr w14:paraId="428990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52BFA38">
            <w:pPr>
              <w:spacing w:before="0" w:after="0" w:line="240" w:lineRule="exact"/>
              <w:jc w:val="left"/>
              <w:rPr>
                <w:rFonts w:ascii="宋体" w:hAnsi="宋体" w:eastAsia="宋体" w:cs="宋体"/>
                <w:sz w:val="18"/>
                <w:szCs w:val="18"/>
              </w:rPr>
            </w:pPr>
            <w:r>
              <w:rPr>
                <w:rFonts w:ascii="宋体" w:hAnsi="宋体" w:eastAsia="宋体" w:cs="宋体"/>
                <w:sz w:val="18"/>
                <w:szCs w:val="18"/>
              </w:rPr>
              <w:t>五、其他综合收益的税后净额</w:t>
            </w:r>
          </w:p>
        </w:tc>
        <w:tc>
          <w:tcPr>
            <w:tcW w:w="3213" w:type="dxa"/>
            <w:tcBorders>
              <w:top w:val="single" w:color="auto" w:sz="2" w:space="0"/>
              <w:left w:val="single" w:color="auto" w:sz="2" w:space="0"/>
              <w:bottom w:val="single" w:color="auto" w:sz="2" w:space="0"/>
              <w:right w:val="single" w:color="auto" w:sz="2" w:space="0"/>
            </w:tcBorders>
            <w:vAlign w:val="center"/>
          </w:tcPr>
          <w:p w14:paraId="0F5DF84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662AC9B">
            <w:pPr>
              <w:spacing w:before="0" w:after="0" w:line="240" w:lineRule="exact"/>
              <w:jc w:val="right"/>
              <w:rPr>
                <w:rFonts w:ascii="宋体" w:hAnsi="宋体" w:eastAsia="宋体" w:cs="宋体"/>
                <w:sz w:val="18"/>
                <w:szCs w:val="18"/>
              </w:rPr>
            </w:pPr>
          </w:p>
        </w:tc>
      </w:tr>
      <w:tr w14:paraId="41873E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2D0D8BB">
            <w:pPr>
              <w:spacing w:before="0" w:after="0" w:line="240" w:lineRule="exact"/>
              <w:ind w:firstLine="360" w:firstLineChars="200"/>
              <w:jc w:val="left"/>
              <w:rPr>
                <w:rFonts w:ascii="宋体" w:hAnsi="宋体" w:eastAsia="宋体" w:cs="宋体"/>
                <w:sz w:val="18"/>
                <w:szCs w:val="18"/>
              </w:rPr>
            </w:pPr>
            <w:r>
              <w:rPr>
                <w:rFonts w:ascii="宋体" w:hAnsi="宋体" w:eastAsia="宋体" w:cs="宋体"/>
                <w:sz w:val="18"/>
                <w:szCs w:val="18"/>
              </w:rPr>
              <w:t>（一）不能重分类进损益的其他综合收益</w:t>
            </w:r>
          </w:p>
        </w:tc>
        <w:tc>
          <w:tcPr>
            <w:tcW w:w="3213" w:type="dxa"/>
            <w:tcBorders>
              <w:top w:val="single" w:color="auto" w:sz="2" w:space="0"/>
              <w:left w:val="single" w:color="auto" w:sz="2" w:space="0"/>
              <w:bottom w:val="single" w:color="auto" w:sz="2" w:space="0"/>
              <w:right w:val="single" w:color="auto" w:sz="2" w:space="0"/>
            </w:tcBorders>
            <w:vAlign w:val="center"/>
          </w:tcPr>
          <w:p w14:paraId="65A4C2C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F63E897">
            <w:pPr>
              <w:spacing w:before="0" w:after="0" w:line="240" w:lineRule="exact"/>
              <w:jc w:val="right"/>
              <w:rPr>
                <w:rFonts w:ascii="宋体" w:hAnsi="宋体" w:eastAsia="宋体" w:cs="宋体"/>
                <w:sz w:val="18"/>
                <w:szCs w:val="18"/>
              </w:rPr>
            </w:pPr>
          </w:p>
        </w:tc>
      </w:tr>
      <w:tr w14:paraId="471739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F9E88C4">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1.重新计量设定受益计划变动额</w:t>
            </w:r>
          </w:p>
        </w:tc>
        <w:tc>
          <w:tcPr>
            <w:tcW w:w="3213" w:type="dxa"/>
            <w:tcBorders>
              <w:top w:val="single" w:color="auto" w:sz="2" w:space="0"/>
              <w:left w:val="single" w:color="auto" w:sz="2" w:space="0"/>
              <w:bottom w:val="single" w:color="auto" w:sz="2" w:space="0"/>
              <w:right w:val="single" w:color="auto" w:sz="2" w:space="0"/>
            </w:tcBorders>
            <w:vAlign w:val="center"/>
          </w:tcPr>
          <w:p w14:paraId="6035829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D2C73C1">
            <w:pPr>
              <w:spacing w:before="0" w:after="0" w:line="240" w:lineRule="exact"/>
              <w:jc w:val="right"/>
              <w:rPr>
                <w:rFonts w:ascii="宋体" w:hAnsi="宋体" w:eastAsia="宋体" w:cs="宋体"/>
                <w:sz w:val="18"/>
                <w:szCs w:val="18"/>
              </w:rPr>
            </w:pPr>
          </w:p>
        </w:tc>
      </w:tr>
      <w:tr w14:paraId="10D12D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30CAD18">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2.权益法下不能转损益的其他综合收益</w:t>
            </w:r>
          </w:p>
        </w:tc>
        <w:tc>
          <w:tcPr>
            <w:tcW w:w="3213" w:type="dxa"/>
            <w:tcBorders>
              <w:top w:val="single" w:color="auto" w:sz="2" w:space="0"/>
              <w:left w:val="single" w:color="auto" w:sz="2" w:space="0"/>
              <w:bottom w:val="single" w:color="auto" w:sz="2" w:space="0"/>
              <w:right w:val="single" w:color="auto" w:sz="2" w:space="0"/>
            </w:tcBorders>
            <w:vAlign w:val="center"/>
          </w:tcPr>
          <w:p w14:paraId="547546E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C693406">
            <w:pPr>
              <w:spacing w:before="0" w:after="0" w:line="240" w:lineRule="exact"/>
              <w:jc w:val="right"/>
              <w:rPr>
                <w:rFonts w:ascii="宋体" w:hAnsi="宋体" w:eastAsia="宋体" w:cs="宋体"/>
                <w:sz w:val="18"/>
                <w:szCs w:val="18"/>
              </w:rPr>
            </w:pPr>
          </w:p>
        </w:tc>
      </w:tr>
      <w:tr w14:paraId="383BCA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4E86DC1">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3.其他权益工具投资公允价值变动</w:t>
            </w:r>
          </w:p>
        </w:tc>
        <w:tc>
          <w:tcPr>
            <w:tcW w:w="3213" w:type="dxa"/>
            <w:tcBorders>
              <w:top w:val="single" w:color="auto" w:sz="2" w:space="0"/>
              <w:left w:val="single" w:color="auto" w:sz="2" w:space="0"/>
              <w:bottom w:val="single" w:color="auto" w:sz="2" w:space="0"/>
              <w:right w:val="single" w:color="auto" w:sz="2" w:space="0"/>
            </w:tcBorders>
            <w:vAlign w:val="center"/>
          </w:tcPr>
          <w:p w14:paraId="7AB6F5A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A5093D2">
            <w:pPr>
              <w:spacing w:before="0" w:after="0" w:line="240" w:lineRule="exact"/>
              <w:jc w:val="right"/>
              <w:rPr>
                <w:rFonts w:ascii="宋体" w:hAnsi="宋体" w:eastAsia="宋体" w:cs="宋体"/>
                <w:sz w:val="18"/>
                <w:szCs w:val="18"/>
              </w:rPr>
            </w:pPr>
          </w:p>
        </w:tc>
      </w:tr>
      <w:tr w14:paraId="13AE06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43F82EF">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4.企业自身信用风险公允价值变动</w:t>
            </w:r>
          </w:p>
        </w:tc>
        <w:tc>
          <w:tcPr>
            <w:tcW w:w="3213" w:type="dxa"/>
            <w:tcBorders>
              <w:top w:val="single" w:color="auto" w:sz="2" w:space="0"/>
              <w:left w:val="single" w:color="auto" w:sz="2" w:space="0"/>
              <w:bottom w:val="single" w:color="auto" w:sz="2" w:space="0"/>
              <w:right w:val="single" w:color="auto" w:sz="2" w:space="0"/>
            </w:tcBorders>
            <w:vAlign w:val="center"/>
          </w:tcPr>
          <w:p w14:paraId="36C0816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200649D">
            <w:pPr>
              <w:spacing w:before="0" w:after="0" w:line="240" w:lineRule="exact"/>
              <w:jc w:val="right"/>
              <w:rPr>
                <w:rFonts w:ascii="宋体" w:hAnsi="宋体" w:eastAsia="宋体" w:cs="宋体"/>
                <w:sz w:val="18"/>
                <w:szCs w:val="18"/>
              </w:rPr>
            </w:pPr>
          </w:p>
        </w:tc>
      </w:tr>
      <w:tr w14:paraId="05F71F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38A05B0">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5.其他</w:t>
            </w:r>
          </w:p>
        </w:tc>
        <w:tc>
          <w:tcPr>
            <w:tcW w:w="3213" w:type="dxa"/>
            <w:tcBorders>
              <w:top w:val="single" w:color="auto" w:sz="2" w:space="0"/>
              <w:left w:val="single" w:color="auto" w:sz="2" w:space="0"/>
              <w:bottom w:val="single" w:color="auto" w:sz="2" w:space="0"/>
              <w:right w:val="single" w:color="auto" w:sz="2" w:space="0"/>
            </w:tcBorders>
            <w:vAlign w:val="center"/>
          </w:tcPr>
          <w:p w14:paraId="5F777B52">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DA53F7C">
            <w:pPr>
              <w:spacing w:before="0" w:after="0" w:line="240" w:lineRule="exact"/>
              <w:jc w:val="right"/>
              <w:rPr>
                <w:rFonts w:ascii="宋体" w:hAnsi="宋体" w:eastAsia="宋体" w:cs="宋体"/>
                <w:sz w:val="18"/>
                <w:szCs w:val="18"/>
              </w:rPr>
            </w:pPr>
          </w:p>
        </w:tc>
      </w:tr>
      <w:tr w14:paraId="7642C4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F6F17E9">
            <w:pPr>
              <w:spacing w:before="0" w:after="0" w:line="240" w:lineRule="exact"/>
              <w:ind w:firstLine="360" w:firstLineChars="200"/>
              <w:jc w:val="left"/>
              <w:rPr>
                <w:rFonts w:ascii="宋体" w:hAnsi="宋体" w:eastAsia="宋体" w:cs="宋体"/>
                <w:sz w:val="18"/>
                <w:szCs w:val="18"/>
              </w:rPr>
            </w:pPr>
            <w:r>
              <w:rPr>
                <w:rFonts w:ascii="宋体" w:hAnsi="宋体" w:eastAsia="宋体" w:cs="宋体"/>
                <w:sz w:val="18"/>
                <w:szCs w:val="18"/>
              </w:rPr>
              <w:t>（二）将重分类进损益的其他综合收益</w:t>
            </w:r>
          </w:p>
        </w:tc>
        <w:tc>
          <w:tcPr>
            <w:tcW w:w="3213" w:type="dxa"/>
            <w:tcBorders>
              <w:top w:val="single" w:color="auto" w:sz="2" w:space="0"/>
              <w:left w:val="single" w:color="auto" w:sz="2" w:space="0"/>
              <w:bottom w:val="single" w:color="auto" w:sz="2" w:space="0"/>
              <w:right w:val="single" w:color="auto" w:sz="2" w:space="0"/>
            </w:tcBorders>
            <w:vAlign w:val="center"/>
          </w:tcPr>
          <w:p w14:paraId="2C3FDDF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CDFB9AD">
            <w:pPr>
              <w:spacing w:before="0" w:after="0" w:line="240" w:lineRule="exact"/>
              <w:jc w:val="right"/>
              <w:rPr>
                <w:rFonts w:ascii="宋体" w:hAnsi="宋体" w:eastAsia="宋体" w:cs="宋体"/>
                <w:sz w:val="18"/>
                <w:szCs w:val="18"/>
              </w:rPr>
            </w:pPr>
          </w:p>
        </w:tc>
      </w:tr>
      <w:tr w14:paraId="2C3D18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F1EB479">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1.权益法下可转损益的其他综合收益</w:t>
            </w:r>
          </w:p>
        </w:tc>
        <w:tc>
          <w:tcPr>
            <w:tcW w:w="3213" w:type="dxa"/>
            <w:tcBorders>
              <w:top w:val="single" w:color="auto" w:sz="2" w:space="0"/>
              <w:left w:val="single" w:color="auto" w:sz="2" w:space="0"/>
              <w:bottom w:val="single" w:color="auto" w:sz="2" w:space="0"/>
              <w:right w:val="single" w:color="auto" w:sz="2" w:space="0"/>
            </w:tcBorders>
            <w:vAlign w:val="center"/>
          </w:tcPr>
          <w:p w14:paraId="0DEEB65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1537970">
            <w:pPr>
              <w:spacing w:before="0" w:after="0" w:line="240" w:lineRule="exact"/>
              <w:jc w:val="right"/>
              <w:rPr>
                <w:rFonts w:ascii="宋体" w:hAnsi="宋体" w:eastAsia="宋体" w:cs="宋体"/>
                <w:sz w:val="18"/>
                <w:szCs w:val="18"/>
              </w:rPr>
            </w:pPr>
          </w:p>
        </w:tc>
      </w:tr>
      <w:tr w14:paraId="584A9A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5F55786">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2.其他债权投资公允价值变动</w:t>
            </w:r>
          </w:p>
        </w:tc>
        <w:tc>
          <w:tcPr>
            <w:tcW w:w="3213" w:type="dxa"/>
            <w:tcBorders>
              <w:top w:val="single" w:color="auto" w:sz="2" w:space="0"/>
              <w:left w:val="single" w:color="auto" w:sz="2" w:space="0"/>
              <w:bottom w:val="single" w:color="auto" w:sz="2" w:space="0"/>
              <w:right w:val="single" w:color="auto" w:sz="2" w:space="0"/>
            </w:tcBorders>
            <w:vAlign w:val="center"/>
          </w:tcPr>
          <w:p w14:paraId="4646B7F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00DD30F">
            <w:pPr>
              <w:spacing w:before="0" w:after="0" w:line="240" w:lineRule="exact"/>
              <w:jc w:val="right"/>
              <w:rPr>
                <w:rFonts w:ascii="宋体" w:hAnsi="宋体" w:eastAsia="宋体" w:cs="宋体"/>
                <w:sz w:val="18"/>
                <w:szCs w:val="18"/>
              </w:rPr>
            </w:pPr>
          </w:p>
        </w:tc>
      </w:tr>
      <w:tr w14:paraId="4A1535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3B9C2D3">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3.金融资产重分类计入其他综合收益的金额</w:t>
            </w:r>
          </w:p>
        </w:tc>
        <w:tc>
          <w:tcPr>
            <w:tcW w:w="3213" w:type="dxa"/>
            <w:tcBorders>
              <w:top w:val="single" w:color="auto" w:sz="2" w:space="0"/>
              <w:left w:val="single" w:color="auto" w:sz="2" w:space="0"/>
              <w:bottom w:val="single" w:color="auto" w:sz="2" w:space="0"/>
              <w:right w:val="single" w:color="auto" w:sz="2" w:space="0"/>
            </w:tcBorders>
            <w:vAlign w:val="center"/>
          </w:tcPr>
          <w:p w14:paraId="448747D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A87E15E">
            <w:pPr>
              <w:spacing w:before="0" w:after="0" w:line="240" w:lineRule="exact"/>
              <w:jc w:val="right"/>
              <w:rPr>
                <w:rFonts w:ascii="宋体" w:hAnsi="宋体" w:eastAsia="宋体" w:cs="宋体"/>
                <w:sz w:val="18"/>
                <w:szCs w:val="18"/>
              </w:rPr>
            </w:pPr>
          </w:p>
        </w:tc>
      </w:tr>
      <w:tr w14:paraId="262DFC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B0524B2">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4.其他债权投资信用减值准备</w:t>
            </w:r>
          </w:p>
        </w:tc>
        <w:tc>
          <w:tcPr>
            <w:tcW w:w="3213" w:type="dxa"/>
            <w:tcBorders>
              <w:top w:val="single" w:color="auto" w:sz="2" w:space="0"/>
              <w:left w:val="single" w:color="auto" w:sz="2" w:space="0"/>
              <w:bottom w:val="single" w:color="auto" w:sz="2" w:space="0"/>
              <w:right w:val="single" w:color="auto" w:sz="2" w:space="0"/>
            </w:tcBorders>
            <w:vAlign w:val="center"/>
          </w:tcPr>
          <w:p w14:paraId="79EF17C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A4037A1">
            <w:pPr>
              <w:spacing w:before="0" w:after="0" w:line="240" w:lineRule="exact"/>
              <w:jc w:val="right"/>
              <w:rPr>
                <w:rFonts w:ascii="宋体" w:hAnsi="宋体" w:eastAsia="宋体" w:cs="宋体"/>
                <w:sz w:val="18"/>
                <w:szCs w:val="18"/>
              </w:rPr>
            </w:pPr>
          </w:p>
        </w:tc>
      </w:tr>
      <w:tr w14:paraId="244EC0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972D1E">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5.现金流量套期储备</w:t>
            </w:r>
          </w:p>
        </w:tc>
        <w:tc>
          <w:tcPr>
            <w:tcW w:w="3213" w:type="dxa"/>
            <w:tcBorders>
              <w:top w:val="single" w:color="auto" w:sz="2" w:space="0"/>
              <w:left w:val="single" w:color="auto" w:sz="2" w:space="0"/>
              <w:bottom w:val="single" w:color="auto" w:sz="2" w:space="0"/>
              <w:right w:val="single" w:color="auto" w:sz="2" w:space="0"/>
            </w:tcBorders>
            <w:vAlign w:val="center"/>
          </w:tcPr>
          <w:p w14:paraId="51761EC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5A5E59A">
            <w:pPr>
              <w:spacing w:before="0" w:after="0" w:line="240" w:lineRule="exact"/>
              <w:jc w:val="right"/>
              <w:rPr>
                <w:rFonts w:ascii="宋体" w:hAnsi="宋体" w:eastAsia="宋体" w:cs="宋体"/>
                <w:sz w:val="18"/>
                <w:szCs w:val="18"/>
              </w:rPr>
            </w:pPr>
          </w:p>
        </w:tc>
      </w:tr>
      <w:tr w14:paraId="5351D8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7ADBA57">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6.外币财务报表折算差额</w:t>
            </w:r>
          </w:p>
        </w:tc>
        <w:tc>
          <w:tcPr>
            <w:tcW w:w="3213" w:type="dxa"/>
            <w:tcBorders>
              <w:top w:val="single" w:color="auto" w:sz="2" w:space="0"/>
              <w:left w:val="single" w:color="auto" w:sz="2" w:space="0"/>
              <w:bottom w:val="single" w:color="auto" w:sz="2" w:space="0"/>
              <w:right w:val="single" w:color="auto" w:sz="2" w:space="0"/>
            </w:tcBorders>
            <w:vAlign w:val="center"/>
          </w:tcPr>
          <w:p w14:paraId="44656D3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03A251A">
            <w:pPr>
              <w:spacing w:before="0" w:after="0" w:line="240" w:lineRule="exact"/>
              <w:jc w:val="right"/>
              <w:rPr>
                <w:rFonts w:ascii="宋体" w:hAnsi="宋体" w:eastAsia="宋体" w:cs="宋体"/>
                <w:sz w:val="18"/>
                <w:szCs w:val="18"/>
              </w:rPr>
            </w:pPr>
          </w:p>
        </w:tc>
      </w:tr>
      <w:tr w14:paraId="570C57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A3D0E4D">
            <w:pPr>
              <w:spacing w:before="0" w:after="0" w:line="240" w:lineRule="exact"/>
              <w:ind w:firstLine="540" w:firstLineChars="300"/>
              <w:jc w:val="left"/>
              <w:rPr>
                <w:rFonts w:ascii="宋体" w:hAnsi="宋体" w:eastAsia="宋体" w:cs="宋体"/>
                <w:sz w:val="18"/>
                <w:szCs w:val="18"/>
              </w:rPr>
            </w:pPr>
            <w:r>
              <w:rPr>
                <w:rFonts w:ascii="宋体" w:hAnsi="宋体" w:eastAsia="宋体" w:cs="宋体"/>
                <w:sz w:val="18"/>
                <w:szCs w:val="18"/>
              </w:rPr>
              <w:t>7.其他</w:t>
            </w:r>
          </w:p>
        </w:tc>
        <w:tc>
          <w:tcPr>
            <w:tcW w:w="3213" w:type="dxa"/>
            <w:tcBorders>
              <w:top w:val="single" w:color="auto" w:sz="2" w:space="0"/>
              <w:left w:val="single" w:color="auto" w:sz="2" w:space="0"/>
              <w:bottom w:val="single" w:color="auto" w:sz="2" w:space="0"/>
              <w:right w:val="single" w:color="auto" w:sz="2" w:space="0"/>
            </w:tcBorders>
            <w:vAlign w:val="center"/>
          </w:tcPr>
          <w:p w14:paraId="538F197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737AAC9">
            <w:pPr>
              <w:spacing w:before="0" w:after="0" w:line="240" w:lineRule="exact"/>
              <w:jc w:val="right"/>
              <w:rPr>
                <w:rFonts w:ascii="宋体" w:hAnsi="宋体" w:eastAsia="宋体" w:cs="宋体"/>
                <w:sz w:val="18"/>
                <w:szCs w:val="18"/>
              </w:rPr>
            </w:pPr>
          </w:p>
        </w:tc>
      </w:tr>
      <w:tr w14:paraId="3CDC33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05EC53E">
            <w:pPr>
              <w:spacing w:before="0" w:after="0" w:line="240" w:lineRule="exact"/>
              <w:jc w:val="left"/>
              <w:rPr>
                <w:rFonts w:ascii="宋体" w:hAnsi="宋体" w:eastAsia="宋体" w:cs="宋体"/>
                <w:sz w:val="18"/>
                <w:szCs w:val="18"/>
              </w:rPr>
            </w:pPr>
            <w:r>
              <w:rPr>
                <w:rFonts w:ascii="宋体" w:hAnsi="宋体" w:eastAsia="宋体" w:cs="宋体"/>
                <w:sz w:val="18"/>
                <w:szCs w:val="18"/>
              </w:rPr>
              <w:t>六、综合收益总额</w:t>
            </w:r>
          </w:p>
        </w:tc>
        <w:tc>
          <w:tcPr>
            <w:tcW w:w="3213" w:type="dxa"/>
            <w:tcBorders>
              <w:top w:val="single" w:color="auto" w:sz="2" w:space="0"/>
              <w:left w:val="single" w:color="auto" w:sz="2" w:space="0"/>
              <w:bottom w:val="single" w:color="auto" w:sz="2" w:space="0"/>
              <w:right w:val="single" w:color="auto" w:sz="2" w:space="0"/>
            </w:tcBorders>
            <w:vAlign w:val="center"/>
          </w:tcPr>
          <w:p w14:paraId="6216F969">
            <w:pPr>
              <w:spacing w:before="0" w:after="0" w:line="240" w:lineRule="exact"/>
              <w:jc w:val="right"/>
              <w:rPr>
                <w:rFonts w:ascii="宋体" w:hAnsi="宋体" w:eastAsia="宋体" w:cs="宋体"/>
                <w:sz w:val="18"/>
                <w:szCs w:val="18"/>
              </w:rPr>
            </w:pPr>
            <w:r>
              <w:rPr>
                <w:rFonts w:ascii="宋体" w:hAnsi="宋体" w:eastAsia="宋体" w:cs="宋体"/>
                <w:sz w:val="18"/>
                <w:szCs w:val="18"/>
              </w:rPr>
              <w:t>-65,630,078.51</w:t>
            </w:r>
          </w:p>
        </w:tc>
        <w:tc>
          <w:tcPr>
            <w:tcW w:w="3213" w:type="dxa"/>
            <w:tcBorders>
              <w:top w:val="single" w:color="auto" w:sz="2" w:space="0"/>
              <w:left w:val="single" w:color="auto" w:sz="2" w:space="0"/>
              <w:bottom w:val="single" w:color="auto" w:sz="2" w:space="0"/>
              <w:right w:val="single" w:color="auto" w:sz="2" w:space="0"/>
            </w:tcBorders>
            <w:vAlign w:val="center"/>
          </w:tcPr>
          <w:p w14:paraId="2F03627F">
            <w:pPr>
              <w:spacing w:before="0" w:after="0" w:line="240" w:lineRule="exact"/>
              <w:jc w:val="right"/>
              <w:rPr>
                <w:rFonts w:ascii="宋体" w:hAnsi="宋体" w:eastAsia="宋体" w:cs="宋体"/>
                <w:sz w:val="18"/>
                <w:szCs w:val="18"/>
              </w:rPr>
            </w:pPr>
            <w:r>
              <w:rPr>
                <w:rFonts w:ascii="宋体" w:hAnsi="宋体" w:eastAsia="宋体" w:cs="宋体"/>
                <w:sz w:val="18"/>
                <w:szCs w:val="18"/>
              </w:rPr>
              <w:t>-198,574,911.25</w:t>
            </w:r>
          </w:p>
        </w:tc>
      </w:tr>
      <w:tr w14:paraId="6553CD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8BFE85D">
            <w:pPr>
              <w:spacing w:before="0" w:after="0" w:line="240" w:lineRule="exact"/>
              <w:jc w:val="left"/>
              <w:rPr>
                <w:rFonts w:ascii="宋体" w:hAnsi="宋体" w:eastAsia="宋体" w:cs="宋体"/>
                <w:sz w:val="18"/>
                <w:szCs w:val="18"/>
              </w:rPr>
            </w:pPr>
            <w:r>
              <w:rPr>
                <w:rFonts w:ascii="宋体" w:hAnsi="宋体" w:eastAsia="宋体" w:cs="宋体"/>
                <w:sz w:val="18"/>
                <w:szCs w:val="18"/>
              </w:rPr>
              <w:t>七、每股收益：</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EA58881"/>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67D84A7"/>
        </w:tc>
      </w:tr>
      <w:tr w14:paraId="6808AA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99E057">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（一）基本每股收益</w:t>
            </w:r>
          </w:p>
        </w:tc>
        <w:tc>
          <w:tcPr>
            <w:tcW w:w="3213" w:type="dxa"/>
            <w:tcBorders>
              <w:top w:val="single" w:color="auto" w:sz="2" w:space="0"/>
              <w:left w:val="single" w:color="auto" w:sz="2" w:space="0"/>
              <w:bottom w:val="single" w:color="auto" w:sz="2" w:space="0"/>
              <w:right w:val="single" w:color="auto" w:sz="2" w:space="0"/>
            </w:tcBorders>
            <w:vAlign w:val="center"/>
          </w:tcPr>
          <w:p w14:paraId="5B6D2A0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8E99A5D">
            <w:pPr>
              <w:spacing w:before="0" w:after="0" w:line="240" w:lineRule="exact"/>
              <w:jc w:val="right"/>
              <w:rPr>
                <w:rFonts w:ascii="宋体" w:hAnsi="宋体" w:eastAsia="宋体" w:cs="宋体"/>
                <w:sz w:val="18"/>
                <w:szCs w:val="18"/>
              </w:rPr>
            </w:pPr>
          </w:p>
        </w:tc>
      </w:tr>
      <w:tr w14:paraId="27442F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A0A270E">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（二）稀释每股收益</w:t>
            </w:r>
          </w:p>
        </w:tc>
        <w:tc>
          <w:tcPr>
            <w:tcW w:w="3213" w:type="dxa"/>
            <w:tcBorders>
              <w:top w:val="single" w:color="auto" w:sz="2" w:space="0"/>
              <w:left w:val="single" w:color="auto" w:sz="2" w:space="0"/>
              <w:bottom w:val="single" w:color="auto" w:sz="2" w:space="0"/>
              <w:right w:val="single" w:color="auto" w:sz="2" w:space="0"/>
            </w:tcBorders>
            <w:vAlign w:val="center"/>
          </w:tcPr>
          <w:p w14:paraId="1CC9109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A2258F0">
            <w:pPr>
              <w:spacing w:before="0" w:after="0" w:line="240" w:lineRule="exact"/>
              <w:jc w:val="right"/>
              <w:rPr>
                <w:rFonts w:ascii="宋体" w:hAnsi="宋体" w:eastAsia="宋体" w:cs="宋体"/>
                <w:sz w:val="18"/>
                <w:szCs w:val="18"/>
              </w:rPr>
            </w:pPr>
          </w:p>
        </w:tc>
      </w:tr>
    </w:tbl>
    <w:p w14:paraId="5E40B9F5">
      <w:pPr>
        <w:keepNext/>
        <w:keepLines/>
        <w:spacing w:before="300" w:after="300" w:line="280" w:lineRule="exact"/>
        <w:jc w:val="left"/>
        <w:outlineLvl w:val="2"/>
        <w:rPr>
          <w:rFonts w:ascii="宋体" w:hAnsi="宋体" w:eastAsia="宋体" w:cs="宋体"/>
          <w:b/>
          <w:bCs/>
          <w:sz w:val="21"/>
          <w:szCs w:val="21"/>
        </w:rPr>
      </w:pPr>
      <w:bookmarkStart w:id="157" w:name="_Toc989044"/>
      <w:r>
        <w:rPr>
          <w:rFonts w:ascii="宋体" w:hAnsi="宋体" w:eastAsia="宋体" w:cs="宋体"/>
          <w:b/>
          <w:bCs/>
          <w:sz w:val="21"/>
          <w:szCs w:val="21"/>
        </w:rPr>
        <w:t>5、合并现金流量表</w:t>
      </w:r>
      <w:bookmarkEnd w:id="157"/>
    </w:p>
    <w:p w14:paraId="1D1B494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73F707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696C031">
            <w:pPr>
              <w:spacing w:before="0" w:after="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1755162">
            <w:pPr>
              <w:spacing w:before="0" w:after="0" w:line="240" w:lineRule="exact"/>
              <w:jc w:val="center"/>
              <w:rPr>
                <w:rFonts w:ascii="宋体" w:hAnsi="宋体" w:eastAsia="宋体" w:cs="宋体"/>
                <w:sz w:val="18"/>
                <w:szCs w:val="18"/>
              </w:rPr>
            </w:pPr>
            <w:r>
              <w:rPr>
                <w:rFonts w:ascii="宋体" w:hAnsi="宋体" w:eastAsia="宋体" w:cs="宋体"/>
                <w:sz w:val="18"/>
                <w:szCs w:val="18"/>
              </w:rPr>
              <w:t>2024年度</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A0EE283">
            <w:pPr>
              <w:spacing w:before="0" w:after="0" w:line="240" w:lineRule="exact"/>
              <w:jc w:val="center"/>
              <w:rPr>
                <w:rFonts w:ascii="宋体" w:hAnsi="宋体" w:eastAsia="宋体" w:cs="宋体"/>
                <w:sz w:val="18"/>
                <w:szCs w:val="18"/>
              </w:rPr>
            </w:pPr>
            <w:r>
              <w:rPr>
                <w:rFonts w:ascii="宋体" w:hAnsi="宋体" w:eastAsia="宋体" w:cs="宋体"/>
                <w:sz w:val="18"/>
                <w:szCs w:val="18"/>
              </w:rPr>
              <w:t>2023年度</w:t>
            </w:r>
          </w:p>
        </w:tc>
      </w:tr>
      <w:tr w14:paraId="4FA7F1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8E7125E">
            <w:pPr>
              <w:spacing w:before="0" w:after="0" w:line="240" w:lineRule="exact"/>
              <w:jc w:val="left"/>
              <w:rPr>
                <w:rFonts w:ascii="宋体" w:hAnsi="宋体" w:eastAsia="宋体" w:cs="宋体"/>
                <w:sz w:val="18"/>
                <w:szCs w:val="18"/>
              </w:rPr>
            </w:pPr>
            <w:r>
              <w:rPr>
                <w:rFonts w:ascii="宋体" w:hAnsi="宋体" w:eastAsia="宋体" w:cs="宋体"/>
                <w:sz w:val="18"/>
                <w:szCs w:val="18"/>
              </w:rPr>
              <w:t>一、经营活动产生的现金流量：</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4EB0AB9"/>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57846F2"/>
        </w:tc>
      </w:tr>
      <w:tr w14:paraId="6CA17D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D7F141E">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销售商品、提供劳务收到的现金</w:t>
            </w:r>
          </w:p>
        </w:tc>
        <w:tc>
          <w:tcPr>
            <w:tcW w:w="3213" w:type="dxa"/>
            <w:tcBorders>
              <w:top w:val="single" w:color="auto" w:sz="2" w:space="0"/>
              <w:left w:val="single" w:color="auto" w:sz="2" w:space="0"/>
              <w:bottom w:val="single" w:color="auto" w:sz="2" w:space="0"/>
              <w:right w:val="single" w:color="auto" w:sz="2" w:space="0"/>
            </w:tcBorders>
            <w:vAlign w:val="center"/>
          </w:tcPr>
          <w:p w14:paraId="36C2880B">
            <w:pPr>
              <w:spacing w:before="0" w:after="0" w:line="240" w:lineRule="exact"/>
              <w:jc w:val="right"/>
              <w:rPr>
                <w:rFonts w:ascii="宋体" w:hAnsi="宋体" w:eastAsia="宋体" w:cs="宋体"/>
                <w:sz w:val="18"/>
                <w:szCs w:val="18"/>
              </w:rPr>
            </w:pPr>
            <w:r>
              <w:rPr>
                <w:rFonts w:ascii="宋体" w:hAnsi="宋体" w:eastAsia="宋体" w:cs="宋体"/>
                <w:sz w:val="18"/>
                <w:szCs w:val="18"/>
              </w:rPr>
              <w:t>487,914,663.21</w:t>
            </w:r>
          </w:p>
        </w:tc>
        <w:tc>
          <w:tcPr>
            <w:tcW w:w="3213" w:type="dxa"/>
            <w:tcBorders>
              <w:top w:val="single" w:color="auto" w:sz="2" w:space="0"/>
              <w:left w:val="single" w:color="auto" w:sz="2" w:space="0"/>
              <w:bottom w:val="single" w:color="auto" w:sz="2" w:space="0"/>
              <w:right w:val="single" w:color="auto" w:sz="2" w:space="0"/>
            </w:tcBorders>
            <w:vAlign w:val="center"/>
          </w:tcPr>
          <w:p w14:paraId="10583E8D">
            <w:pPr>
              <w:spacing w:before="0" w:after="0" w:line="240" w:lineRule="exact"/>
              <w:jc w:val="right"/>
              <w:rPr>
                <w:rFonts w:ascii="宋体" w:hAnsi="宋体" w:eastAsia="宋体" w:cs="宋体"/>
                <w:sz w:val="18"/>
                <w:szCs w:val="18"/>
              </w:rPr>
            </w:pPr>
            <w:r>
              <w:rPr>
                <w:rFonts w:ascii="宋体" w:hAnsi="宋体" w:eastAsia="宋体" w:cs="宋体"/>
                <w:sz w:val="18"/>
                <w:szCs w:val="18"/>
              </w:rPr>
              <w:t>454,502,291.42</w:t>
            </w:r>
          </w:p>
        </w:tc>
      </w:tr>
      <w:tr w14:paraId="0B0749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38A792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客户存款和同业存放款项净增加额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0328A5A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0F2386B">
            <w:pPr>
              <w:spacing w:before="0" w:after="0" w:line="240" w:lineRule="exact"/>
              <w:jc w:val="right"/>
              <w:rPr>
                <w:rFonts w:ascii="宋体" w:hAnsi="宋体" w:eastAsia="宋体" w:cs="宋体"/>
                <w:sz w:val="18"/>
                <w:szCs w:val="18"/>
              </w:rPr>
            </w:pPr>
          </w:p>
        </w:tc>
      </w:tr>
      <w:tr w14:paraId="637419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CA2337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向中央银行借款净增加额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24EAFAD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4B83E4F">
            <w:pPr>
              <w:spacing w:before="0" w:after="0" w:line="240" w:lineRule="exact"/>
              <w:jc w:val="right"/>
              <w:rPr>
                <w:rFonts w:ascii="宋体" w:hAnsi="宋体" w:eastAsia="宋体" w:cs="宋体"/>
                <w:sz w:val="18"/>
                <w:szCs w:val="18"/>
              </w:rPr>
            </w:pPr>
          </w:p>
        </w:tc>
      </w:tr>
      <w:tr w14:paraId="60B957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3F94C66">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向其他金融机构拆入资金净增加额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38E881E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8E54BA1">
            <w:pPr>
              <w:spacing w:before="0" w:after="0" w:line="240" w:lineRule="exact"/>
              <w:jc w:val="right"/>
              <w:rPr>
                <w:rFonts w:ascii="宋体" w:hAnsi="宋体" w:eastAsia="宋体" w:cs="宋体"/>
                <w:sz w:val="18"/>
                <w:szCs w:val="18"/>
              </w:rPr>
            </w:pPr>
          </w:p>
        </w:tc>
      </w:tr>
      <w:tr w14:paraId="647EDF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DC073FB">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收到原保险合同保费取得的现金</w:t>
            </w:r>
          </w:p>
        </w:tc>
        <w:tc>
          <w:tcPr>
            <w:tcW w:w="3213" w:type="dxa"/>
            <w:tcBorders>
              <w:top w:val="single" w:color="auto" w:sz="2" w:space="0"/>
              <w:left w:val="single" w:color="auto" w:sz="2" w:space="0"/>
              <w:bottom w:val="single" w:color="auto" w:sz="2" w:space="0"/>
              <w:right w:val="single" w:color="auto" w:sz="2" w:space="0"/>
            </w:tcBorders>
            <w:vAlign w:val="center"/>
          </w:tcPr>
          <w:p w14:paraId="2CF0B1D2">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4BBF460">
            <w:pPr>
              <w:spacing w:before="0" w:after="0" w:line="240" w:lineRule="exact"/>
              <w:jc w:val="right"/>
              <w:rPr>
                <w:rFonts w:ascii="宋体" w:hAnsi="宋体" w:eastAsia="宋体" w:cs="宋体"/>
                <w:sz w:val="18"/>
                <w:szCs w:val="18"/>
              </w:rPr>
            </w:pPr>
          </w:p>
        </w:tc>
      </w:tr>
      <w:tr w14:paraId="73BF9C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E76C5F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收到再保业务现金净额</w:t>
            </w:r>
          </w:p>
        </w:tc>
        <w:tc>
          <w:tcPr>
            <w:tcW w:w="3213" w:type="dxa"/>
            <w:tcBorders>
              <w:top w:val="single" w:color="auto" w:sz="2" w:space="0"/>
              <w:left w:val="single" w:color="auto" w:sz="2" w:space="0"/>
              <w:bottom w:val="single" w:color="auto" w:sz="2" w:space="0"/>
              <w:right w:val="single" w:color="auto" w:sz="2" w:space="0"/>
            </w:tcBorders>
            <w:vAlign w:val="center"/>
          </w:tcPr>
          <w:p w14:paraId="19ED7C7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DDEEA12">
            <w:pPr>
              <w:spacing w:before="0" w:after="0" w:line="240" w:lineRule="exact"/>
              <w:jc w:val="right"/>
              <w:rPr>
                <w:rFonts w:ascii="宋体" w:hAnsi="宋体" w:eastAsia="宋体" w:cs="宋体"/>
                <w:sz w:val="18"/>
                <w:szCs w:val="18"/>
              </w:rPr>
            </w:pPr>
          </w:p>
        </w:tc>
      </w:tr>
      <w:tr w14:paraId="69F31B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17BC70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保户储金及投资款净增加额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600C33C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AEEF736">
            <w:pPr>
              <w:spacing w:before="0" w:after="0" w:line="240" w:lineRule="exact"/>
              <w:jc w:val="right"/>
              <w:rPr>
                <w:rFonts w:ascii="宋体" w:hAnsi="宋体" w:eastAsia="宋体" w:cs="宋体"/>
                <w:sz w:val="18"/>
                <w:szCs w:val="18"/>
              </w:rPr>
            </w:pPr>
          </w:p>
        </w:tc>
      </w:tr>
      <w:tr w14:paraId="715495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59419E1">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收取利息、手续费及佣金的现金</w:t>
            </w:r>
          </w:p>
        </w:tc>
        <w:tc>
          <w:tcPr>
            <w:tcW w:w="3213" w:type="dxa"/>
            <w:tcBorders>
              <w:top w:val="single" w:color="auto" w:sz="2" w:space="0"/>
              <w:left w:val="single" w:color="auto" w:sz="2" w:space="0"/>
              <w:bottom w:val="single" w:color="auto" w:sz="2" w:space="0"/>
              <w:right w:val="single" w:color="auto" w:sz="2" w:space="0"/>
            </w:tcBorders>
            <w:vAlign w:val="center"/>
          </w:tcPr>
          <w:p w14:paraId="7FDB10F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8654D1F">
            <w:pPr>
              <w:spacing w:before="0" w:after="0" w:line="240" w:lineRule="exact"/>
              <w:jc w:val="right"/>
              <w:rPr>
                <w:rFonts w:ascii="宋体" w:hAnsi="宋体" w:eastAsia="宋体" w:cs="宋体"/>
                <w:sz w:val="18"/>
                <w:szCs w:val="18"/>
              </w:rPr>
            </w:pPr>
          </w:p>
        </w:tc>
      </w:tr>
      <w:tr w14:paraId="239B43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489852F">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拆入资金净增加额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3C55A188">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D6A8127">
            <w:pPr>
              <w:spacing w:before="0" w:after="0" w:line="240" w:lineRule="exact"/>
              <w:jc w:val="right"/>
              <w:rPr>
                <w:rFonts w:ascii="宋体" w:hAnsi="宋体" w:eastAsia="宋体" w:cs="宋体"/>
                <w:sz w:val="18"/>
                <w:szCs w:val="18"/>
              </w:rPr>
            </w:pPr>
          </w:p>
        </w:tc>
      </w:tr>
      <w:tr w14:paraId="0FE1D6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98366DE">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回购业务资金净增加额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44AE9608">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BA3F29E">
            <w:pPr>
              <w:spacing w:before="0" w:after="0" w:line="240" w:lineRule="exact"/>
              <w:jc w:val="right"/>
              <w:rPr>
                <w:rFonts w:ascii="宋体" w:hAnsi="宋体" w:eastAsia="宋体" w:cs="宋体"/>
                <w:sz w:val="18"/>
                <w:szCs w:val="18"/>
              </w:rPr>
            </w:pPr>
          </w:p>
        </w:tc>
      </w:tr>
      <w:tr w14:paraId="78A2F3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0C899C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代理买卖证券收到的现金净额</w:t>
            </w:r>
          </w:p>
        </w:tc>
        <w:tc>
          <w:tcPr>
            <w:tcW w:w="3213" w:type="dxa"/>
            <w:tcBorders>
              <w:top w:val="single" w:color="auto" w:sz="2" w:space="0"/>
              <w:left w:val="single" w:color="auto" w:sz="2" w:space="0"/>
              <w:bottom w:val="single" w:color="auto" w:sz="2" w:space="0"/>
              <w:right w:val="single" w:color="auto" w:sz="2" w:space="0"/>
            </w:tcBorders>
            <w:vAlign w:val="center"/>
          </w:tcPr>
          <w:p w14:paraId="25B31A7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E0407B4">
            <w:pPr>
              <w:spacing w:before="0" w:after="0" w:line="240" w:lineRule="exact"/>
              <w:jc w:val="right"/>
              <w:rPr>
                <w:rFonts w:ascii="宋体" w:hAnsi="宋体" w:eastAsia="宋体" w:cs="宋体"/>
                <w:sz w:val="18"/>
                <w:szCs w:val="18"/>
              </w:rPr>
            </w:pPr>
          </w:p>
        </w:tc>
      </w:tr>
      <w:tr w14:paraId="1BF46D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B6709E9">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收到的税费返还</w:t>
            </w:r>
          </w:p>
        </w:tc>
        <w:tc>
          <w:tcPr>
            <w:tcW w:w="3213" w:type="dxa"/>
            <w:tcBorders>
              <w:top w:val="single" w:color="auto" w:sz="2" w:space="0"/>
              <w:left w:val="single" w:color="auto" w:sz="2" w:space="0"/>
              <w:bottom w:val="single" w:color="auto" w:sz="2" w:space="0"/>
              <w:right w:val="single" w:color="auto" w:sz="2" w:space="0"/>
            </w:tcBorders>
            <w:vAlign w:val="center"/>
          </w:tcPr>
          <w:p w14:paraId="380DBEF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6060AD1">
            <w:pPr>
              <w:spacing w:before="0" w:after="0" w:line="240" w:lineRule="exact"/>
              <w:jc w:val="right"/>
              <w:rPr>
                <w:rFonts w:ascii="宋体" w:hAnsi="宋体" w:eastAsia="宋体" w:cs="宋体"/>
                <w:sz w:val="18"/>
                <w:szCs w:val="18"/>
              </w:rPr>
            </w:pPr>
            <w:r>
              <w:rPr>
                <w:rFonts w:ascii="宋体" w:hAnsi="宋体" w:eastAsia="宋体" w:cs="宋体"/>
                <w:sz w:val="18"/>
                <w:szCs w:val="18"/>
              </w:rPr>
              <w:t>1,857,093.18</w:t>
            </w:r>
          </w:p>
        </w:tc>
      </w:tr>
      <w:tr w14:paraId="784D8A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6E2FB38">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收到其他与经营活动有关的现金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437BD559">
            <w:pPr>
              <w:spacing w:before="0" w:after="0" w:line="240" w:lineRule="exact"/>
              <w:jc w:val="right"/>
              <w:rPr>
                <w:rFonts w:ascii="宋体" w:hAnsi="宋体" w:eastAsia="宋体" w:cs="宋体"/>
                <w:sz w:val="18"/>
                <w:szCs w:val="18"/>
              </w:rPr>
            </w:pPr>
            <w:r>
              <w:rPr>
                <w:rFonts w:ascii="宋体" w:hAnsi="宋体" w:eastAsia="宋体" w:cs="宋体"/>
                <w:sz w:val="18"/>
                <w:szCs w:val="18"/>
              </w:rPr>
              <w:t>84,697,896.99</w:t>
            </w:r>
          </w:p>
        </w:tc>
        <w:tc>
          <w:tcPr>
            <w:tcW w:w="3213" w:type="dxa"/>
            <w:tcBorders>
              <w:top w:val="single" w:color="auto" w:sz="2" w:space="0"/>
              <w:left w:val="single" w:color="auto" w:sz="2" w:space="0"/>
              <w:bottom w:val="single" w:color="auto" w:sz="2" w:space="0"/>
              <w:right w:val="single" w:color="auto" w:sz="2" w:space="0"/>
            </w:tcBorders>
            <w:vAlign w:val="center"/>
          </w:tcPr>
          <w:p w14:paraId="25BC299D">
            <w:pPr>
              <w:spacing w:before="0" w:after="0" w:line="240" w:lineRule="exact"/>
              <w:jc w:val="right"/>
              <w:rPr>
                <w:rFonts w:ascii="宋体" w:hAnsi="宋体" w:eastAsia="宋体" w:cs="宋体"/>
                <w:sz w:val="18"/>
                <w:szCs w:val="18"/>
              </w:rPr>
            </w:pPr>
            <w:r>
              <w:rPr>
                <w:rFonts w:ascii="宋体" w:hAnsi="宋体" w:eastAsia="宋体" w:cs="宋体"/>
                <w:sz w:val="18"/>
                <w:szCs w:val="18"/>
              </w:rPr>
              <w:t>16,720,382.68</w:t>
            </w:r>
          </w:p>
        </w:tc>
      </w:tr>
      <w:tr w14:paraId="2B0866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6AA4819">
            <w:pPr>
              <w:spacing w:before="0" w:after="0" w:line="240" w:lineRule="exact"/>
              <w:jc w:val="left"/>
              <w:rPr>
                <w:rFonts w:ascii="宋体" w:hAnsi="宋体" w:eastAsia="宋体" w:cs="宋体"/>
                <w:sz w:val="18"/>
                <w:szCs w:val="18"/>
              </w:rPr>
            </w:pPr>
            <w:r>
              <w:rPr>
                <w:rFonts w:ascii="宋体" w:hAnsi="宋体" w:eastAsia="宋体" w:cs="宋体"/>
                <w:sz w:val="18"/>
                <w:szCs w:val="18"/>
              </w:rPr>
              <w:t>经营活动现金流入小计</w:t>
            </w:r>
          </w:p>
        </w:tc>
        <w:tc>
          <w:tcPr>
            <w:tcW w:w="3213" w:type="dxa"/>
            <w:tcBorders>
              <w:top w:val="single" w:color="auto" w:sz="2" w:space="0"/>
              <w:left w:val="single" w:color="auto" w:sz="2" w:space="0"/>
              <w:bottom w:val="single" w:color="auto" w:sz="2" w:space="0"/>
              <w:right w:val="single" w:color="auto" w:sz="2" w:space="0"/>
            </w:tcBorders>
            <w:vAlign w:val="center"/>
          </w:tcPr>
          <w:p w14:paraId="3C969573">
            <w:pPr>
              <w:spacing w:before="0" w:after="0" w:line="240" w:lineRule="exact"/>
              <w:jc w:val="right"/>
              <w:rPr>
                <w:rFonts w:ascii="宋体" w:hAnsi="宋体" w:eastAsia="宋体" w:cs="宋体"/>
                <w:sz w:val="18"/>
                <w:szCs w:val="18"/>
              </w:rPr>
            </w:pPr>
            <w:r>
              <w:rPr>
                <w:rFonts w:ascii="宋体" w:hAnsi="宋体" w:eastAsia="宋体" w:cs="宋体"/>
                <w:sz w:val="18"/>
                <w:szCs w:val="18"/>
              </w:rPr>
              <w:t>572,612,560.20</w:t>
            </w:r>
          </w:p>
        </w:tc>
        <w:tc>
          <w:tcPr>
            <w:tcW w:w="3213" w:type="dxa"/>
            <w:tcBorders>
              <w:top w:val="single" w:color="auto" w:sz="2" w:space="0"/>
              <w:left w:val="single" w:color="auto" w:sz="2" w:space="0"/>
              <w:bottom w:val="single" w:color="auto" w:sz="2" w:space="0"/>
              <w:right w:val="single" w:color="auto" w:sz="2" w:space="0"/>
            </w:tcBorders>
            <w:vAlign w:val="center"/>
          </w:tcPr>
          <w:p w14:paraId="018C6AC2">
            <w:pPr>
              <w:spacing w:before="0" w:after="0" w:line="240" w:lineRule="exact"/>
              <w:jc w:val="right"/>
              <w:rPr>
                <w:rFonts w:ascii="宋体" w:hAnsi="宋体" w:eastAsia="宋体" w:cs="宋体"/>
                <w:sz w:val="18"/>
                <w:szCs w:val="18"/>
              </w:rPr>
            </w:pPr>
            <w:r>
              <w:rPr>
                <w:rFonts w:ascii="宋体" w:hAnsi="宋体" w:eastAsia="宋体" w:cs="宋体"/>
                <w:sz w:val="18"/>
                <w:szCs w:val="18"/>
              </w:rPr>
              <w:t>473,079,767.28</w:t>
            </w:r>
          </w:p>
        </w:tc>
      </w:tr>
      <w:tr w14:paraId="113F2D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2C0B24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购买商品、接受劳务支付的现金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0EC0C253">
            <w:pPr>
              <w:spacing w:before="0" w:after="0" w:line="240" w:lineRule="exact"/>
              <w:jc w:val="right"/>
              <w:rPr>
                <w:rFonts w:ascii="宋体" w:hAnsi="宋体" w:eastAsia="宋体" w:cs="宋体"/>
                <w:sz w:val="18"/>
                <w:szCs w:val="18"/>
              </w:rPr>
            </w:pPr>
            <w:r>
              <w:rPr>
                <w:rFonts w:ascii="宋体" w:hAnsi="宋体" w:eastAsia="宋体" w:cs="宋体"/>
                <w:sz w:val="18"/>
                <w:szCs w:val="18"/>
              </w:rPr>
              <w:t>147,485,496.71</w:t>
            </w:r>
          </w:p>
        </w:tc>
        <w:tc>
          <w:tcPr>
            <w:tcW w:w="3213" w:type="dxa"/>
            <w:tcBorders>
              <w:top w:val="single" w:color="auto" w:sz="2" w:space="0"/>
              <w:left w:val="single" w:color="auto" w:sz="2" w:space="0"/>
              <w:bottom w:val="single" w:color="auto" w:sz="2" w:space="0"/>
              <w:right w:val="single" w:color="auto" w:sz="2" w:space="0"/>
            </w:tcBorders>
            <w:vAlign w:val="center"/>
          </w:tcPr>
          <w:p w14:paraId="3ED46BEF">
            <w:pPr>
              <w:spacing w:before="0" w:after="0" w:line="240" w:lineRule="exact"/>
              <w:jc w:val="right"/>
              <w:rPr>
                <w:rFonts w:ascii="宋体" w:hAnsi="宋体" w:eastAsia="宋体" w:cs="宋体"/>
                <w:sz w:val="18"/>
                <w:szCs w:val="18"/>
              </w:rPr>
            </w:pPr>
            <w:r>
              <w:rPr>
                <w:rFonts w:ascii="宋体" w:hAnsi="宋体" w:eastAsia="宋体" w:cs="宋体"/>
                <w:sz w:val="18"/>
                <w:szCs w:val="18"/>
              </w:rPr>
              <w:t>171,875,536.19</w:t>
            </w:r>
          </w:p>
        </w:tc>
      </w:tr>
      <w:tr w14:paraId="377965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690F27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客户贷款及垫款净增加额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73BDB47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6102554">
            <w:pPr>
              <w:spacing w:before="0" w:after="0" w:line="240" w:lineRule="exact"/>
              <w:jc w:val="right"/>
              <w:rPr>
                <w:rFonts w:ascii="宋体" w:hAnsi="宋体" w:eastAsia="宋体" w:cs="宋体"/>
                <w:sz w:val="18"/>
                <w:szCs w:val="18"/>
              </w:rPr>
            </w:pPr>
          </w:p>
        </w:tc>
      </w:tr>
      <w:tr w14:paraId="63DCDD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889B7D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存放中央银行和同业款项净增加额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4A35D49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3D97E76">
            <w:pPr>
              <w:spacing w:before="0" w:after="0" w:line="240" w:lineRule="exact"/>
              <w:jc w:val="right"/>
              <w:rPr>
                <w:rFonts w:ascii="宋体" w:hAnsi="宋体" w:eastAsia="宋体" w:cs="宋体"/>
                <w:sz w:val="18"/>
                <w:szCs w:val="18"/>
              </w:rPr>
            </w:pPr>
          </w:p>
        </w:tc>
      </w:tr>
      <w:tr w14:paraId="17B79F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4E90E8">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支付原保险合同赔付款项的现金</w:t>
            </w:r>
          </w:p>
        </w:tc>
        <w:tc>
          <w:tcPr>
            <w:tcW w:w="3213" w:type="dxa"/>
            <w:tcBorders>
              <w:top w:val="single" w:color="auto" w:sz="2" w:space="0"/>
              <w:left w:val="single" w:color="auto" w:sz="2" w:space="0"/>
              <w:bottom w:val="single" w:color="auto" w:sz="2" w:space="0"/>
              <w:right w:val="single" w:color="auto" w:sz="2" w:space="0"/>
            </w:tcBorders>
            <w:vAlign w:val="center"/>
          </w:tcPr>
          <w:p w14:paraId="3AE6601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81B1AEF">
            <w:pPr>
              <w:spacing w:before="0" w:after="0" w:line="240" w:lineRule="exact"/>
              <w:jc w:val="right"/>
              <w:rPr>
                <w:rFonts w:ascii="宋体" w:hAnsi="宋体" w:eastAsia="宋体" w:cs="宋体"/>
                <w:sz w:val="18"/>
                <w:szCs w:val="18"/>
              </w:rPr>
            </w:pPr>
          </w:p>
        </w:tc>
      </w:tr>
      <w:tr w14:paraId="55DFAE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228335C">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拆出资金净增加额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3C626E8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96670C1">
            <w:pPr>
              <w:spacing w:before="0" w:after="0" w:line="240" w:lineRule="exact"/>
              <w:jc w:val="right"/>
              <w:rPr>
                <w:rFonts w:ascii="宋体" w:hAnsi="宋体" w:eastAsia="宋体" w:cs="宋体"/>
                <w:sz w:val="18"/>
                <w:szCs w:val="18"/>
              </w:rPr>
            </w:pPr>
          </w:p>
        </w:tc>
      </w:tr>
      <w:tr w14:paraId="353D79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3F5B0C">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支付利息、手续费及佣金的现金</w:t>
            </w:r>
          </w:p>
        </w:tc>
        <w:tc>
          <w:tcPr>
            <w:tcW w:w="3213" w:type="dxa"/>
            <w:tcBorders>
              <w:top w:val="single" w:color="auto" w:sz="2" w:space="0"/>
              <w:left w:val="single" w:color="auto" w:sz="2" w:space="0"/>
              <w:bottom w:val="single" w:color="auto" w:sz="2" w:space="0"/>
              <w:right w:val="single" w:color="auto" w:sz="2" w:space="0"/>
            </w:tcBorders>
            <w:vAlign w:val="center"/>
          </w:tcPr>
          <w:p w14:paraId="49C71E7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2BB3902">
            <w:pPr>
              <w:spacing w:before="0" w:after="0" w:line="240" w:lineRule="exact"/>
              <w:jc w:val="right"/>
              <w:rPr>
                <w:rFonts w:ascii="宋体" w:hAnsi="宋体" w:eastAsia="宋体" w:cs="宋体"/>
                <w:sz w:val="18"/>
                <w:szCs w:val="18"/>
              </w:rPr>
            </w:pPr>
          </w:p>
        </w:tc>
      </w:tr>
      <w:tr w14:paraId="6B895D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33B60A1">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支付保单红利的现金</w:t>
            </w:r>
          </w:p>
        </w:tc>
        <w:tc>
          <w:tcPr>
            <w:tcW w:w="3213" w:type="dxa"/>
            <w:tcBorders>
              <w:top w:val="single" w:color="auto" w:sz="2" w:space="0"/>
              <w:left w:val="single" w:color="auto" w:sz="2" w:space="0"/>
              <w:bottom w:val="single" w:color="auto" w:sz="2" w:space="0"/>
              <w:right w:val="single" w:color="auto" w:sz="2" w:space="0"/>
            </w:tcBorders>
            <w:vAlign w:val="center"/>
          </w:tcPr>
          <w:p w14:paraId="7D1E0A4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5143511">
            <w:pPr>
              <w:spacing w:before="0" w:after="0" w:line="240" w:lineRule="exact"/>
              <w:jc w:val="right"/>
              <w:rPr>
                <w:rFonts w:ascii="宋体" w:hAnsi="宋体" w:eastAsia="宋体" w:cs="宋体"/>
                <w:sz w:val="18"/>
                <w:szCs w:val="18"/>
              </w:rPr>
            </w:pPr>
          </w:p>
        </w:tc>
      </w:tr>
      <w:tr w14:paraId="103B30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5849777">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支付给职工以及为职工支付的现金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702DCA42">
            <w:pPr>
              <w:spacing w:before="0" w:after="0" w:line="240" w:lineRule="exact"/>
              <w:jc w:val="right"/>
              <w:rPr>
                <w:rFonts w:ascii="宋体" w:hAnsi="宋体" w:eastAsia="宋体" w:cs="宋体"/>
                <w:sz w:val="18"/>
                <w:szCs w:val="18"/>
              </w:rPr>
            </w:pPr>
            <w:r>
              <w:rPr>
                <w:rFonts w:ascii="宋体" w:hAnsi="宋体" w:eastAsia="宋体" w:cs="宋体"/>
                <w:sz w:val="18"/>
                <w:szCs w:val="18"/>
              </w:rPr>
              <w:t>150,318,378.19</w:t>
            </w:r>
          </w:p>
        </w:tc>
        <w:tc>
          <w:tcPr>
            <w:tcW w:w="3213" w:type="dxa"/>
            <w:tcBorders>
              <w:top w:val="single" w:color="auto" w:sz="2" w:space="0"/>
              <w:left w:val="single" w:color="auto" w:sz="2" w:space="0"/>
              <w:bottom w:val="single" w:color="auto" w:sz="2" w:space="0"/>
              <w:right w:val="single" w:color="auto" w:sz="2" w:space="0"/>
            </w:tcBorders>
            <w:vAlign w:val="center"/>
          </w:tcPr>
          <w:p w14:paraId="183393D4">
            <w:pPr>
              <w:spacing w:before="0" w:after="0" w:line="240" w:lineRule="exact"/>
              <w:jc w:val="right"/>
              <w:rPr>
                <w:rFonts w:ascii="宋体" w:hAnsi="宋体" w:eastAsia="宋体" w:cs="宋体"/>
                <w:sz w:val="18"/>
                <w:szCs w:val="18"/>
              </w:rPr>
            </w:pPr>
            <w:r>
              <w:rPr>
                <w:rFonts w:ascii="宋体" w:hAnsi="宋体" w:eastAsia="宋体" w:cs="宋体"/>
                <w:sz w:val="18"/>
                <w:szCs w:val="18"/>
              </w:rPr>
              <w:t>142,049,164.45</w:t>
            </w:r>
          </w:p>
        </w:tc>
      </w:tr>
      <w:tr w14:paraId="445632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DD8AB9E">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支付的各项税费</w:t>
            </w:r>
          </w:p>
        </w:tc>
        <w:tc>
          <w:tcPr>
            <w:tcW w:w="3213" w:type="dxa"/>
            <w:tcBorders>
              <w:top w:val="single" w:color="auto" w:sz="2" w:space="0"/>
              <w:left w:val="single" w:color="auto" w:sz="2" w:space="0"/>
              <w:bottom w:val="single" w:color="auto" w:sz="2" w:space="0"/>
              <w:right w:val="single" w:color="auto" w:sz="2" w:space="0"/>
            </w:tcBorders>
            <w:vAlign w:val="center"/>
          </w:tcPr>
          <w:p w14:paraId="0F85E824">
            <w:pPr>
              <w:spacing w:before="0" w:after="0" w:line="240" w:lineRule="exact"/>
              <w:jc w:val="right"/>
              <w:rPr>
                <w:rFonts w:ascii="宋体" w:hAnsi="宋体" w:eastAsia="宋体" w:cs="宋体"/>
                <w:sz w:val="18"/>
                <w:szCs w:val="18"/>
              </w:rPr>
            </w:pPr>
            <w:r>
              <w:rPr>
                <w:rFonts w:ascii="宋体" w:hAnsi="宋体" w:eastAsia="宋体" w:cs="宋体"/>
                <w:sz w:val="18"/>
                <w:szCs w:val="18"/>
              </w:rPr>
              <w:t>59,606,395.68</w:t>
            </w:r>
          </w:p>
        </w:tc>
        <w:tc>
          <w:tcPr>
            <w:tcW w:w="3213" w:type="dxa"/>
            <w:tcBorders>
              <w:top w:val="single" w:color="auto" w:sz="2" w:space="0"/>
              <w:left w:val="single" w:color="auto" w:sz="2" w:space="0"/>
              <w:bottom w:val="single" w:color="auto" w:sz="2" w:space="0"/>
              <w:right w:val="single" w:color="auto" w:sz="2" w:space="0"/>
            </w:tcBorders>
            <w:vAlign w:val="center"/>
          </w:tcPr>
          <w:p w14:paraId="50EF12AC">
            <w:pPr>
              <w:spacing w:before="0" w:after="0" w:line="240" w:lineRule="exact"/>
              <w:jc w:val="right"/>
              <w:rPr>
                <w:rFonts w:ascii="宋体" w:hAnsi="宋体" w:eastAsia="宋体" w:cs="宋体"/>
                <w:sz w:val="18"/>
                <w:szCs w:val="18"/>
              </w:rPr>
            </w:pPr>
            <w:r>
              <w:rPr>
                <w:rFonts w:ascii="宋体" w:hAnsi="宋体" w:eastAsia="宋体" w:cs="宋体"/>
                <w:sz w:val="18"/>
                <w:szCs w:val="18"/>
              </w:rPr>
              <w:t>56,075,350.39</w:t>
            </w:r>
          </w:p>
        </w:tc>
      </w:tr>
      <w:tr w14:paraId="3C9292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664FA51">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支付其他与经营活动有关的现金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16FF4286">
            <w:pPr>
              <w:spacing w:before="0" w:after="0" w:line="240" w:lineRule="exact"/>
              <w:jc w:val="right"/>
              <w:rPr>
                <w:rFonts w:ascii="宋体" w:hAnsi="宋体" w:eastAsia="宋体" w:cs="宋体"/>
                <w:sz w:val="18"/>
                <w:szCs w:val="18"/>
              </w:rPr>
            </w:pPr>
            <w:r>
              <w:rPr>
                <w:rFonts w:ascii="宋体" w:hAnsi="宋体" w:eastAsia="宋体" w:cs="宋体"/>
                <w:sz w:val="18"/>
                <w:szCs w:val="18"/>
              </w:rPr>
              <w:t>194,494,566.32</w:t>
            </w:r>
          </w:p>
        </w:tc>
        <w:tc>
          <w:tcPr>
            <w:tcW w:w="3213" w:type="dxa"/>
            <w:tcBorders>
              <w:top w:val="single" w:color="auto" w:sz="2" w:space="0"/>
              <w:left w:val="single" w:color="auto" w:sz="2" w:space="0"/>
              <w:bottom w:val="single" w:color="auto" w:sz="2" w:space="0"/>
              <w:right w:val="single" w:color="auto" w:sz="2" w:space="0"/>
            </w:tcBorders>
            <w:vAlign w:val="center"/>
          </w:tcPr>
          <w:p w14:paraId="329D523C">
            <w:pPr>
              <w:spacing w:before="0" w:after="0" w:line="240" w:lineRule="exact"/>
              <w:jc w:val="right"/>
              <w:rPr>
                <w:rFonts w:ascii="宋体" w:hAnsi="宋体" w:eastAsia="宋体" w:cs="宋体"/>
                <w:sz w:val="18"/>
                <w:szCs w:val="18"/>
              </w:rPr>
            </w:pPr>
            <w:r>
              <w:rPr>
                <w:rFonts w:ascii="宋体" w:hAnsi="宋体" w:eastAsia="宋体" w:cs="宋体"/>
                <w:sz w:val="18"/>
                <w:szCs w:val="18"/>
              </w:rPr>
              <w:t>277,675,293.17</w:t>
            </w:r>
          </w:p>
        </w:tc>
      </w:tr>
      <w:tr w14:paraId="741D99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242EDBF">
            <w:pPr>
              <w:spacing w:before="0" w:after="0" w:line="240" w:lineRule="exact"/>
              <w:jc w:val="left"/>
              <w:rPr>
                <w:rFonts w:ascii="宋体" w:hAnsi="宋体" w:eastAsia="宋体" w:cs="宋体"/>
                <w:sz w:val="18"/>
                <w:szCs w:val="18"/>
              </w:rPr>
            </w:pPr>
            <w:r>
              <w:rPr>
                <w:rFonts w:ascii="宋体" w:hAnsi="宋体" w:eastAsia="宋体" w:cs="宋体"/>
                <w:sz w:val="18"/>
                <w:szCs w:val="18"/>
              </w:rPr>
              <w:t>经营活动现金流出小计</w:t>
            </w:r>
          </w:p>
        </w:tc>
        <w:tc>
          <w:tcPr>
            <w:tcW w:w="3213" w:type="dxa"/>
            <w:tcBorders>
              <w:top w:val="single" w:color="auto" w:sz="2" w:space="0"/>
              <w:left w:val="single" w:color="auto" w:sz="2" w:space="0"/>
              <w:bottom w:val="single" w:color="auto" w:sz="2" w:space="0"/>
              <w:right w:val="single" w:color="auto" w:sz="2" w:space="0"/>
            </w:tcBorders>
            <w:vAlign w:val="center"/>
          </w:tcPr>
          <w:p w14:paraId="124C1EE3">
            <w:pPr>
              <w:spacing w:before="0" w:after="0" w:line="240" w:lineRule="exact"/>
              <w:jc w:val="right"/>
              <w:rPr>
                <w:rFonts w:ascii="宋体" w:hAnsi="宋体" w:eastAsia="宋体" w:cs="宋体"/>
                <w:sz w:val="18"/>
                <w:szCs w:val="18"/>
              </w:rPr>
            </w:pPr>
            <w:r>
              <w:rPr>
                <w:rFonts w:ascii="宋体" w:hAnsi="宋体" w:eastAsia="宋体" w:cs="宋体"/>
                <w:sz w:val="18"/>
                <w:szCs w:val="18"/>
              </w:rPr>
              <w:t>551,904,836.90</w:t>
            </w:r>
          </w:p>
        </w:tc>
        <w:tc>
          <w:tcPr>
            <w:tcW w:w="3213" w:type="dxa"/>
            <w:tcBorders>
              <w:top w:val="single" w:color="auto" w:sz="2" w:space="0"/>
              <w:left w:val="single" w:color="auto" w:sz="2" w:space="0"/>
              <w:bottom w:val="single" w:color="auto" w:sz="2" w:space="0"/>
              <w:right w:val="single" w:color="auto" w:sz="2" w:space="0"/>
            </w:tcBorders>
            <w:vAlign w:val="center"/>
          </w:tcPr>
          <w:p w14:paraId="3F740834">
            <w:pPr>
              <w:spacing w:before="0" w:after="0" w:line="240" w:lineRule="exact"/>
              <w:jc w:val="right"/>
              <w:rPr>
                <w:rFonts w:ascii="宋体" w:hAnsi="宋体" w:eastAsia="宋体" w:cs="宋体"/>
                <w:sz w:val="18"/>
                <w:szCs w:val="18"/>
              </w:rPr>
            </w:pPr>
            <w:r>
              <w:rPr>
                <w:rFonts w:ascii="宋体" w:hAnsi="宋体" w:eastAsia="宋体" w:cs="宋体"/>
                <w:sz w:val="18"/>
                <w:szCs w:val="18"/>
              </w:rPr>
              <w:t>647,675,344.20</w:t>
            </w:r>
          </w:p>
        </w:tc>
      </w:tr>
      <w:tr w14:paraId="42749C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4E82825">
            <w:pPr>
              <w:spacing w:before="0" w:after="0" w:line="240" w:lineRule="exact"/>
              <w:jc w:val="left"/>
              <w:rPr>
                <w:rFonts w:ascii="宋体" w:hAnsi="宋体" w:eastAsia="宋体" w:cs="宋体"/>
                <w:sz w:val="18"/>
                <w:szCs w:val="18"/>
              </w:rPr>
            </w:pPr>
            <w:r>
              <w:rPr>
                <w:rFonts w:ascii="宋体" w:hAnsi="宋体" w:eastAsia="宋体" w:cs="宋体"/>
                <w:sz w:val="18"/>
                <w:szCs w:val="18"/>
              </w:rPr>
              <w:t>经营活动产生的现金流量净额</w:t>
            </w:r>
          </w:p>
        </w:tc>
        <w:tc>
          <w:tcPr>
            <w:tcW w:w="3213" w:type="dxa"/>
            <w:tcBorders>
              <w:top w:val="single" w:color="auto" w:sz="2" w:space="0"/>
              <w:left w:val="single" w:color="auto" w:sz="2" w:space="0"/>
              <w:bottom w:val="single" w:color="auto" w:sz="2" w:space="0"/>
              <w:right w:val="single" w:color="auto" w:sz="2" w:space="0"/>
            </w:tcBorders>
            <w:vAlign w:val="center"/>
          </w:tcPr>
          <w:p w14:paraId="4473283B">
            <w:pPr>
              <w:spacing w:before="0" w:after="0" w:line="240" w:lineRule="exact"/>
              <w:jc w:val="right"/>
              <w:rPr>
                <w:rFonts w:ascii="宋体" w:hAnsi="宋体" w:eastAsia="宋体" w:cs="宋体"/>
                <w:sz w:val="18"/>
                <w:szCs w:val="18"/>
              </w:rPr>
            </w:pPr>
            <w:r>
              <w:rPr>
                <w:rFonts w:ascii="宋体" w:hAnsi="宋体" w:eastAsia="宋体" w:cs="宋体"/>
                <w:sz w:val="18"/>
                <w:szCs w:val="18"/>
              </w:rPr>
              <w:t>20,707,723.30</w:t>
            </w:r>
          </w:p>
        </w:tc>
        <w:tc>
          <w:tcPr>
            <w:tcW w:w="3213" w:type="dxa"/>
            <w:tcBorders>
              <w:top w:val="single" w:color="auto" w:sz="2" w:space="0"/>
              <w:left w:val="single" w:color="auto" w:sz="2" w:space="0"/>
              <w:bottom w:val="single" w:color="auto" w:sz="2" w:space="0"/>
              <w:right w:val="single" w:color="auto" w:sz="2" w:space="0"/>
            </w:tcBorders>
            <w:vAlign w:val="center"/>
          </w:tcPr>
          <w:p w14:paraId="06005011">
            <w:pPr>
              <w:spacing w:before="0" w:after="0" w:line="240" w:lineRule="exact"/>
              <w:jc w:val="right"/>
              <w:rPr>
                <w:rFonts w:ascii="宋体" w:hAnsi="宋体" w:eastAsia="宋体" w:cs="宋体"/>
                <w:sz w:val="18"/>
                <w:szCs w:val="18"/>
              </w:rPr>
            </w:pPr>
            <w:r>
              <w:rPr>
                <w:rFonts w:ascii="宋体" w:hAnsi="宋体" w:eastAsia="宋体" w:cs="宋体"/>
                <w:sz w:val="18"/>
                <w:szCs w:val="18"/>
              </w:rPr>
              <w:t>-174,595,576.92</w:t>
            </w:r>
          </w:p>
        </w:tc>
      </w:tr>
      <w:tr w14:paraId="7C10B3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9C83B3A">
            <w:pPr>
              <w:spacing w:before="0" w:after="0" w:line="240" w:lineRule="exact"/>
              <w:jc w:val="left"/>
              <w:rPr>
                <w:rFonts w:ascii="宋体" w:hAnsi="宋体" w:eastAsia="宋体" w:cs="宋体"/>
                <w:sz w:val="18"/>
                <w:szCs w:val="18"/>
              </w:rPr>
            </w:pPr>
            <w:r>
              <w:rPr>
                <w:rFonts w:ascii="宋体" w:hAnsi="宋体" w:eastAsia="宋体" w:cs="宋体"/>
                <w:sz w:val="18"/>
                <w:szCs w:val="18"/>
              </w:rPr>
              <w:t>二、投资活动产生的现金流量：</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ACB0127"/>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30B1BA8"/>
        </w:tc>
      </w:tr>
      <w:tr w14:paraId="739531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57AD089">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收回投资收到的现金</w:t>
            </w:r>
          </w:p>
        </w:tc>
        <w:tc>
          <w:tcPr>
            <w:tcW w:w="3213" w:type="dxa"/>
            <w:tcBorders>
              <w:top w:val="single" w:color="auto" w:sz="2" w:space="0"/>
              <w:left w:val="single" w:color="auto" w:sz="2" w:space="0"/>
              <w:bottom w:val="single" w:color="auto" w:sz="2" w:space="0"/>
              <w:right w:val="single" w:color="auto" w:sz="2" w:space="0"/>
            </w:tcBorders>
            <w:vAlign w:val="center"/>
          </w:tcPr>
          <w:p w14:paraId="1F25CDA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56F1432">
            <w:pPr>
              <w:spacing w:before="0" w:after="0" w:line="240" w:lineRule="exact"/>
              <w:jc w:val="right"/>
              <w:rPr>
                <w:rFonts w:ascii="宋体" w:hAnsi="宋体" w:eastAsia="宋体" w:cs="宋体"/>
                <w:sz w:val="18"/>
                <w:szCs w:val="18"/>
              </w:rPr>
            </w:pPr>
          </w:p>
        </w:tc>
      </w:tr>
      <w:tr w14:paraId="650405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792554">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取得投资收益收到的现金</w:t>
            </w:r>
          </w:p>
        </w:tc>
        <w:tc>
          <w:tcPr>
            <w:tcW w:w="3213" w:type="dxa"/>
            <w:tcBorders>
              <w:top w:val="single" w:color="auto" w:sz="2" w:space="0"/>
              <w:left w:val="single" w:color="auto" w:sz="2" w:space="0"/>
              <w:bottom w:val="single" w:color="auto" w:sz="2" w:space="0"/>
              <w:right w:val="single" w:color="auto" w:sz="2" w:space="0"/>
            </w:tcBorders>
            <w:vAlign w:val="center"/>
          </w:tcPr>
          <w:p w14:paraId="70AF6247">
            <w:pPr>
              <w:spacing w:before="0" w:after="0" w:line="240" w:lineRule="exact"/>
              <w:jc w:val="right"/>
              <w:rPr>
                <w:rFonts w:ascii="宋体" w:hAnsi="宋体" w:eastAsia="宋体" w:cs="宋体"/>
                <w:sz w:val="18"/>
                <w:szCs w:val="18"/>
              </w:rPr>
            </w:pPr>
            <w:r>
              <w:rPr>
                <w:rFonts w:ascii="宋体" w:hAnsi="宋体" w:eastAsia="宋体" w:cs="宋体"/>
                <w:sz w:val="18"/>
                <w:szCs w:val="18"/>
              </w:rPr>
              <w:t>17,679,123.29</w:t>
            </w:r>
          </w:p>
        </w:tc>
        <w:tc>
          <w:tcPr>
            <w:tcW w:w="3213" w:type="dxa"/>
            <w:tcBorders>
              <w:top w:val="single" w:color="auto" w:sz="2" w:space="0"/>
              <w:left w:val="single" w:color="auto" w:sz="2" w:space="0"/>
              <w:bottom w:val="single" w:color="auto" w:sz="2" w:space="0"/>
              <w:right w:val="single" w:color="auto" w:sz="2" w:space="0"/>
            </w:tcBorders>
            <w:vAlign w:val="center"/>
          </w:tcPr>
          <w:p w14:paraId="07F34B8B">
            <w:pPr>
              <w:spacing w:before="0" w:after="0" w:line="240" w:lineRule="exact"/>
              <w:jc w:val="right"/>
              <w:rPr>
                <w:rFonts w:ascii="宋体" w:hAnsi="宋体" w:eastAsia="宋体" w:cs="宋体"/>
                <w:sz w:val="18"/>
                <w:szCs w:val="18"/>
              </w:rPr>
            </w:pPr>
            <w:r>
              <w:rPr>
                <w:rFonts w:ascii="宋体" w:hAnsi="宋体" w:eastAsia="宋体" w:cs="宋体"/>
                <w:sz w:val="18"/>
                <w:szCs w:val="18"/>
              </w:rPr>
              <w:t>89,851.66</w:t>
            </w:r>
          </w:p>
        </w:tc>
      </w:tr>
      <w:tr w14:paraId="1EF4B2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2ABF837">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处置固定资产、无形资产和其他长期资产收回的现金净额</w:t>
            </w:r>
          </w:p>
        </w:tc>
        <w:tc>
          <w:tcPr>
            <w:tcW w:w="3213" w:type="dxa"/>
            <w:tcBorders>
              <w:top w:val="single" w:color="auto" w:sz="2" w:space="0"/>
              <w:left w:val="single" w:color="auto" w:sz="2" w:space="0"/>
              <w:bottom w:val="single" w:color="auto" w:sz="2" w:space="0"/>
              <w:right w:val="single" w:color="auto" w:sz="2" w:space="0"/>
            </w:tcBorders>
            <w:vAlign w:val="center"/>
          </w:tcPr>
          <w:p w14:paraId="217CDEAA">
            <w:pPr>
              <w:spacing w:before="0" w:after="0" w:line="240" w:lineRule="exact"/>
              <w:jc w:val="right"/>
              <w:rPr>
                <w:rFonts w:ascii="宋体" w:hAnsi="宋体" w:eastAsia="宋体" w:cs="宋体"/>
                <w:sz w:val="18"/>
                <w:szCs w:val="18"/>
              </w:rPr>
            </w:pPr>
            <w:r>
              <w:rPr>
                <w:rFonts w:ascii="宋体" w:hAnsi="宋体" w:eastAsia="宋体" w:cs="宋体"/>
                <w:sz w:val="18"/>
                <w:szCs w:val="18"/>
              </w:rPr>
              <w:t>4,503,420.00</w:t>
            </w:r>
          </w:p>
        </w:tc>
        <w:tc>
          <w:tcPr>
            <w:tcW w:w="3213" w:type="dxa"/>
            <w:tcBorders>
              <w:top w:val="single" w:color="auto" w:sz="2" w:space="0"/>
              <w:left w:val="single" w:color="auto" w:sz="2" w:space="0"/>
              <w:bottom w:val="single" w:color="auto" w:sz="2" w:space="0"/>
              <w:right w:val="single" w:color="auto" w:sz="2" w:space="0"/>
            </w:tcBorders>
            <w:vAlign w:val="center"/>
          </w:tcPr>
          <w:p w14:paraId="5486DC11">
            <w:pPr>
              <w:spacing w:before="0" w:after="0" w:line="240" w:lineRule="exact"/>
              <w:jc w:val="right"/>
              <w:rPr>
                <w:rFonts w:ascii="宋体" w:hAnsi="宋体" w:eastAsia="宋体" w:cs="宋体"/>
                <w:sz w:val="18"/>
                <w:szCs w:val="18"/>
              </w:rPr>
            </w:pPr>
            <w:r>
              <w:rPr>
                <w:rFonts w:ascii="宋体" w:hAnsi="宋体" w:eastAsia="宋体" w:cs="宋体"/>
                <w:sz w:val="18"/>
                <w:szCs w:val="18"/>
              </w:rPr>
              <w:t>33,161.75</w:t>
            </w:r>
          </w:p>
        </w:tc>
      </w:tr>
      <w:tr w14:paraId="56740B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CE21A79">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处置子公司及其他营业单位收到的现金净额</w:t>
            </w:r>
          </w:p>
        </w:tc>
        <w:tc>
          <w:tcPr>
            <w:tcW w:w="3213" w:type="dxa"/>
            <w:tcBorders>
              <w:top w:val="single" w:color="auto" w:sz="2" w:space="0"/>
              <w:left w:val="single" w:color="auto" w:sz="2" w:space="0"/>
              <w:bottom w:val="single" w:color="auto" w:sz="2" w:space="0"/>
              <w:right w:val="single" w:color="auto" w:sz="2" w:space="0"/>
            </w:tcBorders>
            <w:vAlign w:val="center"/>
          </w:tcPr>
          <w:p w14:paraId="43FA5DC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10CE009">
            <w:pPr>
              <w:spacing w:before="0" w:after="0" w:line="240" w:lineRule="exact"/>
              <w:jc w:val="right"/>
              <w:rPr>
                <w:rFonts w:ascii="宋体" w:hAnsi="宋体" w:eastAsia="宋体" w:cs="宋体"/>
                <w:sz w:val="18"/>
                <w:szCs w:val="18"/>
              </w:rPr>
            </w:pPr>
          </w:p>
        </w:tc>
      </w:tr>
      <w:tr w14:paraId="41F6AE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F9221DE">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收到其他与投资活动有关的现金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69CFC817">
            <w:pPr>
              <w:spacing w:before="0" w:after="0" w:line="240" w:lineRule="exact"/>
              <w:jc w:val="right"/>
              <w:rPr>
                <w:rFonts w:ascii="宋体" w:hAnsi="宋体" w:eastAsia="宋体" w:cs="宋体"/>
                <w:sz w:val="18"/>
                <w:szCs w:val="18"/>
              </w:rPr>
            </w:pPr>
            <w:r>
              <w:rPr>
                <w:rFonts w:ascii="宋体" w:hAnsi="宋体" w:eastAsia="宋体" w:cs="宋体"/>
                <w:sz w:val="18"/>
                <w:szCs w:val="18"/>
              </w:rPr>
              <w:t>10,250,000.00</w:t>
            </w:r>
          </w:p>
        </w:tc>
        <w:tc>
          <w:tcPr>
            <w:tcW w:w="3213" w:type="dxa"/>
            <w:tcBorders>
              <w:top w:val="single" w:color="auto" w:sz="2" w:space="0"/>
              <w:left w:val="single" w:color="auto" w:sz="2" w:space="0"/>
              <w:bottom w:val="single" w:color="auto" w:sz="2" w:space="0"/>
              <w:right w:val="single" w:color="auto" w:sz="2" w:space="0"/>
            </w:tcBorders>
            <w:vAlign w:val="center"/>
          </w:tcPr>
          <w:p w14:paraId="4B911802">
            <w:pPr>
              <w:spacing w:before="0" w:after="0" w:line="240" w:lineRule="exact"/>
              <w:jc w:val="right"/>
              <w:rPr>
                <w:rFonts w:ascii="宋体" w:hAnsi="宋体" w:eastAsia="宋体" w:cs="宋体"/>
                <w:sz w:val="18"/>
                <w:szCs w:val="18"/>
              </w:rPr>
            </w:pPr>
            <w:r>
              <w:rPr>
                <w:rFonts w:ascii="宋体" w:hAnsi="宋体" w:eastAsia="宋体" w:cs="宋体"/>
                <w:sz w:val="18"/>
                <w:szCs w:val="18"/>
              </w:rPr>
              <w:t>43,250,000.00</w:t>
            </w:r>
          </w:p>
        </w:tc>
      </w:tr>
      <w:tr w14:paraId="04D167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1882817">
            <w:pPr>
              <w:spacing w:before="0" w:after="0" w:line="240" w:lineRule="exact"/>
              <w:jc w:val="left"/>
              <w:rPr>
                <w:rFonts w:ascii="宋体" w:hAnsi="宋体" w:eastAsia="宋体" w:cs="宋体"/>
                <w:sz w:val="18"/>
                <w:szCs w:val="18"/>
              </w:rPr>
            </w:pPr>
            <w:r>
              <w:rPr>
                <w:rFonts w:ascii="宋体" w:hAnsi="宋体" w:eastAsia="宋体" w:cs="宋体"/>
                <w:sz w:val="18"/>
                <w:szCs w:val="18"/>
              </w:rPr>
              <w:t>投资活动现金流入小计</w:t>
            </w:r>
          </w:p>
        </w:tc>
        <w:tc>
          <w:tcPr>
            <w:tcW w:w="3213" w:type="dxa"/>
            <w:tcBorders>
              <w:top w:val="single" w:color="auto" w:sz="2" w:space="0"/>
              <w:left w:val="single" w:color="auto" w:sz="2" w:space="0"/>
              <w:bottom w:val="single" w:color="auto" w:sz="2" w:space="0"/>
              <w:right w:val="single" w:color="auto" w:sz="2" w:space="0"/>
            </w:tcBorders>
            <w:vAlign w:val="center"/>
          </w:tcPr>
          <w:p w14:paraId="055C7B39">
            <w:pPr>
              <w:spacing w:before="0" w:after="0" w:line="240" w:lineRule="exact"/>
              <w:jc w:val="right"/>
              <w:rPr>
                <w:rFonts w:ascii="宋体" w:hAnsi="宋体" w:eastAsia="宋体" w:cs="宋体"/>
                <w:sz w:val="18"/>
                <w:szCs w:val="18"/>
              </w:rPr>
            </w:pPr>
            <w:r>
              <w:rPr>
                <w:rFonts w:ascii="宋体" w:hAnsi="宋体" w:eastAsia="宋体" w:cs="宋体"/>
                <w:sz w:val="18"/>
                <w:szCs w:val="18"/>
              </w:rPr>
              <w:t>32,432,543.29</w:t>
            </w:r>
          </w:p>
        </w:tc>
        <w:tc>
          <w:tcPr>
            <w:tcW w:w="3213" w:type="dxa"/>
            <w:tcBorders>
              <w:top w:val="single" w:color="auto" w:sz="2" w:space="0"/>
              <w:left w:val="single" w:color="auto" w:sz="2" w:space="0"/>
              <w:bottom w:val="single" w:color="auto" w:sz="2" w:space="0"/>
              <w:right w:val="single" w:color="auto" w:sz="2" w:space="0"/>
            </w:tcBorders>
            <w:vAlign w:val="center"/>
          </w:tcPr>
          <w:p w14:paraId="7FBC7829">
            <w:pPr>
              <w:spacing w:before="0" w:after="0" w:line="240" w:lineRule="exact"/>
              <w:jc w:val="right"/>
              <w:rPr>
                <w:rFonts w:ascii="宋体" w:hAnsi="宋体" w:eastAsia="宋体" w:cs="宋体"/>
                <w:sz w:val="18"/>
                <w:szCs w:val="18"/>
              </w:rPr>
            </w:pPr>
            <w:r>
              <w:rPr>
                <w:rFonts w:ascii="宋体" w:hAnsi="宋体" w:eastAsia="宋体" w:cs="宋体"/>
                <w:sz w:val="18"/>
                <w:szCs w:val="18"/>
              </w:rPr>
              <w:t>43,373,013.41</w:t>
            </w:r>
          </w:p>
        </w:tc>
      </w:tr>
      <w:tr w14:paraId="0AFEED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283DD16">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购建固定资产、无形资产和其他长期资产支付的现金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14EA6C16">
            <w:pPr>
              <w:spacing w:before="0" w:after="0" w:line="240" w:lineRule="exact"/>
              <w:jc w:val="right"/>
              <w:rPr>
                <w:rFonts w:ascii="宋体" w:hAnsi="宋体" w:eastAsia="宋体" w:cs="宋体"/>
                <w:sz w:val="18"/>
                <w:szCs w:val="18"/>
              </w:rPr>
            </w:pPr>
            <w:r>
              <w:rPr>
                <w:rFonts w:ascii="宋体" w:hAnsi="宋体" w:eastAsia="宋体" w:cs="宋体"/>
                <w:sz w:val="18"/>
                <w:szCs w:val="18"/>
              </w:rPr>
              <w:t>66,987,279.17</w:t>
            </w:r>
          </w:p>
        </w:tc>
        <w:tc>
          <w:tcPr>
            <w:tcW w:w="3213" w:type="dxa"/>
            <w:tcBorders>
              <w:top w:val="single" w:color="auto" w:sz="2" w:space="0"/>
              <w:left w:val="single" w:color="auto" w:sz="2" w:space="0"/>
              <w:bottom w:val="single" w:color="auto" w:sz="2" w:space="0"/>
              <w:right w:val="single" w:color="auto" w:sz="2" w:space="0"/>
            </w:tcBorders>
            <w:vAlign w:val="center"/>
          </w:tcPr>
          <w:p w14:paraId="5BAADA87">
            <w:pPr>
              <w:spacing w:before="0" w:after="0" w:line="240" w:lineRule="exact"/>
              <w:jc w:val="right"/>
              <w:rPr>
                <w:rFonts w:ascii="宋体" w:hAnsi="宋体" w:eastAsia="宋体" w:cs="宋体"/>
                <w:sz w:val="18"/>
                <w:szCs w:val="18"/>
              </w:rPr>
            </w:pPr>
            <w:r>
              <w:rPr>
                <w:rFonts w:ascii="宋体" w:hAnsi="宋体" w:eastAsia="宋体" w:cs="宋体"/>
                <w:sz w:val="18"/>
                <w:szCs w:val="18"/>
              </w:rPr>
              <w:t>201,236,674.54</w:t>
            </w:r>
          </w:p>
        </w:tc>
      </w:tr>
      <w:tr w14:paraId="409709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A23A26">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投资支付的现金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34F62A05">
            <w:pPr>
              <w:spacing w:before="0" w:after="0" w:line="240" w:lineRule="exact"/>
              <w:jc w:val="right"/>
              <w:rPr>
                <w:rFonts w:ascii="宋体" w:hAnsi="宋体" w:eastAsia="宋体" w:cs="宋体"/>
                <w:sz w:val="18"/>
                <w:szCs w:val="18"/>
              </w:rPr>
            </w:pPr>
            <w:r>
              <w:rPr>
                <w:rFonts w:ascii="宋体" w:hAnsi="宋体" w:eastAsia="宋体" w:cs="宋体"/>
                <w:sz w:val="18"/>
                <w:szCs w:val="18"/>
              </w:rPr>
              <w:t>1,057,331.45</w:t>
            </w:r>
          </w:p>
        </w:tc>
        <w:tc>
          <w:tcPr>
            <w:tcW w:w="3213" w:type="dxa"/>
            <w:tcBorders>
              <w:top w:val="single" w:color="auto" w:sz="2" w:space="0"/>
              <w:left w:val="single" w:color="auto" w:sz="2" w:space="0"/>
              <w:bottom w:val="single" w:color="auto" w:sz="2" w:space="0"/>
              <w:right w:val="single" w:color="auto" w:sz="2" w:space="0"/>
            </w:tcBorders>
            <w:vAlign w:val="center"/>
          </w:tcPr>
          <w:p w14:paraId="5BD09EBB">
            <w:pPr>
              <w:spacing w:before="0" w:after="0" w:line="240" w:lineRule="exact"/>
              <w:jc w:val="right"/>
              <w:rPr>
                <w:rFonts w:ascii="宋体" w:hAnsi="宋体" w:eastAsia="宋体" w:cs="宋体"/>
                <w:sz w:val="18"/>
                <w:szCs w:val="18"/>
              </w:rPr>
            </w:pPr>
            <w:r>
              <w:rPr>
                <w:rFonts w:ascii="宋体" w:hAnsi="宋体" w:eastAsia="宋体" w:cs="宋体"/>
                <w:sz w:val="18"/>
                <w:szCs w:val="18"/>
              </w:rPr>
              <w:t>9,542,668.55</w:t>
            </w:r>
          </w:p>
        </w:tc>
      </w:tr>
      <w:tr w14:paraId="1561F8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C1E279E">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质押贷款净增加额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286BE18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771A5BD">
            <w:pPr>
              <w:spacing w:before="0" w:after="0" w:line="240" w:lineRule="exact"/>
              <w:jc w:val="right"/>
              <w:rPr>
                <w:rFonts w:ascii="宋体" w:hAnsi="宋体" w:eastAsia="宋体" w:cs="宋体"/>
                <w:sz w:val="18"/>
                <w:szCs w:val="18"/>
              </w:rPr>
            </w:pPr>
          </w:p>
        </w:tc>
      </w:tr>
      <w:tr w14:paraId="3019A9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102FB23">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取得子公司及其他营业单位支付的现金净额</w:t>
            </w:r>
          </w:p>
        </w:tc>
        <w:tc>
          <w:tcPr>
            <w:tcW w:w="3213" w:type="dxa"/>
            <w:tcBorders>
              <w:top w:val="single" w:color="auto" w:sz="2" w:space="0"/>
              <w:left w:val="single" w:color="auto" w:sz="2" w:space="0"/>
              <w:bottom w:val="single" w:color="auto" w:sz="2" w:space="0"/>
              <w:right w:val="single" w:color="auto" w:sz="2" w:space="0"/>
            </w:tcBorders>
            <w:vAlign w:val="center"/>
          </w:tcPr>
          <w:p w14:paraId="67B9B08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490AEDF">
            <w:pPr>
              <w:spacing w:before="0" w:after="0" w:line="240" w:lineRule="exact"/>
              <w:jc w:val="right"/>
              <w:rPr>
                <w:rFonts w:ascii="宋体" w:hAnsi="宋体" w:eastAsia="宋体" w:cs="宋体"/>
                <w:sz w:val="18"/>
                <w:szCs w:val="18"/>
              </w:rPr>
            </w:pPr>
          </w:p>
        </w:tc>
      </w:tr>
      <w:tr w14:paraId="4B5250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DD2168C">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支付其他与投资活动有关的现金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678756A3">
            <w:pPr>
              <w:spacing w:before="0" w:after="0" w:line="240" w:lineRule="exact"/>
              <w:jc w:val="right"/>
              <w:rPr>
                <w:rFonts w:ascii="宋体" w:hAnsi="宋体" w:eastAsia="宋体" w:cs="宋体"/>
                <w:sz w:val="18"/>
                <w:szCs w:val="18"/>
              </w:rPr>
            </w:pPr>
            <w:r>
              <w:rPr>
                <w:rFonts w:ascii="宋体" w:hAnsi="宋体" w:eastAsia="宋体" w:cs="宋体"/>
                <w:sz w:val="18"/>
                <w:szCs w:val="18"/>
              </w:rPr>
              <w:t>10,200,000.00</w:t>
            </w:r>
          </w:p>
        </w:tc>
        <w:tc>
          <w:tcPr>
            <w:tcW w:w="3213" w:type="dxa"/>
            <w:tcBorders>
              <w:top w:val="single" w:color="auto" w:sz="2" w:space="0"/>
              <w:left w:val="single" w:color="auto" w:sz="2" w:space="0"/>
              <w:bottom w:val="single" w:color="auto" w:sz="2" w:space="0"/>
              <w:right w:val="single" w:color="auto" w:sz="2" w:space="0"/>
            </w:tcBorders>
            <w:vAlign w:val="center"/>
          </w:tcPr>
          <w:p w14:paraId="2860C829">
            <w:pPr>
              <w:spacing w:before="0" w:after="0" w:line="240" w:lineRule="exact"/>
              <w:jc w:val="right"/>
              <w:rPr>
                <w:rFonts w:ascii="宋体" w:hAnsi="宋体" w:eastAsia="宋体" w:cs="宋体"/>
                <w:sz w:val="18"/>
                <w:szCs w:val="18"/>
              </w:rPr>
            </w:pPr>
            <w:r>
              <w:rPr>
                <w:rFonts w:ascii="宋体" w:hAnsi="宋体" w:eastAsia="宋体" w:cs="宋体"/>
                <w:sz w:val="18"/>
                <w:szCs w:val="18"/>
              </w:rPr>
              <w:t>40,000,000.00</w:t>
            </w:r>
          </w:p>
        </w:tc>
      </w:tr>
      <w:tr w14:paraId="1C5736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09C7DAA">
            <w:pPr>
              <w:spacing w:before="0" w:after="0" w:line="240" w:lineRule="exact"/>
              <w:jc w:val="left"/>
              <w:rPr>
                <w:rFonts w:ascii="宋体" w:hAnsi="宋体" w:eastAsia="宋体" w:cs="宋体"/>
                <w:sz w:val="18"/>
                <w:szCs w:val="18"/>
              </w:rPr>
            </w:pPr>
            <w:r>
              <w:rPr>
                <w:rFonts w:ascii="宋体" w:hAnsi="宋体" w:eastAsia="宋体" w:cs="宋体"/>
                <w:sz w:val="18"/>
                <w:szCs w:val="18"/>
              </w:rPr>
              <w:t>投资活动现金流出小计</w:t>
            </w:r>
          </w:p>
        </w:tc>
        <w:tc>
          <w:tcPr>
            <w:tcW w:w="3213" w:type="dxa"/>
            <w:tcBorders>
              <w:top w:val="single" w:color="auto" w:sz="2" w:space="0"/>
              <w:left w:val="single" w:color="auto" w:sz="2" w:space="0"/>
              <w:bottom w:val="single" w:color="auto" w:sz="2" w:space="0"/>
              <w:right w:val="single" w:color="auto" w:sz="2" w:space="0"/>
            </w:tcBorders>
            <w:vAlign w:val="center"/>
          </w:tcPr>
          <w:p w14:paraId="2A729B79">
            <w:pPr>
              <w:spacing w:before="0" w:after="0" w:line="240" w:lineRule="exact"/>
              <w:jc w:val="right"/>
              <w:rPr>
                <w:rFonts w:ascii="宋体" w:hAnsi="宋体" w:eastAsia="宋体" w:cs="宋体"/>
                <w:sz w:val="18"/>
                <w:szCs w:val="18"/>
              </w:rPr>
            </w:pPr>
            <w:r>
              <w:rPr>
                <w:rFonts w:ascii="宋体" w:hAnsi="宋体" w:eastAsia="宋体" w:cs="宋体"/>
                <w:sz w:val="18"/>
                <w:szCs w:val="18"/>
              </w:rPr>
              <w:t>78,244,610.62</w:t>
            </w:r>
          </w:p>
        </w:tc>
        <w:tc>
          <w:tcPr>
            <w:tcW w:w="3213" w:type="dxa"/>
            <w:tcBorders>
              <w:top w:val="single" w:color="auto" w:sz="2" w:space="0"/>
              <w:left w:val="single" w:color="auto" w:sz="2" w:space="0"/>
              <w:bottom w:val="single" w:color="auto" w:sz="2" w:space="0"/>
              <w:right w:val="single" w:color="auto" w:sz="2" w:space="0"/>
            </w:tcBorders>
            <w:vAlign w:val="center"/>
          </w:tcPr>
          <w:p w14:paraId="66D0FB12">
            <w:pPr>
              <w:spacing w:before="0" w:after="0" w:line="240" w:lineRule="exact"/>
              <w:jc w:val="right"/>
              <w:rPr>
                <w:rFonts w:ascii="宋体" w:hAnsi="宋体" w:eastAsia="宋体" w:cs="宋体"/>
                <w:sz w:val="18"/>
                <w:szCs w:val="18"/>
              </w:rPr>
            </w:pPr>
            <w:r>
              <w:rPr>
                <w:rFonts w:ascii="宋体" w:hAnsi="宋体" w:eastAsia="宋体" w:cs="宋体"/>
                <w:sz w:val="18"/>
                <w:szCs w:val="18"/>
              </w:rPr>
              <w:t>250,779,343.09</w:t>
            </w:r>
          </w:p>
        </w:tc>
      </w:tr>
      <w:tr w14:paraId="21A5E2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A39D84A">
            <w:pPr>
              <w:spacing w:before="0" w:after="0" w:line="240" w:lineRule="exact"/>
              <w:jc w:val="left"/>
              <w:rPr>
                <w:rFonts w:ascii="宋体" w:hAnsi="宋体" w:eastAsia="宋体" w:cs="宋体"/>
                <w:sz w:val="18"/>
                <w:szCs w:val="18"/>
              </w:rPr>
            </w:pPr>
            <w:r>
              <w:rPr>
                <w:rFonts w:ascii="宋体" w:hAnsi="宋体" w:eastAsia="宋体" w:cs="宋体"/>
                <w:sz w:val="18"/>
                <w:szCs w:val="18"/>
              </w:rPr>
              <w:t>投资活动产生的现金流量净额</w:t>
            </w:r>
          </w:p>
        </w:tc>
        <w:tc>
          <w:tcPr>
            <w:tcW w:w="3213" w:type="dxa"/>
            <w:tcBorders>
              <w:top w:val="single" w:color="auto" w:sz="2" w:space="0"/>
              <w:left w:val="single" w:color="auto" w:sz="2" w:space="0"/>
              <w:bottom w:val="single" w:color="auto" w:sz="2" w:space="0"/>
              <w:right w:val="single" w:color="auto" w:sz="2" w:space="0"/>
            </w:tcBorders>
            <w:vAlign w:val="center"/>
          </w:tcPr>
          <w:p w14:paraId="305029ED">
            <w:pPr>
              <w:spacing w:before="0" w:after="0" w:line="240" w:lineRule="exact"/>
              <w:jc w:val="right"/>
              <w:rPr>
                <w:rFonts w:ascii="宋体" w:hAnsi="宋体" w:eastAsia="宋体" w:cs="宋体"/>
                <w:sz w:val="18"/>
                <w:szCs w:val="18"/>
              </w:rPr>
            </w:pPr>
            <w:r>
              <w:rPr>
                <w:rFonts w:ascii="宋体" w:hAnsi="宋体" w:eastAsia="宋体" w:cs="宋体"/>
                <w:sz w:val="18"/>
                <w:szCs w:val="18"/>
              </w:rPr>
              <w:t>-45,812,067.33</w:t>
            </w:r>
          </w:p>
        </w:tc>
        <w:tc>
          <w:tcPr>
            <w:tcW w:w="3213" w:type="dxa"/>
            <w:tcBorders>
              <w:top w:val="single" w:color="auto" w:sz="2" w:space="0"/>
              <w:left w:val="single" w:color="auto" w:sz="2" w:space="0"/>
              <w:bottom w:val="single" w:color="auto" w:sz="2" w:space="0"/>
              <w:right w:val="single" w:color="auto" w:sz="2" w:space="0"/>
            </w:tcBorders>
            <w:vAlign w:val="center"/>
          </w:tcPr>
          <w:p w14:paraId="1AC97965">
            <w:pPr>
              <w:spacing w:before="0" w:after="0" w:line="240" w:lineRule="exact"/>
              <w:jc w:val="right"/>
              <w:rPr>
                <w:rFonts w:ascii="宋体" w:hAnsi="宋体" w:eastAsia="宋体" w:cs="宋体"/>
                <w:sz w:val="18"/>
                <w:szCs w:val="18"/>
              </w:rPr>
            </w:pPr>
            <w:r>
              <w:rPr>
                <w:rFonts w:ascii="宋体" w:hAnsi="宋体" w:eastAsia="宋体" w:cs="宋体"/>
                <w:sz w:val="18"/>
                <w:szCs w:val="18"/>
              </w:rPr>
              <w:t>-207,406,329.68</w:t>
            </w:r>
          </w:p>
        </w:tc>
      </w:tr>
      <w:tr w14:paraId="6F9F2E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58CBEFC">
            <w:pPr>
              <w:spacing w:before="0" w:after="0" w:line="240" w:lineRule="exact"/>
              <w:jc w:val="left"/>
              <w:rPr>
                <w:rFonts w:ascii="宋体" w:hAnsi="宋体" w:eastAsia="宋体" w:cs="宋体"/>
                <w:sz w:val="18"/>
                <w:szCs w:val="18"/>
              </w:rPr>
            </w:pPr>
            <w:r>
              <w:rPr>
                <w:rFonts w:ascii="宋体" w:hAnsi="宋体" w:eastAsia="宋体" w:cs="宋体"/>
                <w:sz w:val="18"/>
                <w:szCs w:val="18"/>
              </w:rPr>
              <w:t>三、筹资活动产生的现金流量：</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1E1B3CE"/>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9BA6A34"/>
        </w:tc>
      </w:tr>
      <w:tr w14:paraId="527CA9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9473C7E">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吸收投资收到的现金</w:t>
            </w:r>
          </w:p>
        </w:tc>
        <w:tc>
          <w:tcPr>
            <w:tcW w:w="3213" w:type="dxa"/>
            <w:tcBorders>
              <w:top w:val="single" w:color="auto" w:sz="2" w:space="0"/>
              <w:left w:val="single" w:color="auto" w:sz="2" w:space="0"/>
              <w:bottom w:val="single" w:color="auto" w:sz="2" w:space="0"/>
              <w:right w:val="single" w:color="auto" w:sz="2" w:space="0"/>
            </w:tcBorders>
            <w:vAlign w:val="center"/>
          </w:tcPr>
          <w:p w14:paraId="1A39BAD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B1B350D">
            <w:pPr>
              <w:spacing w:before="0" w:after="0" w:line="240" w:lineRule="exact"/>
              <w:jc w:val="right"/>
              <w:rPr>
                <w:rFonts w:ascii="宋体" w:hAnsi="宋体" w:eastAsia="宋体" w:cs="宋体"/>
                <w:sz w:val="18"/>
                <w:szCs w:val="18"/>
              </w:rPr>
            </w:pPr>
            <w:r>
              <w:rPr>
                <w:rFonts w:ascii="宋体" w:hAnsi="宋体" w:eastAsia="宋体" w:cs="宋体"/>
                <w:sz w:val="18"/>
                <w:szCs w:val="18"/>
              </w:rPr>
              <w:t>220,000,000.00</w:t>
            </w:r>
          </w:p>
        </w:tc>
      </w:tr>
      <w:tr w14:paraId="3782F2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C3376FA">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其中：子公司吸收少数股东投资收到的现金</w:t>
            </w:r>
          </w:p>
        </w:tc>
        <w:tc>
          <w:tcPr>
            <w:tcW w:w="3213" w:type="dxa"/>
            <w:tcBorders>
              <w:top w:val="single" w:color="auto" w:sz="2" w:space="0"/>
              <w:left w:val="single" w:color="auto" w:sz="2" w:space="0"/>
              <w:bottom w:val="single" w:color="auto" w:sz="2" w:space="0"/>
              <w:right w:val="single" w:color="auto" w:sz="2" w:space="0"/>
            </w:tcBorders>
            <w:vAlign w:val="center"/>
          </w:tcPr>
          <w:p w14:paraId="191A2F7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AACCD01">
            <w:pPr>
              <w:spacing w:before="0" w:after="0" w:line="240" w:lineRule="exact"/>
              <w:jc w:val="right"/>
              <w:rPr>
                <w:rFonts w:ascii="宋体" w:hAnsi="宋体" w:eastAsia="宋体" w:cs="宋体"/>
                <w:sz w:val="18"/>
                <w:szCs w:val="18"/>
              </w:rPr>
            </w:pPr>
            <w:r>
              <w:rPr>
                <w:rFonts w:ascii="宋体" w:hAnsi="宋体" w:eastAsia="宋体" w:cs="宋体"/>
                <w:sz w:val="18"/>
                <w:szCs w:val="18"/>
              </w:rPr>
              <w:t>220,000,000.00</w:t>
            </w:r>
          </w:p>
        </w:tc>
      </w:tr>
      <w:tr w14:paraId="1FBB24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CF5682A">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取得借款收到的现金</w:t>
            </w:r>
          </w:p>
        </w:tc>
        <w:tc>
          <w:tcPr>
            <w:tcW w:w="3213" w:type="dxa"/>
            <w:tcBorders>
              <w:top w:val="single" w:color="auto" w:sz="2" w:space="0"/>
              <w:left w:val="single" w:color="auto" w:sz="2" w:space="0"/>
              <w:bottom w:val="single" w:color="auto" w:sz="2" w:space="0"/>
              <w:right w:val="single" w:color="auto" w:sz="2" w:space="0"/>
            </w:tcBorders>
            <w:vAlign w:val="center"/>
          </w:tcPr>
          <w:p w14:paraId="3DF892AD">
            <w:pPr>
              <w:spacing w:before="0" w:after="0" w:line="240" w:lineRule="exact"/>
              <w:jc w:val="right"/>
              <w:rPr>
                <w:rFonts w:ascii="宋体" w:hAnsi="宋体" w:eastAsia="宋体" w:cs="宋体"/>
                <w:sz w:val="18"/>
                <w:szCs w:val="18"/>
              </w:rPr>
            </w:pPr>
            <w:r>
              <w:rPr>
                <w:rFonts w:ascii="宋体" w:hAnsi="宋体" w:eastAsia="宋体" w:cs="宋体"/>
                <w:sz w:val="18"/>
                <w:szCs w:val="18"/>
              </w:rPr>
              <w:t>350,800,000.00</w:t>
            </w:r>
          </w:p>
        </w:tc>
        <w:tc>
          <w:tcPr>
            <w:tcW w:w="3213" w:type="dxa"/>
            <w:tcBorders>
              <w:top w:val="single" w:color="auto" w:sz="2" w:space="0"/>
              <w:left w:val="single" w:color="auto" w:sz="2" w:space="0"/>
              <w:bottom w:val="single" w:color="auto" w:sz="2" w:space="0"/>
              <w:right w:val="single" w:color="auto" w:sz="2" w:space="0"/>
            </w:tcBorders>
            <w:vAlign w:val="center"/>
          </w:tcPr>
          <w:p w14:paraId="79051267">
            <w:pPr>
              <w:spacing w:before="0" w:after="0" w:line="240" w:lineRule="exact"/>
              <w:jc w:val="right"/>
              <w:rPr>
                <w:rFonts w:ascii="宋体" w:hAnsi="宋体" w:eastAsia="宋体" w:cs="宋体"/>
                <w:sz w:val="18"/>
                <w:szCs w:val="18"/>
              </w:rPr>
            </w:pPr>
            <w:r>
              <w:rPr>
                <w:rFonts w:ascii="宋体" w:hAnsi="宋体" w:eastAsia="宋体" w:cs="宋体"/>
                <w:sz w:val="18"/>
                <w:szCs w:val="18"/>
              </w:rPr>
              <w:t>402,058,269.57</w:t>
            </w:r>
          </w:p>
        </w:tc>
      </w:tr>
      <w:tr w14:paraId="197082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FAFBF26">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收到其他与筹资活动有关的现金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73F29B6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2C93A37">
            <w:pPr>
              <w:spacing w:before="0" w:after="0" w:line="240" w:lineRule="exact"/>
              <w:jc w:val="right"/>
              <w:rPr>
                <w:rFonts w:ascii="宋体" w:hAnsi="宋体" w:eastAsia="宋体" w:cs="宋体"/>
                <w:sz w:val="18"/>
                <w:szCs w:val="18"/>
              </w:rPr>
            </w:pPr>
            <w:r>
              <w:rPr>
                <w:rFonts w:ascii="宋体" w:hAnsi="宋体" w:eastAsia="宋体" w:cs="宋体"/>
                <w:sz w:val="18"/>
                <w:szCs w:val="18"/>
              </w:rPr>
              <w:t>31,920,000.00</w:t>
            </w:r>
          </w:p>
        </w:tc>
      </w:tr>
      <w:tr w14:paraId="032A81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A31845E">
            <w:pPr>
              <w:spacing w:before="0" w:after="0" w:line="240" w:lineRule="exact"/>
              <w:jc w:val="left"/>
              <w:rPr>
                <w:rFonts w:ascii="宋体" w:hAnsi="宋体" w:eastAsia="宋体" w:cs="宋体"/>
                <w:sz w:val="18"/>
                <w:szCs w:val="18"/>
              </w:rPr>
            </w:pPr>
            <w:r>
              <w:rPr>
                <w:rFonts w:ascii="宋体" w:hAnsi="宋体" w:eastAsia="宋体" w:cs="宋体"/>
                <w:sz w:val="18"/>
                <w:szCs w:val="18"/>
              </w:rPr>
              <w:t>筹资活动现金流入小计</w:t>
            </w:r>
          </w:p>
        </w:tc>
        <w:tc>
          <w:tcPr>
            <w:tcW w:w="3213" w:type="dxa"/>
            <w:tcBorders>
              <w:top w:val="single" w:color="auto" w:sz="2" w:space="0"/>
              <w:left w:val="single" w:color="auto" w:sz="2" w:space="0"/>
              <w:bottom w:val="single" w:color="auto" w:sz="2" w:space="0"/>
              <w:right w:val="single" w:color="auto" w:sz="2" w:space="0"/>
            </w:tcBorders>
            <w:vAlign w:val="center"/>
          </w:tcPr>
          <w:p w14:paraId="7CF3A79B">
            <w:pPr>
              <w:spacing w:before="0" w:after="0" w:line="240" w:lineRule="exact"/>
              <w:jc w:val="right"/>
              <w:rPr>
                <w:rFonts w:ascii="宋体" w:hAnsi="宋体" w:eastAsia="宋体" w:cs="宋体"/>
                <w:sz w:val="18"/>
                <w:szCs w:val="18"/>
              </w:rPr>
            </w:pPr>
            <w:r>
              <w:rPr>
                <w:rFonts w:ascii="宋体" w:hAnsi="宋体" w:eastAsia="宋体" w:cs="宋体"/>
                <w:sz w:val="18"/>
                <w:szCs w:val="18"/>
              </w:rPr>
              <w:t>350,800,000.00</w:t>
            </w:r>
          </w:p>
        </w:tc>
        <w:tc>
          <w:tcPr>
            <w:tcW w:w="3213" w:type="dxa"/>
            <w:tcBorders>
              <w:top w:val="single" w:color="auto" w:sz="2" w:space="0"/>
              <w:left w:val="single" w:color="auto" w:sz="2" w:space="0"/>
              <w:bottom w:val="single" w:color="auto" w:sz="2" w:space="0"/>
              <w:right w:val="single" w:color="auto" w:sz="2" w:space="0"/>
            </w:tcBorders>
            <w:vAlign w:val="center"/>
          </w:tcPr>
          <w:p w14:paraId="117F9D7E">
            <w:pPr>
              <w:spacing w:before="0" w:after="0" w:line="240" w:lineRule="exact"/>
              <w:jc w:val="right"/>
              <w:rPr>
                <w:rFonts w:ascii="宋体" w:hAnsi="宋体" w:eastAsia="宋体" w:cs="宋体"/>
                <w:sz w:val="18"/>
                <w:szCs w:val="18"/>
              </w:rPr>
            </w:pPr>
            <w:r>
              <w:rPr>
                <w:rFonts w:ascii="宋体" w:hAnsi="宋体" w:eastAsia="宋体" w:cs="宋体"/>
                <w:sz w:val="18"/>
                <w:szCs w:val="18"/>
              </w:rPr>
              <w:t>653,978,269.57</w:t>
            </w:r>
          </w:p>
        </w:tc>
      </w:tr>
      <w:tr w14:paraId="5B7A29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69AC7A7">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偿还债务支付的现金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07439810">
            <w:pPr>
              <w:spacing w:before="0" w:after="0" w:line="240" w:lineRule="exact"/>
              <w:jc w:val="right"/>
              <w:rPr>
                <w:rFonts w:ascii="宋体" w:hAnsi="宋体" w:eastAsia="宋体" w:cs="宋体"/>
                <w:sz w:val="18"/>
                <w:szCs w:val="18"/>
              </w:rPr>
            </w:pPr>
            <w:r>
              <w:rPr>
                <w:rFonts w:ascii="宋体" w:hAnsi="宋体" w:eastAsia="宋体" w:cs="宋体"/>
                <w:sz w:val="18"/>
                <w:szCs w:val="18"/>
              </w:rPr>
              <w:t>367,227,919.58</w:t>
            </w:r>
          </w:p>
        </w:tc>
        <w:tc>
          <w:tcPr>
            <w:tcW w:w="3213" w:type="dxa"/>
            <w:tcBorders>
              <w:top w:val="single" w:color="auto" w:sz="2" w:space="0"/>
              <w:left w:val="single" w:color="auto" w:sz="2" w:space="0"/>
              <w:bottom w:val="single" w:color="auto" w:sz="2" w:space="0"/>
              <w:right w:val="single" w:color="auto" w:sz="2" w:space="0"/>
            </w:tcBorders>
            <w:vAlign w:val="center"/>
          </w:tcPr>
          <w:p w14:paraId="61B29927">
            <w:pPr>
              <w:spacing w:before="0" w:after="0" w:line="240" w:lineRule="exact"/>
              <w:jc w:val="right"/>
              <w:rPr>
                <w:rFonts w:ascii="宋体" w:hAnsi="宋体" w:eastAsia="宋体" w:cs="宋体"/>
                <w:sz w:val="18"/>
                <w:szCs w:val="18"/>
              </w:rPr>
            </w:pPr>
            <w:r>
              <w:rPr>
                <w:rFonts w:ascii="宋体" w:hAnsi="宋体" w:eastAsia="宋体" w:cs="宋体"/>
                <w:sz w:val="18"/>
                <w:szCs w:val="18"/>
              </w:rPr>
              <w:t>254,532,000.00</w:t>
            </w:r>
          </w:p>
        </w:tc>
      </w:tr>
      <w:tr w14:paraId="404D1E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9BA362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分配股利、利润或偿付利息支付的现金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032CD954">
            <w:pPr>
              <w:spacing w:before="0" w:after="0" w:line="240" w:lineRule="exact"/>
              <w:jc w:val="right"/>
              <w:rPr>
                <w:rFonts w:ascii="宋体" w:hAnsi="宋体" w:eastAsia="宋体" w:cs="宋体"/>
                <w:sz w:val="18"/>
                <w:szCs w:val="18"/>
              </w:rPr>
            </w:pPr>
            <w:r>
              <w:rPr>
                <w:rFonts w:ascii="宋体" w:hAnsi="宋体" w:eastAsia="宋体" w:cs="宋体"/>
                <w:sz w:val="18"/>
                <w:szCs w:val="18"/>
              </w:rPr>
              <w:t>17,418,291.38</w:t>
            </w:r>
          </w:p>
        </w:tc>
        <w:tc>
          <w:tcPr>
            <w:tcW w:w="3213" w:type="dxa"/>
            <w:tcBorders>
              <w:top w:val="single" w:color="auto" w:sz="2" w:space="0"/>
              <w:left w:val="single" w:color="auto" w:sz="2" w:space="0"/>
              <w:bottom w:val="single" w:color="auto" w:sz="2" w:space="0"/>
              <w:right w:val="single" w:color="auto" w:sz="2" w:space="0"/>
            </w:tcBorders>
            <w:vAlign w:val="center"/>
          </w:tcPr>
          <w:p w14:paraId="6FC47630">
            <w:pPr>
              <w:spacing w:before="0" w:after="0" w:line="240" w:lineRule="exact"/>
              <w:jc w:val="right"/>
              <w:rPr>
                <w:rFonts w:ascii="宋体" w:hAnsi="宋体" w:eastAsia="宋体" w:cs="宋体"/>
                <w:sz w:val="18"/>
                <w:szCs w:val="18"/>
              </w:rPr>
            </w:pPr>
            <w:r>
              <w:rPr>
                <w:rFonts w:ascii="宋体" w:hAnsi="宋体" w:eastAsia="宋体" w:cs="宋体"/>
                <w:sz w:val="18"/>
                <w:szCs w:val="18"/>
              </w:rPr>
              <w:t>18,272,215.47</w:t>
            </w:r>
          </w:p>
        </w:tc>
      </w:tr>
      <w:tr w14:paraId="18B8AC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7BD17A4">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其中：子公司支付给少数股东的股利、利润</w:t>
            </w:r>
          </w:p>
        </w:tc>
        <w:tc>
          <w:tcPr>
            <w:tcW w:w="3213" w:type="dxa"/>
            <w:tcBorders>
              <w:top w:val="single" w:color="auto" w:sz="2" w:space="0"/>
              <w:left w:val="single" w:color="auto" w:sz="2" w:space="0"/>
              <w:bottom w:val="single" w:color="auto" w:sz="2" w:space="0"/>
              <w:right w:val="single" w:color="auto" w:sz="2" w:space="0"/>
            </w:tcBorders>
            <w:vAlign w:val="center"/>
          </w:tcPr>
          <w:p w14:paraId="0DA0AA6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6C713DD">
            <w:pPr>
              <w:spacing w:before="0" w:after="0" w:line="240" w:lineRule="exact"/>
              <w:jc w:val="right"/>
              <w:rPr>
                <w:rFonts w:ascii="宋体" w:hAnsi="宋体" w:eastAsia="宋体" w:cs="宋体"/>
                <w:sz w:val="18"/>
                <w:szCs w:val="18"/>
              </w:rPr>
            </w:pPr>
            <w:r>
              <w:rPr>
                <w:rFonts w:ascii="宋体" w:hAnsi="宋体" w:eastAsia="宋体" w:cs="宋体"/>
                <w:sz w:val="18"/>
                <w:szCs w:val="18"/>
              </w:rPr>
              <w:t>874,500.00</w:t>
            </w:r>
          </w:p>
        </w:tc>
      </w:tr>
      <w:tr w14:paraId="183F7C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A54547F">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支付其他与筹资活动有关的现金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096E9F02">
            <w:pPr>
              <w:spacing w:before="0" w:after="0" w:line="240" w:lineRule="exact"/>
              <w:jc w:val="right"/>
              <w:rPr>
                <w:rFonts w:ascii="宋体" w:hAnsi="宋体" w:eastAsia="宋体" w:cs="宋体"/>
                <w:sz w:val="18"/>
                <w:szCs w:val="18"/>
              </w:rPr>
            </w:pPr>
            <w:r>
              <w:rPr>
                <w:rFonts w:ascii="宋体" w:hAnsi="宋体" w:eastAsia="宋体" w:cs="宋体"/>
                <w:sz w:val="18"/>
                <w:szCs w:val="18"/>
              </w:rPr>
              <w:t>611,276.87</w:t>
            </w:r>
          </w:p>
        </w:tc>
        <w:tc>
          <w:tcPr>
            <w:tcW w:w="3213" w:type="dxa"/>
            <w:tcBorders>
              <w:top w:val="single" w:color="auto" w:sz="2" w:space="0"/>
              <w:left w:val="single" w:color="auto" w:sz="2" w:space="0"/>
              <w:bottom w:val="single" w:color="auto" w:sz="2" w:space="0"/>
              <w:right w:val="single" w:color="auto" w:sz="2" w:space="0"/>
            </w:tcBorders>
            <w:vAlign w:val="center"/>
          </w:tcPr>
          <w:p w14:paraId="4BFFED8D">
            <w:pPr>
              <w:spacing w:before="0" w:after="0" w:line="240" w:lineRule="exact"/>
              <w:jc w:val="right"/>
              <w:rPr>
                <w:rFonts w:ascii="宋体" w:hAnsi="宋体" w:eastAsia="宋体" w:cs="宋体"/>
                <w:sz w:val="18"/>
                <w:szCs w:val="18"/>
              </w:rPr>
            </w:pPr>
            <w:r>
              <w:rPr>
                <w:rFonts w:ascii="宋体" w:hAnsi="宋体" w:eastAsia="宋体" w:cs="宋体"/>
                <w:sz w:val="18"/>
                <w:szCs w:val="18"/>
              </w:rPr>
              <w:t>31,461,000.00</w:t>
            </w:r>
          </w:p>
        </w:tc>
      </w:tr>
      <w:tr w14:paraId="1E2CD0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2D6151">
            <w:pPr>
              <w:spacing w:before="0" w:after="0" w:line="240" w:lineRule="exact"/>
              <w:jc w:val="left"/>
              <w:rPr>
                <w:rFonts w:ascii="宋体" w:hAnsi="宋体" w:eastAsia="宋体" w:cs="宋体"/>
                <w:sz w:val="18"/>
                <w:szCs w:val="18"/>
              </w:rPr>
            </w:pPr>
            <w:r>
              <w:rPr>
                <w:rFonts w:ascii="宋体" w:hAnsi="宋体" w:eastAsia="宋体" w:cs="宋体"/>
                <w:sz w:val="18"/>
                <w:szCs w:val="18"/>
              </w:rPr>
              <w:t>筹资活动现金流出小计</w:t>
            </w:r>
          </w:p>
        </w:tc>
        <w:tc>
          <w:tcPr>
            <w:tcW w:w="3213" w:type="dxa"/>
            <w:tcBorders>
              <w:top w:val="single" w:color="auto" w:sz="2" w:space="0"/>
              <w:left w:val="single" w:color="auto" w:sz="2" w:space="0"/>
              <w:bottom w:val="single" w:color="auto" w:sz="2" w:space="0"/>
              <w:right w:val="single" w:color="auto" w:sz="2" w:space="0"/>
            </w:tcBorders>
            <w:vAlign w:val="center"/>
          </w:tcPr>
          <w:p w14:paraId="39CA39A0">
            <w:pPr>
              <w:spacing w:before="0" w:after="0" w:line="240" w:lineRule="exact"/>
              <w:jc w:val="right"/>
              <w:rPr>
                <w:rFonts w:ascii="宋体" w:hAnsi="宋体" w:eastAsia="宋体" w:cs="宋体"/>
                <w:sz w:val="18"/>
                <w:szCs w:val="18"/>
              </w:rPr>
            </w:pPr>
            <w:r>
              <w:rPr>
                <w:rFonts w:ascii="宋体" w:hAnsi="宋体" w:eastAsia="宋体" w:cs="宋体"/>
                <w:sz w:val="18"/>
                <w:szCs w:val="18"/>
              </w:rPr>
              <w:t>385,257,487.83</w:t>
            </w:r>
          </w:p>
        </w:tc>
        <w:tc>
          <w:tcPr>
            <w:tcW w:w="3213" w:type="dxa"/>
            <w:tcBorders>
              <w:top w:val="single" w:color="auto" w:sz="2" w:space="0"/>
              <w:left w:val="single" w:color="auto" w:sz="2" w:space="0"/>
              <w:bottom w:val="single" w:color="auto" w:sz="2" w:space="0"/>
              <w:right w:val="single" w:color="auto" w:sz="2" w:space="0"/>
            </w:tcBorders>
            <w:vAlign w:val="center"/>
          </w:tcPr>
          <w:p w14:paraId="23717DF1">
            <w:pPr>
              <w:spacing w:before="0" w:after="0" w:line="240" w:lineRule="exact"/>
              <w:jc w:val="right"/>
              <w:rPr>
                <w:rFonts w:ascii="宋体" w:hAnsi="宋体" w:eastAsia="宋体" w:cs="宋体"/>
                <w:sz w:val="18"/>
                <w:szCs w:val="18"/>
              </w:rPr>
            </w:pPr>
            <w:r>
              <w:rPr>
                <w:rFonts w:ascii="宋体" w:hAnsi="宋体" w:eastAsia="宋体" w:cs="宋体"/>
                <w:sz w:val="18"/>
                <w:szCs w:val="18"/>
              </w:rPr>
              <w:t>304,265,215.47</w:t>
            </w:r>
          </w:p>
        </w:tc>
      </w:tr>
      <w:tr w14:paraId="1A1DB0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8628AE0">
            <w:pPr>
              <w:spacing w:before="0" w:after="0" w:line="240" w:lineRule="exact"/>
              <w:jc w:val="left"/>
              <w:rPr>
                <w:rFonts w:ascii="宋体" w:hAnsi="宋体" w:eastAsia="宋体" w:cs="宋体"/>
                <w:sz w:val="18"/>
                <w:szCs w:val="18"/>
              </w:rPr>
            </w:pPr>
            <w:r>
              <w:rPr>
                <w:rFonts w:ascii="宋体" w:hAnsi="宋体" w:eastAsia="宋体" w:cs="宋体"/>
                <w:sz w:val="18"/>
                <w:szCs w:val="18"/>
              </w:rPr>
              <w:t>筹资活动产生的现金流量净额</w:t>
            </w:r>
          </w:p>
        </w:tc>
        <w:tc>
          <w:tcPr>
            <w:tcW w:w="3213" w:type="dxa"/>
            <w:tcBorders>
              <w:top w:val="single" w:color="auto" w:sz="2" w:space="0"/>
              <w:left w:val="single" w:color="auto" w:sz="2" w:space="0"/>
              <w:bottom w:val="single" w:color="auto" w:sz="2" w:space="0"/>
              <w:right w:val="single" w:color="auto" w:sz="2" w:space="0"/>
            </w:tcBorders>
            <w:vAlign w:val="center"/>
          </w:tcPr>
          <w:p w14:paraId="5EAD5E19">
            <w:pPr>
              <w:spacing w:before="0" w:after="0" w:line="240" w:lineRule="exact"/>
              <w:jc w:val="right"/>
              <w:rPr>
                <w:rFonts w:ascii="宋体" w:hAnsi="宋体" w:eastAsia="宋体" w:cs="宋体"/>
                <w:sz w:val="18"/>
                <w:szCs w:val="18"/>
              </w:rPr>
            </w:pPr>
            <w:r>
              <w:rPr>
                <w:rFonts w:ascii="宋体" w:hAnsi="宋体" w:eastAsia="宋体" w:cs="宋体"/>
                <w:sz w:val="18"/>
                <w:szCs w:val="18"/>
              </w:rPr>
              <w:t>-34,457,487.83</w:t>
            </w:r>
          </w:p>
        </w:tc>
        <w:tc>
          <w:tcPr>
            <w:tcW w:w="3213" w:type="dxa"/>
            <w:tcBorders>
              <w:top w:val="single" w:color="auto" w:sz="2" w:space="0"/>
              <w:left w:val="single" w:color="auto" w:sz="2" w:space="0"/>
              <w:bottom w:val="single" w:color="auto" w:sz="2" w:space="0"/>
              <w:right w:val="single" w:color="auto" w:sz="2" w:space="0"/>
            </w:tcBorders>
            <w:vAlign w:val="center"/>
          </w:tcPr>
          <w:p w14:paraId="363BDB78">
            <w:pPr>
              <w:spacing w:before="0" w:after="0" w:line="240" w:lineRule="exact"/>
              <w:jc w:val="right"/>
              <w:rPr>
                <w:rFonts w:ascii="宋体" w:hAnsi="宋体" w:eastAsia="宋体" w:cs="宋体"/>
                <w:sz w:val="18"/>
                <w:szCs w:val="18"/>
              </w:rPr>
            </w:pPr>
            <w:r>
              <w:rPr>
                <w:rFonts w:ascii="宋体" w:hAnsi="宋体" w:eastAsia="宋体" w:cs="宋体"/>
                <w:sz w:val="18"/>
                <w:szCs w:val="18"/>
              </w:rPr>
              <w:t>349,713,054.10</w:t>
            </w:r>
          </w:p>
        </w:tc>
      </w:tr>
      <w:tr w14:paraId="0E9802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5C70FE8">
            <w:pPr>
              <w:spacing w:before="0" w:after="0" w:line="240" w:lineRule="exact"/>
              <w:jc w:val="left"/>
              <w:rPr>
                <w:rFonts w:ascii="宋体" w:hAnsi="宋体" w:eastAsia="宋体" w:cs="宋体"/>
                <w:sz w:val="18"/>
                <w:szCs w:val="18"/>
              </w:rPr>
            </w:pPr>
            <w:r>
              <w:rPr>
                <w:rFonts w:ascii="宋体" w:hAnsi="宋体" w:eastAsia="宋体" w:cs="宋体"/>
                <w:sz w:val="18"/>
                <w:szCs w:val="18"/>
              </w:rPr>
              <w:t>四、汇率变动对现金及现金等价物的影响</w:t>
            </w:r>
          </w:p>
        </w:tc>
        <w:tc>
          <w:tcPr>
            <w:tcW w:w="3213" w:type="dxa"/>
            <w:tcBorders>
              <w:top w:val="single" w:color="auto" w:sz="2" w:space="0"/>
              <w:left w:val="single" w:color="auto" w:sz="2" w:space="0"/>
              <w:bottom w:val="single" w:color="auto" w:sz="2" w:space="0"/>
              <w:right w:val="single" w:color="auto" w:sz="2" w:space="0"/>
            </w:tcBorders>
            <w:vAlign w:val="center"/>
          </w:tcPr>
          <w:p w14:paraId="6FEF1181">
            <w:pPr>
              <w:spacing w:before="0" w:after="0" w:line="240" w:lineRule="exact"/>
              <w:jc w:val="right"/>
              <w:rPr>
                <w:rFonts w:ascii="宋体" w:hAnsi="宋体" w:eastAsia="宋体" w:cs="宋体"/>
                <w:sz w:val="18"/>
                <w:szCs w:val="18"/>
              </w:rPr>
            </w:pPr>
            <w:r>
              <w:rPr>
                <w:rFonts w:ascii="宋体" w:hAnsi="宋体" w:eastAsia="宋体" w:cs="宋体"/>
                <w:sz w:val="18"/>
                <w:szCs w:val="18"/>
              </w:rPr>
              <w:t>330.13</w:t>
            </w:r>
          </w:p>
        </w:tc>
        <w:tc>
          <w:tcPr>
            <w:tcW w:w="3213" w:type="dxa"/>
            <w:tcBorders>
              <w:top w:val="single" w:color="auto" w:sz="2" w:space="0"/>
              <w:left w:val="single" w:color="auto" w:sz="2" w:space="0"/>
              <w:bottom w:val="single" w:color="auto" w:sz="2" w:space="0"/>
              <w:right w:val="single" w:color="auto" w:sz="2" w:space="0"/>
            </w:tcBorders>
            <w:vAlign w:val="center"/>
          </w:tcPr>
          <w:p w14:paraId="6D7896B8">
            <w:pPr>
              <w:spacing w:before="0" w:after="0" w:line="240" w:lineRule="exact"/>
              <w:jc w:val="right"/>
              <w:rPr>
                <w:rFonts w:ascii="宋体" w:hAnsi="宋体" w:eastAsia="宋体" w:cs="宋体"/>
                <w:sz w:val="18"/>
                <w:szCs w:val="18"/>
              </w:rPr>
            </w:pPr>
            <w:r>
              <w:rPr>
                <w:rFonts w:ascii="宋体" w:hAnsi="宋体" w:eastAsia="宋体" w:cs="宋体"/>
                <w:sz w:val="18"/>
                <w:szCs w:val="18"/>
              </w:rPr>
              <w:t>3,160.47</w:t>
            </w:r>
          </w:p>
        </w:tc>
      </w:tr>
      <w:tr w14:paraId="1E3BA8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F74594C">
            <w:pPr>
              <w:spacing w:before="0" w:after="0" w:line="240" w:lineRule="exact"/>
              <w:jc w:val="left"/>
              <w:rPr>
                <w:rFonts w:ascii="宋体" w:hAnsi="宋体" w:eastAsia="宋体" w:cs="宋体"/>
                <w:sz w:val="18"/>
                <w:szCs w:val="18"/>
              </w:rPr>
            </w:pPr>
            <w:r>
              <w:rPr>
                <w:rFonts w:ascii="宋体" w:hAnsi="宋体" w:eastAsia="宋体" w:cs="宋体"/>
                <w:sz w:val="18"/>
                <w:szCs w:val="18"/>
              </w:rPr>
              <w:t>五、现金及现金等价物净增加额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34A7DC56">
            <w:pPr>
              <w:spacing w:before="0" w:after="0" w:line="240" w:lineRule="exact"/>
              <w:jc w:val="right"/>
              <w:rPr>
                <w:rFonts w:ascii="宋体" w:hAnsi="宋体" w:eastAsia="宋体" w:cs="宋体"/>
                <w:sz w:val="18"/>
                <w:szCs w:val="18"/>
              </w:rPr>
            </w:pPr>
            <w:r>
              <w:rPr>
                <w:rFonts w:ascii="宋体" w:hAnsi="宋体" w:eastAsia="宋体" w:cs="宋体"/>
                <w:sz w:val="18"/>
                <w:szCs w:val="18"/>
              </w:rPr>
              <w:t>-59,561,501.73</w:t>
            </w:r>
          </w:p>
        </w:tc>
        <w:tc>
          <w:tcPr>
            <w:tcW w:w="3213" w:type="dxa"/>
            <w:tcBorders>
              <w:top w:val="single" w:color="auto" w:sz="2" w:space="0"/>
              <w:left w:val="single" w:color="auto" w:sz="2" w:space="0"/>
              <w:bottom w:val="single" w:color="auto" w:sz="2" w:space="0"/>
              <w:right w:val="single" w:color="auto" w:sz="2" w:space="0"/>
            </w:tcBorders>
            <w:vAlign w:val="center"/>
          </w:tcPr>
          <w:p w14:paraId="34893A44">
            <w:pPr>
              <w:spacing w:before="0" w:after="0" w:line="240" w:lineRule="exact"/>
              <w:jc w:val="right"/>
              <w:rPr>
                <w:rFonts w:ascii="宋体" w:hAnsi="宋体" w:eastAsia="宋体" w:cs="宋体"/>
                <w:sz w:val="18"/>
                <w:szCs w:val="18"/>
              </w:rPr>
            </w:pPr>
            <w:r>
              <w:rPr>
                <w:rFonts w:ascii="宋体" w:hAnsi="宋体" w:eastAsia="宋体" w:cs="宋体"/>
                <w:sz w:val="18"/>
                <w:szCs w:val="18"/>
              </w:rPr>
              <w:t>-32,285,692.03</w:t>
            </w:r>
          </w:p>
        </w:tc>
      </w:tr>
      <w:tr w14:paraId="508E5B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37663D7">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加：期初现金及现金等价物余额</w:t>
            </w:r>
          </w:p>
        </w:tc>
        <w:tc>
          <w:tcPr>
            <w:tcW w:w="3213" w:type="dxa"/>
            <w:tcBorders>
              <w:top w:val="single" w:color="auto" w:sz="2" w:space="0"/>
              <w:left w:val="single" w:color="auto" w:sz="2" w:space="0"/>
              <w:bottom w:val="single" w:color="auto" w:sz="2" w:space="0"/>
              <w:right w:val="single" w:color="auto" w:sz="2" w:space="0"/>
            </w:tcBorders>
            <w:vAlign w:val="center"/>
          </w:tcPr>
          <w:p w14:paraId="1880B602">
            <w:pPr>
              <w:spacing w:before="0" w:after="0" w:line="240" w:lineRule="exact"/>
              <w:jc w:val="right"/>
              <w:rPr>
                <w:rFonts w:ascii="宋体" w:hAnsi="宋体" w:eastAsia="宋体" w:cs="宋体"/>
                <w:sz w:val="18"/>
                <w:szCs w:val="18"/>
              </w:rPr>
            </w:pPr>
            <w:r>
              <w:rPr>
                <w:rFonts w:ascii="宋体" w:hAnsi="宋体" w:eastAsia="宋体" w:cs="宋体"/>
                <w:sz w:val="18"/>
                <w:szCs w:val="18"/>
              </w:rPr>
              <w:t>202,519,959.54</w:t>
            </w:r>
          </w:p>
        </w:tc>
        <w:tc>
          <w:tcPr>
            <w:tcW w:w="3213" w:type="dxa"/>
            <w:tcBorders>
              <w:top w:val="single" w:color="auto" w:sz="2" w:space="0"/>
              <w:left w:val="single" w:color="auto" w:sz="2" w:space="0"/>
              <w:bottom w:val="single" w:color="auto" w:sz="2" w:space="0"/>
              <w:right w:val="single" w:color="auto" w:sz="2" w:space="0"/>
            </w:tcBorders>
            <w:vAlign w:val="center"/>
          </w:tcPr>
          <w:p w14:paraId="231903C3">
            <w:pPr>
              <w:spacing w:before="0" w:after="0" w:line="240" w:lineRule="exact"/>
              <w:jc w:val="right"/>
              <w:rPr>
                <w:rFonts w:ascii="宋体" w:hAnsi="宋体" w:eastAsia="宋体" w:cs="宋体"/>
                <w:sz w:val="18"/>
                <w:szCs w:val="18"/>
              </w:rPr>
            </w:pPr>
            <w:r>
              <w:rPr>
                <w:rFonts w:ascii="宋体" w:hAnsi="宋体" w:eastAsia="宋体" w:cs="宋体"/>
                <w:sz w:val="18"/>
                <w:szCs w:val="18"/>
              </w:rPr>
              <w:t>234,805,651.57</w:t>
            </w:r>
          </w:p>
        </w:tc>
      </w:tr>
      <w:tr w14:paraId="4C3ADE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80169EC">
            <w:pPr>
              <w:spacing w:before="0" w:after="0" w:line="240" w:lineRule="exact"/>
              <w:jc w:val="left"/>
              <w:rPr>
                <w:rFonts w:ascii="宋体" w:hAnsi="宋体" w:eastAsia="宋体" w:cs="宋体"/>
                <w:sz w:val="18"/>
                <w:szCs w:val="18"/>
              </w:rPr>
            </w:pPr>
            <w:r>
              <w:rPr>
                <w:rFonts w:ascii="宋体" w:hAnsi="宋体" w:eastAsia="宋体" w:cs="宋体"/>
                <w:sz w:val="18"/>
                <w:szCs w:val="18"/>
              </w:rPr>
              <w:t>六、期末现金及现金等价物余额</w:t>
            </w:r>
          </w:p>
        </w:tc>
        <w:tc>
          <w:tcPr>
            <w:tcW w:w="3213" w:type="dxa"/>
            <w:tcBorders>
              <w:top w:val="single" w:color="auto" w:sz="2" w:space="0"/>
              <w:left w:val="single" w:color="auto" w:sz="2" w:space="0"/>
              <w:bottom w:val="single" w:color="auto" w:sz="2" w:space="0"/>
              <w:right w:val="single" w:color="auto" w:sz="2" w:space="0"/>
            </w:tcBorders>
            <w:vAlign w:val="center"/>
          </w:tcPr>
          <w:p w14:paraId="57E71C1C">
            <w:pPr>
              <w:spacing w:before="0" w:after="0" w:line="240" w:lineRule="exact"/>
              <w:jc w:val="right"/>
              <w:rPr>
                <w:rFonts w:ascii="宋体" w:hAnsi="宋体" w:eastAsia="宋体" w:cs="宋体"/>
                <w:sz w:val="18"/>
                <w:szCs w:val="18"/>
              </w:rPr>
            </w:pPr>
            <w:r>
              <w:rPr>
                <w:rFonts w:ascii="宋体" w:hAnsi="宋体" w:eastAsia="宋体" w:cs="宋体"/>
                <w:sz w:val="18"/>
                <w:szCs w:val="18"/>
              </w:rPr>
              <w:t>142,958,457.81</w:t>
            </w:r>
          </w:p>
        </w:tc>
        <w:tc>
          <w:tcPr>
            <w:tcW w:w="3213" w:type="dxa"/>
            <w:tcBorders>
              <w:top w:val="single" w:color="auto" w:sz="2" w:space="0"/>
              <w:left w:val="single" w:color="auto" w:sz="2" w:space="0"/>
              <w:bottom w:val="single" w:color="auto" w:sz="2" w:space="0"/>
              <w:right w:val="single" w:color="auto" w:sz="2" w:space="0"/>
            </w:tcBorders>
            <w:vAlign w:val="center"/>
          </w:tcPr>
          <w:p w14:paraId="53FB9D55">
            <w:pPr>
              <w:spacing w:before="0" w:after="0" w:line="240" w:lineRule="exact"/>
              <w:jc w:val="right"/>
              <w:rPr>
                <w:rFonts w:ascii="宋体" w:hAnsi="宋体" w:eastAsia="宋体" w:cs="宋体"/>
                <w:sz w:val="18"/>
                <w:szCs w:val="18"/>
              </w:rPr>
            </w:pPr>
            <w:r>
              <w:rPr>
                <w:rFonts w:ascii="宋体" w:hAnsi="宋体" w:eastAsia="宋体" w:cs="宋体"/>
                <w:sz w:val="18"/>
                <w:szCs w:val="18"/>
              </w:rPr>
              <w:t>202,519,959.54</w:t>
            </w:r>
          </w:p>
        </w:tc>
      </w:tr>
    </w:tbl>
    <w:p w14:paraId="7A03FFDF">
      <w:pPr>
        <w:keepNext/>
        <w:keepLines/>
        <w:spacing w:before="300" w:after="300" w:line="280" w:lineRule="exact"/>
        <w:jc w:val="left"/>
        <w:outlineLvl w:val="2"/>
        <w:rPr>
          <w:rFonts w:ascii="宋体" w:hAnsi="宋体" w:eastAsia="宋体" w:cs="宋体"/>
          <w:b/>
          <w:bCs/>
          <w:sz w:val="21"/>
          <w:szCs w:val="21"/>
        </w:rPr>
      </w:pPr>
      <w:bookmarkStart w:id="158" w:name="_Toc989045"/>
      <w:r>
        <w:rPr>
          <w:rFonts w:ascii="宋体" w:hAnsi="宋体" w:eastAsia="宋体" w:cs="宋体"/>
          <w:b/>
          <w:bCs/>
          <w:sz w:val="21"/>
          <w:szCs w:val="21"/>
        </w:rPr>
        <w:t>6、母公司现金流量表</w:t>
      </w:r>
      <w:bookmarkEnd w:id="158"/>
    </w:p>
    <w:p w14:paraId="3E594C99">
      <w:pPr>
        <w:spacing w:before="0" w:after="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22910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DE47D43">
            <w:pPr>
              <w:spacing w:before="0" w:after="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1A1A94C">
            <w:pPr>
              <w:spacing w:before="0" w:after="0" w:line="240" w:lineRule="exact"/>
              <w:jc w:val="center"/>
              <w:rPr>
                <w:rFonts w:ascii="宋体" w:hAnsi="宋体" w:eastAsia="宋体" w:cs="宋体"/>
                <w:sz w:val="18"/>
                <w:szCs w:val="18"/>
              </w:rPr>
            </w:pPr>
            <w:r>
              <w:rPr>
                <w:rFonts w:ascii="宋体" w:hAnsi="宋体" w:eastAsia="宋体" w:cs="宋体"/>
                <w:sz w:val="18"/>
                <w:szCs w:val="18"/>
              </w:rPr>
              <w:t>2024年度</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A097496">
            <w:pPr>
              <w:spacing w:before="0" w:after="0" w:line="240" w:lineRule="exact"/>
              <w:jc w:val="center"/>
              <w:rPr>
                <w:rFonts w:ascii="宋体" w:hAnsi="宋体" w:eastAsia="宋体" w:cs="宋体"/>
                <w:sz w:val="18"/>
                <w:szCs w:val="18"/>
              </w:rPr>
            </w:pPr>
            <w:r>
              <w:rPr>
                <w:rFonts w:ascii="宋体" w:hAnsi="宋体" w:eastAsia="宋体" w:cs="宋体"/>
                <w:sz w:val="18"/>
                <w:szCs w:val="18"/>
              </w:rPr>
              <w:t>2023年度</w:t>
            </w:r>
          </w:p>
        </w:tc>
      </w:tr>
      <w:tr w14:paraId="6887B1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48B3AB">
            <w:pPr>
              <w:spacing w:before="0" w:after="0" w:line="240" w:lineRule="exact"/>
              <w:jc w:val="left"/>
              <w:rPr>
                <w:rFonts w:ascii="宋体" w:hAnsi="宋体" w:eastAsia="宋体" w:cs="宋体"/>
                <w:sz w:val="18"/>
                <w:szCs w:val="18"/>
              </w:rPr>
            </w:pPr>
            <w:r>
              <w:rPr>
                <w:rFonts w:ascii="宋体" w:hAnsi="宋体" w:eastAsia="宋体" w:cs="宋体"/>
                <w:sz w:val="18"/>
                <w:szCs w:val="18"/>
              </w:rPr>
              <w:t>一、经营活动产生的现金流量：</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D62A793"/>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45B23B"/>
        </w:tc>
      </w:tr>
      <w:tr w14:paraId="482ADC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880DD5C">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销售商品、提供劳务收到的现金</w:t>
            </w:r>
          </w:p>
        </w:tc>
        <w:tc>
          <w:tcPr>
            <w:tcW w:w="3213" w:type="dxa"/>
            <w:tcBorders>
              <w:top w:val="single" w:color="auto" w:sz="2" w:space="0"/>
              <w:left w:val="single" w:color="auto" w:sz="2" w:space="0"/>
              <w:bottom w:val="single" w:color="auto" w:sz="2" w:space="0"/>
              <w:right w:val="single" w:color="auto" w:sz="2" w:space="0"/>
            </w:tcBorders>
            <w:vAlign w:val="center"/>
          </w:tcPr>
          <w:p w14:paraId="5D1C29C9">
            <w:pPr>
              <w:spacing w:before="0" w:after="0" w:line="240" w:lineRule="exact"/>
              <w:jc w:val="right"/>
              <w:rPr>
                <w:rFonts w:ascii="宋体" w:hAnsi="宋体" w:eastAsia="宋体" w:cs="宋体"/>
                <w:sz w:val="18"/>
                <w:szCs w:val="18"/>
              </w:rPr>
            </w:pPr>
            <w:r>
              <w:rPr>
                <w:rFonts w:ascii="宋体" w:hAnsi="宋体" w:eastAsia="宋体" w:cs="宋体"/>
                <w:sz w:val="18"/>
                <w:szCs w:val="18"/>
              </w:rPr>
              <w:t>198,437,354.19</w:t>
            </w:r>
          </w:p>
        </w:tc>
        <w:tc>
          <w:tcPr>
            <w:tcW w:w="3213" w:type="dxa"/>
            <w:tcBorders>
              <w:top w:val="single" w:color="auto" w:sz="2" w:space="0"/>
              <w:left w:val="single" w:color="auto" w:sz="2" w:space="0"/>
              <w:bottom w:val="single" w:color="auto" w:sz="2" w:space="0"/>
              <w:right w:val="single" w:color="auto" w:sz="2" w:space="0"/>
            </w:tcBorders>
            <w:vAlign w:val="center"/>
          </w:tcPr>
          <w:p w14:paraId="69C5FCE4">
            <w:pPr>
              <w:spacing w:before="0" w:after="0" w:line="240" w:lineRule="exact"/>
              <w:jc w:val="right"/>
              <w:rPr>
                <w:rFonts w:ascii="宋体" w:hAnsi="宋体" w:eastAsia="宋体" w:cs="宋体"/>
                <w:sz w:val="18"/>
                <w:szCs w:val="18"/>
              </w:rPr>
            </w:pPr>
            <w:r>
              <w:rPr>
                <w:rFonts w:ascii="宋体" w:hAnsi="宋体" w:eastAsia="宋体" w:cs="宋体"/>
                <w:sz w:val="18"/>
                <w:szCs w:val="18"/>
              </w:rPr>
              <w:t>233,100,539.73</w:t>
            </w:r>
          </w:p>
        </w:tc>
      </w:tr>
      <w:tr w14:paraId="576723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4024C3">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收到的税费返还</w:t>
            </w:r>
          </w:p>
        </w:tc>
        <w:tc>
          <w:tcPr>
            <w:tcW w:w="3213" w:type="dxa"/>
            <w:tcBorders>
              <w:top w:val="single" w:color="auto" w:sz="2" w:space="0"/>
              <w:left w:val="single" w:color="auto" w:sz="2" w:space="0"/>
              <w:bottom w:val="single" w:color="auto" w:sz="2" w:space="0"/>
              <w:right w:val="single" w:color="auto" w:sz="2" w:space="0"/>
            </w:tcBorders>
            <w:vAlign w:val="center"/>
          </w:tcPr>
          <w:p w14:paraId="7A62AB9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5AB3D3D">
            <w:pPr>
              <w:spacing w:before="0" w:after="0" w:line="240" w:lineRule="exact"/>
              <w:jc w:val="right"/>
              <w:rPr>
                <w:rFonts w:ascii="宋体" w:hAnsi="宋体" w:eastAsia="宋体" w:cs="宋体"/>
                <w:sz w:val="18"/>
                <w:szCs w:val="18"/>
              </w:rPr>
            </w:pPr>
          </w:p>
        </w:tc>
      </w:tr>
      <w:tr w14:paraId="43CB14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A78F3E3">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收到其他与经营活动有关的现金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1067111C">
            <w:pPr>
              <w:spacing w:before="0" w:after="0" w:line="240" w:lineRule="exact"/>
              <w:jc w:val="right"/>
              <w:rPr>
                <w:rFonts w:ascii="宋体" w:hAnsi="宋体" w:eastAsia="宋体" w:cs="宋体"/>
                <w:sz w:val="18"/>
                <w:szCs w:val="18"/>
              </w:rPr>
            </w:pPr>
            <w:r>
              <w:rPr>
                <w:rFonts w:ascii="宋体" w:hAnsi="宋体" w:eastAsia="宋体" w:cs="宋体"/>
                <w:sz w:val="18"/>
                <w:szCs w:val="18"/>
              </w:rPr>
              <w:t>23,449,937.19</w:t>
            </w:r>
          </w:p>
        </w:tc>
        <w:tc>
          <w:tcPr>
            <w:tcW w:w="3213" w:type="dxa"/>
            <w:tcBorders>
              <w:top w:val="single" w:color="auto" w:sz="2" w:space="0"/>
              <w:left w:val="single" w:color="auto" w:sz="2" w:space="0"/>
              <w:bottom w:val="single" w:color="auto" w:sz="2" w:space="0"/>
              <w:right w:val="single" w:color="auto" w:sz="2" w:space="0"/>
            </w:tcBorders>
            <w:vAlign w:val="center"/>
          </w:tcPr>
          <w:p w14:paraId="201D23DD">
            <w:pPr>
              <w:spacing w:before="0" w:after="0" w:line="240" w:lineRule="exact"/>
              <w:jc w:val="right"/>
              <w:rPr>
                <w:rFonts w:ascii="宋体" w:hAnsi="宋体" w:eastAsia="宋体" w:cs="宋体"/>
                <w:sz w:val="18"/>
                <w:szCs w:val="18"/>
              </w:rPr>
            </w:pPr>
            <w:r>
              <w:rPr>
                <w:rFonts w:ascii="宋体" w:hAnsi="宋体" w:eastAsia="宋体" w:cs="宋体"/>
                <w:sz w:val="18"/>
                <w:szCs w:val="18"/>
              </w:rPr>
              <w:t>9,041,231.89</w:t>
            </w:r>
          </w:p>
        </w:tc>
      </w:tr>
      <w:tr w14:paraId="1D5F3D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072FCA2">
            <w:pPr>
              <w:spacing w:before="0" w:after="0" w:line="240" w:lineRule="exact"/>
              <w:jc w:val="left"/>
              <w:rPr>
                <w:rFonts w:ascii="宋体" w:hAnsi="宋体" w:eastAsia="宋体" w:cs="宋体"/>
                <w:sz w:val="18"/>
                <w:szCs w:val="18"/>
              </w:rPr>
            </w:pPr>
            <w:r>
              <w:rPr>
                <w:rFonts w:ascii="宋体" w:hAnsi="宋体" w:eastAsia="宋体" w:cs="宋体"/>
                <w:sz w:val="18"/>
                <w:szCs w:val="18"/>
              </w:rPr>
              <w:t>经营活动现金流入小计</w:t>
            </w:r>
          </w:p>
        </w:tc>
        <w:tc>
          <w:tcPr>
            <w:tcW w:w="3213" w:type="dxa"/>
            <w:tcBorders>
              <w:top w:val="single" w:color="auto" w:sz="2" w:space="0"/>
              <w:left w:val="single" w:color="auto" w:sz="2" w:space="0"/>
              <w:bottom w:val="single" w:color="auto" w:sz="2" w:space="0"/>
              <w:right w:val="single" w:color="auto" w:sz="2" w:space="0"/>
            </w:tcBorders>
            <w:vAlign w:val="center"/>
          </w:tcPr>
          <w:p w14:paraId="6CCECEAD">
            <w:pPr>
              <w:spacing w:before="0" w:after="0" w:line="240" w:lineRule="exact"/>
              <w:jc w:val="right"/>
              <w:rPr>
                <w:rFonts w:ascii="宋体" w:hAnsi="宋体" w:eastAsia="宋体" w:cs="宋体"/>
                <w:sz w:val="18"/>
                <w:szCs w:val="18"/>
              </w:rPr>
            </w:pPr>
            <w:r>
              <w:rPr>
                <w:rFonts w:ascii="宋体" w:hAnsi="宋体" w:eastAsia="宋体" w:cs="宋体"/>
                <w:sz w:val="18"/>
                <w:szCs w:val="18"/>
              </w:rPr>
              <w:t>221,887,291.38</w:t>
            </w:r>
          </w:p>
        </w:tc>
        <w:tc>
          <w:tcPr>
            <w:tcW w:w="3213" w:type="dxa"/>
            <w:tcBorders>
              <w:top w:val="single" w:color="auto" w:sz="2" w:space="0"/>
              <w:left w:val="single" w:color="auto" w:sz="2" w:space="0"/>
              <w:bottom w:val="single" w:color="auto" w:sz="2" w:space="0"/>
              <w:right w:val="single" w:color="auto" w:sz="2" w:space="0"/>
            </w:tcBorders>
            <w:vAlign w:val="center"/>
          </w:tcPr>
          <w:p w14:paraId="1BE38CAB">
            <w:pPr>
              <w:spacing w:before="0" w:after="0" w:line="240" w:lineRule="exact"/>
              <w:jc w:val="right"/>
              <w:rPr>
                <w:rFonts w:ascii="宋体" w:hAnsi="宋体" w:eastAsia="宋体" w:cs="宋体"/>
                <w:sz w:val="18"/>
                <w:szCs w:val="18"/>
              </w:rPr>
            </w:pPr>
            <w:r>
              <w:rPr>
                <w:rFonts w:ascii="宋体" w:hAnsi="宋体" w:eastAsia="宋体" w:cs="宋体"/>
                <w:sz w:val="18"/>
                <w:szCs w:val="18"/>
              </w:rPr>
              <w:t>242,141,771.62</w:t>
            </w:r>
          </w:p>
        </w:tc>
      </w:tr>
      <w:tr w14:paraId="4BB767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2C890CA">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购买商品、接受劳务支付的现金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47738E05">
            <w:pPr>
              <w:spacing w:before="0" w:after="0" w:line="240" w:lineRule="exact"/>
              <w:jc w:val="right"/>
              <w:rPr>
                <w:rFonts w:ascii="宋体" w:hAnsi="宋体" w:eastAsia="宋体" w:cs="宋体"/>
                <w:sz w:val="18"/>
                <w:szCs w:val="18"/>
              </w:rPr>
            </w:pPr>
            <w:r>
              <w:rPr>
                <w:rFonts w:ascii="宋体" w:hAnsi="宋体" w:eastAsia="宋体" w:cs="宋体"/>
                <w:sz w:val="18"/>
                <w:szCs w:val="18"/>
              </w:rPr>
              <w:t>104,186,869.60</w:t>
            </w:r>
          </w:p>
        </w:tc>
        <w:tc>
          <w:tcPr>
            <w:tcW w:w="3213" w:type="dxa"/>
            <w:tcBorders>
              <w:top w:val="single" w:color="auto" w:sz="2" w:space="0"/>
              <w:left w:val="single" w:color="auto" w:sz="2" w:space="0"/>
              <w:bottom w:val="single" w:color="auto" w:sz="2" w:space="0"/>
              <w:right w:val="single" w:color="auto" w:sz="2" w:space="0"/>
            </w:tcBorders>
            <w:vAlign w:val="center"/>
          </w:tcPr>
          <w:p w14:paraId="1BFD48C7">
            <w:pPr>
              <w:spacing w:before="0" w:after="0" w:line="240" w:lineRule="exact"/>
              <w:jc w:val="right"/>
              <w:rPr>
                <w:rFonts w:ascii="宋体" w:hAnsi="宋体" w:eastAsia="宋体" w:cs="宋体"/>
                <w:sz w:val="18"/>
                <w:szCs w:val="18"/>
              </w:rPr>
            </w:pPr>
            <w:r>
              <w:rPr>
                <w:rFonts w:ascii="宋体" w:hAnsi="宋体" w:eastAsia="宋体" w:cs="宋体"/>
                <w:sz w:val="18"/>
                <w:szCs w:val="18"/>
              </w:rPr>
              <w:t>105,480,379.43</w:t>
            </w:r>
          </w:p>
        </w:tc>
      </w:tr>
      <w:tr w14:paraId="287B33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24A23B0">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支付给职工以及为职工支付的现金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21B7CEEC">
            <w:pPr>
              <w:spacing w:before="0" w:after="0" w:line="240" w:lineRule="exact"/>
              <w:jc w:val="right"/>
              <w:rPr>
                <w:rFonts w:ascii="宋体" w:hAnsi="宋体" w:eastAsia="宋体" w:cs="宋体"/>
                <w:sz w:val="18"/>
                <w:szCs w:val="18"/>
              </w:rPr>
            </w:pPr>
            <w:r>
              <w:rPr>
                <w:rFonts w:ascii="宋体" w:hAnsi="宋体" w:eastAsia="宋体" w:cs="宋体"/>
                <w:sz w:val="18"/>
                <w:szCs w:val="18"/>
              </w:rPr>
              <w:t>60,502,821.78</w:t>
            </w:r>
          </w:p>
        </w:tc>
        <w:tc>
          <w:tcPr>
            <w:tcW w:w="3213" w:type="dxa"/>
            <w:tcBorders>
              <w:top w:val="single" w:color="auto" w:sz="2" w:space="0"/>
              <w:left w:val="single" w:color="auto" w:sz="2" w:space="0"/>
              <w:bottom w:val="single" w:color="auto" w:sz="2" w:space="0"/>
              <w:right w:val="single" w:color="auto" w:sz="2" w:space="0"/>
            </w:tcBorders>
            <w:vAlign w:val="center"/>
          </w:tcPr>
          <w:p w14:paraId="3B13CA01">
            <w:pPr>
              <w:spacing w:before="0" w:after="0" w:line="240" w:lineRule="exact"/>
              <w:jc w:val="right"/>
              <w:rPr>
                <w:rFonts w:ascii="宋体" w:hAnsi="宋体" w:eastAsia="宋体" w:cs="宋体"/>
                <w:sz w:val="18"/>
                <w:szCs w:val="18"/>
              </w:rPr>
            </w:pPr>
            <w:r>
              <w:rPr>
                <w:rFonts w:ascii="宋体" w:hAnsi="宋体" w:eastAsia="宋体" w:cs="宋体"/>
                <w:sz w:val="18"/>
                <w:szCs w:val="18"/>
              </w:rPr>
              <w:t>79,920,424.08</w:t>
            </w:r>
          </w:p>
        </w:tc>
      </w:tr>
      <w:tr w14:paraId="161166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4373858">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支付的各项税费</w:t>
            </w:r>
          </w:p>
        </w:tc>
        <w:tc>
          <w:tcPr>
            <w:tcW w:w="3213" w:type="dxa"/>
            <w:tcBorders>
              <w:top w:val="single" w:color="auto" w:sz="2" w:space="0"/>
              <w:left w:val="single" w:color="auto" w:sz="2" w:space="0"/>
              <w:bottom w:val="single" w:color="auto" w:sz="2" w:space="0"/>
              <w:right w:val="single" w:color="auto" w:sz="2" w:space="0"/>
            </w:tcBorders>
            <w:vAlign w:val="center"/>
          </w:tcPr>
          <w:p w14:paraId="0BEE3264">
            <w:pPr>
              <w:spacing w:before="0" w:after="0" w:line="240" w:lineRule="exact"/>
              <w:jc w:val="right"/>
              <w:rPr>
                <w:rFonts w:ascii="宋体" w:hAnsi="宋体" w:eastAsia="宋体" w:cs="宋体"/>
                <w:sz w:val="18"/>
                <w:szCs w:val="18"/>
              </w:rPr>
            </w:pPr>
            <w:r>
              <w:rPr>
                <w:rFonts w:ascii="宋体" w:hAnsi="宋体" w:eastAsia="宋体" w:cs="宋体"/>
                <w:sz w:val="18"/>
                <w:szCs w:val="18"/>
              </w:rPr>
              <w:t>18,724,951.51</w:t>
            </w:r>
          </w:p>
        </w:tc>
        <w:tc>
          <w:tcPr>
            <w:tcW w:w="3213" w:type="dxa"/>
            <w:tcBorders>
              <w:top w:val="single" w:color="auto" w:sz="2" w:space="0"/>
              <w:left w:val="single" w:color="auto" w:sz="2" w:space="0"/>
              <w:bottom w:val="single" w:color="auto" w:sz="2" w:space="0"/>
              <w:right w:val="single" w:color="auto" w:sz="2" w:space="0"/>
            </w:tcBorders>
            <w:vAlign w:val="center"/>
          </w:tcPr>
          <w:p w14:paraId="6B28AAF9">
            <w:pPr>
              <w:spacing w:before="0" w:after="0" w:line="240" w:lineRule="exact"/>
              <w:jc w:val="right"/>
              <w:rPr>
                <w:rFonts w:ascii="宋体" w:hAnsi="宋体" w:eastAsia="宋体" w:cs="宋体"/>
                <w:sz w:val="18"/>
                <w:szCs w:val="18"/>
              </w:rPr>
            </w:pPr>
            <w:r>
              <w:rPr>
                <w:rFonts w:ascii="宋体" w:hAnsi="宋体" w:eastAsia="宋体" w:cs="宋体"/>
                <w:sz w:val="18"/>
                <w:szCs w:val="18"/>
              </w:rPr>
              <w:t>17,714,433.48</w:t>
            </w:r>
          </w:p>
        </w:tc>
      </w:tr>
      <w:tr w14:paraId="231CB0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943D973">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支付其他与经营活动有关的现金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4AF38030">
            <w:pPr>
              <w:spacing w:before="0" w:after="0" w:line="240" w:lineRule="exact"/>
              <w:jc w:val="right"/>
              <w:rPr>
                <w:rFonts w:ascii="宋体" w:hAnsi="宋体" w:eastAsia="宋体" w:cs="宋体"/>
                <w:sz w:val="18"/>
                <w:szCs w:val="18"/>
              </w:rPr>
            </w:pPr>
            <w:r>
              <w:rPr>
                <w:rFonts w:ascii="宋体" w:hAnsi="宋体" w:eastAsia="宋体" w:cs="宋体"/>
                <w:sz w:val="18"/>
                <w:szCs w:val="18"/>
              </w:rPr>
              <w:t>77,014,893.21</w:t>
            </w:r>
          </w:p>
        </w:tc>
        <w:tc>
          <w:tcPr>
            <w:tcW w:w="3213" w:type="dxa"/>
            <w:tcBorders>
              <w:top w:val="single" w:color="auto" w:sz="2" w:space="0"/>
              <w:left w:val="single" w:color="auto" w:sz="2" w:space="0"/>
              <w:bottom w:val="single" w:color="auto" w:sz="2" w:space="0"/>
              <w:right w:val="single" w:color="auto" w:sz="2" w:space="0"/>
            </w:tcBorders>
            <w:vAlign w:val="center"/>
          </w:tcPr>
          <w:p w14:paraId="74004A8D">
            <w:pPr>
              <w:spacing w:before="0" w:after="0" w:line="240" w:lineRule="exact"/>
              <w:jc w:val="right"/>
              <w:rPr>
                <w:rFonts w:ascii="宋体" w:hAnsi="宋体" w:eastAsia="宋体" w:cs="宋体"/>
                <w:sz w:val="18"/>
                <w:szCs w:val="18"/>
              </w:rPr>
            </w:pPr>
            <w:r>
              <w:rPr>
                <w:rFonts w:ascii="宋体" w:hAnsi="宋体" w:eastAsia="宋体" w:cs="宋体"/>
                <w:sz w:val="18"/>
                <w:szCs w:val="18"/>
              </w:rPr>
              <w:t>66,040,211.74</w:t>
            </w:r>
          </w:p>
        </w:tc>
      </w:tr>
      <w:tr w14:paraId="0E344D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1E23C89">
            <w:pPr>
              <w:spacing w:before="0" w:after="0" w:line="240" w:lineRule="exact"/>
              <w:jc w:val="left"/>
              <w:rPr>
                <w:rFonts w:ascii="宋体" w:hAnsi="宋体" w:eastAsia="宋体" w:cs="宋体"/>
                <w:sz w:val="18"/>
                <w:szCs w:val="18"/>
              </w:rPr>
            </w:pPr>
            <w:r>
              <w:rPr>
                <w:rFonts w:ascii="宋体" w:hAnsi="宋体" w:eastAsia="宋体" w:cs="宋体"/>
                <w:sz w:val="18"/>
                <w:szCs w:val="18"/>
              </w:rPr>
              <w:t>经营活动现金流出小计</w:t>
            </w:r>
          </w:p>
        </w:tc>
        <w:tc>
          <w:tcPr>
            <w:tcW w:w="3213" w:type="dxa"/>
            <w:tcBorders>
              <w:top w:val="single" w:color="auto" w:sz="2" w:space="0"/>
              <w:left w:val="single" w:color="auto" w:sz="2" w:space="0"/>
              <w:bottom w:val="single" w:color="auto" w:sz="2" w:space="0"/>
              <w:right w:val="single" w:color="auto" w:sz="2" w:space="0"/>
            </w:tcBorders>
            <w:vAlign w:val="center"/>
          </w:tcPr>
          <w:p w14:paraId="70005FB5">
            <w:pPr>
              <w:spacing w:before="0" w:after="0" w:line="240" w:lineRule="exact"/>
              <w:jc w:val="right"/>
              <w:rPr>
                <w:rFonts w:ascii="宋体" w:hAnsi="宋体" w:eastAsia="宋体" w:cs="宋体"/>
                <w:sz w:val="18"/>
                <w:szCs w:val="18"/>
              </w:rPr>
            </w:pPr>
            <w:r>
              <w:rPr>
                <w:rFonts w:ascii="宋体" w:hAnsi="宋体" w:eastAsia="宋体" w:cs="宋体"/>
                <w:sz w:val="18"/>
                <w:szCs w:val="18"/>
              </w:rPr>
              <w:t>260,429,536.10</w:t>
            </w:r>
          </w:p>
        </w:tc>
        <w:tc>
          <w:tcPr>
            <w:tcW w:w="3213" w:type="dxa"/>
            <w:tcBorders>
              <w:top w:val="single" w:color="auto" w:sz="2" w:space="0"/>
              <w:left w:val="single" w:color="auto" w:sz="2" w:space="0"/>
              <w:bottom w:val="single" w:color="auto" w:sz="2" w:space="0"/>
              <w:right w:val="single" w:color="auto" w:sz="2" w:space="0"/>
            </w:tcBorders>
            <w:vAlign w:val="center"/>
          </w:tcPr>
          <w:p w14:paraId="505AD626">
            <w:pPr>
              <w:spacing w:before="0" w:after="0" w:line="240" w:lineRule="exact"/>
              <w:jc w:val="right"/>
              <w:rPr>
                <w:rFonts w:ascii="宋体" w:hAnsi="宋体" w:eastAsia="宋体" w:cs="宋体"/>
                <w:sz w:val="18"/>
                <w:szCs w:val="18"/>
              </w:rPr>
            </w:pPr>
            <w:r>
              <w:rPr>
                <w:rFonts w:ascii="宋体" w:hAnsi="宋体" w:eastAsia="宋体" w:cs="宋体"/>
                <w:sz w:val="18"/>
                <w:szCs w:val="18"/>
              </w:rPr>
              <w:t>269,155,448.73</w:t>
            </w:r>
          </w:p>
        </w:tc>
      </w:tr>
      <w:tr w14:paraId="21277C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0F690B">
            <w:pPr>
              <w:spacing w:before="0" w:after="0" w:line="240" w:lineRule="exact"/>
              <w:jc w:val="left"/>
              <w:rPr>
                <w:rFonts w:ascii="宋体" w:hAnsi="宋体" w:eastAsia="宋体" w:cs="宋体"/>
                <w:sz w:val="18"/>
                <w:szCs w:val="18"/>
              </w:rPr>
            </w:pPr>
            <w:r>
              <w:rPr>
                <w:rFonts w:ascii="宋体" w:hAnsi="宋体" w:eastAsia="宋体" w:cs="宋体"/>
                <w:sz w:val="18"/>
                <w:szCs w:val="18"/>
              </w:rPr>
              <w:t>经营活动产生的现金流量净额</w:t>
            </w:r>
          </w:p>
        </w:tc>
        <w:tc>
          <w:tcPr>
            <w:tcW w:w="3213" w:type="dxa"/>
            <w:tcBorders>
              <w:top w:val="single" w:color="auto" w:sz="2" w:space="0"/>
              <w:left w:val="single" w:color="auto" w:sz="2" w:space="0"/>
              <w:bottom w:val="single" w:color="auto" w:sz="2" w:space="0"/>
              <w:right w:val="single" w:color="auto" w:sz="2" w:space="0"/>
            </w:tcBorders>
            <w:vAlign w:val="center"/>
          </w:tcPr>
          <w:p w14:paraId="15C09085">
            <w:pPr>
              <w:spacing w:before="0" w:after="0" w:line="240" w:lineRule="exact"/>
              <w:jc w:val="right"/>
              <w:rPr>
                <w:rFonts w:ascii="宋体" w:hAnsi="宋体" w:eastAsia="宋体" w:cs="宋体"/>
                <w:sz w:val="18"/>
                <w:szCs w:val="18"/>
              </w:rPr>
            </w:pPr>
            <w:r>
              <w:rPr>
                <w:rFonts w:ascii="宋体" w:hAnsi="宋体" w:eastAsia="宋体" w:cs="宋体"/>
                <w:sz w:val="18"/>
                <w:szCs w:val="18"/>
              </w:rPr>
              <w:t>-38,542,244.72</w:t>
            </w:r>
          </w:p>
        </w:tc>
        <w:tc>
          <w:tcPr>
            <w:tcW w:w="3213" w:type="dxa"/>
            <w:tcBorders>
              <w:top w:val="single" w:color="auto" w:sz="2" w:space="0"/>
              <w:left w:val="single" w:color="auto" w:sz="2" w:space="0"/>
              <w:bottom w:val="single" w:color="auto" w:sz="2" w:space="0"/>
              <w:right w:val="single" w:color="auto" w:sz="2" w:space="0"/>
            </w:tcBorders>
            <w:vAlign w:val="center"/>
          </w:tcPr>
          <w:p w14:paraId="674C4419">
            <w:pPr>
              <w:spacing w:before="0" w:after="0" w:line="240" w:lineRule="exact"/>
              <w:jc w:val="right"/>
              <w:rPr>
                <w:rFonts w:ascii="宋体" w:hAnsi="宋体" w:eastAsia="宋体" w:cs="宋体"/>
                <w:sz w:val="18"/>
                <w:szCs w:val="18"/>
              </w:rPr>
            </w:pPr>
            <w:r>
              <w:rPr>
                <w:rFonts w:ascii="宋体" w:hAnsi="宋体" w:eastAsia="宋体" w:cs="宋体"/>
                <w:sz w:val="18"/>
                <w:szCs w:val="18"/>
              </w:rPr>
              <w:t>-27,013,677.11</w:t>
            </w:r>
          </w:p>
        </w:tc>
      </w:tr>
      <w:tr w14:paraId="451939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37D5B96">
            <w:pPr>
              <w:spacing w:before="0" w:after="0" w:line="240" w:lineRule="exact"/>
              <w:jc w:val="left"/>
              <w:rPr>
                <w:rFonts w:ascii="宋体" w:hAnsi="宋体" w:eastAsia="宋体" w:cs="宋体"/>
                <w:sz w:val="18"/>
                <w:szCs w:val="18"/>
              </w:rPr>
            </w:pPr>
            <w:r>
              <w:rPr>
                <w:rFonts w:ascii="宋体" w:hAnsi="宋体" w:eastAsia="宋体" w:cs="宋体"/>
                <w:sz w:val="18"/>
                <w:szCs w:val="18"/>
              </w:rPr>
              <w:t>二、投资活动产生的现金流量：</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9B19F08"/>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8060A45"/>
        </w:tc>
      </w:tr>
      <w:tr w14:paraId="6E70D2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4F74201">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收回投资收到的现金</w:t>
            </w:r>
          </w:p>
        </w:tc>
        <w:tc>
          <w:tcPr>
            <w:tcW w:w="3213" w:type="dxa"/>
            <w:tcBorders>
              <w:top w:val="single" w:color="auto" w:sz="2" w:space="0"/>
              <w:left w:val="single" w:color="auto" w:sz="2" w:space="0"/>
              <w:bottom w:val="single" w:color="auto" w:sz="2" w:space="0"/>
              <w:right w:val="single" w:color="auto" w:sz="2" w:space="0"/>
            </w:tcBorders>
            <w:vAlign w:val="center"/>
          </w:tcPr>
          <w:p w14:paraId="5DDFDDBD">
            <w:pPr>
              <w:spacing w:before="0" w:after="0" w:line="240" w:lineRule="exact"/>
              <w:jc w:val="right"/>
              <w:rPr>
                <w:rFonts w:ascii="宋体" w:hAnsi="宋体" w:eastAsia="宋体" w:cs="宋体"/>
                <w:sz w:val="18"/>
                <w:szCs w:val="18"/>
              </w:rPr>
            </w:pPr>
            <w:r>
              <w:rPr>
                <w:rFonts w:ascii="宋体" w:hAnsi="宋体" w:eastAsia="宋体" w:cs="宋体"/>
                <w:sz w:val="18"/>
                <w:szCs w:val="18"/>
              </w:rPr>
              <w:t>34,000,000.00</w:t>
            </w:r>
          </w:p>
        </w:tc>
        <w:tc>
          <w:tcPr>
            <w:tcW w:w="3213" w:type="dxa"/>
            <w:tcBorders>
              <w:top w:val="single" w:color="auto" w:sz="2" w:space="0"/>
              <w:left w:val="single" w:color="auto" w:sz="2" w:space="0"/>
              <w:bottom w:val="single" w:color="auto" w:sz="2" w:space="0"/>
              <w:right w:val="single" w:color="auto" w:sz="2" w:space="0"/>
            </w:tcBorders>
            <w:vAlign w:val="center"/>
          </w:tcPr>
          <w:p w14:paraId="58DC86AC">
            <w:pPr>
              <w:spacing w:before="0" w:after="0" w:line="240" w:lineRule="exact"/>
              <w:jc w:val="right"/>
              <w:rPr>
                <w:rFonts w:ascii="宋体" w:hAnsi="宋体" w:eastAsia="宋体" w:cs="宋体"/>
                <w:sz w:val="18"/>
                <w:szCs w:val="18"/>
              </w:rPr>
            </w:pPr>
            <w:r>
              <w:rPr>
                <w:rFonts w:ascii="宋体" w:hAnsi="宋体" w:eastAsia="宋体" w:cs="宋体"/>
                <w:sz w:val="18"/>
                <w:szCs w:val="18"/>
              </w:rPr>
              <w:t>184,239.16</w:t>
            </w:r>
          </w:p>
        </w:tc>
      </w:tr>
      <w:tr w14:paraId="37B71E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F0AEA5C">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取得投资收益收到的现金</w:t>
            </w:r>
          </w:p>
        </w:tc>
        <w:tc>
          <w:tcPr>
            <w:tcW w:w="3213" w:type="dxa"/>
            <w:tcBorders>
              <w:top w:val="single" w:color="auto" w:sz="2" w:space="0"/>
              <w:left w:val="single" w:color="auto" w:sz="2" w:space="0"/>
              <w:bottom w:val="single" w:color="auto" w:sz="2" w:space="0"/>
              <w:right w:val="single" w:color="auto" w:sz="2" w:space="0"/>
            </w:tcBorders>
            <w:vAlign w:val="center"/>
          </w:tcPr>
          <w:p w14:paraId="151A6C54">
            <w:pPr>
              <w:spacing w:before="0" w:after="0" w:line="240" w:lineRule="exact"/>
              <w:jc w:val="right"/>
              <w:rPr>
                <w:rFonts w:ascii="宋体" w:hAnsi="宋体" w:eastAsia="宋体" w:cs="宋体"/>
                <w:sz w:val="18"/>
                <w:szCs w:val="18"/>
              </w:rPr>
            </w:pPr>
            <w:r>
              <w:rPr>
                <w:rFonts w:ascii="宋体" w:hAnsi="宋体" w:eastAsia="宋体" w:cs="宋体"/>
                <w:sz w:val="18"/>
                <w:szCs w:val="18"/>
              </w:rPr>
              <w:t>37,640,000.00</w:t>
            </w:r>
          </w:p>
        </w:tc>
        <w:tc>
          <w:tcPr>
            <w:tcW w:w="3213" w:type="dxa"/>
            <w:tcBorders>
              <w:top w:val="single" w:color="auto" w:sz="2" w:space="0"/>
              <w:left w:val="single" w:color="auto" w:sz="2" w:space="0"/>
              <w:bottom w:val="single" w:color="auto" w:sz="2" w:space="0"/>
              <w:right w:val="single" w:color="auto" w:sz="2" w:space="0"/>
            </w:tcBorders>
            <w:vAlign w:val="center"/>
          </w:tcPr>
          <w:p w14:paraId="3D94EC4B">
            <w:pPr>
              <w:spacing w:before="0" w:after="0" w:line="240" w:lineRule="exact"/>
              <w:jc w:val="right"/>
              <w:rPr>
                <w:rFonts w:ascii="宋体" w:hAnsi="宋体" w:eastAsia="宋体" w:cs="宋体"/>
                <w:sz w:val="18"/>
                <w:szCs w:val="18"/>
              </w:rPr>
            </w:pPr>
            <w:r>
              <w:rPr>
                <w:rFonts w:ascii="宋体" w:hAnsi="宋体" w:eastAsia="宋体" w:cs="宋体"/>
                <w:sz w:val="18"/>
                <w:szCs w:val="18"/>
              </w:rPr>
              <w:t>14,125,500.00</w:t>
            </w:r>
          </w:p>
        </w:tc>
      </w:tr>
      <w:tr w14:paraId="710C2B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5BD56E8">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处置固定资产、无形资产和其他长期资产收回的现金净额</w:t>
            </w:r>
          </w:p>
        </w:tc>
        <w:tc>
          <w:tcPr>
            <w:tcW w:w="3213" w:type="dxa"/>
            <w:tcBorders>
              <w:top w:val="single" w:color="auto" w:sz="2" w:space="0"/>
              <w:left w:val="single" w:color="auto" w:sz="2" w:space="0"/>
              <w:bottom w:val="single" w:color="auto" w:sz="2" w:space="0"/>
              <w:right w:val="single" w:color="auto" w:sz="2" w:space="0"/>
            </w:tcBorders>
            <w:vAlign w:val="center"/>
          </w:tcPr>
          <w:p w14:paraId="53645900">
            <w:pPr>
              <w:spacing w:before="0" w:after="0" w:line="240" w:lineRule="exact"/>
              <w:jc w:val="right"/>
              <w:rPr>
                <w:rFonts w:ascii="宋体" w:hAnsi="宋体" w:eastAsia="宋体" w:cs="宋体"/>
                <w:sz w:val="18"/>
                <w:szCs w:val="18"/>
              </w:rPr>
            </w:pPr>
            <w:r>
              <w:rPr>
                <w:rFonts w:ascii="宋体" w:hAnsi="宋体" w:eastAsia="宋体" w:cs="宋体"/>
                <w:sz w:val="18"/>
                <w:szCs w:val="18"/>
              </w:rPr>
              <w:t>4,503,150.00</w:t>
            </w:r>
          </w:p>
        </w:tc>
        <w:tc>
          <w:tcPr>
            <w:tcW w:w="3213" w:type="dxa"/>
            <w:tcBorders>
              <w:top w:val="single" w:color="auto" w:sz="2" w:space="0"/>
              <w:left w:val="single" w:color="auto" w:sz="2" w:space="0"/>
              <w:bottom w:val="single" w:color="auto" w:sz="2" w:space="0"/>
              <w:right w:val="single" w:color="auto" w:sz="2" w:space="0"/>
            </w:tcBorders>
            <w:vAlign w:val="center"/>
          </w:tcPr>
          <w:p w14:paraId="407EDA9D">
            <w:pPr>
              <w:spacing w:before="0" w:after="0" w:line="240" w:lineRule="exact"/>
              <w:jc w:val="right"/>
              <w:rPr>
                <w:rFonts w:ascii="宋体" w:hAnsi="宋体" w:eastAsia="宋体" w:cs="宋体"/>
                <w:sz w:val="18"/>
                <w:szCs w:val="18"/>
              </w:rPr>
            </w:pPr>
          </w:p>
        </w:tc>
      </w:tr>
      <w:tr w14:paraId="75676C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010D896">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处置子公司及其他营业单位收到的现金净额</w:t>
            </w:r>
          </w:p>
        </w:tc>
        <w:tc>
          <w:tcPr>
            <w:tcW w:w="3213" w:type="dxa"/>
            <w:tcBorders>
              <w:top w:val="single" w:color="auto" w:sz="2" w:space="0"/>
              <w:left w:val="single" w:color="auto" w:sz="2" w:space="0"/>
              <w:bottom w:val="single" w:color="auto" w:sz="2" w:space="0"/>
              <w:right w:val="single" w:color="auto" w:sz="2" w:space="0"/>
            </w:tcBorders>
            <w:vAlign w:val="center"/>
          </w:tcPr>
          <w:p w14:paraId="25E7850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57CC8BB">
            <w:pPr>
              <w:spacing w:before="0" w:after="0" w:line="240" w:lineRule="exact"/>
              <w:jc w:val="right"/>
              <w:rPr>
                <w:rFonts w:ascii="宋体" w:hAnsi="宋体" w:eastAsia="宋体" w:cs="宋体"/>
                <w:sz w:val="18"/>
                <w:szCs w:val="18"/>
              </w:rPr>
            </w:pPr>
          </w:p>
        </w:tc>
      </w:tr>
      <w:tr w14:paraId="59CEBE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095CC86">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收到其他与投资活动有关的现金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1ABC95CA">
            <w:pPr>
              <w:spacing w:before="0" w:after="0" w:line="240" w:lineRule="exact"/>
              <w:jc w:val="right"/>
              <w:rPr>
                <w:rFonts w:ascii="宋体" w:hAnsi="宋体" w:eastAsia="宋体" w:cs="宋体"/>
                <w:sz w:val="18"/>
                <w:szCs w:val="18"/>
              </w:rPr>
            </w:pPr>
            <w:r>
              <w:rPr>
                <w:rFonts w:ascii="宋体" w:hAnsi="宋体" w:eastAsia="宋体" w:cs="宋体"/>
                <w:sz w:val="18"/>
                <w:szCs w:val="18"/>
              </w:rPr>
              <w:t>70,005,705.21</w:t>
            </w:r>
          </w:p>
        </w:tc>
        <w:tc>
          <w:tcPr>
            <w:tcW w:w="3213" w:type="dxa"/>
            <w:tcBorders>
              <w:top w:val="single" w:color="auto" w:sz="2" w:space="0"/>
              <w:left w:val="single" w:color="auto" w:sz="2" w:space="0"/>
              <w:bottom w:val="single" w:color="auto" w:sz="2" w:space="0"/>
              <w:right w:val="single" w:color="auto" w:sz="2" w:space="0"/>
            </w:tcBorders>
            <w:vAlign w:val="center"/>
          </w:tcPr>
          <w:p w14:paraId="0C62FBFC">
            <w:pPr>
              <w:spacing w:before="0" w:after="0" w:line="240" w:lineRule="exact"/>
              <w:jc w:val="right"/>
              <w:rPr>
                <w:rFonts w:ascii="宋体" w:hAnsi="宋体" w:eastAsia="宋体" w:cs="宋体"/>
                <w:sz w:val="18"/>
                <w:szCs w:val="18"/>
              </w:rPr>
            </w:pPr>
            <w:r>
              <w:rPr>
                <w:rFonts w:ascii="宋体" w:hAnsi="宋体" w:eastAsia="宋体" w:cs="宋体"/>
                <w:sz w:val="18"/>
                <w:szCs w:val="18"/>
              </w:rPr>
              <w:t>86,026,498.89</w:t>
            </w:r>
          </w:p>
        </w:tc>
      </w:tr>
      <w:tr w14:paraId="7C3754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915F6C7">
            <w:pPr>
              <w:spacing w:before="0" w:after="0" w:line="240" w:lineRule="exact"/>
              <w:jc w:val="left"/>
              <w:rPr>
                <w:rFonts w:ascii="宋体" w:hAnsi="宋体" w:eastAsia="宋体" w:cs="宋体"/>
                <w:sz w:val="18"/>
                <w:szCs w:val="18"/>
              </w:rPr>
            </w:pPr>
            <w:r>
              <w:rPr>
                <w:rFonts w:ascii="宋体" w:hAnsi="宋体" w:eastAsia="宋体" w:cs="宋体"/>
                <w:sz w:val="18"/>
                <w:szCs w:val="18"/>
              </w:rPr>
              <w:t>投资活动现金流入小计</w:t>
            </w:r>
          </w:p>
        </w:tc>
        <w:tc>
          <w:tcPr>
            <w:tcW w:w="3213" w:type="dxa"/>
            <w:tcBorders>
              <w:top w:val="single" w:color="auto" w:sz="2" w:space="0"/>
              <w:left w:val="single" w:color="auto" w:sz="2" w:space="0"/>
              <w:bottom w:val="single" w:color="auto" w:sz="2" w:space="0"/>
              <w:right w:val="single" w:color="auto" w:sz="2" w:space="0"/>
            </w:tcBorders>
            <w:vAlign w:val="center"/>
          </w:tcPr>
          <w:p w14:paraId="01CCD436">
            <w:pPr>
              <w:spacing w:before="0" w:after="0" w:line="240" w:lineRule="exact"/>
              <w:jc w:val="right"/>
              <w:rPr>
                <w:rFonts w:ascii="宋体" w:hAnsi="宋体" w:eastAsia="宋体" w:cs="宋体"/>
                <w:sz w:val="18"/>
                <w:szCs w:val="18"/>
              </w:rPr>
            </w:pPr>
            <w:r>
              <w:rPr>
                <w:rFonts w:ascii="宋体" w:hAnsi="宋体" w:eastAsia="宋体" w:cs="宋体"/>
                <w:sz w:val="18"/>
                <w:szCs w:val="18"/>
              </w:rPr>
              <w:t>146,148,855.21</w:t>
            </w:r>
          </w:p>
        </w:tc>
        <w:tc>
          <w:tcPr>
            <w:tcW w:w="3213" w:type="dxa"/>
            <w:tcBorders>
              <w:top w:val="single" w:color="auto" w:sz="2" w:space="0"/>
              <w:left w:val="single" w:color="auto" w:sz="2" w:space="0"/>
              <w:bottom w:val="single" w:color="auto" w:sz="2" w:space="0"/>
              <w:right w:val="single" w:color="auto" w:sz="2" w:space="0"/>
            </w:tcBorders>
            <w:vAlign w:val="center"/>
          </w:tcPr>
          <w:p w14:paraId="1447B1EC">
            <w:pPr>
              <w:spacing w:before="0" w:after="0" w:line="240" w:lineRule="exact"/>
              <w:jc w:val="right"/>
              <w:rPr>
                <w:rFonts w:ascii="宋体" w:hAnsi="宋体" w:eastAsia="宋体" w:cs="宋体"/>
                <w:sz w:val="18"/>
                <w:szCs w:val="18"/>
              </w:rPr>
            </w:pPr>
            <w:r>
              <w:rPr>
                <w:rFonts w:ascii="宋体" w:hAnsi="宋体" w:eastAsia="宋体" w:cs="宋体"/>
                <w:sz w:val="18"/>
                <w:szCs w:val="18"/>
              </w:rPr>
              <w:t>100,336,238.05</w:t>
            </w:r>
          </w:p>
        </w:tc>
      </w:tr>
      <w:tr w14:paraId="5D7BC7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D07EE0F">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购建固定资产、无形资产和其他长期资产支付的现金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4FFA6AC9">
            <w:pPr>
              <w:spacing w:before="0" w:after="0" w:line="240" w:lineRule="exact"/>
              <w:jc w:val="right"/>
              <w:rPr>
                <w:rFonts w:ascii="宋体" w:hAnsi="宋体" w:eastAsia="宋体" w:cs="宋体"/>
                <w:sz w:val="18"/>
                <w:szCs w:val="18"/>
              </w:rPr>
            </w:pPr>
            <w:r>
              <w:rPr>
                <w:rFonts w:ascii="宋体" w:hAnsi="宋体" w:eastAsia="宋体" w:cs="宋体"/>
                <w:sz w:val="18"/>
                <w:szCs w:val="18"/>
              </w:rPr>
              <w:t>24,073,060.34</w:t>
            </w:r>
          </w:p>
        </w:tc>
        <w:tc>
          <w:tcPr>
            <w:tcW w:w="3213" w:type="dxa"/>
            <w:tcBorders>
              <w:top w:val="single" w:color="auto" w:sz="2" w:space="0"/>
              <w:left w:val="single" w:color="auto" w:sz="2" w:space="0"/>
              <w:bottom w:val="single" w:color="auto" w:sz="2" w:space="0"/>
              <w:right w:val="single" w:color="auto" w:sz="2" w:space="0"/>
            </w:tcBorders>
            <w:vAlign w:val="center"/>
          </w:tcPr>
          <w:p w14:paraId="5FA6E38B">
            <w:pPr>
              <w:spacing w:before="0" w:after="0" w:line="240" w:lineRule="exact"/>
              <w:jc w:val="right"/>
              <w:rPr>
                <w:rFonts w:ascii="宋体" w:hAnsi="宋体" w:eastAsia="宋体" w:cs="宋体"/>
                <w:sz w:val="18"/>
                <w:szCs w:val="18"/>
              </w:rPr>
            </w:pPr>
            <w:r>
              <w:rPr>
                <w:rFonts w:ascii="宋体" w:hAnsi="宋体" w:eastAsia="宋体" w:cs="宋体"/>
                <w:sz w:val="18"/>
                <w:szCs w:val="18"/>
              </w:rPr>
              <w:t>104,503,560.56</w:t>
            </w:r>
          </w:p>
        </w:tc>
      </w:tr>
      <w:tr w14:paraId="13EBE6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96EC836">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投资支付的现金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1AE31CBF">
            <w:pPr>
              <w:spacing w:before="0" w:after="0" w:line="240" w:lineRule="exact"/>
              <w:jc w:val="right"/>
              <w:rPr>
                <w:rFonts w:ascii="宋体" w:hAnsi="宋体" w:eastAsia="宋体" w:cs="宋体"/>
                <w:sz w:val="18"/>
                <w:szCs w:val="18"/>
              </w:rPr>
            </w:pPr>
            <w:r>
              <w:rPr>
                <w:rFonts w:ascii="宋体" w:hAnsi="宋体" w:eastAsia="宋体" w:cs="宋体"/>
                <w:sz w:val="18"/>
                <w:szCs w:val="18"/>
              </w:rPr>
              <w:t>2,057,331.45</w:t>
            </w:r>
          </w:p>
        </w:tc>
        <w:tc>
          <w:tcPr>
            <w:tcW w:w="3213" w:type="dxa"/>
            <w:tcBorders>
              <w:top w:val="single" w:color="auto" w:sz="2" w:space="0"/>
              <w:left w:val="single" w:color="auto" w:sz="2" w:space="0"/>
              <w:bottom w:val="single" w:color="auto" w:sz="2" w:space="0"/>
              <w:right w:val="single" w:color="auto" w:sz="2" w:space="0"/>
            </w:tcBorders>
            <w:vAlign w:val="center"/>
          </w:tcPr>
          <w:p w14:paraId="56F79A54">
            <w:pPr>
              <w:spacing w:before="0" w:after="0" w:line="240" w:lineRule="exact"/>
              <w:jc w:val="right"/>
              <w:rPr>
                <w:rFonts w:ascii="宋体" w:hAnsi="宋体" w:eastAsia="宋体" w:cs="宋体"/>
                <w:sz w:val="18"/>
                <w:szCs w:val="18"/>
              </w:rPr>
            </w:pPr>
            <w:r>
              <w:rPr>
                <w:rFonts w:ascii="宋体" w:hAnsi="宋体" w:eastAsia="宋体" w:cs="宋体"/>
                <w:sz w:val="18"/>
                <w:szCs w:val="18"/>
              </w:rPr>
              <w:t>34,542,668.55</w:t>
            </w:r>
          </w:p>
        </w:tc>
      </w:tr>
      <w:tr w14:paraId="5A7DCB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88F01A">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取得子公司及其他营业单位支付的现金净额</w:t>
            </w:r>
          </w:p>
        </w:tc>
        <w:tc>
          <w:tcPr>
            <w:tcW w:w="3213" w:type="dxa"/>
            <w:tcBorders>
              <w:top w:val="single" w:color="auto" w:sz="2" w:space="0"/>
              <w:left w:val="single" w:color="auto" w:sz="2" w:space="0"/>
              <w:bottom w:val="single" w:color="auto" w:sz="2" w:space="0"/>
              <w:right w:val="single" w:color="auto" w:sz="2" w:space="0"/>
            </w:tcBorders>
            <w:vAlign w:val="center"/>
          </w:tcPr>
          <w:p w14:paraId="5E297B3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3899864">
            <w:pPr>
              <w:spacing w:before="0" w:after="0" w:line="240" w:lineRule="exact"/>
              <w:jc w:val="right"/>
              <w:rPr>
                <w:rFonts w:ascii="宋体" w:hAnsi="宋体" w:eastAsia="宋体" w:cs="宋体"/>
                <w:sz w:val="18"/>
                <w:szCs w:val="18"/>
              </w:rPr>
            </w:pPr>
          </w:p>
        </w:tc>
      </w:tr>
      <w:tr w14:paraId="52580F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4F23D5E">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支付其他与投资活动有关的现金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455E38D1">
            <w:pPr>
              <w:spacing w:before="0" w:after="0" w:line="240" w:lineRule="exact"/>
              <w:jc w:val="right"/>
              <w:rPr>
                <w:rFonts w:ascii="宋体" w:hAnsi="宋体" w:eastAsia="宋体" w:cs="宋体"/>
                <w:sz w:val="18"/>
                <w:szCs w:val="18"/>
              </w:rPr>
            </w:pPr>
            <w:r>
              <w:rPr>
                <w:rFonts w:ascii="宋体" w:hAnsi="宋体" w:eastAsia="宋体" w:cs="宋体"/>
                <w:sz w:val="18"/>
                <w:szCs w:val="18"/>
              </w:rPr>
              <w:t>58,844,517.80</w:t>
            </w:r>
          </w:p>
        </w:tc>
        <w:tc>
          <w:tcPr>
            <w:tcW w:w="3213" w:type="dxa"/>
            <w:tcBorders>
              <w:top w:val="single" w:color="auto" w:sz="2" w:space="0"/>
              <w:left w:val="single" w:color="auto" w:sz="2" w:space="0"/>
              <w:bottom w:val="single" w:color="auto" w:sz="2" w:space="0"/>
              <w:right w:val="single" w:color="auto" w:sz="2" w:space="0"/>
            </w:tcBorders>
            <w:vAlign w:val="center"/>
          </w:tcPr>
          <w:p w14:paraId="5BFF2B6A">
            <w:pPr>
              <w:spacing w:before="0" w:after="0" w:line="240" w:lineRule="exact"/>
              <w:jc w:val="right"/>
              <w:rPr>
                <w:rFonts w:ascii="宋体" w:hAnsi="宋体" w:eastAsia="宋体" w:cs="宋体"/>
                <w:sz w:val="18"/>
                <w:szCs w:val="18"/>
              </w:rPr>
            </w:pPr>
            <w:r>
              <w:rPr>
                <w:rFonts w:ascii="宋体" w:hAnsi="宋体" w:eastAsia="宋体" w:cs="宋体"/>
                <w:sz w:val="18"/>
                <w:szCs w:val="18"/>
              </w:rPr>
              <w:t>59,000,000.00</w:t>
            </w:r>
          </w:p>
        </w:tc>
      </w:tr>
      <w:tr w14:paraId="18B498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4CF4061">
            <w:pPr>
              <w:spacing w:before="0" w:after="0" w:line="240" w:lineRule="exact"/>
              <w:jc w:val="left"/>
              <w:rPr>
                <w:rFonts w:ascii="宋体" w:hAnsi="宋体" w:eastAsia="宋体" w:cs="宋体"/>
                <w:sz w:val="18"/>
                <w:szCs w:val="18"/>
              </w:rPr>
            </w:pPr>
            <w:r>
              <w:rPr>
                <w:rFonts w:ascii="宋体" w:hAnsi="宋体" w:eastAsia="宋体" w:cs="宋体"/>
                <w:sz w:val="18"/>
                <w:szCs w:val="18"/>
              </w:rPr>
              <w:t>投资活动现金流出小计</w:t>
            </w:r>
          </w:p>
        </w:tc>
        <w:tc>
          <w:tcPr>
            <w:tcW w:w="3213" w:type="dxa"/>
            <w:tcBorders>
              <w:top w:val="single" w:color="auto" w:sz="2" w:space="0"/>
              <w:left w:val="single" w:color="auto" w:sz="2" w:space="0"/>
              <w:bottom w:val="single" w:color="auto" w:sz="2" w:space="0"/>
              <w:right w:val="single" w:color="auto" w:sz="2" w:space="0"/>
            </w:tcBorders>
            <w:vAlign w:val="center"/>
          </w:tcPr>
          <w:p w14:paraId="47A35E1F">
            <w:pPr>
              <w:spacing w:before="0" w:after="0" w:line="240" w:lineRule="exact"/>
              <w:jc w:val="right"/>
              <w:rPr>
                <w:rFonts w:ascii="宋体" w:hAnsi="宋体" w:eastAsia="宋体" w:cs="宋体"/>
                <w:sz w:val="18"/>
                <w:szCs w:val="18"/>
              </w:rPr>
            </w:pPr>
            <w:r>
              <w:rPr>
                <w:rFonts w:ascii="宋体" w:hAnsi="宋体" w:eastAsia="宋体" w:cs="宋体"/>
                <w:sz w:val="18"/>
                <w:szCs w:val="18"/>
              </w:rPr>
              <w:t>84,974,909.59</w:t>
            </w:r>
          </w:p>
        </w:tc>
        <w:tc>
          <w:tcPr>
            <w:tcW w:w="3213" w:type="dxa"/>
            <w:tcBorders>
              <w:top w:val="single" w:color="auto" w:sz="2" w:space="0"/>
              <w:left w:val="single" w:color="auto" w:sz="2" w:space="0"/>
              <w:bottom w:val="single" w:color="auto" w:sz="2" w:space="0"/>
              <w:right w:val="single" w:color="auto" w:sz="2" w:space="0"/>
            </w:tcBorders>
            <w:vAlign w:val="center"/>
          </w:tcPr>
          <w:p w14:paraId="16335FD0">
            <w:pPr>
              <w:spacing w:before="0" w:after="0" w:line="240" w:lineRule="exact"/>
              <w:jc w:val="right"/>
              <w:rPr>
                <w:rFonts w:ascii="宋体" w:hAnsi="宋体" w:eastAsia="宋体" w:cs="宋体"/>
                <w:sz w:val="18"/>
                <w:szCs w:val="18"/>
              </w:rPr>
            </w:pPr>
            <w:r>
              <w:rPr>
                <w:rFonts w:ascii="宋体" w:hAnsi="宋体" w:eastAsia="宋体" w:cs="宋体"/>
                <w:sz w:val="18"/>
                <w:szCs w:val="18"/>
              </w:rPr>
              <w:t>198,046,229.11</w:t>
            </w:r>
          </w:p>
        </w:tc>
      </w:tr>
      <w:tr w14:paraId="71F17F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966B563">
            <w:pPr>
              <w:spacing w:before="0" w:after="0" w:line="240" w:lineRule="exact"/>
              <w:jc w:val="left"/>
              <w:rPr>
                <w:rFonts w:ascii="宋体" w:hAnsi="宋体" w:eastAsia="宋体" w:cs="宋体"/>
                <w:sz w:val="18"/>
                <w:szCs w:val="18"/>
              </w:rPr>
            </w:pPr>
            <w:r>
              <w:rPr>
                <w:rFonts w:ascii="宋体" w:hAnsi="宋体" w:eastAsia="宋体" w:cs="宋体"/>
                <w:sz w:val="18"/>
                <w:szCs w:val="18"/>
              </w:rPr>
              <w:t>投资活动产生的现金流量净额</w:t>
            </w:r>
          </w:p>
        </w:tc>
        <w:tc>
          <w:tcPr>
            <w:tcW w:w="3213" w:type="dxa"/>
            <w:tcBorders>
              <w:top w:val="single" w:color="auto" w:sz="2" w:space="0"/>
              <w:left w:val="single" w:color="auto" w:sz="2" w:space="0"/>
              <w:bottom w:val="single" w:color="auto" w:sz="2" w:space="0"/>
              <w:right w:val="single" w:color="auto" w:sz="2" w:space="0"/>
            </w:tcBorders>
            <w:vAlign w:val="center"/>
          </w:tcPr>
          <w:p w14:paraId="247D4F0B">
            <w:pPr>
              <w:spacing w:before="0" w:after="0" w:line="240" w:lineRule="exact"/>
              <w:jc w:val="right"/>
              <w:rPr>
                <w:rFonts w:ascii="宋体" w:hAnsi="宋体" w:eastAsia="宋体" w:cs="宋体"/>
                <w:sz w:val="18"/>
                <w:szCs w:val="18"/>
              </w:rPr>
            </w:pPr>
            <w:r>
              <w:rPr>
                <w:rFonts w:ascii="宋体" w:hAnsi="宋体" w:eastAsia="宋体" w:cs="宋体"/>
                <w:sz w:val="18"/>
                <w:szCs w:val="18"/>
              </w:rPr>
              <w:t>61,173,945.62</w:t>
            </w:r>
          </w:p>
        </w:tc>
        <w:tc>
          <w:tcPr>
            <w:tcW w:w="3213" w:type="dxa"/>
            <w:tcBorders>
              <w:top w:val="single" w:color="auto" w:sz="2" w:space="0"/>
              <w:left w:val="single" w:color="auto" w:sz="2" w:space="0"/>
              <w:bottom w:val="single" w:color="auto" w:sz="2" w:space="0"/>
              <w:right w:val="single" w:color="auto" w:sz="2" w:space="0"/>
            </w:tcBorders>
            <w:vAlign w:val="center"/>
          </w:tcPr>
          <w:p w14:paraId="193E9BCF">
            <w:pPr>
              <w:spacing w:before="0" w:after="0" w:line="240" w:lineRule="exact"/>
              <w:jc w:val="right"/>
              <w:rPr>
                <w:rFonts w:ascii="宋体" w:hAnsi="宋体" w:eastAsia="宋体" w:cs="宋体"/>
                <w:sz w:val="18"/>
                <w:szCs w:val="18"/>
              </w:rPr>
            </w:pPr>
            <w:r>
              <w:rPr>
                <w:rFonts w:ascii="宋体" w:hAnsi="宋体" w:eastAsia="宋体" w:cs="宋体"/>
                <w:sz w:val="18"/>
                <w:szCs w:val="18"/>
              </w:rPr>
              <w:t>-97,709,991.06</w:t>
            </w:r>
          </w:p>
        </w:tc>
      </w:tr>
      <w:tr w14:paraId="365A49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3D6C9C7">
            <w:pPr>
              <w:spacing w:before="0" w:after="0" w:line="240" w:lineRule="exact"/>
              <w:jc w:val="left"/>
              <w:rPr>
                <w:rFonts w:ascii="宋体" w:hAnsi="宋体" w:eastAsia="宋体" w:cs="宋体"/>
                <w:sz w:val="18"/>
                <w:szCs w:val="18"/>
              </w:rPr>
            </w:pPr>
            <w:r>
              <w:rPr>
                <w:rFonts w:ascii="宋体" w:hAnsi="宋体" w:eastAsia="宋体" w:cs="宋体"/>
                <w:sz w:val="18"/>
                <w:szCs w:val="18"/>
              </w:rPr>
              <w:t>三、筹资活动产生的现金流量：</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3715AB4"/>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E641D77"/>
        </w:tc>
      </w:tr>
      <w:tr w14:paraId="33B626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C6942A8">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吸收投资收到的现金</w:t>
            </w:r>
          </w:p>
        </w:tc>
        <w:tc>
          <w:tcPr>
            <w:tcW w:w="3213" w:type="dxa"/>
            <w:tcBorders>
              <w:top w:val="single" w:color="auto" w:sz="2" w:space="0"/>
              <w:left w:val="single" w:color="auto" w:sz="2" w:space="0"/>
              <w:bottom w:val="single" w:color="auto" w:sz="2" w:space="0"/>
              <w:right w:val="single" w:color="auto" w:sz="2" w:space="0"/>
            </w:tcBorders>
            <w:vAlign w:val="center"/>
          </w:tcPr>
          <w:p w14:paraId="0BF5F2A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6F05F04">
            <w:pPr>
              <w:spacing w:before="0" w:after="0" w:line="240" w:lineRule="exact"/>
              <w:jc w:val="right"/>
              <w:rPr>
                <w:rFonts w:ascii="宋体" w:hAnsi="宋体" w:eastAsia="宋体" w:cs="宋体"/>
                <w:sz w:val="18"/>
                <w:szCs w:val="18"/>
              </w:rPr>
            </w:pPr>
          </w:p>
        </w:tc>
      </w:tr>
      <w:tr w14:paraId="24CF75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F4F89A3">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取得借款收到的现金</w:t>
            </w:r>
          </w:p>
        </w:tc>
        <w:tc>
          <w:tcPr>
            <w:tcW w:w="3213" w:type="dxa"/>
            <w:tcBorders>
              <w:top w:val="single" w:color="auto" w:sz="2" w:space="0"/>
              <w:left w:val="single" w:color="auto" w:sz="2" w:space="0"/>
              <w:bottom w:val="single" w:color="auto" w:sz="2" w:space="0"/>
              <w:right w:val="single" w:color="auto" w:sz="2" w:space="0"/>
            </w:tcBorders>
            <w:vAlign w:val="center"/>
          </w:tcPr>
          <w:p w14:paraId="6482BB69">
            <w:pPr>
              <w:spacing w:before="0" w:after="0" w:line="240" w:lineRule="exact"/>
              <w:jc w:val="right"/>
              <w:rPr>
                <w:rFonts w:ascii="宋体" w:hAnsi="宋体" w:eastAsia="宋体" w:cs="宋体"/>
                <w:sz w:val="18"/>
                <w:szCs w:val="18"/>
              </w:rPr>
            </w:pPr>
            <w:r>
              <w:rPr>
                <w:rFonts w:ascii="宋体" w:hAnsi="宋体" w:eastAsia="宋体" w:cs="宋体"/>
                <w:sz w:val="18"/>
                <w:szCs w:val="18"/>
              </w:rPr>
              <w:t>281,800,000.00</w:t>
            </w:r>
          </w:p>
        </w:tc>
        <w:tc>
          <w:tcPr>
            <w:tcW w:w="3213" w:type="dxa"/>
            <w:tcBorders>
              <w:top w:val="single" w:color="auto" w:sz="2" w:space="0"/>
              <w:left w:val="single" w:color="auto" w:sz="2" w:space="0"/>
              <w:bottom w:val="single" w:color="auto" w:sz="2" w:space="0"/>
              <w:right w:val="single" w:color="auto" w:sz="2" w:space="0"/>
            </w:tcBorders>
            <w:vAlign w:val="center"/>
          </w:tcPr>
          <w:p w14:paraId="134EED88">
            <w:pPr>
              <w:spacing w:before="0" w:after="0" w:line="240" w:lineRule="exact"/>
              <w:jc w:val="right"/>
              <w:rPr>
                <w:rFonts w:ascii="宋体" w:hAnsi="宋体" w:eastAsia="宋体" w:cs="宋体"/>
                <w:sz w:val="18"/>
                <w:szCs w:val="18"/>
              </w:rPr>
            </w:pPr>
            <w:r>
              <w:rPr>
                <w:rFonts w:ascii="宋体" w:hAnsi="宋体" w:eastAsia="宋体" w:cs="宋体"/>
                <w:sz w:val="18"/>
                <w:szCs w:val="18"/>
              </w:rPr>
              <w:t>338,158,269.57</w:t>
            </w:r>
          </w:p>
        </w:tc>
      </w:tr>
      <w:tr w14:paraId="7F2AB0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EA9535">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收到其他与筹资活动有关的现金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625F2754">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51696F4">
            <w:pPr>
              <w:spacing w:before="0" w:after="0" w:line="240" w:lineRule="exact"/>
              <w:jc w:val="right"/>
              <w:rPr>
                <w:rFonts w:ascii="宋体" w:hAnsi="宋体" w:eastAsia="宋体" w:cs="宋体"/>
                <w:sz w:val="18"/>
                <w:szCs w:val="18"/>
              </w:rPr>
            </w:pPr>
            <w:r>
              <w:rPr>
                <w:rFonts w:ascii="宋体" w:hAnsi="宋体" w:eastAsia="宋体" w:cs="宋体"/>
                <w:sz w:val="18"/>
                <w:szCs w:val="18"/>
              </w:rPr>
              <w:t>31,000,000.00</w:t>
            </w:r>
          </w:p>
        </w:tc>
      </w:tr>
      <w:tr w14:paraId="786F35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D2C1CD1">
            <w:pPr>
              <w:spacing w:before="0" w:after="0" w:line="240" w:lineRule="exact"/>
              <w:jc w:val="left"/>
              <w:rPr>
                <w:rFonts w:ascii="宋体" w:hAnsi="宋体" w:eastAsia="宋体" w:cs="宋体"/>
                <w:sz w:val="18"/>
                <w:szCs w:val="18"/>
              </w:rPr>
            </w:pPr>
            <w:r>
              <w:rPr>
                <w:rFonts w:ascii="宋体" w:hAnsi="宋体" w:eastAsia="宋体" w:cs="宋体"/>
                <w:sz w:val="18"/>
                <w:szCs w:val="18"/>
              </w:rPr>
              <w:t>筹资活动现金流入小计</w:t>
            </w:r>
          </w:p>
        </w:tc>
        <w:tc>
          <w:tcPr>
            <w:tcW w:w="3213" w:type="dxa"/>
            <w:tcBorders>
              <w:top w:val="single" w:color="auto" w:sz="2" w:space="0"/>
              <w:left w:val="single" w:color="auto" w:sz="2" w:space="0"/>
              <w:bottom w:val="single" w:color="auto" w:sz="2" w:space="0"/>
              <w:right w:val="single" w:color="auto" w:sz="2" w:space="0"/>
            </w:tcBorders>
            <w:vAlign w:val="center"/>
          </w:tcPr>
          <w:p w14:paraId="0EF06830">
            <w:pPr>
              <w:spacing w:before="0" w:after="0" w:line="240" w:lineRule="exact"/>
              <w:jc w:val="right"/>
              <w:rPr>
                <w:rFonts w:ascii="宋体" w:hAnsi="宋体" w:eastAsia="宋体" w:cs="宋体"/>
                <w:sz w:val="18"/>
                <w:szCs w:val="18"/>
              </w:rPr>
            </w:pPr>
            <w:r>
              <w:rPr>
                <w:rFonts w:ascii="宋体" w:hAnsi="宋体" w:eastAsia="宋体" w:cs="宋体"/>
                <w:sz w:val="18"/>
                <w:szCs w:val="18"/>
              </w:rPr>
              <w:t>281,800,000.00</w:t>
            </w:r>
          </w:p>
        </w:tc>
        <w:tc>
          <w:tcPr>
            <w:tcW w:w="3213" w:type="dxa"/>
            <w:tcBorders>
              <w:top w:val="single" w:color="auto" w:sz="2" w:space="0"/>
              <w:left w:val="single" w:color="auto" w:sz="2" w:space="0"/>
              <w:bottom w:val="single" w:color="auto" w:sz="2" w:space="0"/>
              <w:right w:val="single" w:color="auto" w:sz="2" w:space="0"/>
            </w:tcBorders>
            <w:vAlign w:val="center"/>
          </w:tcPr>
          <w:p w14:paraId="576A9704">
            <w:pPr>
              <w:spacing w:before="0" w:after="0" w:line="240" w:lineRule="exact"/>
              <w:jc w:val="right"/>
              <w:rPr>
                <w:rFonts w:ascii="宋体" w:hAnsi="宋体" w:eastAsia="宋体" w:cs="宋体"/>
                <w:sz w:val="18"/>
                <w:szCs w:val="18"/>
              </w:rPr>
            </w:pPr>
            <w:r>
              <w:rPr>
                <w:rFonts w:ascii="宋体" w:hAnsi="宋体" w:eastAsia="宋体" w:cs="宋体"/>
                <w:sz w:val="18"/>
                <w:szCs w:val="18"/>
              </w:rPr>
              <w:t>369,158,269.57</w:t>
            </w:r>
          </w:p>
        </w:tc>
      </w:tr>
      <w:tr w14:paraId="2918B0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1FC5679">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偿还债务支付的现金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340BF0BA">
            <w:pPr>
              <w:spacing w:before="0" w:after="0" w:line="240" w:lineRule="exact"/>
              <w:jc w:val="right"/>
              <w:rPr>
                <w:rFonts w:ascii="宋体" w:hAnsi="宋体" w:eastAsia="宋体" w:cs="宋体"/>
                <w:sz w:val="18"/>
                <w:szCs w:val="18"/>
              </w:rPr>
            </w:pPr>
            <w:r>
              <w:rPr>
                <w:rFonts w:ascii="宋体" w:hAnsi="宋体" w:eastAsia="宋体" w:cs="宋体"/>
                <w:sz w:val="18"/>
                <w:szCs w:val="18"/>
              </w:rPr>
              <w:t>290,304,169.57</w:t>
            </w:r>
          </w:p>
        </w:tc>
        <w:tc>
          <w:tcPr>
            <w:tcW w:w="3213" w:type="dxa"/>
            <w:tcBorders>
              <w:top w:val="single" w:color="auto" w:sz="2" w:space="0"/>
              <w:left w:val="single" w:color="auto" w:sz="2" w:space="0"/>
              <w:bottom w:val="single" w:color="auto" w:sz="2" w:space="0"/>
              <w:right w:val="single" w:color="auto" w:sz="2" w:space="0"/>
            </w:tcBorders>
            <w:vAlign w:val="center"/>
          </w:tcPr>
          <w:p w14:paraId="5AB03D51">
            <w:pPr>
              <w:spacing w:before="0" w:after="0" w:line="240" w:lineRule="exact"/>
              <w:jc w:val="right"/>
              <w:rPr>
                <w:rFonts w:ascii="宋体" w:hAnsi="宋体" w:eastAsia="宋体" w:cs="宋体"/>
                <w:sz w:val="18"/>
                <w:szCs w:val="18"/>
              </w:rPr>
            </w:pPr>
            <w:r>
              <w:rPr>
                <w:rFonts w:ascii="宋体" w:hAnsi="宋体" w:eastAsia="宋体" w:cs="宋体"/>
                <w:sz w:val="18"/>
                <w:szCs w:val="18"/>
              </w:rPr>
              <w:t>221,532,000.00</w:t>
            </w:r>
          </w:p>
        </w:tc>
      </w:tr>
      <w:tr w14:paraId="41FCF3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ED0C99A">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分配股利、利润或偿付利息支付的现金</w:t>
            </w:r>
          </w:p>
        </w:tc>
        <w:tc>
          <w:tcPr>
            <w:tcW w:w="3213" w:type="dxa"/>
            <w:tcBorders>
              <w:top w:val="single" w:color="auto" w:sz="2" w:space="0"/>
              <w:left w:val="single" w:color="auto" w:sz="2" w:space="0"/>
              <w:bottom w:val="single" w:color="auto" w:sz="2" w:space="0"/>
              <w:right w:val="single" w:color="auto" w:sz="2" w:space="0"/>
            </w:tcBorders>
            <w:vAlign w:val="center"/>
          </w:tcPr>
          <w:p w14:paraId="6273D8F5">
            <w:pPr>
              <w:spacing w:before="0" w:after="0" w:line="240" w:lineRule="exact"/>
              <w:jc w:val="right"/>
              <w:rPr>
                <w:rFonts w:ascii="宋体" w:hAnsi="宋体" w:eastAsia="宋体" w:cs="宋体"/>
                <w:sz w:val="18"/>
                <w:szCs w:val="18"/>
              </w:rPr>
            </w:pPr>
            <w:r>
              <w:rPr>
                <w:rFonts w:ascii="宋体" w:hAnsi="宋体" w:eastAsia="宋体" w:cs="宋体"/>
                <w:sz w:val="18"/>
                <w:szCs w:val="18"/>
              </w:rPr>
              <w:t>15,578,073.33</w:t>
            </w:r>
          </w:p>
        </w:tc>
        <w:tc>
          <w:tcPr>
            <w:tcW w:w="3213" w:type="dxa"/>
            <w:tcBorders>
              <w:top w:val="single" w:color="auto" w:sz="2" w:space="0"/>
              <w:left w:val="single" w:color="auto" w:sz="2" w:space="0"/>
              <w:bottom w:val="single" w:color="auto" w:sz="2" w:space="0"/>
              <w:right w:val="single" w:color="auto" w:sz="2" w:space="0"/>
            </w:tcBorders>
            <w:vAlign w:val="center"/>
          </w:tcPr>
          <w:p w14:paraId="25E753A7">
            <w:pPr>
              <w:spacing w:before="0" w:after="0" w:line="240" w:lineRule="exact"/>
              <w:jc w:val="right"/>
              <w:rPr>
                <w:rFonts w:ascii="宋体" w:hAnsi="宋体" w:eastAsia="宋体" w:cs="宋体"/>
                <w:sz w:val="18"/>
                <w:szCs w:val="18"/>
              </w:rPr>
            </w:pPr>
            <w:r>
              <w:rPr>
                <w:rFonts w:ascii="宋体" w:hAnsi="宋体" w:eastAsia="宋体" w:cs="宋体"/>
                <w:sz w:val="18"/>
                <w:szCs w:val="18"/>
              </w:rPr>
              <w:t>15,933,621.11</w:t>
            </w:r>
          </w:p>
        </w:tc>
      </w:tr>
      <w:tr w14:paraId="068C4F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11D935C">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支付其他与筹资活动有关的现金</w:t>
            </w:r>
          </w:p>
        </w:tc>
        <w:tc>
          <w:tcPr>
            <w:tcW w:w="3213" w:type="dxa"/>
            <w:tcBorders>
              <w:top w:val="single" w:color="auto" w:sz="2" w:space="0"/>
              <w:left w:val="single" w:color="auto" w:sz="2" w:space="0"/>
              <w:bottom w:val="single" w:color="auto" w:sz="2" w:space="0"/>
              <w:right w:val="single" w:color="auto" w:sz="2" w:space="0"/>
            </w:tcBorders>
            <w:vAlign w:val="center"/>
          </w:tcPr>
          <w:p w14:paraId="242CCE50">
            <w:pPr>
              <w:spacing w:before="0" w:after="0" w:line="240" w:lineRule="exact"/>
              <w:jc w:val="right"/>
              <w:rPr>
                <w:rFonts w:ascii="宋体" w:hAnsi="宋体" w:eastAsia="宋体" w:cs="宋体"/>
                <w:sz w:val="18"/>
                <w:szCs w:val="18"/>
              </w:rPr>
            </w:pPr>
            <w:r>
              <w:rPr>
                <w:rFonts w:ascii="宋体" w:hAnsi="宋体" w:eastAsia="宋体" w:cs="宋体"/>
                <w:sz w:val="18"/>
                <w:szCs w:val="18"/>
              </w:rPr>
              <w:t>36,521,276.87</w:t>
            </w:r>
          </w:p>
        </w:tc>
        <w:tc>
          <w:tcPr>
            <w:tcW w:w="3213" w:type="dxa"/>
            <w:tcBorders>
              <w:top w:val="single" w:color="auto" w:sz="2" w:space="0"/>
              <w:left w:val="single" w:color="auto" w:sz="2" w:space="0"/>
              <w:bottom w:val="single" w:color="auto" w:sz="2" w:space="0"/>
              <w:right w:val="single" w:color="auto" w:sz="2" w:space="0"/>
            </w:tcBorders>
            <w:vAlign w:val="center"/>
          </w:tcPr>
          <w:p w14:paraId="73C79B6A">
            <w:pPr>
              <w:spacing w:before="0" w:after="0" w:line="240" w:lineRule="exact"/>
              <w:jc w:val="right"/>
              <w:rPr>
                <w:rFonts w:ascii="宋体" w:hAnsi="宋体" w:eastAsia="宋体" w:cs="宋体"/>
                <w:sz w:val="18"/>
                <w:szCs w:val="18"/>
              </w:rPr>
            </w:pPr>
            <w:r>
              <w:rPr>
                <w:rFonts w:ascii="宋体" w:hAnsi="宋体" w:eastAsia="宋体" w:cs="宋体"/>
                <w:sz w:val="18"/>
                <w:szCs w:val="18"/>
              </w:rPr>
              <w:t>31,371,000.00</w:t>
            </w:r>
          </w:p>
        </w:tc>
      </w:tr>
      <w:tr w14:paraId="06F47F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7C48DBB">
            <w:pPr>
              <w:spacing w:before="0" w:after="0" w:line="240" w:lineRule="exact"/>
              <w:jc w:val="left"/>
              <w:rPr>
                <w:rFonts w:ascii="宋体" w:hAnsi="宋体" w:eastAsia="宋体" w:cs="宋体"/>
                <w:sz w:val="18"/>
                <w:szCs w:val="18"/>
              </w:rPr>
            </w:pPr>
            <w:r>
              <w:rPr>
                <w:rFonts w:ascii="宋体" w:hAnsi="宋体" w:eastAsia="宋体" w:cs="宋体"/>
                <w:sz w:val="18"/>
                <w:szCs w:val="18"/>
              </w:rPr>
              <w:t>筹资活动现金流出小计</w:t>
            </w:r>
          </w:p>
        </w:tc>
        <w:tc>
          <w:tcPr>
            <w:tcW w:w="3213" w:type="dxa"/>
            <w:tcBorders>
              <w:top w:val="single" w:color="auto" w:sz="2" w:space="0"/>
              <w:left w:val="single" w:color="auto" w:sz="2" w:space="0"/>
              <w:bottom w:val="single" w:color="auto" w:sz="2" w:space="0"/>
              <w:right w:val="single" w:color="auto" w:sz="2" w:space="0"/>
            </w:tcBorders>
            <w:vAlign w:val="center"/>
          </w:tcPr>
          <w:p w14:paraId="4DFE1222">
            <w:pPr>
              <w:spacing w:before="0" w:after="0" w:line="240" w:lineRule="exact"/>
              <w:jc w:val="right"/>
              <w:rPr>
                <w:rFonts w:ascii="宋体" w:hAnsi="宋体" w:eastAsia="宋体" w:cs="宋体"/>
                <w:sz w:val="18"/>
                <w:szCs w:val="18"/>
              </w:rPr>
            </w:pPr>
            <w:r>
              <w:rPr>
                <w:rFonts w:ascii="宋体" w:hAnsi="宋体" w:eastAsia="宋体" w:cs="宋体"/>
                <w:sz w:val="18"/>
                <w:szCs w:val="18"/>
              </w:rPr>
              <w:t>342,403,519.77</w:t>
            </w:r>
          </w:p>
        </w:tc>
        <w:tc>
          <w:tcPr>
            <w:tcW w:w="3213" w:type="dxa"/>
            <w:tcBorders>
              <w:top w:val="single" w:color="auto" w:sz="2" w:space="0"/>
              <w:left w:val="single" w:color="auto" w:sz="2" w:space="0"/>
              <w:bottom w:val="single" w:color="auto" w:sz="2" w:space="0"/>
              <w:right w:val="single" w:color="auto" w:sz="2" w:space="0"/>
            </w:tcBorders>
            <w:vAlign w:val="center"/>
          </w:tcPr>
          <w:p w14:paraId="40EE647E">
            <w:pPr>
              <w:spacing w:before="0" w:after="0" w:line="240" w:lineRule="exact"/>
              <w:jc w:val="right"/>
              <w:rPr>
                <w:rFonts w:ascii="宋体" w:hAnsi="宋体" w:eastAsia="宋体" w:cs="宋体"/>
                <w:sz w:val="18"/>
                <w:szCs w:val="18"/>
              </w:rPr>
            </w:pPr>
            <w:r>
              <w:rPr>
                <w:rFonts w:ascii="宋体" w:hAnsi="宋体" w:eastAsia="宋体" w:cs="宋体"/>
                <w:sz w:val="18"/>
                <w:szCs w:val="18"/>
              </w:rPr>
              <w:t>268,836,621.11</w:t>
            </w:r>
          </w:p>
        </w:tc>
      </w:tr>
      <w:tr w14:paraId="4CA7C4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36A153B">
            <w:pPr>
              <w:spacing w:before="0" w:after="0" w:line="240" w:lineRule="exact"/>
              <w:jc w:val="left"/>
              <w:rPr>
                <w:rFonts w:ascii="宋体" w:hAnsi="宋体" w:eastAsia="宋体" w:cs="宋体"/>
                <w:sz w:val="18"/>
                <w:szCs w:val="18"/>
              </w:rPr>
            </w:pPr>
            <w:r>
              <w:rPr>
                <w:rFonts w:ascii="宋体" w:hAnsi="宋体" w:eastAsia="宋体" w:cs="宋体"/>
                <w:sz w:val="18"/>
                <w:szCs w:val="18"/>
              </w:rPr>
              <w:t>筹资活动产生的现金流量净额</w:t>
            </w:r>
          </w:p>
        </w:tc>
        <w:tc>
          <w:tcPr>
            <w:tcW w:w="3213" w:type="dxa"/>
            <w:tcBorders>
              <w:top w:val="single" w:color="auto" w:sz="2" w:space="0"/>
              <w:left w:val="single" w:color="auto" w:sz="2" w:space="0"/>
              <w:bottom w:val="single" w:color="auto" w:sz="2" w:space="0"/>
              <w:right w:val="single" w:color="auto" w:sz="2" w:space="0"/>
            </w:tcBorders>
            <w:vAlign w:val="center"/>
          </w:tcPr>
          <w:p w14:paraId="37B27002">
            <w:pPr>
              <w:spacing w:before="0" w:after="0" w:line="240" w:lineRule="exact"/>
              <w:jc w:val="right"/>
              <w:rPr>
                <w:rFonts w:ascii="宋体" w:hAnsi="宋体" w:eastAsia="宋体" w:cs="宋体"/>
                <w:sz w:val="18"/>
                <w:szCs w:val="18"/>
              </w:rPr>
            </w:pPr>
            <w:r>
              <w:rPr>
                <w:rFonts w:ascii="宋体" w:hAnsi="宋体" w:eastAsia="宋体" w:cs="宋体"/>
                <w:sz w:val="18"/>
                <w:szCs w:val="18"/>
              </w:rPr>
              <w:t>-60,603,519.77</w:t>
            </w:r>
          </w:p>
        </w:tc>
        <w:tc>
          <w:tcPr>
            <w:tcW w:w="3213" w:type="dxa"/>
            <w:tcBorders>
              <w:top w:val="single" w:color="auto" w:sz="2" w:space="0"/>
              <w:left w:val="single" w:color="auto" w:sz="2" w:space="0"/>
              <w:bottom w:val="single" w:color="auto" w:sz="2" w:space="0"/>
              <w:right w:val="single" w:color="auto" w:sz="2" w:space="0"/>
            </w:tcBorders>
            <w:vAlign w:val="center"/>
          </w:tcPr>
          <w:p w14:paraId="6D4AF222">
            <w:pPr>
              <w:spacing w:before="0" w:after="0" w:line="240" w:lineRule="exact"/>
              <w:jc w:val="right"/>
              <w:rPr>
                <w:rFonts w:ascii="宋体" w:hAnsi="宋体" w:eastAsia="宋体" w:cs="宋体"/>
                <w:sz w:val="18"/>
                <w:szCs w:val="18"/>
              </w:rPr>
            </w:pPr>
            <w:r>
              <w:rPr>
                <w:rFonts w:ascii="宋体" w:hAnsi="宋体" w:eastAsia="宋体" w:cs="宋体"/>
                <w:sz w:val="18"/>
                <w:szCs w:val="18"/>
              </w:rPr>
              <w:t>100,321,648.46</w:t>
            </w:r>
          </w:p>
        </w:tc>
      </w:tr>
      <w:tr w14:paraId="65B29D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A74D098">
            <w:pPr>
              <w:spacing w:before="0" w:after="0" w:line="240" w:lineRule="exact"/>
              <w:jc w:val="left"/>
              <w:rPr>
                <w:rFonts w:ascii="宋体" w:hAnsi="宋体" w:eastAsia="宋体" w:cs="宋体"/>
                <w:sz w:val="18"/>
                <w:szCs w:val="18"/>
              </w:rPr>
            </w:pPr>
            <w:r>
              <w:rPr>
                <w:rFonts w:ascii="宋体" w:hAnsi="宋体" w:eastAsia="宋体" w:cs="宋体"/>
                <w:sz w:val="18"/>
                <w:szCs w:val="18"/>
              </w:rPr>
              <w:t>四、汇率变动对现金及现金等价物的影响</w:t>
            </w:r>
          </w:p>
        </w:tc>
        <w:tc>
          <w:tcPr>
            <w:tcW w:w="3213" w:type="dxa"/>
            <w:tcBorders>
              <w:top w:val="single" w:color="auto" w:sz="2" w:space="0"/>
              <w:left w:val="single" w:color="auto" w:sz="2" w:space="0"/>
              <w:bottom w:val="single" w:color="auto" w:sz="2" w:space="0"/>
              <w:right w:val="single" w:color="auto" w:sz="2" w:space="0"/>
            </w:tcBorders>
            <w:vAlign w:val="center"/>
          </w:tcPr>
          <w:p w14:paraId="67519D60">
            <w:pPr>
              <w:spacing w:before="0" w:after="0" w:line="240" w:lineRule="exact"/>
              <w:jc w:val="right"/>
              <w:rPr>
                <w:rFonts w:ascii="宋体" w:hAnsi="宋体" w:eastAsia="宋体" w:cs="宋体"/>
                <w:sz w:val="18"/>
                <w:szCs w:val="18"/>
              </w:rPr>
            </w:pPr>
            <w:r>
              <w:rPr>
                <w:rFonts w:ascii="宋体" w:hAnsi="宋体" w:eastAsia="宋体" w:cs="宋体"/>
                <w:sz w:val="18"/>
                <w:szCs w:val="18"/>
              </w:rPr>
              <w:t>-378.68</w:t>
            </w:r>
          </w:p>
        </w:tc>
        <w:tc>
          <w:tcPr>
            <w:tcW w:w="3213" w:type="dxa"/>
            <w:tcBorders>
              <w:top w:val="single" w:color="auto" w:sz="2" w:space="0"/>
              <w:left w:val="single" w:color="auto" w:sz="2" w:space="0"/>
              <w:bottom w:val="single" w:color="auto" w:sz="2" w:space="0"/>
              <w:right w:val="single" w:color="auto" w:sz="2" w:space="0"/>
            </w:tcBorders>
            <w:vAlign w:val="center"/>
          </w:tcPr>
          <w:p w14:paraId="7EB94748">
            <w:pPr>
              <w:spacing w:before="0" w:after="0" w:line="240" w:lineRule="exact"/>
              <w:jc w:val="right"/>
              <w:rPr>
                <w:rFonts w:ascii="宋体" w:hAnsi="宋体" w:eastAsia="宋体" w:cs="宋体"/>
                <w:sz w:val="18"/>
                <w:szCs w:val="18"/>
              </w:rPr>
            </w:pPr>
            <w:r>
              <w:rPr>
                <w:rFonts w:ascii="宋体" w:hAnsi="宋体" w:eastAsia="宋体" w:cs="宋体"/>
                <w:sz w:val="18"/>
                <w:szCs w:val="18"/>
              </w:rPr>
              <w:t>-203.39</w:t>
            </w:r>
          </w:p>
        </w:tc>
      </w:tr>
      <w:tr w14:paraId="73D62F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B1CFE6F">
            <w:pPr>
              <w:spacing w:before="0" w:after="0" w:line="240" w:lineRule="exact"/>
              <w:jc w:val="left"/>
              <w:rPr>
                <w:rFonts w:ascii="宋体" w:hAnsi="宋体" w:eastAsia="宋体" w:cs="宋体"/>
                <w:sz w:val="18"/>
                <w:szCs w:val="18"/>
              </w:rPr>
            </w:pPr>
            <w:r>
              <w:rPr>
                <w:rFonts w:ascii="宋体" w:hAnsi="宋体" w:eastAsia="宋体" w:cs="宋体"/>
                <w:sz w:val="18"/>
                <w:szCs w:val="18"/>
              </w:rPr>
              <w:t>五、现金及现金等价物净增加额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47A29392">
            <w:pPr>
              <w:spacing w:before="0" w:after="0" w:line="240" w:lineRule="exact"/>
              <w:jc w:val="right"/>
              <w:rPr>
                <w:rFonts w:ascii="宋体" w:hAnsi="宋体" w:eastAsia="宋体" w:cs="宋体"/>
                <w:sz w:val="18"/>
                <w:szCs w:val="18"/>
              </w:rPr>
            </w:pPr>
            <w:r>
              <w:rPr>
                <w:rFonts w:ascii="宋体" w:hAnsi="宋体" w:eastAsia="宋体" w:cs="宋体"/>
                <w:sz w:val="18"/>
                <w:szCs w:val="18"/>
              </w:rPr>
              <w:t>-37,972,197.55</w:t>
            </w:r>
          </w:p>
        </w:tc>
        <w:tc>
          <w:tcPr>
            <w:tcW w:w="3213" w:type="dxa"/>
            <w:tcBorders>
              <w:top w:val="single" w:color="auto" w:sz="2" w:space="0"/>
              <w:left w:val="single" w:color="auto" w:sz="2" w:space="0"/>
              <w:bottom w:val="single" w:color="auto" w:sz="2" w:space="0"/>
              <w:right w:val="single" w:color="auto" w:sz="2" w:space="0"/>
            </w:tcBorders>
            <w:vAlign w:val="center"/>
          </w:tcPr>
          <w:p w14:paraId="0999AE38">
            <w:pPr>
              <w:spacing w:before="0" w:after="0" w:line="240" w:lineRule="exact"/>
              <w:jc w:val="right"/>
              <w:rPr>
                <w:rFonts w:ascii="宋体" w:hAnsi="宋体" w:eastAsia="宋体" w:cs="宋体"/>
                <w:sz w:val="18"/>
                <w:szCs w:val="18"/>
              </w:rPr>
            </w:pPr>
            <w:r>
              <w:rPr>
                <w:rFonts w:ascii="宋体" w:hAnsi="宋体" w:eastAsia="宋体" w:cs="宋体"/>
                <w:sz w:val="18"/>
                <w:szCs w:val="18"/>
              </w:rPr>
              <w:t>-24,402,223.10</w:t>
            </w:r>
          </w:p>
        </w:tc>
      </w:tr>
      <w:tr w14:paraId="04704F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9E646D5">
            <w:pPr>
              <w:spacing w:before="0" w:after="0" w:line="240" w:lineRule="exact"/>
              <w:ind w:firstLine="180" w:firstLineChars="100"/>
              <w:jc w:val="left"/>
              <w:rPr>
                <w:rFonts w:ascii="宋体" w:hAnsi="宋体" w:eastAsia="宋体" w:cs="宋体"/>
                <w:sz w:val="18"/>
                <w:szCs w:val="18"/>
              </w:rPr>
            </w:pPr>
            <w:r>
              <w:rPr>
                <w:rFonts w:ascii="宋体" w:hAnsi="宋体" w:eastAsia="宋体" w:cs="宋体"/>
                <w:sz w:val="18"/>
                <w:szCs w:val="18"/>
              </w:rPr>
              <w:t>加：期初现金及现金等价物余额</w:t>
            </w:r>
          </w:p>
        </w:tc>
        <w:tc>
          <w:tcPr>
            <w:tcW w:w="3213" w:type="dxa"/>
            <w:tcBorders>
              <w:top w:val="single" w:color="auto" w:sz="2" w:space="0"/>
              <w:left w:val="single" w:color="auto" w:sz="2" w:space="0"/>
              <w:bottom w:val="single" w:color="auto" w:sz="2" w:space="0"/>
              <w:right w:val="single" w:color="auto" w:sz="2" w:space="0"/>
            </w:tcBorders>
            <w:vAlign w:val="center"/>
          </w:tcPr>
          <w:p w14:paraId="6DF0E680">
            <w:pPr>
              <w:spacing w:before="0" w:after="0" w:line="240" w:lineRule="exact"/>
              <w:jc w:val="right"/>
              <w:rPr>
                <w:rFonts w:ascii="宋体" w:hAnsi="宋体" w:eastAsia="宋体" w:cs="宋体"/>
                <w:sz w:val="18"/>
                <w:szCs w:val="18"/>
              </w:rPr>
            </w:pPr>
            <w:r>
              <w:rPr>
                <w:rFonts w:ascii="宋体" w:hAnsi="宋体" w:eastAsia="宋体" w:cs="宋体"/>
                <w:sz w:val="18"/>
                <w:szCs w:val="18"/>
              </w:rPr>
              <w:t>133,659,808.33</w:t>
            </w:r>
          </w:p>
        </w:tc>
        <w:tc>
          <w:tcPr>
            <w:tcW w:w="3213" w:type="dxa"/>
            <w:tcBorders>
              <w:top w:val="single" w:color="auto" w:sz="2" w:space="0"/>
              <w:left w:val="single" w:color="auto" w:sz="2" w:space="0"/>
              <w:bottom w:val="single" w:color="auto" w:sz="2" w:space="0"/>
              <w:right w:val="single" w:color="auto" w:sz="2" w:space="0"/>
            </w:tcBorders>
            <w:vAlign w:val="center"/>
          </w:tcPr>
          <w:p w14:paraId="00270D63">
            <w:pPr>
              <w:spacing w:before="0" w:after="0" w:line="240" w:lineRule="exact"/>
              <w:jc w:val="right"/>
              <w:rPr>
                <w:rFonts w:ascii="宋体" w:hAnsi="宋体" w:eastAsia="宋体" w:cs="宋体"/>
                <w:sz w:val="18"/>
                <w:szCs w:val="18"/>
              </w:rPr>
            </w:pPr>
            <w:r>
              <w:rPr>
                <w:rFonts w:ascii="宋体" w:hAnsi="宋体" w:eastAsia="宋体" w:cs="宋体"/>
                <w:sz w:val="18"/>
                <w:szCs w:val="18"/>
              </w:rPr>
              <w:t>158,062,031.43</w:t>
            </w:r>
          </w:p>
        </w:tc>
      </w:tr>
      <w:tr w14:paraId="214680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866615D">
            <w:pPr>
              <w:spacing w:before="0" w:after="0" w:line="240" w:lineRule="exact"/>
              <w:jc w:val="left"/>
              <w:rPr>
                <w:rFonts w:ascii="宋体" w:hAnsi="宋体" w:eastAsia="宋体" w:cs="宋体"/>
                <w:sz w:val="18"/>
                <w:szCs w:val="18"/>
              </w:rPr>
            </w:pPr>
            <w:r>
              <w:rPr>
                <w:rFonts w:ascii="宋体" w:hAnsi="宋体" w:eastAsia="宋体" w:cs="宋体"/>
                <w:sz w:val="18"/>
                <w:szCs w:val="18"/>
              </w:rPr>
              <w:t>六、期末现金及现金等价物余额</w:t>
            </w:r>
          </w:p>
        </w:tc>
        <w:tc>
          <w:tcPr>
            <w:tcW w:w="3213" w:type="dxa"/>
            <w:tcBorders>
              <w:top w:val="single" w:color="auto" w:sz="2" w:space="0"/>
              <w:left w:val="single" w:color="auto" w:sz="2" w:space="0"/>
              <w:bottom w:val="single" w:color="auto" w:sz="2" w:space="0"/>
              <w:right w:val="single" w:color="auto" w:sz="2" w:space="0"/>
            </w:tcBorders>
            <w:vAlign w:val="center"/>
          </w:tcPr>
          <w:p w14:paraId="1A07B986">
            <w:pPr>
              <w:spacing w:before="0" w:after="0" w:line="240" w:lineRule="exact"/>
              <w:jc w:val="right"/>
              <w:rPr>
                <w:rFonts w:ascii="宋体" w:hAnsi="宋体" w:eastAsia="宋体" w:cs="宋体"/>
                <w:sz w:val="18"/>
                <w:szCs w:val="18"/>
              </w:rPr>
            </w:pPr>
            <w:r>
              <w:rPr>
                <w:rFonts w:ascii="宋体" w:hAnsi="宋体" w:eastAsia="宋体" w:cs="宋体"/>
                <w:sz w:val="18"/>
                <w:szCs w:val="18"/>
              </w:rPr>
              <w:t>95,687,610.78</w:t>
            </w:r>
          </w:p>
        </w:tc>
        <w:tc>
          <w:tcPr>
            <w:tcW w:w="3213" w:type="dxa"/>
            <w:tcBorders>
              <w:top w:val="single" w:color="auto" w:sz="2" w:space="0"/>
              <w:left w:val="single" w:color="auto" w:sz="2" w:space="0"/>
              <w:bottom w:val="single" w:color="auto" w:sz="2" w:space="0"/>
              <w:right w:val="single" w:color="auto" w:sz="2" w:space="0"/>
            </w:tcBorders>
            <w:vAlign w:val="center"/>
          </w:tcPr>
          <w:p w14:paraId="694E1EAD">
            <w:pPr>
              <w:spacing w:before="0" w:after="0" w:line="240" w:lineRule="exact"/>
              <w:jc w:val="right"/>
              <w:rPr>
                <w:rFonts w:ascii="宋体" w:hAnsi="宋体" w:eastAsia="宋体" w:cs="宋体"/>
                <w:sz w:val="18"/>
                <w:szCs w:val="18"/>
              </w:rPr>
            </w:pPr>
            <w:r>
              <w:rPr>
                <w:rFonts w:ascii="宋体" w:hAnsi="宋体" w:eastAsia="宋体" w:cs="宋体"/>
                <w:sz w:val="18"/>
                <w:szCs w:val="18"/>
              </w:rPr>
              <w:t>133,659,808.33</w:t>
            </w:r>
          </w:p>
        </w:tc>
      </w:tr>
    </w:tbl>
    <w:p w14:paraId="34D254EF">
      <w:pPr>
        <w:keepNext/>
        <w:keepLines/>
        <w:spacing w:before="300" w:after="300" w:line="280" w:lineRule="exact"/>
        <w:jc w:val="left"/>
        <w:outlineLvl w:val="2"/>
        <w:rPr>
          <w:rFonts w:ascii="宋体" w:hAnsi="宋体" w:eastAsia="宋体" w:cs="宋体"/>
          <w:b/>
          <w:bCs/>
          <w:sz w:val="21"/>
          <w:szCs w:val="21"/>
        </w:rPr>
      </w:pPr>
      <w:bookmarkStart w:id="159" w:name="_Toc989046"/>
      <w:r>
        <w:rPr>
          <w:rFonts w:ascii="宋体" w:hAnsi="宋体" w:eastAsia="宋体" w:cs="宋体"/>
          <w:b/>
          <w:bCs/>
          <w:sz w:val="21"/>
          <w:szCs w:val="21"/>
        </w:rPr>
        <w:t>7、合并所有者权益变动表</w:t>
      </w:r>
      <w:bookmarkEnd w:id="159"/>
    </w:p>
    <w:p w14:paraId="26BDFECF">
      <w:pPr>
        <w:spacing w:before="0" w:after="0" w:line="240" w:lineRule="exact"/>
        <w:jc w:val="left"/>
        <w:rPr>
          <w:rFonts w:ascii="宋体" w:hAnsi="宋体" w:eastAsia="宋体" w:cs="宋体"/>
          <w:sz w:val="18"/>
          <w:szCs w:val="18"/>
        </w:rPr>
      </w:pPr>
      <w:r>
        <w:rPr>
          <w:rFonts w:ascii="宋体" w:hAnsi="宋体" w:eastAsia="宋体" w:cs="宋体"/>
          <w:sz w:val="18"/>
          <w:szCs w:val="18"/>
        </w:rPr>
        <w:t>本期金额</w:t>
      </w:r>
    </w:p>
    <w:p w14:paraId="23D63CEC">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02"/>
        <w:gridCol w:w="602"/>
        <w:gridCol w:w="602"/>
        <w:gridCol w:w="602"/>
        <w:gridCol w:w="602"/>
        <w:gridCol w:w="602"/>
        <w:gridCol w:w="602"/>
        <w:gridCol w:w="602"/>
        <w:gridCol w:w="602"/>
        <w:gridCol w:w="602"/>
        <w:gridCol w:w="602"/>
        <w:gridCol w:w="602"/>
        <w:gridCol w:w="602"/>
        <w:gridCol w:w="602"/>
        <w:gridCol w:w="602"/>
        <w:gridCol w:w="602"/>
      </w:tblGrid>
      <w:tr w14:paraId="6E1317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29AD89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9037" w:type="dxa"/>
            <w:gridSpan w:val="15"/>
            <w:tcBorders>
              <w:top w:val="single" w:color="auto" w:sz="2" w:space="0"/>
              <w:left w:val="single" w:color="auto" w:sz="2" w:space="0"/>
              <w:bottom w:val="single" w:color="auto" w:sz="2" w:space="0"/>
              <w:right w:val="single" w:color="auto" w:sz="2" w:space="0"/>
            </w:tcBorders>
            <w:shd w:val="clear" w:color="auto" w:fill="D3D3D3"/>
            <w:vAlign w:val="center"/>
          </w:tcPr>
          <w:p w14:paraId="7157D308">
            <w:pPr>
              <w:spacing w:before="40" w:after="40" w:line="240" w:lineRule="exact"/>
              <w:jc w:val="center"/>
              <w:rPr>
                <w:rFonts w:ascii="宋体" w:hAnsi="宋体" w:eastAsia="宋体" w:cs="宋体"/>
                <w:sz w:val="18"/>
                <w:szCs w:val="18"/>
              </w:rPr>
            </w:pPr>
            <w:r>
              <w:rPr>
                <w:rFonts w:ascii="宋体" w:hAnsi="宋体" w:eastAsia="宋体" w:cs="宋体"/>
                <w:sz w:val="18"/>
                <w:szCs w:val="18"/>
              </w:rPr>
              <w:t>2024年度</w:t>
            </w:r>
          </w:p>
        </w:tc>
      </w:tr>
      <w:tr w14:paraId="139D3F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6226AA1"/>
        </w:tc>
        <w:tc>
          <w:tcPr>
            <w:tcW w:w="7832" w:type="dxa"/>
            <w:gridSpan w:val="13"/>
            <w:tcBorders>
              <w:top w:val="single" w:color="auto" w:sz="2" w:space="0"/>
              <w:left w:val="single" w:color="auto" w:sz="2" w:space="0"/>
              <w:bottom w:val="single" w:color="auto" w:sz="2" w:space="0"/>
              <w:right w:val="single" w:color="auto" w:sz="2" w:space="0"/>
            </w:tcBorders>
            <w:shd w:val="clear" w:color="auto" w:fill="D3D3D3"/>
            <w:vAlign w:val="center"/>
          </w:tcPr>
          <w:p w14:paraId="5FA0EFC5">
            <w:pPr>
              <w:spacing w:before="40" w:after="40" w:line="240" w:lineRule="exact"/>
              <w:jc w:val="center"/>
              <w:rPr>
                <w:rFonts w:ascii="宋体" w:hAnsi="宋体" w:eastAsia="宋体" w:cs="宋体"/>
                <w:sz w:val="18"/>
                <w:szCs w:val="18"/>
              </w:rPr>
            </w:pPr>
            <w:r>
              <w:rPr>
                <w:rFonts w:ascii="宋体" w:hAnsi="宋体" w:eastAsia="宋体" w:cs="宋体"/>
                <w:sz w:val="18"/>
                <w:szCs w:val="18"/>
              </w:rPr>
              <w:t>归属于母公司所有者权益</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EC7B18E">
            <w:pPr>
              <w:spacing w:before="40" w:after="40" w:line="240" w:lineRule="exact"/>
              <w:jc w:val="center"/>
              <w:rPr>
                <w:rFonts w:ascii="宋体" w:hAnsi="宋体" w:eastAsia="宋体" w:cs="宋体"/>
                <w:sz w:val="18"/>
                <w:szCs w:val="18"/>
              </w:rPr>
            </w:pPr>
            <w:r>
              <w:rPr>
                <w:rFonts w:ascii="宋体" w:hAnsi="宋体" w:eastAsia="宋体" w:cs="宋体"/>
                <w:sz w:val="18"/>
                <w:szCs w:val="18"/>
              </w:rPr>
              <w:t>少数股东权益</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5DE1929">
            <w:pPr>
              <w:spacing w:before="40" w:after="40" w:line="240" w:lineRule="exact"/>
              <w:jc w:val="center"/>
              <w:rPr>
                <w:rFonts w:ascii="宋体" w:hAnsi="宋体" w:eastAsia="宋体" w:cs="宋体"/>
                <w:sz w:val="18"/>
                <w:szCs w:val="18"/>
              </w:rPr>
            </w:pPr>
            <w:r>
              <w:rPr>
                <w:rFonts w:ascii="宋体" w:hAnsi="宋体" w:eastAsia="宋体" w:cs="宋体"/>
                <w:sz w:val="18"/>
                <w:szCs w:val="18"/>
              </w:rPr>
              <w:t>所有者权益合计</w:t>
            </w:r>
          </w:p>
        </w:tc>
      </w:tr>
      <w:tr w14:paraId="7FD190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09BC441"/>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177FDE1">
            <w:pPr>
              <w:spacing w:before="40" w:after="40" w:line="240" w:lineRule="exact"/>
              <w:jc w:val="center"/>
              <w:rPr>
                <w:rFonts w:ascii="宋体" w:hAnsi="宋体" w:eastAsia="宋体" w:cs="宋体"/>
                <w:sz w:val="18"/>
                <w:szCs w:val="18"/>
              </w:rPr>
            </w:pPr>
            <w:r>
              <w:rPr>
                <w:rFonts w:ascii="宋体" w:hAnsi="宋体" w:eastAsia="宋体" w:cs="宋体"/>
                <w:sz w:val="18"/>
                <w:szCs w:val="18"/>
              </w:rPr>
              <w:t>股本</w:t>
            </w:r>
          </w:p>
        </w:tc>
        <w:tc>
          <w:tcPr>
            <w:tcW w:w="1807"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2F5D4015">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其他权益工具</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12BFA7E">
            <w:pPr>
              <w:spacing w:before="40" w:after="40" w:line="240" w:lineRule="exact"/>
              <w:jc w:val="center"/>
              <w:rPr>
                <w:rFonts w:ascii="宋体" w:hAnsi="宋体" w:eastAsia="宋体" w:cs="宋体"/>
                <w:sz w:val="18"/>
                <w:szCs w:val="18"/>
              </w:rPr>
            </w:pPr>
            <w:r>
              <w:rPr>
                <w:rFonts w:ascii="宋体" w:hAnsi="宋体" w:eastAsia="宋体" w:cs="宋体"/>
                <w:sz w:val="18"/>
                <w:szCs w:val="18"/>
              </w:rPr>
              <w:t>资本公积</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1684F0C">
            <w:pPr>
              <w:spacing w:before="40" w:after="40" w:line="240" w:lineRule="exact"/>
              <w:jc w:val="center"/>
              <w:rPr>
                <w:rFonts w:ascii="宋体" w:hAnsi="宋体" w:eastAsia="宋体" w:cs="宋体"/>
                <w:sz w:val="18"/>
                <w:szCs w:val="18"/>
              </w:rPr>
            </w:pPr>
            <w:r>
              <w:rPr>
                <w:rFonts w:ascii="宋体" w:hAnsi="宋体" w:eastAsia="宋体" w:cs="宋体"/>
                <w:sz w:val="18"/>
                <w:szCs w:val="18"/>
              </w:rPr>
              <w:t>减：库存股</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AAA2AF2">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1C5D5D3">
            <w:pPr>
              <w:spacing w:before="40" w:after="40" w:line="240" w:lineRule="exact"/>
              <w:jc w:val="center"/>
              <w:rPr>
                <w:rFonts w:ascii="宋体" w:hAnsi="宋体" w:eastAsia="宋体" w:cs="宋体"/>
                <w:sz w:val="18"/>
                <w:szCs w:val="18"/>
              </w:rPr>
            </w:pPr>
            <w:r>
              <w:rPr>
                <w:rFonts w:ascii="宋体" w:hAnsi="宋体" w:eastAsia="宋体" w:cs="宋体"/>
                <w:sz w:val="18"/>
                <w:szCs w:val="18"/>
              </w:rPr>
              <w:t>专项储备</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D245D7E">
            <w:pPr>
              <w:spacing w:before="40" w:after="40" w:line="240" w:lineRule="exact"/>
              <w:jc w:val="center"/>
              <w:rPr>
                <w:rFonts w:ascii="宋体" w:hAnsi="宋体" w:eastAsia="宋体" w:cs="宋体"/>
                <w:sz w:val="18"/>
                <w:szCs w:val="18"/>
              </w:rPr>
            </w:pPr>
            <w:r>
              <w:rPr>
                <w:rFonts w:ascii="宋体" w:hAnsi="宋体" w:eastAsia="宋体" w:cs="宋体"/>
                <w:sz w:val="18"/>
                <w:szCs w:val="18"/>
              </w:rPr>
              <w:t>盈余公积</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1362051">
            <w:pPr>
              <w:spacing w:before="40" w:after="40" w:line="240" w:lineRule="exact"/>
              <w:jc w:val="center"/>
              <w:rPr>
                <w:rFonts w:ascii="宋体" w:hAnsi="宋体" w:eastAsia="宋体" w:cs="宋体"/>
                <w:sz w:val="18"/>
                <w:szCs w:val="18"/>
              </w:rPr>
            </w:pPr>
            <w:r>
              <w:rPr>
                <w:rFonts w:ascii="宋体" w:hAnsi="宋体" w:eastAsia="宋体" w:cs="宋体"/>
                <w:sz w:val="18"/>
                <w:szCs w:val="18"/>
              </w:rPr>
              <w:t>一般风险准备</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79765B9">
            <w:pPr>
              <w:spacing w:before="40" w:after="40" w:line="240" w:lineRule="exact"/>
              <w:jc w:val="center"/>
              <w:rPr>
                <w:rFonts w:ascii="宋体" w:hAnsi="宋体" w:eastAsia="宋体" w:cs="宋体"/>
                <w:sz w:val="18"/>
                <w:szCs w:val="18"/>
              </w:rPr>
            </w:pPr>
            <w:r>
              <w:rPr>
                <w:rFonts w:ascii="宋体" w:hAnsi="宋体" w:eastAsia="宋体" w:cs="宋体"/>
                <w:sz w:val="18"/>
                <w:szCs w:val="18"/>
              </w:rPr>
              <w:t>未分配利润</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7EAC673">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03A0A26">
            <w:pPr>
              <w:spacing w:before="40" w:after="40" w:line="240" w:lineRule="exact"/>
              <w:jc w:val="center"/>
              <w:rPr>
                <w:rFonts w:ascii="宋体" w:hAnsi="宋体" w:eastAsia="宋体" w:cs="宋体"/>
                <w:sz w:val="18"/>
                <w:szCs w:val="18"/>
              </w:rPr>
            </w:pPr>
            <w:r>
              <w:rPr>
                <w:rFonts w:ascii="宋体" w:hAnsi="宋体" w:eastAsia="宋体" w:cs="宋体"/>
                <w:sz w:val="18"/>
                <w:szCs w:val="18"/>
              </w:rPr>
              <w:t>小计</w:t>
            </w:r>
          </w:p>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926A9E0"/>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FF8B1BD"/>
        </w:tc>
      </w:tr>
      <w:tr w14:paraId="15DD8E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62C1B2B"/>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647B480"/>
        </w:tc>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20A824E7">
            <w:pPr>
              <w:spacing w:before="40" w:after="40" w:line="240" w:lineRule="exact"/>
              <w:jc w:val="center"/>
              <w:rPr>
                <w:rFonts w:ascii="宋体" w:hAnsi="宋体" w:eastAsia="宋体" w:cs="宋体"/>
                <w:sz w:val="18"/>
                <w:szCs w:val="18"/>
              </w:rPr>
            </w:pPr>
            <w:r>
              <w:rPr>
                <w:rFonts w:ascii="宋体" w:hAnsi="宋体" w:eastAsia="宋体" w:cs="宋体"/>
                <w:sz w:val="18"/>
                <w:szCs w:val="18"/>
              </w:rPr>
              <w:t>优先股</w:t>
            </w:r>
          </w:p>
        </w:tc>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0CCA46E9">
            <w:pPr>
              <w:spacing w:before="40" w:after="40" w:line="240" w:lineRule="exact"/>
              <w:jc w:val="center"/>
              <w:rPr>
                <w:rFonts w:ascii="宋体" w:hAnsi="宋体" w:eastAsia="宋体" w:cs="宋体"/>
                <w:sz w:val="18"/>
                <w:szCs w:val="18"/>
              </w:rPr>
            </w:pPr>
            <w:r>
              <w:rPr>
                <w:rFonts w:ascii="宋体" w:hAnsi="宋体" w:eastAsia="宋体" w:cs="宋体"/>
                <w:sz w:val="18"/>
                <w:szCs w:val="18"/>
              </w:rPr>
              <w:t>永续债</w:t>
            </w:r>
          </w:p>
        </w:tc>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2A4B5739">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62D1A4E"/>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ACF221D"/>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00C4025"/>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5EB1D89"/>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31FFA00"/>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4086B03"/>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DADB5E8"/>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BA72B1C"/>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A2600BD"/>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F5B089A"/>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6968FD6"/>
        </w:tc>
      </w:tr>
      <w:tr w14:paraId="794DC4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19AB6DBE">
            <w:pPr>
              <w:spacing w:before="40" w:after="40" w:line="240" w:lineRule="exact"/>
              <w:jc w:val="left"/>
              <w:rPr>
                <w:rFonts w:ascii="宋体" w:hAnsi="宋体" w:eastAsia="宋体" w:cs="宋体"/>
                <w:sz w:val="18"/>
                <w:szCs w:val="18"/>
              </w:rPr>
            </w:pPr>
            <w:r>
              <w:rPr>
                <w:rFonts w:ascii="宋体" w:hAnsi="宋体" w:eastAsia="宋体" w:cs="宋体"/>
                <w:sz w:val="18"/>
                <w:szCs w:val="18"/>
              </w:rPr>
              <w:t>一、上年期末余额</w:t>
            </w:r>
          </w:p>
        </w:tc>
        <w:tc>
          <w:tcPr>
            <w:tcW w:w="602" w:type="dxa"/>
            <w:tcBorders>
              <w:top w:val="single" w:color="auto" w:sz="2" w:space="0"/>
              <w:left w:val="single" w:color="auto" w:sz="2" w:space="0"/>
              <w:bottom w:val="single" w:color="auto" w:sz="2" w:space="0"/>
              <w:right w:val="single" w:color="auto" w:sz="2" w:space="0"/>
            </w:tcBorders>
            <w:vAlign w:val="center"/>
          </w:tcPr>
          <w:p w14:paraId="3EF08B39">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602" w:type="dxa"/>
            <w:tcBorders>
              <w:top w:val="single" w:color="auto" w:sz="2" w:space="0"/>
              <w:left w:val="single" w:color="auto" w:sz="2" w:space="0"/>
              <w:bottom w:val="single" w:color="auto" w:sz="2" w:space="0"/>
              <w:right w:val="single" w:color="auto" w:sz="2" w:space="0"/>
            </w:tcBorders>
            <w:vAlign w:val="center"/>
          </w:tcPr>
          <w:p w14:paraId="043E31F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8634CE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3E34F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6FFABEF">
            <w:pPr>
              <w:spacing w:before="0" w:after="0" w:line="240" w:lineRule="exact"/>
              <w:jc w:val="right"/>
              <w:rPr>
                <w:rFonts w:ascii="宋体" w:hAnsi="宋体" w:eastAsia="宋体" w:cs="宋体"/>
                <w:sz w:val="18"/>
                <w:szCs w:val="18"/>
              </w:rPr>
            </w:pPr>
            <w:r>
              <w:rPr>
                <w:rFonts w:ascii="宋体" w:hAnsi="宋体" w:eastAsia="宋体" w:cs="宋体"/>
                <w:sz w:val="18"/>
                <w:szCs w:val="18"/>
              </w:rPr>
              <w:t>607,925,894.48</w:t>
            </w:r>
          </w:p>
        </w:tc>
        <w:tc>
          <w:tcPr>
            <w:tcW w:w="602" w:type="dxa"/>
            <w:tcBorders>
              <w:top w:val="single" w:color="auto" w:sz="2" w:space="0"/>
              <w:left w:val="single" w:color="auto" w:sz="2" w:space="0"/>
              <w:bottom w:val="single" w:color="auto" w:sz="2" w:space="0"/>
              <w:right w:val="single" w:color="auto" w:sz="2" w:space="0"/>
            </w:tcBorders>
            <w:vAlign w:val="center"/>
          </w:tcPr>
          <w:p w14:paraId="11686C6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76E51E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945AA1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FF71A7D">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602" w:type="dxa"/>
            <w:tcBorders>
              <w:top w:val="single" w:color="auto" w:sz="2" w:space="0"/>
              <w:left w:val="single" w:color="auto" w:sz="2" w:space="0"/>
              <w:bottom w:val="single" w:color="auto" w:sz="2" w:space="0"/>
              <w:right w:val="single" w:color="auto" w:sz="2" w:space="0"/>
            </w:tcBorders>
            <w:vAlign w:val="center"/>
          </w:tcPr>
          <w:p w14:paraId="5804679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C1892B7">
            <w:pPr>
              <w:spacing w:before="0" w:after="0" w:line="240" w:lineRule="exact"/>
              <w:jc w:val="right"/>
              <w:rPr>
                <w:rFonts w:ascii="宋体" w:hAnsi="宋体" w:eastAsia="宋体" w:cs="宋体"/>
                <w:sz w:val="18"/>
                <w:szCs w:val="18"/>
              </w:rPr>
            </w:pPr>
            <w:r>
              <w:rPr>
                <w:rFonts w:ascii="宋体" w:hAnsi="宋体" w:eastAsia="宋体" w:cs="宋体"/>
                <w:sz w:val="18"/>
                <w:szCs w:val="18"/>
              </w:rPr>
              <w:t>-295,103,547.33</w:t>
            </w:r>
          </w:p>
        </w:tc>
        <w:tc>
          <w:tcPr>
            <w:tcW w:w="602" w:type="dxa"/>
            <w:tcBorders>
              <w:top w:val="single" w:color="auto" w:sz="2" w:space="0"/>
              <w:left w:val="single" w:color="auto" w:sz="2" w:space="0"/>
              <w:bottom w:val="single" w:color="auto" w:sz="2" w:space="0"/>
              <w:right w:val="single" w:color="auto" w:sz="2" w:space="0"/>
            </w:tcBorders>
            <w:vAlign w:val="center"/>
          </w:tcPr>
          <w:p w14:paraId="58F893A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EDA867A">
            <w:pPr>
              <w:spacing w:before="0" w:after="0" w:line="240" w:lineRule="exact"/>
              <w:jc w:val="right"/>
              <w:rPr>
                <w:rFonts w:ascii="宋体" w:hAnsi="宋体" w:eastAsia="宋体" w:cs="宋体"/>
                <w:sz w:val="18"/>
                <w:szCs w:val="18"/>
              </w:rPr>
            </w:pPr>
            <w:r>
              <w:rPr>
                <w:rFonts w:ascii="宋体" w:hAnsi="宋体" w:eastAsia="宋体" w:cs="宋体"/>
                <w:sz w:val="18"/>
                <w:szCs w:val="18"/>
              </w:rPr>
              <w:t>516,483,180.46</w:t>
            </w:r>
          </w:p>
        </w:tc>
        <w:tc>
          <w:tcPr>
            <w:tcW w:w="602" w:type="dxa"/>
            <w:tcBorders>
              <w:top w:val="single" w:color="auto" w:sz="2" w:space="0"/>
              <w:left w:val="single" w:color="auto" w:sz="2" w:space="0"/>
              <w:bottom w:val="single" w:color="auto" w:sz="2" w:space="0"/>
              <w:right w:val="single" w:color="auto" w:sz="2" w:space="0"/>
            </w:tcBorders>
            <w:vAlign w:val="center"/>
          </w:tcPr>
          <w:p w14:paraId="29AFCB40">
            <w:pPr>
              <w:spacing w:before="0" w:after="0" w:line="240" w:lineRule="exact"/>
              <w:jc w:val="right"/>
              <w:rPr>
                <w:rFonts w:ascii="宋体" w:hAnsi="宋体" w:eastAsia="宋体" w:cs="宋体"/>
                <w:sz w:val="18"/>
                <w:szCs w:val="18"/>
              </w:rPr>
            </w:pPr>
            <w:r>
              <w:rPr>
                <w:rFonts w:ascii="宋体" w:hAnsi="宋体" w:eastAsia="宋体" w:cs="宋体"/>
                <w:sz w:val="18"/>
                <w:szCs w:val="18"/>
              </w:rPr>
              <w:t>52,761,779.01</w:t>
            </w:r>
          </w:p>
        </w:tc>
        <w:tc>
          <w:tcPr>
            <w:tcW w:w="602" w:type="dxa"/>
            <w:tcBorders>
              <w:top w:val="single" w:color="auto" w:sz="2" w:space="0"/>
              <w:left w:val="single" w:color="auto" w:sz="2" w:space="0"/>
              <w:bottom w:val="single" w:color="auto" w:sz="2" w:space="0"/>
              <w:right w:val="single" w:color="auto" w:sz="2" w:space="0"/>
            </w:tcBorders>
            <w:vAlign w:val="center"/>
          </w:tcPr>
          <w:p w14:paraId="418F2F8F">
            <w:pPr>
              <w:spacing w:before="0" w:after="0" w:line="240" w:lineRule="exact"/>
              <w:jc w:val="right"/>
              <w:rPr>
                <w:rFonts w:ascii="宋体" w:hAnsi="宋体" w:eastAsia="宋体" w:cs="宋体"/>
                <w:sz w:val="18"/>
                <w:szCs w:val="18"/>
              </w:rPr>
            </w:pPr>
            <w:r>
              <w:rPr>
                <w:rFonts w:ascii="宋体" w:hAnsi="宋体" w:eastAsia="宋体" w:cs="宋体"/>
                <w:sz w:val="18"/>
                <w:szCs w:val="18"/>
              </w:rPr>
              <w:t>569,244,959.47</w:t>
            </w:r>
          </w:p>
        </w:tc>
      </w:tr>
      <w:tr w14:paraId="289A51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3F608496">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加：会计政策变更</w:t>
            </w:r>
          </w:p>
        </w:tc>
        <w:tc>
          <w:tcPr>
            <w:tcW w:w="602" w:type="dxa"/>
            <w:tcBorders>
              <w:top w:val="single" w:color="auto" w:sz="2" w:space="0"/>
              <w:left w:val="single" w:color="auto" w:sz="2" w:space="0"/>
              <w:bottom w:val="single" w:color="auto" w:sz="2" w:space="0"/>
              <w:right w:val="single" w:color="auto" w:sz="2" w:space="0"/>
            </w:tcBorders>
            <w:vAlign w:val="center"/>
          </w:tcPr>
          <w:p w14:paraId="53D4BE8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61903F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09382F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5AB33C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A48842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6CD9BC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539A59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203E41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E93731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ADC537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9CD788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2BC0B4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FAE119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ACEB69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EB99A4C">
            <w:pPr>
              <w:spacing w:before="0" w:after="0" w:line="240" w:lineRule="exact"/>
              <w:jc w:val="right"/>
              <w:rPr>
                <w:rFonts w:ascii="宋体" w:hAnsi="宋体" w:eastAsia="宋体" w:cs="宋体"/>
                <w:sz w:val="18"/>
                <w:szCs w:val="18"/>
              </w:rPr>
            </w:pPr>
          </w:p>
        </w:tc>
      </w:tr>
      <w:tr w14:paraId="688A73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00A31022">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前期差错更正</w:t>
            </w:r>
          </w:p>
        </w:tc>
        <w:tc>
          <w:tcPr>
            <w:tcW w:w="602" w:type="dxa"/>
            <w:tcBorders>
              <w:top w:val="single" w:color="auto" w:sz="2" w:space="0"/>
              <w:left w:val="single" w:color="auto" w:sz="2" w:space="0"/>
              <w:bottom w:val="single" w:color="auto" w:sz="2" w:space="0"/>
              <w:right w:val="single" w:color="auto" w:sz="2" w:space="0"/>
            </w:tcBorders>
            <w:vAlign w:val="center"/>
          </w:tcPr>
          <w:p w14:paraId="56BA03F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498176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90E429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5E24A4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2E9E2A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291D08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0826F3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BDB50A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60DDEE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428FCF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227375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868268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34A172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D58985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EB283DE">
            <w:pPr>
              <w:spacing w:before="0" w:after="0" w:line="240" w:lineRule="exact"/>
              <w:jc w:val="right"/>
              <w:rPr>
                <w:rFonts w:ascii="宋体" w:hAnsi="宋体" w:eastAsia="宋体" w:cs="宋体"/>
                <w:sz w:val="18"/>
                <w:szCs w:val="18"/>
              </w:rPr>
            </w:pPr>
          </w:p>
        </w:tc>
      </w:tr>
      <w:tr w14:paraId="08EF5D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3C111924">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其他</w:t>
            </w:r>
          </w:p>
        </w:tc>
        <w:tc>
          <w:tcPr>
            <w:tcW w:w="602" w:type="dxa"/>
            <w:tcBorders>
              <w:top w:val="single" w:color="auto" w:sz="2" w:space="0"/>
              <w:left w:val="single" w:color="auto" w:sz="2" w:space="0"/>
              <w:bottom w:val="single" w:color="auto" w:sz="2" w:space="0"/>
              <w:right w:val="single" w:color="auto" w:sz="2" w:space="0"/>
            </w:tcBorders>
            <w:vAlign w:val="center"/>
          </w:tcPr>
          <w:p w14:paraId="415DC3F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F30FA8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876299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2B6929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864796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8151A9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59FB7A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DDE112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4450B1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E136E1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79DE06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5373B1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CDC676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063A24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0D64550">
            <w:pPr>
              <w:spacing w:before="0" w:after="0" w:line="240" w:lineRule="exact"/>
              <w:jc w:val="right"/>
              <w:rPr>
                <w:rFonts w:ascii="宋体" w:hAnsi="宋体" w:eastAsia="宋体" w:cs="宋体"/>
                <w:sz w:val="18"/>
                <w:szCs w:val="18"/>
              </w:rPr>
            </w:pPr>
          </w:p>
        </w:tc>
      </w:tr>
      <w:tr w14:paraId="0D16F5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4DDC7FC4">
            <w:pPr>
              <w:spacing w:before="40" w:after="40" w:line="240" w:lineRule="exact"/>
              <w:jc w:val="left"/>
              <w:rPr>
                <w:rFonts w:ascii="宋体" w:hAnsi="宋体" w:eastAsia="宋体" w:cs="宋体"/>
                <w:sz w:val="18"/>
                <w:szCs w:val="18"/>
              </w:rPr>
            </w:pPr>
            <w:r>
              <w:rPr>
                <w:rFonts w:ascii="宋体" w:hAnsi="宋体" w:eastAsia="宋体" w:cs="宋体"/>
                <w:sz w:val="18"/>
                <w:szCs w:val="18"/>
              </w:rPr>
              <w:t>二、本年期初余额</w:t>
            </w:r>
          </w:p>
        </w:tc>
        <w:tc>
          <w:tcPr>
            <w:tcW w:w="602" w:type="dxa"/>
            <w:tcBorders>
              <w:top w:val="single" w:color="auto" w:sz="2" w:space="0"/>
              <w:left w:val="single" w:color="auto" w:sz="2" w:space="0"/>
              <w:bottom w:val="single" w:color="auto" w:sz="2" w:space="0"/>
              <w:right w:val="single" w:color="auto" w:sz="2" w:space="0"/>
            </w:tcBorders>
            <w:vAlign w:val="center"/>
          </w:tcPr>
          <w:p w14:paraId="6BE4392D">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602" w:type="dxa"/>
            <w:tcBorders>
              <w:top w:val="single" w:color="auto" w:sz="2" w:space="0"/>
              <w:left w:val="single" w:color="auto" w:sz="2" w:space="0"/>
              <w:bottom w:val="single" w:color="auto" w:sz="2" w:space="0"/>
              <w:right w:val="single" w:color="auto" w:sz="2" w:space="0"/>
            </w:tcBorders>
            <w:vAlign w:val="center"/>
          </w:tcPr>
          <w:p w14:paraId="12D5628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B6E18A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D8F109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E0F3FC">
            <w:pPr>
              <w:spacing w:before="0" w:after="0" w:line="240" w:lineRule="exact"/>
              <w:jc w:val="right"/>
              <w:rPr>
                <w:rFonts w:ascii="宋体" w:hAnsi="宋体" w:eastAsia="宋体" w:cs="宋体"/>
                <w:sz w:val="18"/>
                <w:szCs w:val="18"/>
              </w:rPr>
            </w:pPr>
            <w:r>
              <w:rPr>
                <w:rFonts w:ascii="宋体" w:hAnsi="宋体" w:eastAsia="宋体" w:cs="宋体"/>
                <w:sz w:val="18"/>
                <w:szCs w:val="18"/>
              </w:rPr>
              <w:t>607,925,894.48</w:t>
            </w:r>
          </w:p>
        </w:tc>
        <w:tc>
          <w:tcPr>
            <w:tcW w:w="602" w:type="dxa"/>
            <w:tcBorders>
              <w:top w:val="single" w:color="auto" w:sz="2" w:space="0"/>
              <w:left w:val="single" w:color="auto" w:sz="2" w:space="0"/>
              <w:bottom w:val="single" w:color="auto" w:sz="2" w:space="0"/>
              <w:right w:val="single" w:color="auto" w:sz="2" w:space="0"/>
            </w:tcBorders>
            <w:vAlign w:val="center"/>
          </w:tcPr>
          <w:p w14:paraId="71967A5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8010B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B4A4B7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760E8DF">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602" w:type="dxa"/>
            <w:tcBorders>
              <w:top w:val="single" w:color="auto" w:sz="2" w:space="0"/>
              <w:left w:val="single" w:color="auto" w:sz="2" w:space="0"/>
              <w:bottom w:val="single" w:color="auto" w:sz="2" w:space="0"/>
              <w:right w:val="single" w:color="auto" w:sz="2" w:space="0"/>
            </w:tcBorders>
            <w:vAlign w:val="center"/>
          </w:tcPr>
          <w:p w14:paraId="51E26B5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28EED37">
            <w:pPr>
              <w:spacing w:before="0" w:after="0" w:line="240" w:lineRule="exact"/>
              <w:jc w:val="right"/>
              <w:rPr>
                <w:rFonts w:ascii="宋体" w:hAnsi="宋体" w:eastAsia="宋体" w:cs="宋体"/>
                <w:sz w:val="18"/>
                <w:szCs w:val="18"/>
              </w:rPr>
            </w:pPr>
            <w:r>
              <w:rPr>
                <w:rFonts w:ascii="宋体" w:hAnsi="宋体" w:eastAsia="宋体" w:cs="宋体"/>
                <w:sz w:val="18"/>
                <w:szCs w:val="18"/>
              </w:rPr>
              <w:t>-295,103,547.33</w:t>
            </w:r>
          </w:p>
        </w:tc>
        <w:tc>
          <w:tcPr>
            <w:tcW w:w="602" w:type="dxa"/>
            <w:tcBorders>
              <w:top w:val="single" w:color="auto" w:sz="2" w:space="0"/>
              <w:left w:val="single" w:color="auto" w:sz="2" w:space="0"/>
              <w:bottom w:val="single" w:color="auto" w:sz="2" w:space="0"/>
              <w:right w:val="single" w:color="auto" w:sz="2" w:space="0"/>
            </w:tcBorders>
            <w:vAlign w:val="center"/>
          </w:tcPr>
          <w:p w14:paraId="5E9C2EC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210D4CD">
            <w:pPr>
              <w:spacing w:before="0" w:after="0" w:line="240" w:lineRule="exact"/>
              <w:jc w:val="right"/>
              <w:rPr>
                <w:rFonts w:ascii="宋体" w:hAnsi="宋体" w:eastAsia="宋体" w:cs="宋体"/>
                <w:sz w:val="18"/>
                <w:szCs w:val="18"/>
              </w:rPr>
            </w:pPr>
            <w:r>
              <w:rPr>
                <w:rFonts w:ascii="宋体" w:hAnsi="宋体" w:eastAsia="宋体" w:cs="宋体"/>
                <w:sz w:val="18"/>
                <w:szCs w:val="18"/>
              </w:rPr>
              <w:t>516,483,180.46</w:t>
            </w:r>
          </w:p>
        </w:tc>
        <w:tc>
          <w:tcPr>
            <w:tcW w:w="602" w:type="dxa"/>
            <w:tcBorders>
              <w:top w:val="single" w:color="auto" w:sz="2" w:space="0"/>
              <w:left w:val="single" w:color="auto" w:sz="2" w:space="0"/>
              <w:bottom w:val="single" w:color="auto" w:sz="2" w:space="0"/>
              <w:right w:val="single" w:color="auto" w:sz="2" w:space="0"/>
            </w:tcBorders>
            <w:vAlign w:val="center"/>
          </w:tcPr>
          <w:p w14:paraId="1DB3343E">
            <w:pPr>
              <w:spacing w:before="0" w:after="0" w:line="240" w:lineRule="exact"/>
              <w:jc w:val="right"/>
              <w:rPr>
                <w:rFonts w:ascii="宋体" w:hAnsi="宋体" w:eastAsia="宋体" w:cs="宋体"/>
                <w:sz w:val="18"/>
                <w:szCs w:val="18"/>
              </w:rPr>
            </w:pPr>
            <w:r>
              <w:rPr>
                <w:rFonts w:ascii="宋体" w:hAnsi="宋体" w:eastAsia="宋体" w:cs="宋体"/>
                <w:sz w:val="18"/>
                <w:szCs w:val="18"/>
              </w:rPr>
              <w:t>52,761,779.01</w:t>
            </w:r>
          </w:p>
        </w:tc>
        <w:tc>
          <w:tcPr>
            <w:tcW w:w="602" w:type="dxa"/>
            <w:tcBorders>
              <w:top w:val="single" w:color="auto" w:sz="2" w:space="0"/>
              <w:left w:val="single" w:color="auto" w:sz="2" w:space="0"/>
              <w:bottom w:val="single" w:color="auto" w:sz="2" w:space="0"/>
              <w:right w:val="single" w:color="auto" w:sz="2" w:space="0"/>
            </w:tcBorders>
            <w:vAlign w:val="center"/>
          </w:tcPr>
          <w:p w14:paraId="7285CEF0">
            <w:pPr>
              <w:spacing w:before="0" w:after="0" w:line="240" w:lineRule="exact"/>
              <w:jc w:val="right"/>
              <w:rPr>
                <w:rFonts w:ascii="宋体" w:hAnsi="宋体" w:eastAsia="宋体" w:cs="宋体"/>
                <w:sz w:val="18"/>
                <w:szCs w:val="18"/>
              </w:rPr>
            </w:pPr>
            <w:r>
              <w:rPr>
                <w:rFonts w:ascii="宋体" w:hAnsi="宋体" w:eastAsia="宋体" w:cs="宋体"/>
                <w:sz w:val="18"/>
                <w:szCs w:val="18"/>
              </w:rPr>
              <w:t>569,244,959.47</w:t>
            </w:r>
          </w:p>
        </w:tc>
      </w:tr>
      <w:tr w14:paraId="3C6A41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3B6E9B64">
            <w:pPr>
              <w:spacing w:before="40" w:after="40" w:line="240" w:lineRule="exact"/>
              <w:jc w:val="left"/>
              <w:rPr>
                <w:rFonts w:ascii="宋体" w:hAnsi="宋体" w:eastAsia="宋体" w:cs="宋体"/>
                <w:sz w:val="18"/>
                <w:szCs w:val="18"/>
              </w:rPr>
            </w:pPr>
            <w:r>
              <w:rPr>
                <w:rFonts w:ascii="宋体" w:hAnsi="宋体" w:eastAsia="宋体" w:cs="宋体"/>
                <w:sz w:val="18"/>
                <w:szCs w:val="18"/>
              </w:rPr>
              <w:t>三、本期增减变动金额（减少以“－”号填列）</w:t>
            </w:r>
          </w:p>
        </w:tc>
        <w:tc>
          <w:tcPr>
            <w:tcW w:w="602" w:type="dxa"/>
            <w:tcBorders>
              <w:top w:val="single" w:color="auto" w:sz="2" w:space="0"/>
              <w:left w:val="single" w:color="auto" w:sz="2" w:space="0"/>
              <w:bottom w:val="single" w:color="auto" w:sz="2" w:space="0"/>
              <w:right w:val="single" w:color="auto" w:sz="2" w:space="0"/>
            </w:tcBorders>
            <w:vAlign w:val="center"/>
          </w:tcPr>
          <w:p w14:paraId="16E417F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C1122B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70392F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E834B7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22F2C8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0D882A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057B5C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0888D8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60B028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1278FD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B7CBE1">
            <w:pPr>
              <w:spacing w:before="0" w:after="0" w:line="240" w:lineRule="exact"/>
              <w:jc w:val="right"/>
              <w:rPr>
                <w:rFonts w:ascii="宋体" w:hAnsi="宋体" w:eastAsia="宋体" w:cs="宋体"/>
                <w:sz w:val="18"/>
                <w:szCs w:val="18"/>
              </w:rPr>
            </w:pPr>
            <w:r>
              <w:rPr>
                <w:rFonts w:ascii="宋体" w:hAnsi="宋体" w:eastAsia="宋体" w:cs="宋体"/>
                <w:sz w:val="18"/>
                <w:szCs w:val="18"/>
              </w:rPr>
              <w:t>-156,304,356.74</w:t>
            </w:r>
          </w:p>
        </w:tc>
        <w:tc>
          <w:tcPr>
            <w:tcW w:w="602" w:type="dxa"/>
            <w:tcBorders>
              <w:top w:val="single" w:color="auto" w:sz="2" w:space="0"/>
              <w:left w:val="single" w:color="auto" w:sz="2" w:space="0"/>
              <w:bottom w:val="single" w:color="auto" w:sz="2" w:space="0"/>
              <w:right w:val="single" w:color="auto" w:sz="2" w:space="0"/>
            </w:tcBorders>
            <w:vAlign w:val="center"/>
          </w:tcPr>
          <w:p w14:paraId="7885D33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344158B">
            <w:pPr>
              <w:spacing w:before="0" w:after="0" w:line="240" w:lineRule="exact"/>
              <w:jc w:val="right"/>
              <w:rPr>
                <w:rFonts w:ascii="宋体" w:hAnsi="宋体" w:eastAsia="宋体" w:cs="宋体"/>
                <w:sz w:val="18"/>
                <w:szCs w:val="18"/>
              </w:rPr>
            </w:pPr>
            <w:r>
              <w:rPr>
                <w:rFonts w:ascii="宋体" w:hAnsi="宋体" w:eastAsia="宋体" w:cs="宋体"/>
                <w:sz w:val="18"/>
                <w:szCs w:val="18"/>
              </w:rPr>
              <w:t>-156,304,356.74</w:t>
            </w:r>
          </w:p>
        </w:tc>
        <w:tc>
          <w:tcPr>
            <w:tcW w:w="602" w:type="dxa"/>
            <w:tcBorders>
              <w:top w:val="single" w:color="auto" w:sz="2" w:space="0"/>
              <w:left w:val="single" w:color="auto" w:sz="2" w:space="0"/>
              <w:bottom w:val="single" w:color="auto" w:sz="2" w:space="0"/>
              <w:right w:val="single" w:color="auto" w:sz="2" w:space="0"/>
            </w:tcBorders>
            <w:vAlign w:val="center"/>
          </w:tcPr>
          <w:p w14:paraId="568284E2">
            <w:pPr>
              <w:spacing w:before="0" w:after="0" w:line="240" w:lineRule="exact"/>
              <w:jc w:val="right"/>
              <w:rPr>
                <w:rFonts w:ascii="宋体" w:hAnsi="宋体" w:eastAsia="宋体" w:cs="宋体"/>
                <w:sz w:val="18"/>
                <w:szCs w:val="18"/>
              </w:rPr>
            </w:pPr>
            <w:r>
              <w:rPr>
                <w:rFonts w:ascii="宋体" w:hAnsi="宋体" w:eastAsia="宋体" w:cs="宋体"/>
                <w:sz w:val="18"/>
                <w:szCs w:val="18"/>
              </w:rPr>
              <w:t>-16,162,681.16</w:t>
            </w:r>
          </w:p>
        </w:tc>
        <w:tc>
          <w:tcPr>
            <w:tcW w:w="602" w:type="dxa"/>
            <w:tcBorders>
              <w:top w:val="single" w:color="auto" w:sz="2" w:space="0"/>
              <w:left w:val="single" w:color="auto" w:sz="2" w:space="0"/>
              <w:bottom w:val="single" w:color="auto" w:sz="2" w:space="0"/>
              <w:right w:val="single" w:color="auto" w:sz="2" w:space="0"/>
            </w:tcBorders>
            <w:vAlign w:val="center"/>
          </w:tcPr>
          <w:p w14:paraId="311635F3">
            <w:pPr>
              <w:spacing w:before="0" w:after="0" w:line="240" w:lineRule="exact"/>
              <w:jc w:val="right"/>
              <w:rPr>
                <w:rFonts w:ascii="宋体" w:hAnsi="宋体" w:eastAsia="宋体" w:cs="宋体"/>
                <w:sz w:val="18"/>
                <w:szCs w:val="18"/>
              </w:rPr>
            </w:pPr>
            <w:r>
              <w:rPr>
                <w:rFonts w:ascii="宋体" w:hAnsi="宋体" w:eastAsia="宋体" w:cs="宋体"/>
                <w:sz w:val="18"/>
                <w:szCs w:val="18"/>
              </w:rPr>
              <w:t>-172,467,037.90</w:t>
            </w:r>
          </w:p>
        </w:tc>
      </w:tr>
      <w:tr w14:paraId="31FEF0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418954DD">
            <w:pPr>
              <w:spacing w:before="40" w:after="40" w:line="240" w:lineRule="exact"/>
              <w:jc w:val="left"/>
              <w:rPr>
                <w:rFonts w:ascii="宋体" w:hAnsi="宋体" w:eastAsia="宋体" w:cs="宋体"/>
                <w:sz w:val="18"/>
                <w:szCs w:val="18"/>
              </w:rPr>
            </w:pPr>
            <w:r>
              <w:rPr>
                <w:rFonts w:ascii="宋体" w:hAnsi="宋体" w:eastAsia="宋体" w:cs="宋体"/>
                <w:sz w:val="18"/>
                <w:szCs w:val="18"/>
              </w:rPr>
              <w:t>（一）综合收益总额</w:t>
            </w:r>
          </w:p>
        </w:tc>
        <w:tc>
          <w:tcPr>
            <w:tcW w:w="602" w:type="dxa"/>
            <w:tcBorders>
              <w:top w:val="single" w:color="auto" w:sz="2" w:space="0"/>
              <w:left w:val="single" w:color="auto" w:sz="2" w:space="0"/>
              <w:bottom w:val="single" w:color="auto" w:sz="2" w:space="0"/>
              <w:right w:val="single" w:color="auto" w:sz="2" w:space="0"/>
            </w:tcBorders>
            <w:vAlign w:val="center"/>
          </w:tcPr>
          <w:p w14:paraId="7AE70FC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14E4C0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9D7882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3CE5BD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C18F34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D0CCF3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968924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D71505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13BC74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95D968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6BF75C8">
            <w:pPr>
              <w:spacing w:before="0" w:after="0" w:line="240" w:lineRule="exact"/>
              <w:jc w:val="right"/>
              <w:rPr>
                <w:rFonts w:ascii="宋体" w:hAnsi="宋体" w:eastAsia="宋体" w:cs="宋体"/>
                <w:sz w:val="18"/>
                <w:szCs w:val="18"/>
              </w:rPr>
            </w:pPr>
            <w:r>
              <w:rPr>
                <w:rFonts w:ascii="宋体" w:hAnsi="宋体" w:eastAsia="宋体" w:cs="宋体"/>
                <w:sz w:val="18"/>
                <w:szCs w:val="18"/>
              </w:rPr>
              <w:t>-156,304,356.74</w:t>
            </w:r>
          </w:p>
        </w:tc>
        <w:tc>
          <w:tcPr>
            <w:tcW w:w="602" w:type="dxa"/>
            <w:tcBorders>
              <w:top w:val="single" w:color="auto" w:sz="2" w:space="0"/>
              <w:left w:val="single" w:color="auto" w:sz="2" w:space="0"/>
              <w:bottom w:val="single" w:color="auto" w:sz="2" w:space="0"/>
              <w:right w:val="single" w:color="auto" w:sz="2" w:space="0"/>
            </w:tcBorders>
            <w:vAlign w:val="center"/>
          </w:tcPr>
          <w:p w14:paraId="16D3BCA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5B3937B">
            <w:pPr>
              <w:spacing w:before="0" w:after="0" w:line="240" w:lineRule="exact"/>
              <w:jc w:val="right"/>
              <w:rPr>
                <w:rFonts w:ascii="宋体" w:hAnsi="宋体" w:eastAsia="宋体" w:cs="宋体"/>
                <w:sz w:val="18"/>
                <w:szCs w:val="18"/>
              </w:rPr>
            </w:pPr>
            <w:r>
              <w:rPr>
                <w:rFonts w:ascii="宋体" w:hAnsi="宋体" w:eastAsia="宋体" w:cs="宋体"/>
                <w:sz w:val="18"/>
                <w:szCs w:val="18"/>
              </w:rPr>
              <w:t>-156,304,356.74</w:t>
            </w:r>
          </w:p>
        </w:tc>
        <w:tc>
          <w:tcPr>
            <w:tcW w:w="602" w:type="dxa"/>
            <w:tcBorders>
              <w:top w:val="single" w:color="auto" w:sz="2" w:space="0"/>
              <w:left w:val="single" w:color="auto" w:sz="2" w:space="0"/>
              <w:bottom w:val="single" w:color="auto" w:sz="2" w:space="0"/>
              <w:right w:val="single" w:color="auto" w:sz="2" w:space="0"/>
            </w:tcBorders>
            <w:vAlign w:val="center"/>
          </w:tcPr>
          <w:p w14:paraId="4000B2F8">
            <w:pPr>
              <w:spacing w:before="0" w:after="0" w:line="240" w:lineRule="exact"/>
              <w:jc w:val="right"/>
              <w:rPr>
                <w:rFonts w:ascii="宋体" w:hAnsi="宋体" w:eastAsia="宋体" w:cs="宋体"/>
                <w:sz w:val="18"/>
                <w:szCs w:val="18"/>
              </w:rPr>
            </w:pPr>
            <w:r>
              <w:rPr>
                <w:rFonts w:ascii="宋体" w:hAnsi="宋体" w:eastAsia="宋体" w:cs="宋体"/>
                <w:sz w:val="18"/>
                <w:szCs w:val="18"/>
              </w:rPr>
              <w:t>-16,162,681.16</w:t>
            </w:r>
          </w:p>
        </w:tc>
        <w:tc>
          <w:tcPr>
            <w:tcW w:w="602" w:type="dxa"/>
            <w:tcBorders>
              <w:top w:val="single" w:color="auto" w:sz="2" w:space="0"/>
              <w:left w:val="single" w:color="auto" w:sz="2" w:space="0"/>
              <w:bottom w:val="single" w:color="auto" w:sz="2" w:space="0"/>
              <w:right w:val="single" w:color="auto" w:sz="2" w:space="0"/>
            </w:tcBorders>
            <w:vAlign w:val="center"/>
          </w:tcPr>
          <w:p w14:paraId="42F09399">
            <w:pPr>
              <w:spacing w:before="0" w:after="0" w:line="240" w:lineRule="exact"/>
              <w:jc w:val="right"/>
              <w:rPr>
                <w:rFonts w:ascii="宋体" w:hAnsi="宋体" w:eastAsia="宋体" w:cs="宋体"/>
                <w:sz w:val="18"/>
                <w:szCs w:val="18"/>
              </w:rPr>
            </w:pPr>
            <w:r>
              <w:rPr>
                <w:rFonts w:ascii="宋体" w:hAnsi="宋体" w:eastAsia="宋体" w:cs="宋体"/>
                <w:sz w:val="18"/>
                <w:szCs w:val="18"/>
              </w:rPr>
              <w:t>-172,467,037.90</w:t>
            </w:r>
          </w:p>
        </w:tc>
      </w:tr>
      <w:tr w14:paraId="3A6CED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6958D970">
            <w:pPr>
              <w:spacing w:before="40" w:after="40" w:line="240" w:lineRule="exact"/>
              <w:jc w:val="left"/>
              <w:rPr>
                <w:rFonts w:ascii="宋体" w:hAnsi="宋体" w:eastAsia="宋体" w:cs="宋体"/>
                <w:sz w:val="18"/>
                <w:szCs w:val="18"/>
              </w:rPr>
            </w:pPr>
            <w:r>
              <w:rPr>
                <w:rFonts w:ascii="宋体" w:hAnsi="宋体" w:eastAsia="宋体" w:cs="宋体"/>
                <w:sz w:val="18"/>
                <w:szCs w:val="18"/>
              </w:rPr>
              <w:t>（二）所有者投入和减少资本</w:t>
            </w:r>
          </w:p>
        </w:tc>
        <w:tc>
          <w:tcPr>
            <w:tcW w:w="602" w:type="dxa"/>
            <w:tcBorders>
              <w:top w:val="single" w:color="auto" w:sz="2" w:space="0"/>
              <w:left w:val="single" w:color="auto" w:sz="2" w:space="0"/>
              <w:bottom w:val="single" w:color="auto" w:sz="2" w:space="0"/>
              <w:right w:val="single" w:color="auto" w:sz="2" w:space="0"/>
            </w:tcBorders>
            <w:vAlign w:val="center"/>
          </w:tcPr>
          <w:p w14:paraId="1214BC2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859111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98FB68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4180C8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2D30CC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EFCDA1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C31DBC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133C28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62E71D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C8015E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6B46D7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A4C2C2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5DF943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9A38B7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7E3460D">
            <w:pPr>
              <w:spacing w:before="0" w:after="0" w:line="240" w:lineRule="exact"/>
              <w:jc w:val="right"/>
              <w:rPr>
                <w:rFonts w:ascii="宋体" w:hAnsi="宋体" w:eastAsia="宋体" w:cs="宋体"/>
                <w:sz w:val="18"/>
                <w:szCs w:val="18"/>
              </w:rPr>
            </w:pPr>
          </w:p>
        </w:tc>
      </w:tr>
      <w:tr w14:paraId="6CEB8C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35AB5280">
            <w:pPr>
              <w:spacing w:before="40" w:after="40" w:line="240" w:lineRule="exact"/>
              <w:jc w:val="left"/>
              <w:rPr>
                <w:rFonts w:ascii="宋体" w:hAnsi="宋体" w:eastAsia="宋体" w:cs="宋体"/>
                <w:sz w:val="18"/>
                <w:szCs w:val="18"/>
              </w:rPr>
            </w:pPr>
            <w:r>
              <w:rPr>
                <w:rFonts w:ascii="宋体" w:hAnsi="宋体" w:eastAsia="宋体" w:cs="宋体"/>
                <w:sz w:val="18"/>
                <w:szCs w:val="18"/>
              </w:rPr>
              <w:t>1．所有者投入的普通股</w:t>
            </w:r>
          </w:p>
        </w:tc>
        <w:tc>
          <w:tcPr>
            <w:tcW w:w="602" w:type="dxa"/>
            <w:tcBorders>
              <w:top w:val="single" w:color="auto" w:sz="2" w:space="0"/>
              <w:left w:val="single" w:color="auto" w:sz="2" w:space="0"/>
              <w:bottom w:val="single" w:color="auto" w:sz="2" w:space="0"/>
              <w:right w:val="single" w:color="auto" w:sz="2" w:space="0"/>
            </w:tcBorders>
            <w:vAlign w:val="center"/>
          </w:tcPr>
          <w:p w14:paraId="60FD362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52F0C2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B6E829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0ED4BD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83D86C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7B7515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2568B4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354E07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E6EB1A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28017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C8F6E8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44E38D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9F1E1C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2153F9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926E7BE">
            <w:pPr>
              <w:spacing w:before="0" w:after="0" w:line="240" w:lineRule="exact"/>
              <w:jc w:val="right"/>
              <w:rPr>
                <w:rFonts w:ascii="宋体" w:hAnsi="宋体" w:eastAsia="宋体" w:cs="宋体"/>
                <w:sz w:val="18"/>
                <w:szCs w:val="18"/>
              </w:rPr>
            </w:pPr>
          </w:p>
        </w:tc>
      </w:tr>
      <w:tr w14:paraId="05BD38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54B46765">
            <w:pPr>
              <w:spacing w:before="40" w:after="40" w:line="240" w:lineRule="exact"/>
              <w:jc w:val="left"/>
              <w:rPr>
                <w:rFonts w:ascii="宋体" w:hAnsi="宋体" w:eastAsia="宋体" w:cs="宋体"/>
                <w:sz w:val="18"/>
                <w:szCs w:val="18"/>
              </w:rPr>
            </w:pPr>
            <w:r>
              <w:rPr>
                <w:rFonts w:ascii="宋体" w:hAnsi="宋体" w:eastAsia="宋体" w:cs="宋体"/>
                <w:sz w:val="18"/>
                <w:szCs w:val="18"/>
              </w:rPr>
              <w:t>2．其他权益工具持有者投入资本</w:t>
            </w:r>
          </w:p>
        </w:tc>
        <w:tc>
          <w:tcPr>
            <w:tcW w:w="602" w:type="dxa"/>
            <w:tcBorders>
              <w:top w:val="single" w:color="auto" w:sz="2" w:space="0"/>
              <w:left w:val="single" w:color="auto" w:sz="2" w:space="0"/>
              <w:bottom w:val="single" w:color="auto" w:sz="2" w:space="0"/>
              <w:right w:val="single" w:color="auto" w:sz="2" w:space="0"/>
            </w:tcBorders>
            <w:vAlign w:val="center"/>
          </w:tcPr>
          <w:p w14:paraId="39074CB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4EDAB5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00FD41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CD6005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DAC6F7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2E9163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BC026F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1E6C13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EAF51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8B259C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B0D810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922BDB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12C540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404560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2BA4F04">
            <w:pPr>
              <w:spacing w:before="0" w:after="0" w:line="240" w:lineRule="exact"/>
              <w:jc w:val="right"/>
              <w:rPr>
                <w:rFonts w:ascii="宋体" w:hAnsi="宋体" w:eastAsia="宋体" w:cs="宋体"/>
                <w:sz w:val="18"/>
                <w:szCs w:val="18"/>
              </w:rPr>
            </w:pPr>
          </w:p>
        </w:tc>
      </w:tr>
      <w:tr w14:paraId="2657FB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48BEB8D5">
            <w:pPr>
              <w:spacing w:before="40" w:after="40" w:line="240" w:lineRule="exact"/>
              <w:jc w:val="left"/>
              <w:rPr>
                <w:rFonts w:ascii="宋体" w:hAnsi="宋体" w:eastAsia="宋体" w:cs="宋体"/>
                <w:sz w:val="18"/>
                <w:szCs w:val="18"/>
              </w:rPr>
            </w:pPr>
            <w:r>
              <w:rPr>
                <w:rFonts w:ascii="宋体" w:hAnsi="宋体" w:eastAsia="宋体" w:cs="宋体"/>
                <w:sz w:val="18"/>
                <w:szCs w:val="18"/>
              </w:rPr>
              <w:t>3．股份支付计入所有者权益的金额</w:t>
            </w:r>
          </w:p>
        </w:tc>
        <w:tc>
          <w:tcPr>
            <w:tcW w:w="602" w:type="dxa"/>
            <w:tcBorders>
              <w:top w:val="single" w:color="auto" w:sz="2" w:space="0"/>
              <w:left w:val="single" w:color="auto" w:sz="2" w:space="0"/>
              <w:bottom w:val="single" w:color="auto" w:sz="2" w:space="0"/>
              <w:right w:val="single" w:color="auto" w:sz="2" w:space="0"/>
            </w:tcBorders>
            <w:vAlign w:val="center"/>
          </w:tcPr>
          <w:p w14:paraId="5FDFC2A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DBE0E9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B8A08C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3CCDF2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065E50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5AA1FE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4AF80F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E7D0D3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ED04E5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F257D0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39C391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B2151A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1E86A7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6D641B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421E6AC">
            <w:pPr>
              <w:spacing w:before="0" w:after="0" w:line="240" w:lineRule="exact"/>
              <w:jc w:val="right"/>
              <w:rPr>
                <w:rFonts w:ascii="宋体" w:hAnsi="宋体" w:eastAsia="宋体" w:cs="宋体"/>
                <w:sz w:val="18"/>
                <w:szCs w:val="18"/>
              </w:rPr>
            </w:pPr>
          </w:p>
        </w:tc>
      </w:tr>
      <w:tr w14:paraId="23D559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610CA610">
            <w:pPr>
              <w:spacing w:before="40" w:after="40" w:line="240" w:lineRule="exact"/>
              <w:jc w:val="left"/>
              <w:rPr>
                <w:rFonts w:ascii="宋体" w:hAnsi="宋体" w:eastAsia="宋体" w:cs="宋体"/>
                <w:sz w:val="18"/>
                <w:szCs w:val="18"/>
              </w:rPr>
            </w:pPr>
            <w:r>
              <w:rPr>
                <w:rFonts w:ascii="宋体" w:hAnsi="宋体" w:eastAsia="宋体" w:cs="宋体"/>
                <w:sz w:val="18"/>
                <w:szCs w:val="18"/>
              </w:rPr>
              <w:t>4．其他</w:t>
            </w:r>
          </w:p>
        </w:tc>
        <w:tc>
          <w:tcPr>
            <w:tcW w:w="602" w:type="dxa"/>
            <w:tcBorders>
              <w:top w:val="single" w:color="auto" w:sz="2" w:space="0"/>
              <w:left w:val="single" w:color="auto" w:sz="2" w:space="0"/>
              <w:bottom w:val="single" w:color="auto" w:sz="2" w:space="0"/>
              <w:right w:val="single" w:color="auto" w:sz="2" w:space="0"/>
            </w:tcBorders>
            <w:vAlign w:val="center"/>
          </w:tcPr>
          <w:p w14:paraId="7E2F649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58CD8E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A9E929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B57A87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B62E78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2318AE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7F123C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B777CD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34AF58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D98E44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B10F5E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9A4CC2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BE88C6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972E6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25BBFA0">
            <w:pPr>
              <w:spacing w:before="0" w:after="0" w:line="240" w:lineRule="exact"/>
              <w:jc w:val="right"/>
              <w:rPr>
                <w:rFonts w:ascii="宋体" w:hAnsi="宋体" w:eastAsia="宋体" w:cs="宋体"/>
                <w:sz w:val="18"/>
                <w:szCs w:val="18"/>
              </w:rPr>
            </w:pPr>
          </w:p>
        </w:tc>
      </w:tr>
      <w:tr w14:paraId="2514B8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5E484C09">
            <w:pPr>
              <w:spacing w:before="40" w:after="40" w:line="240" w:lineRule="exact"/>
              <w:jc w:val="left"/>
              <w:rPr>
                <w:rFonts w:ascii="宋体" w:hAnsi="宋体" w:eastAsia="宋体" w:cs="宋体"/>
                <w:sz w:val="18"/>
                <w:szCs w:val="18"/>
              </w:rPr>
            </w:pPr>
            <w:r>
              <w:rPr>
                <w:rFonts w:ascii="宋体" w:hAnsi="宋体" w:eastAsia="宋体" w:cs="宋体"/>
                <w:sz w:val="18"/>
                <w:szCs w:val="18"/>
              </w:rPr>
              <w:t>（三）利润分配</w:t>
            </w:r>
          </w:p>
        </w:tc>
        <w:tc>
          <w:tcPr>
            <w:tcW w:w="602" w:type="dxa"/>
            <w:tcBorders>
              <w:top w:val="single" w:color="auto" w:sz="2" w:space="0"/>
              <w:left w:val="single" w:color="auto" w:sz="2" w:space="0"/>
              <w:bottom w:val="single" w:color="auto" w:sz="2" w:space="0"/>
              <w:right w:val="single" w:color="auto" w:sz="2" w:space="0"/>
            </w:tcBorders>
            <w:vAlign w:val="center"/>
          </w:tcPr>
          <w:p w14:paraId="012AF52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00DE6B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A0BC42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918183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22CC57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E76E89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9E5FBA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A17DFD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17835F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E83282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C00188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76535A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6834C7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31961E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97B8C8E">
            <w:pPr>
              <w:spacing w:before="0" w:after="0" w:line="240" w:lineRule="exact"/>
              <w:jc w:val="right"/>
              <w:rPr>
                <w:rFonts w:ascii="宋体" w:hAnsi="宋体" w:eastAsia="宋体" w:cs="宋体"/>
                <w:sz w:val="18"/>
                <w:szCs w:val="18"/>
              </w:rPr>
            </w:pPr>
          </w:p>
        </w:tc>
      </w:tr>
      <w:tr w14:paraId="505D7B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46EDAC0B">
            <w:pPr>
              <w:spacing w:before="40" w:after="40" w:line="240" w:lineRule="exact"/>
              <w:jc w:val="left"/>
              <w:rPr>
                <w:rFonts w:ascii="宋体" w:hAnsi="宋体" w:eastAsia="宋体" w:cs="宋体"/>
                <w:sz w:val="18"/>
                <w:szCs w:val="18"/>
              </w:rPr>
            </w:pPr>
            <w:r>
              <w:rPr>
                <w:rFonts w:ascii="宋体" w:hAnsi="宋体" w:eastAsia="宋体" w:cs="宋体"/>
                <w:sz w:val="18"/>
                <w:szCs w:val="18"/>
              </w:rPr>
              <w:t>1．提取盈余公积</w:t>
            </w:r>
          </w:p>
        </w:tc>
        <w:tc>
          <w:tcPr>
            <w:tcW w:w="602" w:type="dxa"/>
            <w:tcBorders>
              <w:top w:val="single" w:color="auto" w:sz="2" w:space="0"/>
              <w:left w:val="single" w:color="auto" w:sz="2" w:space="0"/>
              <w:bottom w:val="single" w:color="auto" w:sz="2" w:space="0"/>
              <w:right w:val="single" w:color="auto" w:sz="2" w:space="0"/>
            </w:tcBorders>
            <w:vAlign w:val="center"/>
          </w:tcPr>
          <w:p w14:paraId="75EEA89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28583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A88DA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86ADA4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AB3F48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49F30F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6501D5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B4664E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BBDBAF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F54BEE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4646AD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7410D9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645F1A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E8E453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19CF104">
            <w:pPr>
              <w:spacing w:before="0" w:after="0" w:line="240" w:lineRule="exact"/>
              <w:jc w:val="right"/>
              <w:rPr>
                <w:rFonts w:ascii="宋体" w:hAnsi="宋体" w:eastAsia="宋体" w:cs="宋体"/>
                <w:sz w:val="18"/>
                <w:szCs w:val="18"/>
              </w:rPr>
            </w:pPr>
          </w:p>
        </w:tc>
      </w:tr>
      <w:tr w14:paraId="073BAA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0D1B66F5">
            <w:pPr>
              <w:spacing w:before="40" w:after="40" w:line="240" w:lineRule="exact"/>
              <w:jc w:val="left"/>
              <w:rPr>
                <w:rFonts w:ascii="宋体" w:hAnsi="宋体" w:eastAsia="宋体" w:cs="宋体"/>
                <w:sz w:val="18"/>
                <w:szCs w:val="18"/>
              </w:rPr>
            </w:pPr>
            <w:r>
              <w:rPr>
                <w:rFonts w:ascii="宋体" w:hAnsi="宋体" w:eastAsia="宋体" w:cs="宋体"/>
                <w:sz w:val="18"/>
                <w:szCs w:val="18"/>
              </w:rPr>
              <w:t>2．提取一般风险准备</w:t>
            </w:r>
          </w:p>
        </w:tc>
        <w:tc>
          <w:tcPr>
            <w:tcW w:w="602" w:type="dxa"/>
            <w:tcBorders>
              <w:top w:val="single" w:color="auto" w:sz="2" w:space="0"/>
              <w:left w:val="single" w:color="auto" w:sz="2" w:space="0"/>
              <w:bottom w:val="single" w:color="auto" w:sz="2" w:space="0"/>
              <w:right w:val="single" w:color="auto" w:sz="2" w:space="0"/>
            </w:tcBorders>
            <w:vAlign w:val="center"/>
          </w:tcPr>
          <w:p w14:paraId="2C7D9C8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682B8A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5F136A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092DA9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AA4E77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B9DA55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C584DC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CD9CB6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D0EE00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F17E5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C2B78B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77CE6F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832B90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EE8920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2EFF5F9">
            <w:pPr>
              <w:spacing w:before="0" w:after="0" w:line="240" w:lineRule="exact"/>
              <w:jc w:val="right"/>
              <w:rPr>
                <w:rFonts w:ascii="宋体" w:hAnsi="宋体" w:eastAsia="宋体" w:cs="宋体"/>
                <w:sz w:val="18"/>
                <w:szCs w:val="18"/>
              </w:rPr>
            </w:pPr>
          </w:p>
        </w:tc>
      </w:tr>
      <w:tr w14:paraId="3F4D05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1FF33DDC">
            <w:pPr>
              <w:spacing w:before="40" w:after="40" w:line="240" w:lineRule="exact"/>
              <w:jc w:val="left"/>
              <w:rPr>
                <w:rFonts w:ascii="宋体" w:hAnsi="宋体" w:eastAsia="宋体" w:cs="宋体"/>
                <w:sz w:val="18"/>
                <w:szCs w:val="18"/>
              </w:rPr>
            </w:pPr>
            <w:r>
              <w:rPr>
                <w:rFonts w:ascii="宋体" w:hAnsi="宋体" w:eastAsia="宋体" w:cs="宋体"/>
                <w:sz w:val="18"/>
                <w:szCs w:val="18"/>
              </w:rPr>
              <w:t>3．对所有者（或股东）的分配</w:t>
            </w:r>
          </w:p>
        </w:tc>
        <w:tc>
          <w:tcPr>
            <w:tcW w:w="602" w:type="dxa"/>
            <w:tcBorders>
              <w:top w:val="single" w:color="auto" w:sz="2" w:space="0"/>
              <w:left w:val="single" w:color="auto" w:sz="2" w:space="0"/>
              <w:bottom w:val="single" w:color="auto" w:sz="2" w:space="0"/>
              <w:right w:val="single" w:color="auto" w:sz="2" w:space="0"/>
            </w:tcBorders>
            <w:vAlign w:val="center"/>
          </w:tcPr>
          <w:p w14:paraId="25BEF55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22A93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9966CC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B4919C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B69691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8E544F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4EB10D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DCC49F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13F586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21D5FB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37D436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A0C403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11F681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56D32F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6DE036E">
            <w:pPr>
              <w:spacing w:before="0" w:after="0" w:line="240" w:lineRule="exact"/>
              <w:jc w:val="right"/>
              <w:rPr>
                <w:rFonts w:ascii="宋体" w:hAnsi="宋体" w:eastAsia="宋体" w:cs="宋体"/>
                <w:sz w:val="18"/>
                <w:szCs w:val="18"/>
              </w:rPr>
            </w:pPr>
          </w:p>
        </w:tc>
      </w:tr>
      <w:tr w14:paraId="4A5EDC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14CB3E43">
            <w:pPr>
              <w:spacing w:before="40" w:after="40" w:line="240" w:lineRule="exact"/>
              <w:jc w:val="left"/>
              <w:rPr>
                <w:rFonts w:ascii="宋体" w:hAnsi="宋体" w:eastAsia="宋体" w:cs="宋体"/>
                <w:sz w:val="18"/>
                <w:szCs w:val="18"/>
              </w:rPr>
            </w:pPr>
            <w:r>
              <w:rPr>
                <w:rFonts w:ascii="宋体" w:hAnsi="宋体" w:eastAsia="宋体" w:cs="宋体"/>
                <w:sz w:val="18"/>
                <w:szCs w:val="18"/>
              </w:rPr>
              <w:t>4．其他</w:t>
            </w:r>
          </w:p>
        </w:tc>
        <w:tc>
          <w:tcPr>
            <w:tcW w:w="602" w:type="dxa"/>
            <w:tcBorders>
              <w:top w:val="single" w:color="auto" w:sz="2" w:space="0"/>
              <w:left w:val="single" w:color="auto" w:sz="2" w:space="0"/>
              <w:bottom w:val="single" w:color="auto" w:sz="2" w:space="0"/>
              <w:right w:val="single" w:color="auto" w:sz="2" w:space="0"/>
            </w:tcBorders>
            <w:vAlign w:val="center"/>
          </w:tcPr>
          <w:p w14:paraId="398AEFC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280989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3BB79E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9E6D08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9B93EF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4D4318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C4563D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18DE48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387B55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BD42CD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4294A8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6DC584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CFB880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641CDB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9AEBA7">
            <w:pPr>
              <w:spacing w:before="0" w:after="0" w:line="240" w:lineRule="exact"/>
              <w:jc w:val="right"/>
              <w:rPr>
                <w:rFonts w:ascii="宋体" w:hAnsi="宋体" w:eastAsia="宋体" w:cs="宋体"/>
                <w:sz w:val="18"/>
                <w:szCs w:val="18"/>
              </w:rPr>
            </w:pPr>
          </w:p>
        </w:tc>
      </w:tr>
      <w:tr w14:paraId="022555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2CA001E5">
            <w:pPr>
              <w:spacing w:before="40" w:after="40" w:line="240" w:lineRule="exact"/>
              <w:jc w:val="left"/>
              <w:rPr>
                <w:rFonts w:ascii="宋体" w:hAnsi="宋体" w:eastAsia="宋体" w:cs="宋体"/>
                <w:sz w:val="18"/>
                <w:szCs w:val="18"/>
              </w:rPr>
            </w:pPr>
            <w:r>
              <w:rPr>
                <w:rFonts w:ascii="宋体" w:hAnsi="宋体" w:eastAsia="宋体" w:cs="宋体"/>
                <w:sz w:val="18"/>
                <w:szCs w:val="18"/>
              </w:rPr>
              <w:t>（四）所有者权益内部结转</w:t>
            </w:r>
          </w:p>
        </w:tc>
        <w:tc>
          <w:tcPr>
            <w:tcW w:w="602" w:type="dxa"/>
            <w:tcBorders>
              <w:top w:val="single" w:color="auto" w:sz="2" w:space="0"/>
              <w:left w:val="single" w:color="auto" w:sz="2" w:space="0"/>
              <w:bottom w:val="single" w:color="auto" w:sz="2" w:space="0"/>
              <w:right w:val="single" w:color="auto" w:sz="2" w:space="0"/>
            </w:tcBorders>
            <w:vAlign w:val="center"/>
          </w:tcPr>
          <w:p w14:paraId="19AD296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7BE527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140EA0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16CDE4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1AFB43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63E3A8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C77D87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117659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6D834C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4F7D1A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1EFC47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3AB1F2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B12A5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B4D07D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A45F5AD">
            <w:pPr>
              <w:spacing w:before="0" w:after="0" w:line="240" w:lineRule="exact"/>
              <w:jc w:val="right"/>
              <w:rPr>
                <w:rFonts w:ascii="宋体" w:hAnsi="宋体" w:eastAsia="宋体" w:cs="宋体"/>
                <w:sz w:val="18"/>
                <w:szCs w:val="18"/>
              </w:rPr>
            </w:pPr>
          </w:p>
        </w:tc>
      </w:tr>
      <w:tr w14:paraId="6964DB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685CB30F">
            <w:pPr>
              <w:spacing w:before="40" w:after="40" w:line="240" w:lineRule="exact"/>
              <w:jc w:val="left"/>
              <w:rPr>
                <w:rFonts w:ascii="宋体" w:hAnsi="宋体" w:eastAsia="宋体" w:cs="宋体"/>
                <w:sz w:val="18"/>
                <w:szCs w:val="18"/>
              </w:rPr>
            </w:pPr>
            <w:r>
              <w:rPr>
                <w:rFonts w:ascii="宋体" w:hAnsi="宋体" w:eastAsia="宋体" w:cs="宋体"/>
                <w:sz w:val="18"/>
                <w:szCs w:val="18"/>
              </w:rPr>
              <w:t>1．资本公积转增资本（或股本）</w:t>
            </w:r>
          </w:p>
        </w:tc>
        <w:tc>
          <w:tcPr>
            <w:tcW w:w="602" w:type="dxa"/>
            <w:tcBorders>
              <w:top w:val="single" w:color="auto" w:sz="2" w:space="0"/>
              <w:left w:val="single" w:color="auto" w:sz="2" w:space="0"/>
              <w:bottom w:val="single" w:color="auto" w:sz="2" w:space="0"/>
              <w:right w:val="single" w:color="auto" w:sz="2" w:space="0"/>
            </w:tcBorders>
            <w:vAlign w:val="center"/>
          </w:tcPr>
          <w:p w14:paraId="6EECA4E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02C355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1EDC53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9C55F4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908FF9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8FDAFE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B2D772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D811B5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E461B9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FF8C23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EB5DD2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E18755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51F9EF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7D3390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9302CBE">
            <w:pPr>
              <w:spacing w:before="0" w:after="0" w:line="240" w:lineRule="exact"/>
              <w:jc w:val="right"/>
              <w:rPr>
                <w:rFonts w:ascii="宋体" w:hAnsi="宋体" w:eastAsia="宋体" w:cs="宋体"/>
                <w:sz w:val="18"/>
                <w:szCs w:val="18"/>
              </w:rPr>
            </w:pPr>
          </w:p>
        </w:tc>
      </w:tr>
      <w:tr w14:paraId="03154A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3B36AD54">
            <w:pPr>
              <w:spacing w:before="40" w:after="40" w:line="240" w:lineRule="exact"/>
              <w:jc w:val="left"/>
              <w:rPr>
                <w:rFonts w:ascii="宋体" w:hAnsi="宋体" w:eastAsia="宋体" w:cs="宋体"/>
                <w:sz w:val="18"/>
                <w:szCs w:val="18"/>
              </w:rPr>
            </w:pPr>
            <w:r>
              <w:rPr>
                <w:rFonts w:ascii="宋体" w:hAnsi="宋体" w:eastAsia="宋体" w:cs="宋体"/>
                <w:sz w:val="18"/>
                <w:szCs w:val="18"/>
              </w:rPr>
              <w:t>2．盈余公积转增资本（或股本）</w:t>
            </w:r>
          </w:p>
        </w:tc>
        <w:tc>
          <w:tcPr>
            <w:tcW w:w="602" w:type="dxa"/>
            <w:tcBorders>
              <w:top w:val="single" w:color="auto" w:sz="2" w:space="0"/>
              <w:left w:val="single" w:color="auto" w:sz="2" w:space="0"/>
              <w:bottom w:val="single" w:color="auto" w:sz="2" w:space="0"/>
              <w:right w:val="single" w:color="auto" w:sz="2" w:space="0"/>
            </w:tcBorders>
            <w:vAlign w:val="center"/>
          </w:tcPr>
          <w:p w14:paraId="10A1637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2BBDAA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632598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1FAC84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FDEDC7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F65ACE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24B9CF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BAFD3C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740C49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45AE58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1B28FB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34EB37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808B7B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0384F7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57D3909">
            <w:pPr>
              <w:spacing w:before="0" w:after="0" w:line="240" w:lineRule="exact"/>
              <w:jc w:val="right"/>
              <w:rPr>
                <w:rFonts w:ascii="宋体" w:hAnsi="宋体" w:eastAsia="宋体" w:cs="宋体"/>
                <w:sz w:val="18"/>
                <w:szCs w:val="18"/>
              </w:rPr>
            </w:pPr>
          </w:p>
        </w:tc>
      </w:tr>
      <w:tr w14:paraId="11BD14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232967EE">
            <w:pPr>
              <w:spacing w:before="40" w:after="40" w:line="240" w:lineRule="exact"/>
              <w:jc w:val="left"/>
              <w:rPr>
                <w:rFonts w:ascii="宋体" w:hAnsi="宋体" w:eastAsia="宋体" w:cs="宋体"/>
                <w:sz w:val="18"/>
                <w:szCs w:val="18"/>
              </w:rPr>
            </w:pPr>
            <w:r>
              <w:rPr>
                <w:rFonts w:ascii="宋体" w:hAnsi="宋体" w:eastAsia="宋体" w:cs="宋体"/>
                <w:sz w:val="18"/>
                <w:szCs w:val="18"/>
              </w:rPr>
              <w:t>3．盈余公积弥补亏损</w:t>
            </w:r>
          </w:p>
        </w:tc>
        <w:tc>
          <w:tcPr>
            <w:tcW w:w="602" w:type="dxa"/>
            <w:tcBorders>
              <w:top w:val="single" w:color="auto" w:sz="2" w:space="0"/>
              <w:left w:val="single" w:color="auto" w:sz="2" w:space="0"/>
              <w:bottom w:val="single" w:color="auto" w:sz="2" w:space="0"/>
              <w:right w:val="single" w:color="auto" w:sz="2" w:space="0"/>
            </w:tcBorders>
            <w:vAlign w:val="center"/>
          </w:tcPr>
          <w:p w14:paraId="2FB11D0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1E0E92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5A4AC7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D0B546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A61574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219E4C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3729A0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934D90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57A6E2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85DE92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CC50AD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CD0ACE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F331C8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15798B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FB67FAF">
            <w:pPr>
              <w:spacing w:before="0" w:after="0" w:line="240" w:lineRule="exact"/>
              <w:jc w:val="right"/>
              <w:rPr>
                <w:rFonts w:ascii="宋体" w:hAnsi="宋体" w:eastAsia="宋体" w:cs="宋体"/>
                <w:sz w:val="18"/>
                <w:szCs w:val="18"/>
              </w:rPr>
            </w:pPr>
          </w:p>
        </w:tc>
      </w:tr>
      <w:tr w14:paraId="419F67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1C3C6A77">
            <w:pPr>
              <w:spacing w:before="40" w:after="40" w:line="240" w:lineRule="exact"/>
              <w:jc w:val="left"/>
              <w:rPr>
                <w:rFonts w:ascii="宋体" w:hAnsi="宋体" w:eastAsia="宋体" w:cs="宋体"/>
                <w:sz w:val="18"/>
                <w:szCs w:val="18"/>
              </w:rPr>
            </w:pPr>
            <w:r>
              <w:rPr>
                <w:rFonts w:ascii="宋体" w:hAnsi="宋体" w:eastAsia="宋体" w:cs="宋体"/>
                <w:sz w:val="18"/>
                <w:szCs w:val="18"/>
              </w:rPr>
              <w:t>4．设定受益计划变动额结转留存收益</w:t>
            </w:r>
          </w:p>
        </w:tc>
        <w:tc>
          <w:tcPr>
            <w:tcW w:w="602" w:type="dxa"/>
            <w:tcBorders>
              <w:top w:val="single" w:color="auto" w:sz="2" w:space="0"/>
              <w:left w:val="single" w:color="auto" w:sz="2" w:space="0"/>
              <w:bottom w:val="single" w:color="auto" w:sz="2" w:space="0"/>
              <w:right w:val="single" w:color="auto" w:sz="2" w:space="0"/>
            </w:tcBorders>
            <w:vAlign w:val="center"/>
          </w:tcPr>
          <w:p w14:paraId="24E5526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F3355F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2D4F15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5499BC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1FBAEE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81D23A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068C22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A954CE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9EFBE1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73AEE4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A29636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05CDAD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8C7396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EF8104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FBC7128">
            <w:pPr>
              <w:spacing w:before="0" w:after="0" w:line="240" w:lineRule="exact"/>
              <w:jc w:val="right"/>
              <w:rPr>
                <w:rFonts w:ascii="宋体" w:hAnsi="宋体" w:eastAsia="宋体" w:cs="宋体"/>
                <w:sz w:val="18"/>
                <w:szCs w:val="18"/>
              </w:rPr>
            </w:pPr>
          </w:p>
        </w:tc>
      </w:tr>
      <w:tr w14:paraId="700C58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62F6C879">
            <w:pPr>
              <w:spacing w:before="40" w:after="40" w:line="240" w:lineRule="exact"/>
              <w:jc w:val="left"/>
              <w:rPr>
                <w:rFonts w:ascii="宋体" w:hAnsi="宋体" w:eastAsia="宋体" w:cs="宋体"/>
                <w:sz w:val="18"/>
                <w:szCs w:val="18"/>
              </w:rPr>
            </w:pPr>
            <w:r>
              <w:rPr>
                <w:rFonts w:ascii="宋体" w:hAnsi="宋体" w:eastAsia="宋体" w:cs="宋体"/>
                <w:sz w:val="18"/>
                <w:szCs w:val="18"/>
              </w:rPr>
              <w:t>5．其他综合收益结转留存收益</w:t>
            </w:r>
          </w:p>
        </w:tc>
        <w:tc>
          <w:tcPr>
            <w:tcW w:w="602" w:type="dxa"/>
            <w:tcBorders>
              <w:top w:val="single" w:color="auto" w:sz="2" w:space="0"/>
              <w:left w:val="single" w:color="auto" w:sz="2" w:space="0"/>
              <w:bottom w:val="single" w:color="auto" w:sz="2" w:space="0"/>
              <w:right w:val="single" w:color="auto" w:sz="2" w:space="0"/>
            </w:tcBorders>
            <w:vAlign w:val="center"/>
          </w:tcPr>
          <w:p w14:paraId="256E0DD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96D80A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6A3BCF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77A6AE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3BDDBB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F2EEC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5887D6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B2ABFA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100518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DD2780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54512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BF1547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E6583E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511FCF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DC4B5B0">
            <w:pPr>
              <w:spacing w:before="0" w:after="0" w:line="240" w:lineRule="exact"/>
              <w:jc w:val="right"/>
              <w:rPr>
                <w:rFonts w:ascii="宋体" w:hAnsi="宋体" w:eastAsia="宋体" w:cs="宋体"/>
                <w:sz w:val="18"/>
                <w:szCs w:val="18"/>
              </w:rPr>
            </w:pPr>
          </w:p>
        </w:tc>
      </w:tr>
      <w:tr w14:paraId="3B203A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0E0B69E2">
            <w:pPr>
              <w:spacing w:before="40" w:after="40" w:line="240" w:lineRule="exact"/>
              <w:jc w:val="left"/>
              <w:rPr>
                <w:rFonts w:ascii="宋体" w:hAnsi="宋体" w:eastAsia="宋体" w:cs="宋体"/>
                <w:sz w:val="18"/>
                <w:szCs w:val="18"/>
              </w:rPr>
            </w:pPr>
            <w:r>
              <w:rPr>
                <w:rFonts w:ascii="宋体" w:hAnsi="宋体" w:eastAsia="宋体" w:cs="宋体"/>
                <w:sz w:val="18"/>
                <w:szCs w:val="18"/>
              </w:rPr>
              <w:t>6．其他</w:t>
            </w:r>
          </w:p>
        </w:tc>
        <w:tc>
          <w:tcPr>
            <w:tcW w:w="602" w:type="dxa"/>
            <w:tcBorders>
              <w:top w:val="single" w:color="auto" w:sz="2" w:space="0"/>
              <w:left w:val="single" w:color="auto" w:sz="2" w:space="0"/>
              <w:bottom w:val="single" w:color="auto" w:sz="2" w:space="0"/>
              <w:right w:val="single" w:color="auto" w:sz="2" w:space="0"/>
            </w:tcBorders>
            <w:vAlign w:val="center"/>
          </w:tcPr>
          <w:p w14:paraId="16BADF4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372FA2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563A73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859B1D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5F517F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74C96A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3235D0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73C86F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B5DDF9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2F03D4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B292DA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8DC2D4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140E65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00F58F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1CA327B">
            <w:pPr>
              <w:spacing w:before="0" w:after="0" w:line="240" w:lineRule="exact"/>
              <w:jc w:val="right"/>
              <w:rPr>
                <w:rFonts w:ascii="宋体" w:hAnsi="宋体" w:eastAsia="宋体" w:cs="宋体"/>
                <w:sz w:val="18"/>
                <w:szCs w:val="18"/>
              </w:rPr>
            </w:pPr>
          </w:p>
        </w:tc>
      </w:tr>
      <w:tr w14:paraId="7B04FB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4B39E138">
            <w:pPr>
              <w:spacing w:before="40" w:after="40" w:line="240" w:lineRule="exact"/>
              <w:jc w:val="left"/>
              <w:rPr>
                <w:rFonts w:ascii="宋体" w:hAnsi="宋体" w:eastAsia="宋体" w:cs="宋体"/>
                <w:sz w:val="18"/>
                <w:szCs w:val="18"/>
              </w:rPr>
            </w:pPr>
            <w:r>
              <w:rPr>
                <w:rFonts w:ascii="宋体" w:hAnsi="宋体" w:eastAsia="宋体" w:cs="宋体"/>
                <w:sz w:val="18"/>
                <w:szCs w:val="18"/>
              </w:rPr>
              <w:t>（五）专项储备</w:t>
            </w:r>
          </w:p>
        </w:tc>
        <w:tc>
          <w:tcPr>
            <w:tcW w:w="602" w:type="dxa"/>
            <w:tcBorders>
              <w:top w:val="single" w:color="auto" w:sz="2" w:space="0"/>
              <w:left w:val="single" w:color="auto" w:sz="2" w:space="0"/>
              <w:bottom w:val="single" w:color="auto" w:sz="2" w:space="0"/>
              <w:right w:val="single" w:color="auto" w:sz="2" w:space="0"/>
            </w:tcBorders>
            <w:vAlign w:val="center"/>
          </w:tcPr>
          <w:p w14:paraId="2473A08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A1EB27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66BCDC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4EFE42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13F551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6B9C50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72306B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5B76A6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3E0EB1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1CA2C6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C6C67F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743094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907EF8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6D7480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731B932">
            <w:pPr>
              <w:spacing w:before="0" w:after="0" w:line="240" w:lineRule="exact"/>
              <w:jc w:val="right"/>
              <w:rPr>
                <w:rFonts w:ascii="宋体" w:hAnsi="宋体" w:eastAsia="宋体" w:cs="宋体"/>
                <w:sz w:val="18"/>
                <w:szCs w:val="18"/>
              </w:rPr>
            </w:pPr>
          </w:p>
        </w:tc>
      </w:tr>
      <w:tr w14:paraId="14BA98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41F6522A">
            <w:pPr>
              <w:spacing w:before="40" w:after="40" w:line="240" w:lineRule="exact"/>
              <w:jc w:val="left"/>
              <w:rPr>
                <w:rFonts w:ascii="宋体" w:hAnsi="宋体" w:eastAsia="宋体" w:cs="宋体"/>
                <w:sz w:val="18"/>
                <w:szCs w:val="18"/>
              </w:rPr>
            </w:pPr>
            <w:r>
              <w:rPr>
                <w:rFonts w:ascii="宋体" w:hAnsi="宋体" w:eastAsia="宋体" w:cs="宋体"/>
                <w:sz w:val="18"/>
                <w:szCs w:val="18"/>
              </w:rPr>
              <w:t>1．本期提取</w:t>
            </w:r>
          </w:p>
        </w:tc>
        <w:tc>
          <w:tcPr>
            <w:tcW w:w="602" w:type="dxa"/>
            <w:tcBorders>
              <w:top w:val="single" w:color="auto" w:sz="2" w:space="0"/>
              <w:left w:val="single" w:color="auto" w:sz="2" w:space="0"/>
              <w:bottom w:val="single" w:color="auto" w:sz="2" w:space="0"/>
              <w:right w:val="single" w:color="auto" w:sz="2" w:space="0"/>
            </w:tcBorders>
            <w:vAlign w:val="center"/>
          </w:tcPr>
          <w:p w14:paraId="29FBDE2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6493F0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70335D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3145D3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6A6052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28931E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FC2519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BD2AD5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FA6FA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264220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4651B4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471EB2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5513F0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016ED7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8B739F8">
            <w:pPr>
              <w:spacing w:before="0" w:after="0" w:line="240" w:lineRule="exact"/>
              <w:jc w:val="right"/>
              <w:rPr>
                <w:rFonts w:ascii="宋体" w:hAnsi="宋体" w:eastAsia="宋体" w:cs="宋体"/>
                <w:sz w:val="18"/>
                <w:szCs w:val="18"/>
              </w:rPr>
            </w:pPr>
          </w:p>
        </w:tc>
      </w:tr>
      <w:tr w14:paraId="23DF0B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1B7D6D86">
            <w:pPr>
              <w:spacing w:before="40" w:after="40" w:line="240" w:lineRule="exact"/>
              <w:jc w:val="left"/>
              <w:rPr>
                <w:rFonts w:ascii="宋体" w:hAnsi="宋体" w:eastAsia="宋体" w:cs="宋体"/>
                <w:sz w:val="18"/>
                <w:szCs w:val="18"/>
              </w:rPr>
            </w:pPr>
            <w:r>
              <w:rPr>
                <w:rFonts w:ascii="宋体" w:hAnsi="宋体" w:eastAsia="宋体" w:cs="宋体"/>
                <w:sz w:val="18"/>
                <w:szCs w:val="18"/>
              </w:rPr>
              <w:t>2．本期使用</w:t>
            </w:r>
          </w:p>
        </w:tc>
        <w:tc>
          <w:tcPr>
            <w:tcW w:w="602" w:type="dxa"/>
            <w:tcBorders>
              <w:top w:val="single" w:color="auto" w:sz="2" w:space="0"/>
              <w:left w:val="single" w:color="auto" w:sz="2" w:space="0"/>
              <w:bottom w:val="single" w:color="auto" w:sz="2" w:space="0"/>
              <w:right w:val="single" w:color="auto" w:sz="2" w:space="0"/>
            </w:tcBorders>
            <w:vAlign w:val="center"/>
          </w:tcPr>
          <w:p w14:paraId="7C5176E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F4A347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70EF75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0F6F8C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B6CDE7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10D398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27A347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22BA08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FC94AD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CE6497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179794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E76309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8E2761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6D8AA7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CFA8D8A">
            <w:pPr>
              <w:spacing w:before="0" w:after="0" w:line="240" w:lineRule="exact"/>
              <w:jc w:val="right"/>
              <w:rPr>
                <w:rFonts w:ascii="宋体" w:hAnsi="宋体" w:eastAsia="宋体" w:cs="宋体"/>
                <w:sz w:val="18"/>
                <w:szCs w:val="18"/>
              </w:rPr>
            </w:pPr>
          </w:p>
        </w:tc>
      </w:tr>
      <w:tr w14:paraId="6846CC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7A99DEFE">
            <w:pPr>
              <w:spacing w:before="40" w:after="40" w:line="240" w:lineRule="exact"/>
              <w:jc w:val="left"/>
              <w:rPr>
                <w:rFonts w:ascii="宋体" w:hAnsi="宋体" w:eastAsia="宋体" w:cs="宋体"/>
                <w:sz w:val="18"/>
                <w:szCs w:val="18"/>
              </w:rPr>
            </w:pPr>
            <w:r>
              <w:rPr>
                <w:rFonts w:ascii="宋体" w:hAnsi="宋体" w:eastAsia="宋体" w:cs="宋体"/>
                <w:sz w:val="18"/>
                <w:szCs w:val="18"/>
              </w:rPr>
              <w:t>（六）其他</w:t>
            </w:r>
          </w:p>
        </w:tc>
        <w:tc>
          <w:tcPr>
            <w:tcW w:w="602" w:type="dxa"/>
            <w:tcBorders>
              <w:top w:val="single" w:color="auto" w:sz="2" w:space="0"/>
              <w:left w:val="single" w:color="auto" w:sz="2" w:space="0"/>
              <w:bottom w:val="single" w:color="auto" w:sz="2" w:space="0"/>
              <w:right w:val="single" w:color="auto" w:sz="2" w:space="0"/>
            </w:tcBorders>
            <w:vAlign w:val="center"/>
          </w:tcPr>
          <w:p w14:paraId="2AE6DFF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97EAA4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D6AA6F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440F82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D61E3B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4BC9DC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A2F9EF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1782FF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737053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8A995C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5EC405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55F093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A35DF4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91B1E8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5C2FB05">
            <w:pPr>
              <w:spacing w:before="0" w:after="0" w:line="240" w:lineRule="exact"/>
              <w:jc w:val="right"/>
              <w:rPr>
                <w:rFonts w:ascii="宋体" w:hAnsi="宋体" w:eastAsia="宋体" w:cs="宋体"/>
                <w:sz w:val="18"/>
                <w:szCs w:val="18"/>
              </w:rPr>
            </w:pPr>
          </w:p>
        </w:tc>
      </w:tr>
      <w:tr w14:paraId="5FBC07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79461107">
            <w:pPr>
              <w:spacing w:before="40" w:after="40" w:line="240" w:lineRule="exact"/>
              <w:jc w:val="left"/>
              <w:rPr>
                <w:rFonts w:ascii="宋体" w:hAnsi="宋体" w:eastAsia="宋体" w:cs="宋体"/>
                <w:sz w:val="18"/>
                <w:szCs w:val="18"/>
              </w:rPr>
            </w:pPr>
            <w:r>
              <w:rPr>
                <w:rFonts w:ascii="宋体" w:hAnsi="宋体" w:eastAsia="宋体" w:cs="宋体"/>
                <w:sz w:val="18"/>
                <w:szCs w:val="18"/>
              </w:rPr>
              <w:t>四、本期期末余额</w:t>
            </w:r>
          </w:p>
        </w:tc>
        <w:tc>
          <w:tcPr>
            <w:tcW w:w="602" w:type="dxa"/>
            <w:tcBorders>
              <w:top w:val="single" w:color="auto" w:sz="2" w:space="0"/>
              <w:left w:val="single" w:color="auto" w:sz="2" w:space="0"/>
              <w:bottom w:val="single" w:color="auto" w:sz="2" w:space="0"/>
              <w:right w:val="single" w:color="auto" w:sz="2" w:space="0"/>
            </w:tcBorders>
            <w:vAlign w:val="center"/>
          </w:tcPr>
          <w:p w14:paraId="5F4211C0">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602" w:type="dxa"/>
            <w:tcBorders>
              <w:top w:val="single" w:color="auto" w:sz="2" w:space="0"/>
              <w:left w:val="single" w:color="auto" w:sz="2" w:space="0"/>
              <w:bottom w:val="single" w:color="auto" w:sz="2" w:space="0"/>
              <w:right w:val="single" w:color="auto" w:sz="2" w:space="0"/>
            </w:tcBorders>
            <w:vAlign w:val="center"/>
          </w:tcPr>
          <w:p w14:paraId="50CD0FC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229F7A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E10B78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7CA1B9D">
            <w:pPr>
              <w:spacing w:before="0" w:after="0" w:line="240" w:lineRule="exact"/>
              <w:jc w:val="right"/>
              <w:rPr>
                <w:rFonts w:ascii="宋体" w:hAnsi="宋体" w:eastAsia="宋体" w:cs="宋体"/>
                <w:sz w:val="18"/>
                <w:szCs w:val="18"/>
              </w:rPr>
            </w:pPr>
            <w:r>
              <w:rPr>
                <w:rFonts w:ascii="宋体" w:hAnsi="宋体" w:eastAsia="宋体" w:cs="宋体"/>
                <w:sz w:val="18"/>
                <w:szCs w:val="18"/>
              </w:rPr>
              <w:t>607,925,894.48</w:t>
            </w:r>
          </w:p>
        </w:tc>
        <w:tc>
          <w:tcPr>
            <w:tcW w:w="602" w:type="dxa"/>
            <w:tcBorders>
              <w:top w:val="single" w:color="auto" w:sz="2" w:space="0"/>
              <w:left w:val="single" w:color="auto" w:sz="2" w:space="0"/>
              <w:bottom w:val="single" w:color="auto" w:sz="2" w:space="0"/>
              <w:right w:val="single" w:color="auto" w:sz="2" w:space="0"/>
            </w:tcBorders>
            <w:vAlign w:val="center"/>
          </w:tcPr>
          <w:p w14:paraId="5F4295A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FE49DD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D1AC9D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D1ED68D">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602" w:type="dxa"/>
            <w:tcBorders>
              <w:top w:val="single" w:color="auto" w:sz="2" w:space="0"/>
              <w:left w:val="single" w:color="auto" w:sz="2" w:space="0"/>
              <w:bottom w:val="single" w:color="auto" w:sz="2" w:space="0"/>
              <w:right w:val="single" w:color="auto" w:sz="2" w:space="0"/>
            </w:tcBorders>
            <w:vAlign w:val="center"/>
          </w:tcPr>
          <w:p w14:paraId="16B5E87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2422009">
            <w:pPr>
              <w:spacing w:before="0" w:after="0" w:line="240" w:lineRule="exact"/>
              <w:jc w:val="right"/>
              <w:rPr>
                <w:rFonts w:ascii="宋体" w:hAnsi="宋体" w:eastAsia="宋体" w:cs="宋体"/>
                <w:sz w:val="18"/>
                <w:szCs w:val="18"/>
              </w:rPr>
            </w:pPr>
            <w:r>
              <w:rPr>
                <w:rFonts w:ascii="宋体" w:hAnsi="宋体" w:eastAsia="宋体" w:cs="宋体"/>
                <w:sz w:val="18"/>
                <w:szCs w:val="18"/>
              </w:rPr>
              <w:t>-451,407,904.07</w:t>
            </w:r>
          </w:p>
        </w:tc>
        <w:tc>
          <w:tcPr>
            <w:tcW w:w="602" w:type="dxa"/>
            <w:tcBorders>
              <w:top w:val="single" w:color="auto" w:sz="2" w:space="0"/>
              <w:left w:val="single" w:color="auto" w:sz="2" w:space="0"/>
              <w:bottom w:val="single" w:color="auto" w:sz="2" w:space="0"/>
              <w:right w:val="single" w:color="auto" w:sz="2" w:space="0"/>
            </w:tcBorders>
            <w:vAlign w:val="center"/>
          </w:tcPr>
          <w:p w14:paraId="0B75A4F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F1C5B15">
            <w:pPr>
              <w:spacing w:before="0" w:after="0" w:line="240" w:lineRule="exact"/>
              <w:jc w:val="right"/>
              <w:rPr>
                <w:rFonts w:ascii="宋体" w:hAnsi="宋体" w:eastAsia="宋体" w:cs="宋体"/>
                <w:sz w:val="18"/>
                <w:szCs w:val="18"/>
              </w:rPr>
            </w:pPr>
            <w:r>
              <w:rPr>
                <w:rFonts w:ascii="宋体" w:hAnsi="宋体" w:eastAsia="宋体" w:cs="宋体"/>
                <w:sz w:val="18"/>
                <w:szCs w:val="18"/>
              </w:rPr>
              <w:t>360,178,823.72</w:t>
            </w:r>
          </w:p>
        </w:tc>
        <w:tc>
          <w:tcPr>
            <w:tcW w:w="602" w:type="dxa"/>
            <w:tcBorders>
              <w:top w:val="single" w:color="auto" w:sz="2" w:space="0"/>
              <w:left w:val="single" w:color="auto" w:sz="2" w:space="0"/>
              <w:bottom w:val="single" w:color="auto" w:sz="2" w:space="0"/>
              <w:right w:val="single" w:color="auto" w:sz="2" w:space="0"/>
            </w:tcBorders>
            <w:vAlign w:val="center"/>
          </w:tcPr>
          <w:p w14:paraId="31F049D3">
            <w:pPr>
              <w:spacing w:before="0" w:after="0" w:line="240" w:lineRule="exact"/>
              <w:jc w:val="right"/>
              <w:rPr>
                <w:rFonts w:ascii="宋体" w:hAnsi="宋体" w:eastAsia="宋体" w:cs="宋体"/>
                <w:sz w:val="18"/>
                <w:szCs w:val="18"/>
              </w:rPr>
            </w:pPr>
            <w:r>
              <w:rPr>
                <w:rFonts w:ascii="宋体" w:hAnsi="宋体" w:eastAsia="宋体" w:cs="宋体"/>
                <w:sz w:val="18"/>
                <w:szCs w:val="18"/>
              </w:rPr>
              <w:t>36,599,097.85</w:t>
            </w:r>
          </w:p>
        </w:tc>
        <w:tc>
          <w:tcPr>
            <w:tcW w:w="602" w:type="dxa"/>
            <w:tcBorders>
              <w:top w:val="single" w:color="auto" w:sz="2" w:space="0"/>
              <w:left w:val="single" w:color="auto" w:sz="2" w:space="0"/>
              <w:bottom w:val="single" w:color="auto" w:sz="2" w:space="0"/>
              <w:right w:val="single" w:color="auto" w:sz="2" w:space="0"/>
            </w:tcBorders>
            <w:vAlign w:val="center"/>
          </w:tcPr>
          <w:p w14:paraId="36C95CCD">
            <w:pPr>
              <w:spacing w:before="0" w:after="0" w:line="240" w:lineRule="exact"/>
              <w:jc w:val="right"/>
              <w:rPr>
                <w:rFonts w:ascii="宋体" w:hAnsi="宋体" w:eastAsia="宋体" w:cs="宋体"/>
                <w:sz w:val="18"/>
                <w:szCs w:val="18"/>
              </w:rPr>
            </w:pPr>
            <w:r>
              <w:rPr>
                <w:rFonts w:ascii="宋体" w:hAnsi="宋体" w:eastAsia="宋体" w:cs="宋体"/>
                <w:sz w:val="18"/>
                <w:szCs w:val="18"/>
              </w:rPr>
              <w:t>396,777,921.57</w:t>
            </w:r>
          </w:p>
        </w:tc>
      </w:tr>
    </w:tbl>
    <w:p w14:paraId="44D8FAAF">
      <w:pPr>
        <w:spacing w:before="0" w:after="0" w:line="240" w:lineRule="exact"/>
        <w:jc w:val="left"/>
        <w:rPr>
          <w:rFonts w:ascii="宋体" w:hAnsi="宋体" w:eastAsia="宋体" w:cs="宋体"/>
          <w:sz w:val="18"/>
          <w:szCs w:val="18"/>
        </w:rPr>
      </w:pPr>
      <w:r>
        <w:rPr>
          <w:rFonts w:ascii="宋体" w:hAnsi="宋体" w:eastAsia="宋体" w:cs="宋体"/>
          <w:sz w:val="18"/>
          <w:szCs w:val="18"/>
        </w:rPr>
        <w:t>上期金额</w:t>
      </w:r>
    </w:p>
    <w:p w14:paraId="2E1C9B99">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02"/>
        <w:gridCol w:w="602"/>
        <w:gridCol w:w="602"/>
        <w:gridCol w:w="602"/>
        <w:gridCol w:w="602"/>
        <w:gridCol w:w="602"/>
        <w:gridCol w:w="602"/>
        <w:gridCol w:w="602"/>
        <w:gridCol w:w="602"/>
        <w:gridCol w:w="602"/>
        <w:gridCol w:w="602"/>
        <w:gridCol w:w="602"/>
        <w:gridCol w:w="602"/>
        <w:gridCol w:w="602"/>
        <w:gridCol w:w="602"/>
        <w:gridCol w:w="602"/>
      </w:tblGrid>
      <w:tr w14:paraId="0B4A7C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D848946">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9037" w:type="dxa"/>
            <w:gridSpan w:val="15"/>
            <w:tcBorders>
              <w:top w:val="single" w:color="auto" w:sz="2" w:space="0"/>
              <w:left w:val="single" w:color="auto" w:sz="2" w:space="0"/>
              <w:bottom w:val="single" w:color="auto" w:sz="2" w:space="0"/>
              <w:right w:val="single" w:color="auto" w:sz="2" w:space="0"/>
            </w:tcBorders>
            <w:shd w:val="clear" w:color="auto" w:fill="D3D3D3"/>
            <w:vAlign w:val="center"/>
          </w:tcPr>
          <w:p w14:paraId="649ACBD4">
            <w:pPr>
              <w:spacing w:before="40" w:after="40" w:line="240" w:lineRule="exact"/>
              <w:jc w:val="center"/>
              <w:rPr>
                <w:rFonts w:ascii="宋体" w:hAnsi="宋体" w:eastAsia="宋体" w:cs="宋体"/>
                <w:sz w:val="18"/>
                <w:szCs w:val="18"/>
              </w:rPr>
            </w:pPr>
            <w:r>
              <w:rPr>
                <w:rFonts w:ascii="宋体" w:hAnsi="宋体" w:eastAsia="宋体" w:cs="宋体"/>
                <w:sz w:val="18"/>
                <w:szCs w:val="18"/>
              </w:rPr>
              <w:t>2023年度</w:t>
            </w:r>
          </w:p>
        </w:tc>
      </w:tr>
      <w:tr w14:paraId="463DA3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D119AA1"/>
        </w:tc>
        <w:tc>
          <w:tcPr>
            <w:tcW w:w="7832" w:type="dxa"/>
            <w:gridSpan w:val="13"/>
            <w:tcBorders>
              <w:top w:val="single" w:color="auto" w:sz="2" w:space="0"/>
              <w:left w:val="single" w:color="auto" w:sz="2" w:space="0"/>
              <w:bottom w:val="single" w:color="auto" w:sz="2" w:space="0"/>
              <w:right w:val="single" w:color="auto" w:sz="2" w:space="0"/>
            </w:tcBorders>
            <w:shd w:val="clear" w:color="auto" w:fill="D3D3D3"/>
            <w:vAlign w:val="center"/>
          </w:tcPr>
          <w:p w14:paraId="26DE5C7E">
            <w:pPr>
              <w:spacing w:before="40" w:after="40" w:line="240" w:lineRule="exact"/>
              <w:jc w:val="center"/>
              <w:rPr>
                <w:rFonts w:ascii="宋体" w:hAnsi="宋体" w:eastAsia="宋体" w:cs="宋体"/>
                <w:sz w:val="18"/>
                <w:szCs w:val="18"/>
              </w:rPr>
            </w:pPr>
            <w:r>
              <w:rPr>
                <w:rFonts w:ascii="宋体" w:hAnsi="宋体" w:eastAsia="宋体" w:cs="宋体"/>
                <w:sz w:val="18"/>
                <w:szCs w:val="18"/>
              </w:rPr>
              <w:t>归属于母公司所有者权益</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81A9B96">
            <w:pPr>
              <w:spacing w:before="40" w:after="40" w:line="240" w:lineRule="exact"/>
              <w:jc w:val="center"/>
              <w:rPr>
                <w:rFonts w:ascii="宋体" w:hAnsi="宋体" w:eastAsia="宋体" w:cs="宋体"/>
                <w:sz w:val="18"/>
                <w:szCs w:val="18"/>
              </w:rPr>
            </w:pPr>
            <w:r>
              <w:rPr>
                <w:rFonts w:ascii="宋体" w:hAnsi="宋体" w:eastAsia="宋体" w:cs="宋体"/>
                <w:sz w:val="18"/>
                <w:szCs w:val="18"/>
              </w:rPr>
              <w:t>少数股东权益</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35495C0">
            <w:pPr>
              <w:spacing w:before="40" w:after="40" w:line="240" w:lineRule="exact"/>
              <w:jc w:val="center"/>
              <w:rPr>
                <w:rFonts w:ascii="宋体" w:hAnsi="宋体" w:eastAsia="宋体" w:cs="宋体"/>
                <w:sz w:val="18"/>
                <w:szCs w:val="18"/>
              </w:rPr>
            </w:pPr>
            <w:r>
              <w:rPr>
                <w:rFonts w:ascii="宋体" w:hAnsi="宋体" w:eastAsia="宋体" w:cs="宋体"/>
                <w:sz w:val="18"/>
                <w:szCs w:val="18"/>
              </w:rPr>
              <w:t>所有者权益合计</w:t>
            </w:r>
          </w:p>
        </w:tc>
      </w:tr>
      <w:tr w14:paraId="75AC54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5770208"/>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F0F34A2">
            <w:pPr>
              <w:spacing w:before="40" w:after="40" w:line="240" w:lineRule="exact"/>
              <w:jc w:val="center"/>
              <w:rPr>
                <w:rFonts w:ascii="宋体" w:hAnsi="宋体" w:eastAsia="宋体" w:cs="宋体"/>
                <w:sz w:val="18"/>
                <w:szCs w:val="18"/>
              </w:rPr>
            </w:pPr>
            <w:r>
              <w:rPr>
                <w:rFonts w:ascii="宋体" w:hAnsi="宋体" w:eastAsia="宋体" w:cs="宋体"/>
                <w:sz w:val="18"/>
                <w:szCs w:val="18"/>
              </w:rPr>
              <w:t>股本</w:t>
            </w:r>
          </w:p>
        </w:tc>
        <w:tc>
          <w:tcPr>
            <w:tcW w:w="1807"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01E6A246">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其他权益工具</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4EC14A2">
            <w:pPr>
              <w:spacing w:before="40" w:after="40" w:line="240" w:lineRule="exact"/>
              <w:jc w:val="center"/>
              <w:rPr>
                <w:rFonts w:ascii="宋体" w:hAnsi="宋体" w:eastAsia="宋体" w:cs="宋体"/>
                <w:sz w:val="18"/>
                <w:szCs w:val="18"/>
              </w:rPr>
            </w:pPr>
            <w:r>
              <w:rPr>
                <w:rFonts w:ascii="宋体" w:hAnsi="宋体" w:eastAsia="宋体" w:cs="宋体"/>
                <w:sz w:val="18"/>
                <w:szCs w:val="18"/>
              </w:rPr>
              <w:t>资本公积</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C221564">
            <w:pPr>
              <w:spacing w:before="40" w:after="40" w:line="240" w:lineRule="exact"/>
              <w:jc w:val="center"/>
              <w:rPr>
                <w:rFonts w:ascii="宋体" w:hAnsi="宋体" w:eastAsia="宋体" w:cs="宋体"/>
                <w:sz w:val="18"/>
                <w:szCs w:val="18"/>
              </w:rPr>
            </w:pPr>
            <w:r>
              <w:rPr>
                <w:rFonts w:ascii="宋体" w:hAnsi="宋体" w:eastAsia="宋体" w:cs="宋体"/>
                <w:sz w:val="18"/>
                <w:szCs w:val="18"/>
              </w:rPr>
              <w:t>减：库存股</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F4BBCC5">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FC864C9">
            <w:pPr>
              <w:spacing w:before="40" w:after="40" w:line="240" w:lineRule="exact"/>
              <w:jc w:val="center"/>
              <w:rPr>
                <w:rFonts w:ascii="宋体" w:hAnsi="宋体" w:eastAsia="宋体" w:cs="宋体"/>
                <w:sz w:val="18"/>
                <w:szCs w:val="18"/>
              </w:rPr>
            </w:pPr>
            <w:r>
              <w:rPr>
                <w:rFonts w:ascii="宋体" w:hAnsi="宋体" w:eastAsia="宋体" w:cs="宋体"/>
                <w:sz w:val="18"/>
                <w:szCs w:val="18"/>
              </w:rPr>
              <w:t>专项储备</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4D15FF9">
            <w:pPr>
              <w:spacing w:before="40" w:after="40" w:line="240" w:lineRule="exact"/>
              <w:jc w:val="center"/>
              <w:rPr>
                <w:rFonts w:ascii="宋体" w:hAnsi="宋体" w:eastAsia="宋体" w:cs="宋体"/>
                <w:sz w:val="18"/>
                <w:szCs w:val="18"/>
              </w:rPr>
            </w:pPr>
            <w:r>
              <w:rPr>
                <w:rFonts w:ascii="宋体" w:hAnsi="宋体" w:eastAsia="宋体" w:cs="宋体"/>
                <w:sz w:val="18"/>
                <w:szCs w:val="18"/>
              </w:rPr>
              <w:t>盈余公积</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BBDC0EB">
            <w:pPr>
              <w:spacing w:before="40" w:after="40" w:line="240" w:lineRule="exact"/>
              <w:jc w:val="center"/>
              <w:rPr>
                <w:rFonts w:ascii="宋体" w:hAnsi="宋体" w:eastAsia="宋体" w:cs="宋体"/>
                <w:sz w:val="18"/>
                <w:szCs w:val="18"/>
              </w:rPr>
            </w:pPr>
            <w:r>
              <w:rPr>
                <w:rFonts w:ascii="宋体" w:hAnsi="宋体" w:eastAsia="宋体" w:cs="宋体"/>
                <w:sz w:val="18"/>
                <w:szCs w:val="18"/>
              </w:rPr>
              <w:t>一般风险准备</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C35518B">
            <w:pPr>
              <w:spacing w:before="40" w:after="40" w:line="240" w:lineRule="exact"/>
              <w:jc w:val="center"/>
              <w:rPr>
                <w:rFonts w:ascii="宋体" w:hAnsi="宋体" w:eastAsia="宋体" w:cs="宋体"/>
                <w:sz w:val="18"/>
                <w:szCs w:val="18"/>
              </w:rPr>
            </w:pPr>
            <w:r>
              <w:rPr>
                <w:rFonts w:ascii="宋体" w:hAnsi="宋体" w:eastAsia="宋体" w:cs="宋体"/>
                <w:sz w:val="18"/>
                <w:szCs w:val="18"/>
              </w:rPr>
              <w:t>未分配利润</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EBCB0B8">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6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BC7CDA2">
            <w:pPr>
              <w:spacing w:before="40" w:after="40" w:line="240" w:lineRule="exact"/>
              <w:jc w:val="center"/>
              <w:rPr>
                <w:rFonts w:ascii="宋体" w:hAnsi="宋体" w:eastAsia="宋体" w:cs="宋体"/>
                <w:sz w:val="18"/>
                <w:szCs w:val="18"/>
              </w:rPr>
            </w:pPr>
            <w:r>
              <w:rPr>
                <w:rFonts w:ascii="宋体" w:hAnsi="宋体" w:eastAsia="宋体" w:cs="宋体"/>
                <w:sz w:val="18"/>
                <w:szCs w:val="18"/>
              </w:rPr>
              <w:t>小计</w:t>
            </w:r>
          </w:p>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7ECA8D9"/>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92B59A6"/>
        </w:tc>
      </w:tr>
      <w:tr w14:paraId="71291E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30FFCB5"/>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517DF11"/>
        </w:tc>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48C38BC5">
            <w:pPr>
              <w:spacing w:before="40" w:after="40" w:line="240" w:lineRule="exact"/>
              <w:jc w:val="center"/>
              <w:rPr>
                <w:rFonts w:ascii="宋体" w:hAnsi="宋体" w:eastAsia="宋体" w:cs="宋体"/>
                <w:sz w:val="18"/>
                <w:szCs w:val="18"/>
              </w:rPr>
            </w:pPr>
            <w:r>
              <w:rPr>
                <w:rFonts w:ascii="宋体" w:hAnsi="宋体" w:eastAsia="宋体" w:cs="宋体"/>
                <w:sz w:val="18"/>
                <w:szCs w:val="18"/>
              </w:rPr>
              <w:t>优先股</w:t>
            </w:r>
          </w:p>
        </w:tc>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4D5198F3">
            <w:pPr>
              <w:spacing w:before="40" w:after="40" w:line="240" w:lineRule="exact"/>
              <w:jc w:val="center"/>
              <w:rPr>
                <w:rFonts w:ascii="宋体" w:hAnsi="宋体" w:eastAsia="宋体" w:cs="宋体"/>
                <w:sz w:val="18"/>
                <w:szCs w:val="18"/>
              </w:rPr>
            </w:pPr>
            <w:r>
              <w:rPr>
                <w:rFonts w:ascii="宋体" w:hAnsi="宋体" w:eastAsia="宋体" w:cs="宋体"/>
                <w:sz w:val="18"/>
                <w:szCs w:val="18"/>
              </w:rPr>
              <w:t>永续债</w:t>
            </w:r>
          </w:p>
        </w:tc>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0C62E043">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13DE69B"/>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99C9FEC"/>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E234113"/>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D793665"/>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9AF2404"/>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34F4584"/>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B5A7762"/>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C0B618F"/>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A6345EE"/>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4A4332F"/>
        </w:tc>
        <w:tc>
          <w:tcPr>
            <w:tcW w:w="6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D93827B"/>
        </w:tc>
      </w:tr>
      <w:tr w14:paraId="405F01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5B250173">
            <w:pPr>
              <w:spacing w:before="40" w:after="40" w:line="240" w:lineRule="exact"/>
              <w:jc w:val="left"/>
              <w:rPr>
                <w:rFonts w:ascii="宋体" w:hAnsi="宋体" w:eastAsia="宋体" w:cs="宋体"/>
                <w:sz w:val="18"/>
                <w:szCs w:val="18"/>
              </w:rPr>
            </w:pPr>
            <w:r>
              <w:rPr>
                <w:rFonts w:ascii="宋体" w:hAnsi="宋体" w:eastAsia="宋体" w:cs="宋体"/>
                <w:sz w:val="18"/>
                <w:szCs w:val="18"/>
              </w:rPr>
              <w:t>一、上年期末余额</w:t>
            </w:r>
          </w:p>
        </w:tc>
        <w:tc>
          <w:tcPr>
            <w:tcW w:w="602" w:type="dxa"/>
            <w:tcBorders>
              <w:top w:val="single" w:color="auto" w:sz="2" w:space="0"/>
              <w:left w:val="single" w:color="auto" w:sz="2" w:space="0"/>
              <w:bottom w:val="single" w:color="auto" w:sz="2" w:space="0"/>
              <w:right w:val="single" w:color="auto" w:sz="2" w:space="0"/>
            </w:tcBorders>
            <w:vAlign w:val="center"/>
          </w:tcPr>
          <w:p w14:paraId="37EA4C57">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602" w:type="dxa"/>
            <w:tcBorders>
              <w:top w:val="single" w:color="auto" w:sz="2" w:space="0"/>
              <w:left w:val="single" w:color="auto" w:sz="2" w:space="0"/>
              <w:bottom w:val="single" w:color="auto" w:sz="2" w:space="0"/>
              <w:right w:val="single" w:color="auto" w:sz="2" w:space="0"/>
            </w:tcBorders>
            <w:vAlign w:val="center"/>
          </w:tcPr>
          <w:p w14:paraId="4607C10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751BAD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C221E8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71FAB33">
            <w:pPr>
              <w:spacing w:before="0" w:after="0" w:line="240" w:lineRule="exact"/>
              <w:jc w:val="right"/>
              <w:rPr>
                <w:rFonts w:ascii="宋体" w:hAnsi="宋体" w:eastAsia="宋体" w:cs="宋体"/>
                <w:sz w:val="18"/>
                <w:szCs w:val="18"/>
              </w:rPr>
            </w:pPr>
            <w:r>
              <w:rPr>
                <w:rFonts w:ascii="宋体" w:hAnsi="宋体" w:eastAsia="宋体" w:cs="宋体"/>
                <w:sz w:val="18"/>
                <w:szCs w:val="18"/>
              </w:rPr>
              <w:t>671,315,311.72</w:t>
            </w:r>
          </w:p>
        </w:tc>
        <w:tc>
          <w:tcPr>
            <w:tcW w:w="602" w:type="dxa"/>
            <w:tcBorders>
              <w:top w:val="single" w:color="auto" w:sz="2" w:space="0"/>
              <w:left w:val="single" w:color="auto" w:sz="2" w:space="0"/>
              <w:bottom w:val="single" w:color="auto" w:sz="2" w:space="0"/>
              <w:right w:val="single" w:color="auto" w:sz="2" w:space="0"/>
            </w:tcBorders>
            <w:vAlign w:val="center"/>
          </w:tcPr>
          <w:p w14:paraId="3D27DA6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521E59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336CB7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5F01964">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602" w:type="dxa"/>
            <w:tcBorders>
              <w:top w:val="single" w:color="auto" w:sz="2" w:space="0"/>
              <w:left w:val="single" w:color="auto" w:sz="2" w:space="0"/>
              <w:bottom w:val="single" w:color="auto" w:sz="2" w:space="0"/>
              <w:right w:val="single" w:color="auto" w:sz="2" w:space="0"/>
            </w:tcBorders>
            <w:vAlign w:val="center"/>
          </w:tcPr>
          <w:p w14:paraId="4C9E64B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491FDBF">
            <w:pPr>
              <w:spacing w:before="0" w:after="0" w:line="240" w:lineRule="exact"/>
              <w:jc w:val="right"/>
              <w:rPr>
                <w:rFonts w:ascii="宋体" w:hAnsi="宋体" w:eastAsia="宋体" w:cs="宋体"/>
                <w:sz w:val="18"/>
                <w:szCs w:val="18"/>
              </w:rPr>
            </w:pPr>
            <w:r>
              <w:rPr>
                <w:rFonts w:ascii="宋体" w:hAnsi="宋体" w:eastAsia="宋体" w:cs="宋体"/>
                <w:sz w:val="18"/>
                <w:szCs w:val="18"/>
              </w:rPr>
              <w:t>53,486,295.85</w:t>
            </w:r>
          </w:p>
        </w:tc>
        <w:tc>
          <w:tcPr>
            <w:tcW w:w="602" w:type="dxa"/>
            <w:tcBorders>
              <w:top w:val="single" w:color="auto" w:sz="2" w:space="0"/>
              <w:left w:val="single" w:color="auto" w:sz="2" w:space="0"/>
              <w:bottom w:val="single" w:color="auto" w:sz="2" w:space="0"/>
              <w:right w:val="single" w:color="auto" w:sz="2" w:space="0"/>
            </w:tcBorders>
            <w:vAlign w:val="center"/>
          </w:tcPr>
          <w:p w14:paraId="22A93B5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5C4EDE3">
            <w:pPr>
              <w:spacing w:before="0" w:after="0" w:line="240" w:lineRule="exact"/>
              <w:jc w:val="right"/>
              <w:rPr>
                <w:rFonts w:ascii="宋体" w:hAnsi="宋体" w:eastAsia="宋体" w:cs="宋体"/>
                <w:sz w:val="18"/>
                <w:szCs w:val="18"/>
              </w:rPr>
            </w:pPr>
            <w:r>
              <w:rPr>
                <w:rFonts w:ascii="宋体" w:hAnsi="宋体" w:eastAsia="宋体" w:cs="宋体"/>
                <w:sz w:val="18"/>
                <w:szCs w:val="18"/>
              </w:rPr>
              <w:t>928,462,440.88</w:t>
            </w:r>
          </w:p>
        </w:tc>
        <w:tc>
          <w:tcPr>
            <w:tcW w:w="602" w:type="dxa"/>
            <w:tcBorders>
              <w:top w:val="single" w:color="auto" w:sz="2" w:space="0"/>
              <w:left w:val="single" w:color="auto" w:sz="2" w:space="0"/>
              <w:bottom w:val="single" w:color="auto" w:sz="2" w:space="0"/>
              <w:right w:val="single" w:color="auto" w:sz="2" w:space="0"/>
            </w:tcBorders>
            <w:vAlign w:val="center"/>
          </w:tcPr>
          <w:p w14:paraId="3888681C">
            <w:pPr>
              <w:spacing w:before="0" w:after="0" w:line="240" w:lineRule="exact"/>
              <w:jc w:val="right"/>
              <w:rPr>
                <w:rFonts w:ascii="宋体" w:hAnsi="宋体" w:eastAsia="宋体" w:cs="宋体"/>
                <w:sz w:val="18"/>
                <w:szCs w:val="18"/>
              </w:rPr>
            </w:pPr>
            <w:r>
              <w:rPr>
                <w:rFonts w:ascii="宋体" w:hAnsi="宋体" w:eastAsia="宋体" w:cs="宋体"/>
                <w:sz w:val="18"/>
                <w:szCs w:val="18"/>
              </w:rPr>
              <w:t>27,160,483.50</w:t>
            </w:r>
          </w:p>
        </w:tc>
        <w:tc>
          <w:tcPr>
            <w:tcW w:w="602" w:type="dxa"/>
            <w:tcBorders>
              <w:top w:val="single" w:color="auto" w:sz="2" w:space="0"/>
              <w:left w:val="single" w:color="auto" w:sz="2" w:space="0"/>
              <w:bottom w:val="single" w:color="auto" w:sz="2" w:space="0"/>
              <w:right w:val="single" w:color="auto" w:sz="2" w:space="0"/>
            </w:tcBorders>
            <w:vAlign w:val="center"/>
          </w:tcPr>
          <w:p w14:paraId="1F977F11">
            <w:pPr>
              <w:spacing w:before="0" w:after="0" w:line="240" w:lineRule="exact"/>
              <w:jc w:val="right"/>
              <w:rPr>
                <w:rFonts w:ascii="宋体" w:hAnsi="宋体" w:eastAsia="宋体" w:cs="宋体"/>
                <w:sz w:val="18"/>
                <w:szCs w:val="18"/>
              </w:rPr>
            </w:pPr>
            <w:r>
              <w:rPr>
                <w:rFonts w:ascii="宋体" w:hAnsi="宋体" w:eastAsia="宋体" w:cs="宋体"/>
                <w:sz w:val="18"/>
                <w:szCs w:val="18"/>
              </w:rPr>
              <w:t>955,622,924.38</w:t>
            </w:r>
          </w:p>
        </w:tc>
      </w:tr>
      <w:tr w14:paraId="73319D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42BBE454">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加：会计政策变更</w:t>
            </w:r>
          </w:p>
        </w:tc>
        <w:tc>
          <w:tcPr>
            <w:tcW w:w="602" w:type="dxa"/>
            <w:tcBorders>
              <w:top w:val="single" w:color="auto" w:sz="2" w:space="0"/>
              <w:left w:val="single" w:color="auto" w:sz="2" w:space="0"/>
              <w:bottom w:val="single" w:color="auto" w:sz="2" w:space="0"/>
              <w:right w:val="single" w:color="auto" w:sz="2" w:space="0"/>
            </w:tcBorders>
            <w:vAlign w:val="center"/>
          </w:tcPr>
          <w:p w14:paraId="79F6D10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2DDDAD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A1AA26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EEE8EE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BF21F9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4FC44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E7A326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313C13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598C13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CDDA8E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7745DA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CBFFDD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29555E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58EF2E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279632A">
            <w:pPr>
              <w:spacing w:before="0" w:after="0" w:line="240" w:lineRule="exact"/>
              <w:jc w:val="right"/>
              <w:rPr>
                <w:rFonts w:ascii="宋体" w:hAnsi="宋体" w:eastAsia="宋体" w:cs="宋体"/>
                <w:sz w:val="18"/>
                <w:szCs w:val="18"/>
              </w:rPr>
            </w:pPr>
          </w:p>
        </w:tc>
      </w:tr>
      <w:tr w14:paraId="33C5E8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0621A145">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前期差错更正</w:t>
            </w:r>
          </w:p>
        </w:tc>
        <w:tc>
          <w:tcPr>
            <w:tcW w:w="602" w:type="dxa"/>
            <w:tcBorders>
              <w:top w:val="single" w:color="auto" w:sz="2" w:space="0"/>
              <w:left w:val="single" w:color="auto" w:sz="2" w:space="0"/>
              <w:bottom w:val="single" w:color="auto" w:sz="2" w:space="0"/>
              <w:right w:val="single" w:color="auto" w:sz="2" w:space="0"/>
            </w:tcBorders>
            <w:vAlign w:val="center"/>
          </w:tcPr>
          <w:p w14:paraId="75FF0ED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4C0AD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59A533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334538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898FF2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9D65E0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9A594A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3F6F87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18C154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7CF615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A797F0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2058DC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BF9CCE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51D8D5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3596255">
            <w:pPr>
              <w:spacing w:before="0" w:after="0" w:line="240" w:lineRule="exact"/>
              <w:jc w:val="right"/>
              <w:rPr>
                <w:rFonts w:ascii="宋体" w:hAnsi="宋体" w:eastAsia="宋体" w:cs="宋体"/>
                <w:sz w:val="18"/>
                <w:szCs w:val="18"/>
              </w:rPr>
            </w:pPr>
          </w:p>
        </w:tc>
      </w:tr>
      <w:tr w14:paraId="48867A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4A59BF72">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其他</w:t>
            </w:r>
          </w:p>
        </w:tc>
        <w:tc>
          <w:tcPr>
            <w:tcW w:w="602" w:type="dxa"/>
            <w:tcBorders>
              <w:top w:val="single" w:color="auto" w:sz="2" w:space="0"/>
              <w:left w:val="single" w:color="auto" w:sz="2" w:space="0"/>
              <w:bottom w:val="single" w:color="auto" w:sz="2" w:space="0"/>
              <w:right w:val="single" w:color="auto" w:sz="2" w:space="0"/>
            </w:tcBorders>
            <w:vAlign w:val="center"/>
          </w:tcPr>
          <w:p w14:paraId="7F1F0DD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128EDC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1936B6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224FCF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54ED82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44F37C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B6A3FF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ED0683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9998DE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8FEF8C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589813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AF471D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9DDC8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38370D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73E2CF8">
            <w:pPr>
              <w:spacing w:before="0" w:after="0" w:line="240" w:lineRule="exact"/>
              <w:jc w:val="right"/>
              <w:rPr>
                <w:rFonts w:ascii="宋体" w:hAnsi="宋体" w:eastAsia="宋体" w:cs="宋体"/>
                <w:sz w:val="18"/>
                <w:szCs w:val="18"/>
              </w:rPr>
            </w:pPr>
          </w:p>
        </w:tc>
      </w:tr>
      <w:tr w14:paraId="05797D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2ACD28F6">
            <w:pPr>
              <w:spacing w:before="40" w:after="40" w:line="240" w:lineRule="exact"/>
              <w:jc w:val="left"/>
              <w:rPr>
                <w:rFonts w:ascii="宋体" w:hAnsi="宋体" w:eastAsia="宋体" w:cs="宋体"/>
                <w:sz w:val="18"/>
                <w:szCs w:val="18"/>
              </w:rPr>
            </w:pPr>
            <w:r>
              <w:rPr>
                <w:rFonts w:ascii="宋体" w:hAnsi="宋体" w:eastAsia="宋体" w:cs="宋体"/>
                <w:sz w:val="18"/>
                <w:szCs w:val="18"/>
              </w:rPr>
              <w:t>二、本年期初余额</w:t>
            </w:r>
          </w:p>
        </w:tc>
        <w:tc>
          <w:tcPr>
            <w:tcW w:w="602" w:type="dxa"/>
            <w:tcBorders>
              <w:top w:val="single" w:color="auto" w:sz="2" w:space="0"/>
              <w:left w:val="single" w:color="auto" w:sz="2" w:space="0"/>
              <w:bottom w:val="single" w:color="auto" w:sz="2" w:space="0"/>
              <w:right w:val="single" w:color="auto" w:sz="2" w:space="0"/>
            </w:tcBorders>
            <w:vAlign w:val="center"/>
          </w:tcPr>
          <w:p w14:paraId="0A4DEB3D">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602" w:type="dxa"/>
            <w:tcBorders>
              <w:top w:val="single" w:color="auto" w:sz="2" w:space="0"/>
              <w:left w:val="single" w:color="auto" w:sz="2" w:space="0"/>
              <w:bottom w:val="single" w:color="auto" w:sz="2" w:space="0"/>
              <w:right w:val="single" w:color="auto" w:sz="2" w:space="0"/>
            </w:tcBorders>
            <w:vAlign w:val="center"/>
          </w:tcPr>
          <w:p w14:paraId="7E26152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3BD81D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215643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1594D70">
            <w:pPr>
              <w:spacing w:before="0" w:after="0" w:line="240" w:lineRule="exact"/>
              <w:jc w:val="right"/>
              <w:rPr>
                <w:rFonts w:ascii="宋体" w:hAnsi="宋体" w:eastAsia="宋体" w:cs="宋体"/>
                <w:sz w:val="18"/>
                <w:szCs w:val="18"/>
              </w:rPr>
            </w:pPr>
            <w:r>
              <w:rPr>
                <w:rFonts w:ascii="宋体" w:hAnsi="宋体" w:eastAsia="宋体" w:cs="宋体"/>
                <w:sz w:val="18"/>
                <w:szCs w:val="18"/>
              </w:rPr>
              <w:t>671,315,311.72</w:t>
            </w:r>
          </w:p>
        </w:tc>
        <w:tc>
          <w:tcPr>
            <w:tcW w:w="602" w:type="dxa"/>
            <w:tcBorders>
              <w:top w:val="single" w:color="auto" w:sz="2" w:space="0"/>
              <w:left w:val="single" w:color="auto" w:sz="2" w:space="0"/>
              <w:bottom w:val="single" w:color="auto" w:sz="2" w:space="0"/>
              <w:right w:val="single" w:color="auto" w:sz="2" w:space="0"/>
            </w:tcBorders>
            <w:vAlign w:val="center"/>
          </w:tcPr>
          <w:p w14:paraId="21FAECE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61541E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DDF028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982FFE6">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602" w:type="dxa"/>
            <w:tcBorders>
              <w:top w:val="single" w:color="auto" w:sz="2" w:space="0"/>
              <w:left w:val="single" w:color="auto" w:sz="2" w:space="0"/>
              <w:bottom w:val="single" w:color="auto" w:sz="2" w:space="0"/>
              <w:right w:val="single" w:color="auto" w:sz="2" w:space="0"/>
            </w:tcBorders>
            <w:vAlign w:val="center"/>
          </w:tcPr>
          <w:p w14:paraId="5E63C35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874D0DD">
            <w:pPr>
              <w:spacing w:before="0" w:after="0" w:line="240" w:lineRule="exact"/>
              <w:jc w:val="right"/>
              <w:rPr>
                <w:rFonts w:ascii="宋体" w:hAnsi="宋体" w:eastAsia="宋体" w:cs="宋体"/>
                <w:sz w:val="18"/>
                <w:szCs w:val="18"/>
              </w:rPr>
            </w:pPr>
            <w:r>
              <w:rPr>
                <w:rFonts w:ascii="宋体" w:hAnsi="宋体" w:eastAsia="宋体" w:cs="宋体"/>
                <w:sz w:val="18"/>
                <w:szCs w:val="18"/>
              </w:rPr>
              <w:t>53,486,295.85</w:t>
            </w:r>
          </w:p>
        </w:tc>
        <w:tc>
          <w:tcPr>
            <w:tcW w:w="602" w:type="dxa"/>
            <w:tcBorders>
              <w:top w:val="single" w:color="auto" w:sz="2" w:space="0"/>
              <w:left w:val="single" w:color="auto" w:sz="2" w:space="0"/>
              <w:bottom w:val="single" w:color="auto" w:sz="2" w:space="0"/>
              <w:right w:val="single" w:color="auto" w:sz="2" w:space="0"/>
            </w:tcBorders>
            <w:vAlign w:val="center"/>
          </w:tcPr>
          <w:p w14:paraId="7149313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CED8E67">
            <w:pPr>
              <w:spacing w:before="0" w:after="0" w:line="240" w:lineRule="exact"/>
              <w:jc w:val="right"/>
              <w:rPr>
                <w:rFonts w:ascii="宋体" w:hAnsi="宋体" w:eastAsia="宋体" w:cs="宋体"/>
                <w:sz w:val="18"/>
                <w:szCs w:val="18"/>
              </w:rPr>
            </w:pPr>
            <w:r>
              <w:rPr>
                <w:rFonts w:ascii="宋体" w:hAnsi="宋体" w:eastAsia="宋体" w:cs="宋体"/>
                <w:sz w:val="18"/>
                <w:szCs w:val="18"/>
              </w:rPr>
              <w:t>928,462,440.88</w:t>
            </w:r>
          </w:p>
        </w:tc>
        <w:tc>
          <w:tcPr>
            <w:tcW w:w="602" w:type="dxa"/>
            <w:tcBorders>
              <w:top w:val="single" w:color="auto" w:sz="2" w:space="0"/>
              <w:left w:val="single" w:color="auto" w:sz="2" w:space="0"/>
              <w:bottom w:val="single" w:color="auto" w:sz="2" w:space="0"/>
              <w:right w:val="single" w:color="auto" w:sz="2" w:space="0"/>
            </w:tcBorders>
            <w:vAlign w:val="center"/>
          </w:tcPr>
          <w:p w14:paraId="3D575F02">
            <w:pPr>
              <w:spacing w:before="0" w:after="0" w:line="240" w:lineRule="exact"/>
              <w:jc w:val="right"/>
              <w:rPr>
                <w:rFonts w:ascii="宋体" w:hAnsi="宋体" w:eastAsia="宋体" w:cs="宋体"/>
                <w:sz w:val="18"/>
                <w:szCs w:val="18"/>
              </w:rPr>
            </w:pPr>
            <w:r>
              <w:rPr>
                <w:rFonts w:ascii="宋体" w:hAnsi="宋体" w:eastAsia="宋体" w:cs="宋体"/>
                <w:sz w:val="18"/>
                <w:szCs w:val="18"/>
              </w:rPr>
              <w:t>27,160,483.50</w:t>
            </w:r>
          </w:p>
        </w:tc>
        <w:tc>
          <w:tcPr>
            <w:tcW w:w="602" w:type="dxa"/>
            <w:tcBorders>
              <w:top w:val="single" w:color="auto" w:sz="2" w:space="0"/>
              <w:left w:val="single" w:color="auto" w:sz="2" w:space="0"/>
              <w:bottom w:val="single" w:color="auto" w:sz="2" w:space="0"/>
              <w:right w:val="single" w:color="auto" w:sz="2" w:space="0"/>
            </w:tcBorders>
            <w:vAlign w:val="center"/>
          </w:tcPr>
          <w:p w14:paraId="3E7B82F8">
            <w:pPr>
              <w:spacing w:before="0" w:after="0" w:line="240" w:lineRule="exact"/>
              <w:jc w:val="right"/>
              <w:rPr>
                <w:rFonts w:ascii="宋体" w:hAnsi="宋体" w:eastAsia="宋体" w:cs="宋体"/>
                <w:sz w:val="18"/>
                <w:szCs w:val="18"/>
              </w:rPr>
            </w:pPr>
            <w:r>
              <w:rPr>
                <w:rFonts w:ascii="宋体" w:hAnsi="宋体" w:eastAsia="宋体" w:cs="宋体"/>
                <w:sz w:val="18"/>
                <w:szCs w:val="18"/>
              </w:rPr>
              <w:t>955,622,924.38</w:t>
            </w:r>
          </w:p>
        </w:tc>
      </w:tr>
      <w:tr w14:paraId="2FE065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5DAB6299">
            <w:pPr>
              <w:spacing w:before="40" w:after="40" w:line="240" w:lineRule="exact"/>
              <w:jc w:val="left"/>
              <w:rPr>
                <w:rFonts w:ascii="宋体" w:hAnsi="宋体" w:eastAsia="宋体" w:cs="宋体"/>
                <w:sz w:val="18"/>
                <w:szCs w:val="18"/>
              </w:rPr>
            </w:pPr>
            <w:r>
              <w:rPr>
                <w:rFonts w:ascii="宋体" w:hAnsi="宋体" w:eastAsia="宋体" w:cs="宋体"/>
                <w:sz w:val="18"/>
                <w:szCs w:val="18"/>
              </w:rPr>
              <w:t>三、本期增减变动金额（减少以“－”号填列）</w:t>
            </w:r>
          </w:p>
        </w:tc>
        <w:tc>
          <w:tcPr>
            <w:tcW w:w="602" w:type="dxa"/>
            <w:tcBorders>
              <w:top w:val="single" w:color="auto" w:sz="2" w:space="0"/>
              <w:left w:val="single" w:color="auto" w:sz="2" w:space="0"/>
              <w:bottom w:val="single" w:color="auto" w:sz="2" w:space="0"/>
              <w:right w:val="single" w:color="auto" w:sz="2" w:space="0"/>
            </w:tcBorders>
            <w:vAlign w:val="center"/>
          </w:tcPr>
          <w:p w14:paraId="17CE592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DD6868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E1F0B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6873A6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5781E5D">
            <w:pPr>
              <w:spacing w:before="0" w:after="0" w:line="240" w:lineRule="exact"/>
              <w:jc w:val="right"/>
              <w:rPr>
                <w:rFonts w:ascii="宋体" w:hAnsi="宋体" w:eastAsia="宋体" w:cs="宋体"/>
                <w:sz w:val="18"/>
                <w:szCs w:val="18"/>
              </w:rPr>
            </w:pPr>
            <w:r>
              <w:rPr>
                <w:rFonts w:ascii="宋体" w:hAnsi="宋体" w:eastAsia="宋体" w:cs="宋体"/>
                <w:sz w:val="18"/>
                <w:szCs w:val="18"/>
              </w:rPr>
              <w:t>-63,389,417.24</w:t>
            </w:r>
          </w:p>
        </w:tc>
        <w:tc>
          <w:tcPr>
            <w:tcW w:w="602" w:type="dxa"/>
            <w:tcBorders>
              <w:top w:val="single" w:color="auto" w:sz="2" w:space="0"/>
              <w:left w:val="single" w:color="auto" w:sz="2" w:space="0"/>
              <w:bottom w:val="single" w:color="auto" w:sz="2" w:space="0"/>
              <w:right w:val="single" w:color="auto" w:sz="2" w:space="0"/>
            </w:tcBorders>
            <w:vAlign w:val="center"/>
          </w:tcPr>
          <w:p w14:paraId="4C3FC2B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C3A692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9F6B7C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F5A342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E3011E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A8E7EF1">
            <w:pPr>
              <w:spacing w:before="0" w:after="0" w:line="240" w:lineRule="exact"/>
              <w:jc w:val="right"/>
              <w:rPr>
                <w:rFonts w:ascii="宋体" w:hAnsi="宋体" w:eastAsia="宋体" w:cs="宋体"/>
                <w:sz w:val="18"/>
                <w:szCs w:val="18"/>
              </w:rPr>
            </w:pPr>
            <w:r>
              <w:rPr>
                <w:rFonts w:ascii="宋体" w:hAnsi="宋体" w:eastAsia="宋体" w:cs="宋体"/>
                <w:sz w:val="18"/>
                <w:szCs w:val="18"/>
              </w:rPr>
              <w:t>-348,589,843.18</w:t>
            </w:r>
          </w:p>
        </w:tc>
        <w:tc>
          <w:tcPr>
            <w:tcW w:w="602" w:type="dxa"/>
            <w:tcBorders>
              <w:top w:val="single" w:color="auto" w:sz="2" w:space="0"/>
              <w:left w:val="single" w:color="auto" w:sz="2" w:space="0"/>
              <w:bottom w:val="single" w:color="auto" w:sz="2" w:space="0"/>
              <w:right w:val="single" w:color="auto" w:sz="2" w:space="0"/>
            </w:tcBorders>
            <w:vAlign w:val="center"/>
          </w:tcPr>
          <w:p w14:paraId="5CBB699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C7A6BE2">
            <w:pPr>
              <w:spacing w:before="0" w:after="0" w:line="240" w:lineRule="exact"/>
              <w:jc w:val="right"/>
              <w:rPr>
                <w:rFonts w:ascii="宋体" w:hAnsi="宋体" w:eastAsia="宋体" w:cs="宋体"/>
                <w:sz w:val="18"/>
                <w:szCs w:val="18"/>
              </w:rPr>
            </w:pPr>
            <w:r>
              <w:rPr>
                <w:rFonts w:ascii="宋体" w:hAnsi="宋体" w:eastAsia="宋体" w:cs="宋体"/>
                <w:sz w:val="18"/>
                <w:szCs w:val="18"/>
              </w:rPr>
              <w:t>-411,979,260.42</w:t>
            </w:r>
          </w:p>
        </w:tc>
        <w:tc>
          <w:tcPr>
            <w:tcW w:w="602" w:type="dxa"/>
            <w:tcBorders>
              <w:top w:val="single" w:color="auto" w:sz="2" w:space="0"/>
              <w:left w:val="single" w:color="auto" w:sz="2" w:space="0"/>
              <w:bottom w:val="single" w:color="auto" w:sz="2" w:space="0"/>
              <w:right w:val="single" w:color="auto" w:sz="2" w:space="0"/>
            </w:tcBorders>
            <w:vAlign w:val="center"/>
          </w:tcPr>
          <w:p w14:paraId="1F66C6C0">
            <w:pPr>
              <w:spacing w:before="0" w:after="0" w:line="240" w:lineRule="exact"/>
              <w:jc w:val="right"/>
              <w:rPr>
                <w:rFonts w:ascii="宋体" w:hAnsi="宋体" w:eastAsia="宋体" w:cs="宋体"/>
                <w:sz w:val="18"/>
                <w:szCs w:val="18"/>
              </w:rPr>
            </w:pPr>
            <w:r>
              <w:rPr>
                <w:rFonts w:ascii="宋体" w:hAnsi="宋体" w:eastAsia="宋体" w:cs="宋体"/>
                <w:sz w:val="18"/>
                <w:szCs w:val="18"/>
              </w:rPr>
              <w:t>25,601,295.51</w:t>
            </w:r>
          </w:p>
        </w:tc>
        <w:tc>
          <w:tcPr>
            <w:tcW w:w="602" w:type="dxa"/>
            <w:tcBorders>
              <w:top w:val="single" w:color="auto" w:sz="2" w:space="0"/>
              <w:left w:val="single" w:color="auto" w:sz="2" w:space="0"/>
              <w:bottom w:val="single" w:color="auto" w:sz="2" w:space="0"/>
              <w:right w:val="single" w:color="auto" w:sz="2" w:space="0"/>
            </w:tcBorders>
            <w:vAlign w:val="center"/>
          </w:tcPr>
          <w:p w14:paraId="7828D5E1">
            <w:pPr>
              <w:spacing w:before="0" w:after="0" w:line="240" w:lineRule="exact"/>
              <w:jc w:val="right"/>
              <w:rPr>
                <w:rFonts w:ascii="宋体" w:hAnsi="宋体" w:eastAsia="宋体" w:cs="宋体"/>
                <w:sz w:val="18"/>
                <w:szCs w:val="18"/>
              </w:rPr>
            </w:pPr>
            <w:r>
              <w:rPr>
                <w:rFonts w:ascii="宋体" w:hAnsi="宋体" w:eastAsia="宋体" w:cs="宋体"/>
                <w:sz w:val="18"/>
                <w:szCs w:val="18"/>
              </w:rPr>
              <w:t>-386,377,964.91</w:t>
            </w:r>
          </w:p>
        </w:tc>
      </w:tr>
      <w:tr w14:paraId="7D4227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0CAFFC26">
            <w:pPr>
              <w:spacing w:before="40" w:after="40" w:line="240" w:lineRule="exact"/>
              <w:jc w:val="left"/>
              <w:rPr>
                <w:rFonts w:ascii="宋体" w:hAnsi="宋体" w:eastAsia="宋体" w:cs="宋体"/>
                <w:sz w:val="18"/>
                <w:szCs w:val="18"/>
              </w:rPr>
            </w:pPr>
            <w:r>
              <w:rPr>
                <w:rFonts w:ascii="宋体" w:hAnsi="宋体" w:eastAsia="宋体" w:cs="宋体"/>
                <w:sz w:val="18"/>
                <w:szCs w:val="18"/>
              </w:rPr>
              <w:t>（一）综合收益总额</w:t>
            </w:r>
          </w:p>
        </w:tc>
        <w:tc>
          <w:tcPr>
            <w:tcW w:w="602" w:type="dxa"/>
            <w:tcBorders>
              <w:top w:val="single" w:color="auto" w:sz="2" w:space="0"/>
              <w:left w:val="single" w:color="auto" w:sz="2" w:space="0"/>
              <w:bottom w:val="single" w:color="auto" w:sz="2" w:space="0"/>
              <w:right w:val="single" w:color="auto" w:sz="2" w:space="0"/>
            </w:tcBorders>
            <w:vAlign w:val="center"/>
          </w:tcPr>
          <w:p w14:paraId="0A001E6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1CD06D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8CAAC9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8AB7E3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B3BF5C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029DCE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A2A472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9D1FB6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35A9F6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11D42D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E1B6F5E">
            <w:pPr>
              <w:spacing w:before="0" w:after="0" w:line="240" w:lineRule="exact"/>
              <w:jc w:val="right"/>
              <w:rPr>
                <w:rFonts w:ascii="宋体" w:hAnsi="宋体" w:eastAsia="宋体" w:cs="宋体"/>
                <w:sz w:val="18"/>
                <w:szCs w:val="18"/>
              </w:rPr>
            </w:pPr>
            <w:r>
              <w:rPr>
                <w:rFonts w:ascii="宋体" w:hAnsi="宋体" w:eastAsia="宋体" w:cs="宋体"/>
                <w:sz w:val="18"/>
                <w:szCs w:val="18"/>
              </w:rPr>
              <w:t>-348,589,843.18</w:t>
            </w:r>
          </w:p>
        </w:tc>
        <w:tc>
          <w:tcPr>
            <w:tcW w:w="602" w:type="dxa"/>
            <w:tcBorders>
              <w:top w:val="single" w:color="auto" w:sz="2" w:space="0"/>
              <w:left w:val="single" w:color="auto" w:sz="2" w:space="0"/>
              <w:bottom w:val="single" w:color="auto" w:sz="2" w:space="0"/>
              <w:right w:val="single" w:color="auto" w:sz="2" w:space="0"/>
            </w:tcBorders>
            <w:vAlign w:val="center"/>
          </w:tcPr>
          <w:p w14:paraId="4ED6E53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C483E22">
            <w:pPr>
              <w:spacing w:before="0" w:after="0" w:line="240" w:lineRule="exact"/>
              <w:jc w:val="right"/>
              <w:rPr>
                <w:rFonts w:ascii="宋体" w:hAnsi="宋体" w:eastAsia="宋体" w:cs="宋体"/>
                <w:sz w:val="18"/>
                <w:szCs w:val="18"/>
              </w:rPr>
            </w:pPr>
            <w:r>
              <w:rPr>
                <w:rFonts w:ascii="宋体" w:hAnsi="宋体" w:eastAsia="宋体" w:cs="宋体"/>
                <w:sz w:val="18"/>
                <w:szCs w:val="18"/>
              </w:rPr>
              <w:t>-348,589,843.18</w:t>
            </w:r>
          </w:p>
        </w:tc>
        <w:tc>
          <w:tcPr>
            <w:tcW w:w="602" w:type="dxa"/>
            <w:tcBorders>
              <w:top w:val="single" w:color="auto" w:sz="2" w:space="0"/>
              <w:left w:val="single" w:color="auto" w:sz="2" w:space="0"/>
              <w:bottom w:val="single" w:color="auto" w:sz="2" w:space="0"/>
              <w:right w:val="single" w:color="auto" w:sz="2" w:space="0"/>
            </w:tcBorders>
            <w:vAlign w:val="center"/>
          </w:tcPr>
          <w:p w14:paraId="31081F98">
            <w:pPr>
              <w:spacing w:before="0" w:after="0" w:line="240" w:lineRule="exact"/>
              <w:jc w:val="right"/>
              <w:rPr>
                <w:rFonts w:ascii="宋体" w:hAnsi="宋体" w:eastAsia="宋体" w:cs="宋体"/>
                <w:sz w:val="18"/>
                <w:szCs w:val="18"/>
              </w:rPr>
            </w:pPr>
            <w:r>
              <w:rPr>
                <w:rFonts w:ascii="宋体" w:hAnsi="宋体" w:eastAsia="宋体" w:cs="宋体"/>
                <w:sz w:val="18"/>
                <w:szCs w:val="18"/>
              </w:rPr>
              <w:t>-26,313,621.73</w:t>
            </w:r>
          </w:p>
        </w:tc>
        <w:tc>
          <w:tcPr>
            <w:tcW w:w="602" w:type="dxa"/>
            <w:tcBorders>
              <w:top w:val="single" w:color="auto" w:sz="2" w:space="0"/>
              <w:left w:val="single" w:color="auto" w:sz="2" w:space="0"/>
              <w:bottom w:val="single" w:color="auto" w:sz="2" w:space="0"/>
              <w:right w:val="single" w:color="auto" w:sz="2" w:space="0"/>
            </w:tcBorders>
            <w:vAlign w:val="center"/>
          </w:tcPr>
          <w:p w14:paraId="238381C8">
            <w:pPr>
              <w:spacing w:before="0" w:after="0" w:line="240" w:lineRule="exact"/>
              <w:jc w:val="right"/>
              <w:rPr>
                <w:rFonts w:ascii="宋体" w:hAnsi="宋体" w:eastAsia="宋体" w:cs="宋体"/>
                <w:sz w:val="18"/>
                <w:szCs w:val="18"/>
              </w:rPr>
            </w:pPr>
            <w:r>
              <w:rPr>
                <w:rFonts w:ascii="宋体" w:hAnsi="宋体" w:eastAsia="宋体" w:cs="宋体"/>
                <w:sz w:val="18"/>
                <w:szCs w:val="18"/>
              </w:rPr>
              <w:t>-374,903,464.91</w:t>
            </w:r>
          </w:p>
        </w:tc>
      </w:tr>
      <w:tr w14:paraId="7D9BBA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5B215D3D">
            <w:pPr>
              <w:spacing w:before="40" w:after="40" w:line="240" w:lineRule="exact"/>
              <w:jc w:val="left"/>
              <w:rPr>
                <w:rFonts w:ascii="宋体" w:hAnsi="宋体" w:eastAsia="宋体" w:cs="宋体"/>
                <w:sz w:val="18"/>
                <w:szCs w:val="18"/>
              </w:rPr>
            </w:pPr>
            <w:r>
              <w:rPr>
                <w:rFonts w:ascii="宋体" w:hAnsi="宋体" w:eastAsia="宋体" w:cs="宋体"/>
                <w:sz w:val="18"/>
                <w:szCs w:val="18"/>
              </w:rPr>
              <w:t>（二）所有者投入和减少资本</w:t>
            </w:r>
          </w:p>
        </w:tc>
        <w:tc>
          <w:tcPr>
            <w:tcW w:w="602" w:type="dxa"/>
            <w:tcBorders>
              <w:top w:val="single" w:color="auto" w:sz="2" w:space="0"/>
              <w:left w:val="single" w:color="auto" w:sz="2" w:space="0"/>
              <w:bottom w:val="single" w:color="auto" w:sz="2" w:space="0"/>
              <w:right w:val="single" w:color="auto" w:sz="2" w:space="0"/>
            </w:tcBorders>
            <w:vAlign w:val="center"/>
          </w:tcPr>
          <w:p w14:paraId="5807842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3D5BB6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8B4B1F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E3F1EF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EB430A8">
            <w:pPr>
              <w:spacing w:before="0" w:after="0" w:line="240" w:lineRule="exact"/>
              <w:jc w:val="right"/>
              <w:rPr>
                <w:rFonts w:ascii="宋体" w:hAnsi="宋体" w:eastAsia="宋体" w:cs="宋体"/>
                <w:sz w:val="18"/>
                <w:szCs w:val="18"/>
              </w:rPr>
            </w:pPr>
            <w:r>
              <w:rPr>
                <w:rFonts w:ascii="宋体" w:hAnsi="宋体" w:eastAsia="宋体" w:cs="宋体"/>
                <w:sz w:val="18"/>
                <w:szCs w:val="18"/>
              </w:rPr>
              <w:t>160,375,883.49</w:t>
            </w:r>
          </w:p>
        </w:tc>
        <w:tc>
          <w:tcPr>
            <w:tcW w:w="602" w:type="dxa"/>
            <w:tcBorders>
              <w:top w:val="single" w:color="auto" w:sz="2" w:space="0"/>
              <w:left w:val="single" w:color="auto" w:sz="2" w:space="0"/>
              <w:bottom w:val="single" w:color="auto" w:sz="2" w:space="0"/>
              <w:right w:val="single" w:color="auto" w:sz="2" w:space="0"/>
            </w:tcBorders>
            <w:vAlign w:val="center"/>
          </w:tcPr>
          <w:p w14:paraId="0429A38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EDE32D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9D74A8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29D0C9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A4259A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C873AA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E07E0F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0381882">
            <w:pPr>
              <w:spacing w:before="0" w:after="0" w:line="240" w:lineRule="exact"/>
              <w:jc w:val="right"/>
              <w:rPr>
                <w:rFonts w:ascii="宋体" w:hAnsi="宋体" w:eastAsia="宋体" w:cs="宋体"/>
                <w:sz w:val="18"/>
                <w:szCs w:val="18"/>
              </w:rPr>
            </w:pPr>
            <w:r>
              <w:rPr>
                <w:rFonts w:ascii="宋体" w:hAnsi="宋体" w:eastAsia="宋体" w:cs="宋体"/>
                <w:sz w:val="18"/>
                <w:szCs w:val="18"/>
              </w:rPr>
              <w:t>160,375,883.49</w:t>
            </w:r>
          </w:p>
        </w:tc>
        <w:tc>
          <w:tcPr>
            <w:tcW w:w="602" w:type="dxa"/>
            <w:tcBorders>
              <w:top w:val="single" w:color="auto" w:sz="2" w:space="0"/>
              <w:left w:val="single" w:color="auto" w:sz="2" w:space="0"/>
              <w:bottom w:val="single" w:color="auto" w:sz="2" w:space="0"/>
              <w:right w:val="single" w:color="auto" w:sz="2" w:space="0"/>
            </w:tcBorders>
            <w:vAlign w:val="center"/>
          </w:tcPr>
          <w:p w14:paraId="31F9B1B5">
            <w:pPr>
              <w:spacing w:before="0" w:after="0" w:line="240" w:lineRule="exact"/>
              <w:jc w:val="right"/>
              <w:rPr>
                <w:rFonts w:ascii="宋体" w:hAnsi="宋体" w:eastAsia="宋体" w:cs="宋体"/>
                <w:sz w:val="18"/>
                <w:szCs w:val="18"/>
              </w:rPr>
            </w:pPr>
            <w:r>
              <w:rPr>
                <w:rFonts w:ascii="宋体" w:hAnsi="宋体" w:eastAsia="宋体" w:cs="宋体"/>
                <w:sz w:val="18"/>
                <w:szCs w:val="18"/>
              </w:rPr>
              <w:t>59,624,116.51</w:t>
            </w:r>
          </w:p>
        </w:tc>
        <w:tc>
          <w:tcPr>
            <w:tcW w:w="602" w:type="dxa"/>
            <w:tcBorders>
              <w:top w:val="single" w:color="auto" w:sz="2" w:space="0"/>
              <w:left w:val="single" w:color="auto" w:sz="2" w:space="0"/>
              <w:bottom w:val="single" w:color="auto" w:sz="2" w:space="0"/>
              <w:right w:val="single" w:color="auto" w:sz="2" w:space="0"/>
            </w:tcBorders>
            <w:vAlign w:val="center"/>
          </w:tcPr>
          <w:p w14:paraId="6FB1774F">
            <w:pPr>
              <w:spacing w:before="0" w:after="0" w:line="240" w:lineRule="exact"/>
              <w:jc w:val="right"/>
              <w:rPr>
                <w:rFonts w:ascii="宋体" w:hAnsi="宋体" w:eastAsia="宋体" w:cs="宋体"/>
                <w:sz w:val="18"/>
                <w:szCs w:val="18"/>
              </w:rPr>
            </w:pPr>
            <w:r>
              <w:rPr>
                <w:rFonts w:ascii="宋体" w:hAnsi="宋体" w:eastAsia="宋体" w:cs="宋体"/>
                <w:sz w:val="18"/>
                <w:szCs w:val="18"/>
              </w:rPr>
              <w:t>220,000,000.00</w:t>
            </w:r>
          </w:p>
        </w:tc>
      </w:tr>
      <w:tr w14:paraId="049A86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7AE6ED02">
            <w:pPr>
              <w:spacing w:before="40" w:after="40" w:line="240" w:lineRule="exact"/>
              <w:jc w:val="left"/>
              <w:rPr>
                <w:rFonts w:ascii="宋体" w:hAnsi="宋体" w:eastAsia="宋体" w:cs="宋体"/>
                <w:sz w:val="18"/>
                <w:szCs w:val="18"/>
              </w:rPr>
            </w:pPr>
            <w:r>
              <w:rPr>
                <w:rFonts w:ascii="宋体" w:hAnsi="宋体" w:eastAsia="宋体" w:cs="宋体"/>
                <w:sz w:val="18"/>
                <w:szCs w:val="18"/>
              </w:rPr>
              <w:t>1．所有者投入的普通股</w:t>
            </w:r>
          </w:p>
        </w:tc>
        <w:tc>
          <w:tcPr>
            <w:tcW w:w="602" w:type="dxa"/>
            <w:tcBorders>
              <w:top w:val="single" w:color="auto" w:sz="2" w:space="0"/>
              <w:left w:val="single" w:color="auto" w:sz="2" w:space="0"/>
              <w:bottom w:val="single" w:color="auto" w:sz="2" w:space="0"/>
              <w:right w:val="single" w:color="auto" w:sz="2" w:space="0"/>
            </w:tcBorders>
            <w:vAlign w:val="center"/>
          </w:tcPr>
          <w:p w14:paraId="12CDCFA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FCBBBE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459FCA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D78CEB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71B2BF3">
            <w:pPr>
              <w:spacing w:before="0" w:after="0" w:line="240" w:lineRule="exact"/>
              <w:jc w:val="right"/>
              <w:rPr>
                <w:rFonts w:ascii="宋体" w:hAnsi="宋体" w:eastAsia="宋体" w:cs="宋体"/>
                <w:sz w:val="18"/>
                <w:szCs w:val="18"/>
              </w:rPr>
            </w:pPr>
            <w:r>
              <w:rPr>
                <w:rFonts w:ascii="宋体" w:hAnsi="宋体" w:eastAsia="宋体" w:cs="宋体"/>
                <w:sz w:val="18"/>
                <w:szCs w:val="18"/>
              </w:rPr>
              <w:t>160,375,883.49</w:t>
            </w:r>
          </w:p>
        </w:tc>
        <w:tc>
          <w:tcPr>
            <w:tcW w:w="602" w:type="dxa"/>
            <w:tcBorders>
              <w:top w:val="single" w:color="auto" w:sz="2" w:space="0"/>
              <w:left w:val="single" w:color="auto" w:sz="2" w:space="0"/>
              <w:bottom w:val="single" w:color="auto" w:sz="2" w:space="0"/>
              <w:right w:val="single" w:color="auto" w:sz="2" w:space="0"/>
            </w:tcBorders>
            <w:vAlign w:val="center"/>
          </w:tcPr>
          <w:p w14:paraId="36A0E73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38D6BE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E875AC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28BE2F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E66618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F83F31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FD3F4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87109A1">
            <w:pPr>
              <w:spacing w:before="0" w:after="0" w:line="240" w:lineRule="exact"/>
              <w:jc w:val="right"/>
              <w:rPr>
                <w:rFonts w:ascii="宋体" w:hAnsi="宋体" w:eastAsia="宋体" w:cs="宋体"/>
                <w:sz w:val="18"/>
                <w:szCs w:val="18"/>
              </w:rPr>
            </w:pPr>
            <w:r>
              <w:rPr>
                <w:rFonts w:ascii="宋体" w:hAnsi="宋体" w:eastAsia="宋体" w:cs="宋体"/>
                <w:sz w:val="18"/>
                <w:szCs w:val="18"/>
              </w:rPr>
              <w:t>160,375,883.49</w:t>
            </w:r>
          </w:p>
        </w:tc>
        <w:tc>
          <w:tcPr>
            <w:tcW w:w="602" w:type="dxa"/>
            <w:tcBorders>
              <w:top w:val="single" w:color="auto" w:sz="2" w:space="0"/>
              <w:left w:val="single" w:color="auto" w:sz="2" w:space="0"/>
              <w:bottom w:val="single" w:color="auto" w:sz="2" w:space="0"/>
              <w:right w:val="single" w:color="auto" w:sz="2" w:space="0"/>
            </w:tcBorders>
            <w:vAlign w:val="center"/>
          </w:tcPr>
          <w:p w14:paraId="72E850B4">
            <w:pPr>
              <w:spacing w:before="0" w:after="0" w:line="240" w:lineRule="exact"/>
              <w:jc w:val="right"/>
              <w:rPr>
                <w:rFonts w:ascii="宋体" w:hAnsi="宋体" w:eastAsia="宋体" w:cs="宋体"/>
                <w:sz w:val="18"/>
                <w:szCs w:val="18"/>
              </w:rPr>
            </w:pPr>
            <w:r>
              <w:rPr>
                <w:rFonts w:ascii="宋体" w:hAnsi="宋体" w:eastAsia="宋体" w:cs="宋体"/>
                <w:sz w:val="18"/>
                <w:szCs w:val="18"/>
              </w:rPr>
              <w:t>59,624,116.51</w:t>
            </w:r>
          </w:p>
        </w:tc>
        <w:tc>
          <w:tcPr>
            <w:tcW w:w="602" w:type="dxa"/>
            <w:tcBorders>
              <w:top w:val="single" w:color="auto" w:sz="2" w:space="0"/>
              <w:left w:val="single" w:color="auto" w:sz="2" w:space="0"/>
              <w:bottom w:val="single" w:color="auto" w:sz="2" w:space="0"/>
              <w:right w:val="single" w:color="auto" w:sz="2" w:space="0"/>
            </w:tcBorders>
            <w:vAlign w:val="center"/>
          </w:tcPr>
          <w:p w14:paraId="7423C71A">
            <w:pPr>
              <w:spacing w:before="0" w:after="0" w:line="240" w:lineRule="exact"/>
              <w:jc w:val="right"/>
              <w:rPr>
                <w:rFonts w:ascii="宋体" w:hAnsi="宋体" w:eastAsia="宋体" w:cs="宋体"/>
                <w:sz w:val="18"/>
                <w:szCs w:val="18"/>
              </w:rPr>
            </w:pPr>
            <w:r>
              <w:rPr>
                <w:rFonts w:ascii="宋体" w:hAnsi="宋体" w:eastAsia="宋体" w:cs="宋体"/>
                <w:sz w:val="18"/>
                <w:szCs w:val="18"/>
              </w:rPr>
              <w:t>220,000,000.00</w:t>
            </w:r>
          </w:p>
        </w:tc>
      </w:tr>
      <w:tr w14:paraId="0120B2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28264BBB">
            <w:pPr>
              <w:spacing w:before="40" w:after="40" w:line="240" w:lineRule="exact"/>
              <w:jc w:val="left"/>
              <w:rPr>
                <w:rFonts w:ascii="宋体" w:hAnsi="宋体" w:eastAsia="宋体" w:cs="宋体"/>
                <w:sz w:val="18"/>
                <w:szCs w:val="18"/>
              </w:rPr>
            </w:pPr>
            <w:r>
              <w:rPr>
                <w:rFonts w:ascii="宋体" w:hAnsi="宋体" w:eastAsia="宋体" w:cs="宋体"/>
                <w:sz w:val="18"/>
                <w:szCs w:val="18"/>
              </w:rPr>
              <w:t>2．其他权益工具持有者投入资本</w:t>
            </w:r>
          </w:p>
        </w:tc>
        <w:tc>
          <w:tcPr>
            <w:tcW w:w="602" w:type="dxa"/>
            <w:tcBorders>
              <w:top w:val="single" w:color="auto" w:sz="2" w:space="0"/>
              <w:left w:val="single" w:color="auto" w:sz="2" w:space="0"/>
              <w:bottom w:val="single" w:color="auto" w:sz="2" w:space="0"/>
              <w:right w:val="single" w:color="auto" w:sz="2" w:space="0"/>
            </w:tcBorders>
            <w:vAlign w:val="center"/>
          </w:tcPr>
          <w:p w14:paraId="27B5126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2729FB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B6F870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F36400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4C002C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A9D506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450A76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2D1BDB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F75A40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295FF6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24521C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4BB5BD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7279BC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B17A6D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3D2EB5F">
            <w:pPr>
              <w:spacing w:before="0" w:after="0" w:line="240" w:lineRule="exact"/>
              <w:jc w:val="right"/>
              <w:rPr>
                <w:rFonts w:ascii="宋体" w:hAnsi="宋体" w:eastAsia="宋体" w:cs="宋体"/>
                <w:sz w:val="18"/>
                <w:szCs w:val="18"/>
              </w:rPr>
            </w:pPr>
          </w:p>
        </w:tc>
      </w:tr>
      <w:tr w14:paraId="22CD4E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5E50FC98">
            <w:pPr>
              <w:spacing w:before="40" w:after="40" w:line="240" w:lineRule="exact"/>
              <w:jc w:val="left"/>
              <w:rPr>
                <w:rFonts w:ascii="宋体" w:hAnsi="宋体" w:eastAsia="宋体" w:cs="宋体"/>
                <w:sz w:val="18"/>
                <w:szCs w:val="18"/>
              </w:rPr>
            </w:pPr>
            <w:r>
              <w:rPr>
                <w:rFonts w:ascii="宋体" w:hAnsi="宋体" w:eastAsia="宋体" w:cs="宋体"/>
                <w:sz w:val="18"/>
                <w:szCs w:val="18"/>
              </w:rPr>
              <w:t>3．股份支付计入所有者权益的金额</w:t>
            </w:r>
          </w:p>
        </w:tc>
        <w:tc>
          <w:tcPr>
            <w:tcW w:w="602" w:type="dxa"/>
            <w:tcBorders>
              <w:top w:val="single" w:color="auto" w:sz="2" w:space="0"/>
              <w:left w:val="single" w:color="auto" w:sz="2" w:space="0"/>
              <w:bottom w:val="single" w:color="auto" w:sz="2" w:space="0"/>
              <w:right w:val="single" w:color="auto" w:sz="2" w:space="0"/>
            </w:tcBorders>
            <w:vAlign w:val="center"/>
          </w:tcPr>
          <w:p w14:paraId="2CA0BBA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C84C0B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CA4157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9B00DC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A9C7EB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524A47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4D5269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C8418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6120E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46551C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300615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5FA805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80DE42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09DC8D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FC5490C">
            <w:pPr>
              <w:spacing w:before="0" w:after="0" w:line="240" w:lineRule="exact"/>
              <w:jc w:val="right"/>
              <w:rPr>
                <w:rFonts w:ascii="宋体" w:hAnsi="宋体" w:eastAsia="宋体" w:cs="宋体"/>
                <w:sz w:val="18"/>
                <w:szCs w:val="18"/>
              </w:rPr>
            </w:pPr>
          </w:p>
        </w:tc>
      </w:tr>
      <w:tr w14:paraId="65E069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51FF0B66">
            <w:pPr>
              <w:spacing w:before="40" w:after="40" w:line="240" w:lineRule="exact"/>
              <w:jc w:val="left"/>
              <w:rPr>
                <w:rFonts w:ascii="宋体" w:hAnsi="宋体" w:eastAsia="宋体" w:cs="宋体"/>
                <w:sz w:val="18"/>
                <w:szCs w:val="18"/>
              </w:rPr>
            </w:pPr>
            <w:r>
              <w:rPr>
                <w:rFonts w:ascii="宋体" w:hAnsi="宋体" w:eastAsia="宋体" w:cs="宋体"/>
                <w:sz w:val="18"/>
                <w:szCs w:val="18"/>
              </w:rPr>
              <w:t>4．其他</w:t>
            </w:r>
          </w:p>
        </w:tc>
        <w:tc>
          <w:tcPr>
            <w:tcW w:w="602" w:type="dxa"/>
            <w:tcBorders>
              <w:top w:val="single" w:color="auto" w:sz="2" w:space="0"/>
              <w:left w:val="single" w:color="auto" w:sz="2" w:space="0"/>
              <w:bottom w:val="single" w:color="auto" w:sz="2" w:space="0"/>
              <w:right w:val="single" w:color="auto" w:sz="2" w:space="0"/>
            </w:tcBorders>
            <w:vAlign w:val="center"/>
          </w:tcPr>
          <w:p w14:paraId="5887F10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9E1E5B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7AD4C1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0742B4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6BAD4D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54A8ED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AF79A8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CC35AA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8FD0EF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9D88D5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831419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233E2D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32EEA4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A2734F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8F9AFC7">
            <w:pPr>
              <w:spacing w:before="0" w:after="0" w:line="240" w:lineRule="exact"/>
              <w:jc w:val="right"/>
              <w:rPr>
                <w:rFonts w:ascii="宋体" w:hAnsi="宋体" w:eastAsia="宋体" w:cs="宋体"/>
                <w:sz w:val="18"/>
                <w:szCs w:val="18"/>
              </w:rPr>
            </w:pPr>
          </w:p>
        </w:tc>
      </w:tr>
      <w:tr w14:paraId="340744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0A805E24">
            <w:pPr>
              <w:spacing w:before="40" w:after="40" w:line="240" w:lineRule="exact"/>
              <w:jc w:val="left"/>
              <w:rPr>
                <w:rFonts w:ascii="宋体" w:hAnsi="宋体" w:eastAsia="宋体" w:cs="宋体"/>
                <w:sz w:val="18"/>
                <w:szCs w:val="18"/>
              </w:rPr>
            </w:pPr>
            <w:r>
              <w:rPr>
                <w:rFonts w:ascii="宋体" w:hAnsi="宋体" w:eastAsia="宋体" w:cs="宋体"/>
                <w:sz w:val="18"/>
                <w:szCs w:val="18"/>
              </w:rPr>
              <w:t>（三）利润分配</w:t>
            </w:r>
          </w:p>
        </w:tc>
        <w:tc>
          <w:tcPr>
            <w:tcW w:w="602" w:type="dxa"/>
            <w:tcBorders>
              <w:top w:val="single" w:color="auto" w:sz="2" w:space="0"/>
              <w:left w:val="single" w:color="auto" w:sz="2" w:space="0"/>
              <w:bottom w:val="single" w:color="auto" w:sz="2" w:space="0"/>
              <w:right w:val="single" w:color="auto" w:sz="2" w:space="0"/>
            </w:tcBorders>
            <w:vAlign w:val="center"/>
          </w:tcPr>
          <w:p w14:paraId="4B69A8D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641AA5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9893A2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E9503F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54951B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F62191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7F5DC4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325D96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2386A9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A3F77D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864953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B3E80A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256F4E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DE2901A">
            <w:pPr>
              <w:spacing w:before="0" w:after="0" w:line="240" w:lineRule="exact"/>
              <w:jc w:val="right"/>
              <w:rPr>
                <w:rFonts w:ascii="宋体" w:hAnsi="宋体" w:eastAsia="宋体" w:cs="宋体"/>
                <w:sz w:val="18"/>
                <w:szCs w:val="18"/>
              </w:rPr>
            </w:pPr>
            <w:r>
              <w:rPr>
                <w:rFonts w:ascii="宋体" w:hAnsi="宋体" w:eastAsia="宋体" w:cs="宋体"/>
                <w:sz w:val="18"/>
                <w:szCs w:val="18"/>
              </w:rPr>
              <w:t>-874,500.00</w:t>
            </w:r>
          </w:p>
        </w:tc>
        <w:tc>
          <w:tcPr>
            <w:tcW w:w="602" w:type="dxa"/>
            <w:tcBorders>
              <w:top w:val="single" w:color="auto" w:sz="2" w:space="0"/>
              <w:left w:val="single" w:color="auto" w:sz="2" w:space="0"/>
              <w:bottom w:val="single" w:color="auto" w:sz="2" w:space="0"/>
              <w:right w:val="single" w:color="auto" w:sz="2" w:space="0"/>
            </w:tcBorders>
            <w:vAlign w:val="center"/>
          </w:tcPr>
          <w:p w14:paraId="3FF7F21C">
            <w:pPr>
              <w:spacing w:before="0" w:after="0" w:line="240" w:lineRule="exact"/>
              <w:jc w:val="right"/>
              <w:rPr>
                <w:rFonts w:ascii="宋体" w:hAnsi="宋体" w:eastAsia="宋体" w:cs="宋体"/>
                <w:sz w:val="18"/>
                <w:szCs w:val="18"/>
              </w:rPr>
            </w:pPr>
            <w:r>
              <w:rPr>
                <w:rFonts w:ascii="宋体" w:hAnsi="宋体" w:eastAsia="宋体" w:cs="宋体"/>
                <w:sz w:val="18"/>
                <w:szCs w:val="18"/>
              </w:rPr>
              <w:t>-874,500.00</w:t>
            </w:r>
          </w:p>
        </w:tc>
      </w:tr>
      <w:tr w14:paraId="64B19D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7653D8AF">
            <w:pPr>
              <w:spacing w:before="40" w:after="40" w:line="240" w:lineRule="exact"/>
              <w:jc w:val="left"/>
              <w:rPr>
                <w:rFonts w:ascii="宋体" w:hAnsi="宋体" w:eastAsia="宋体" w:cs="宋体"/>
                <w:sz w:val="18"/>
                <w:szCs w:val="18"/>
              </w:rPr>
            </w:pPr>
            <w:r>
              <w:rPr>
                <w:rFonts w:ascii="宋体" w:hAnsi="宋体" w:eastAsia="宋体" w:cs="宋体"/>
                <w:sz w:val="18"/>
                <w:szCs w:val="18"/>
              </w:rPr>
              <w:t>1．提取盈余公积</w:t>
            </w:r>
          </w:p>
        </w:tc>
        <w:tc>
          <w:tcPr>
            <w:tcW w:w="602" w:type="dxa"/>
            <w:tcBorders>
              <w:top w:val="single" w:color="auto" w:sz="2" w:space="0"/>
              <w:left w:val="single" w:color="auto" w:sz="2" w:space="0"/>
              <w:bottom w:val="single" w:color="auto" w:sz="2" w:space="0"/>
              <w:right w:val="single" w:color="auto" w:sz="2" w:space="0"/>
            </w:tcBorders>
            <w:vAlign w:val="center"/>
          </w:tcPr>
          <w:p w14:paraId="5661FAE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D0E4BE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7C591A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7EE44C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1953A5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1CDAA0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9025DF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96A2FA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F188B7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839A41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1847F6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E23584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AD087B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197384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099B1A9">
            <w:pPr>
              <w:spacing w:before="0" w:after="0" w:line="240" w:lineRule="exact"/>
              <w:jc w:val="right"/>
              <w:rPr>
                <w:rFonts w:ascii="宋体" w:hAnsi="宋体" w:eastAsia="宋体" w:cs="宋体"/>
                <w:sz w:val="18"/>
                <w:szCs w:val="18"/>
              </w:rPr>
            </w:pPr>
          </w:p>
        </w:tc>
      </w:tr>
      <w:tr w14:paraId="53384D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68899817">
            <w:pPr>
              <w:spacing w:before="40" w:after="40" w:line="240" w:lineRule="exact"/>
              <w:jc w:val="left"/>
              <w:rPr>
                <w:rFonts w:ascii="宋体" w:hAnsi="宋体" w:eastAsia="宋体" w:cs="宋体"/>
                <w:sz w:val="18"/>
                <w:szCs w:val="18"/>
              </w:rPr>
            </w:pPr>
            <w:r>
              <w:rPr>
                <w:rFonts w:ascii="宋体" w:hAnsi="宋体" w:eastAsia="宋体" w:cs="宋体"/>
                <w:sz w:val="18"/>
                <w:szCs w:val="18"/>
              </w:rPr>
              <w:t>2．提取一般风险准备</w:t>
            </w:r>
          </w:p>
        </w:tc>
        <w:tc>
          <w:tcPr>
            <w:tcW w:w="602" w:type="dxa"/>
            <w:tcBorders>
              <w:top w:val="single" w:color="auto" w:sz="2" w:space="0"/>
              <w:left w:val="single" w:color="auto" w:sz="2" w:space="0"/>
              <w:bottom w:val="single" w:color="auto" w:sz="2" w:space="0"/>
              <w:right w:val="single" w:color="auto" w:sz="2" w:space="0"/>
            </w:tcBorders>
            <w:vAlign w:val="center"/>
          </w:tcPr>
          <w:p w14:paraId="395351E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33606E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F2B25A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E32E39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472E38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2A8025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7B8A64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52BB60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2369AC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1AD992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9047E3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D657FC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24DDCE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8F7FFC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73BCDE0">
            <w:pPr>
              <w:spacing w:before="0" w:after="0" w:line="240" w:lineRule="exact"/>
              <w:jc w:val="right"/>
              <w:rPr>
                <w:rFonts w:ascii="宋体" w:hAnsi="宋体" w:eastAsia="宋体" w:cs="宋体"/>
                <w:sz w:val="18"/>
                <w:szCs w:val="18"/>
              </w:rPr>
            </w:pPr>
          </w:p>
        </w:tc>
      </w:tr>
      <w:tr w14:paraId="5759A8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7D1FC431">
            <w:pPr>
              <w:spacing w:before="40" w:after="40" w:line="240" w:lineRule="exact"/>
              <w:jc w:val="left"/>
              <w:rPr>
                <w:rFonts w:ascii="宋体" w:hAnsi="宋体" w:eastAsia="宋体" w:cs="宋体"/>
                <w:sz w:val="18"/>
                <w:szCs w:val="18"/>
              </w:rPr>
            </w:pPr>
            <w:r>
              <w:rPr>
                <w:rFonts w:ascii="宋体" w:hAnsi="宋体" w:eastAsia="宋体" w:cs="宋体"/>
                <w:sz w:val="18"/>
                <w:szCs w:val="18"/>
              </w:rPr>
              <w:t>3．对所有者（或股东）的分配</w:t>
            </w:r>
          </w:p>
        </w:tc>
        <w:tc>
          <w:tcPr>
            <w:tcW w:w="602" w:type="dxa"/>
            <w:tcBorders>
              <w:top w:val="single" w:color="auto" w:sz="2" w:space="0"/>
              <w:left w:val="single" w:color="auto" w:sz="2" w:space="0"/>
              <w:bottom w:val="single" w:color="auto" w:sz="2" w:space="0"/>
              <w:right w:val="single" w:color="auto" w:sz="2" w:space="0"/>
            </w:tcBorders>
            <w:vAlign w:val="center"/>
          </w:tcPr>
          <w:p w14:paraId="717C25E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ACCB52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78D01D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3E9AB4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D9846C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E2AAF8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E74750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8FE98B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87C0BE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31DFBA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B62328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FA2675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C2E2AC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998E033">
            <w:pPr>
              <w:spacing w:before="0" w:after="0" w:line="240" w:lineRule="exact"/>
              <w:jc w:val="right"/>
              <w:rPr>
                <w:rFonts w:ascii="宋体" w:hAnsi="宋体" w:eastAsia="宋体" w:cs="宋体"/>
                <w:sz w:val="18"/>
                <w:szCs w:val="18"/>
              </w:rPr>
            </w:pPr>
            <w:r>
              <w:rPr>
                <w:rFonts w:ascii="宋体" w:hAnsi="宋体" w:eastAsia="宋体" w:cs="宋体"/>
                <w:sz w:val="18"/>
                <w:szCs w:val="18"/>
              </w:rPr>
              <w:t>-874,500.00</w:t>
            </w:r>
          </w:p>
        </w:tc>
        <w:tc>
          <w:tcPr>
            <w:tcW w:w="602" w:type="dxa"/>
            <w:tcBorders>
              <w:top w:val="single" w:color="auto" w:sz="2" w:space="0"/>
              <w:left w:val="single" w:color="auto" w:sz="2" w:space="0"/>
              <w:bottom w:val="single" w:color="auto" w:sz="2" w:space="0"/>
              <w:right w:val="single" w:color="auto" w:sz="2" w:space="0"/>
            </w:tcBorders>
            <w:vAlign w:val="center"/>
          </w:tcPr>
          <w:p w14:paraId="1596EADD">
            <w:pPr>
              <w:spacing w:before="0" w:after="0" w:line="240" w:lineRule="exact"/>
              <w:jc w:val="right"/>
              <w:rPr>
                <w:rFonts w:ascii="宋体" w:hAnsi="宋体" w:eastAsia="宋体" w:cs="宋体"/>
                <w:sz w:val="18"/>
                <w:szCs w:val="18"/>
              </w:rPr>
            </w:pPr>
            <w:r>
              <w:rPr>
                <w:rFonts w:ascii="宋体" w:hAnsi="宋体" w:eastAsia="宋体" w:cs="宋体"/>
                <w:sz w:val="18"/>
                <w:szCs w:val="18"/>
              </w:rPr>
              <w:t>-874,500.00</w:t>
            </w:r>
          </w:p>
        </w:tc>
      </w:tr>
      <w:tr w14:paraId="18C4DC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1503C33C">
            <w:pPr>
              <w:spacing w:before="40" w:after="40" w:line="240" w:lineRule="exact"/>
              <w:jc w:val="left"/>
              <w:rPr>
                <w:rFonts w:ascii="宋体" w:hAnsi="宋体" w:eastAsia="宋体" w:cs="宋体"/>
                <w:sz w:val="18"/>
                <w:szCs w:val="18"/>
              </w:rPr>
            </w:pPr>
            <w:r>
              <w:rPr>
                <w:rFonts w:ascii="宋体" w:hAnsi="宋体" w:eastAsia="宋体" w:cs="宋体"/>
                <w:sz w:val="18"/>
                <w:szCs w:val="18"/>
              </w:rPr>
              <w:t>4．其他</w:t>
            </w:r>
          </w:p>
        </w:tc>
        <w:tc>
          <w:tcPr>
            <w:tcW w:w="602" w:type="dxa"/>
            <w:tcBorders>
              <w:top w:val="single" w:color="auto" w:sz="2" w:space="0"/>
              <w:left w:val="single" w:color="auto" w:sz="2" w:space="0"/>
              <w:bottom w:val="single" w:color="auto" w:sz="2" w:space="0"/>
              <w:right w:val="single" w:color="auto" w:sz="2" w:space="0"/>
            </w:tcBorders>
            <w:vAlign w:val="center"/>
          </w:tcPr>
          <w:p w14:paraId="1DB4D09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800BBD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0B1F32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B8FD19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ABB19D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6833FA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A84637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F42A59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E2B6F5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1F9B0E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2FF450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DC7C79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C80CE3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434CE6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C670878">
            <w:pPr>
              <w:spacing w:before="0" w:after="0" w:line="240" w:lineRule="exact"/>
              <w:jc w:val="right"/>
              <w:rPr>
                <w:rFonts w:ascii="宋体" w:hAnsi="宋体" w:eastAsia="宋体" w:cs="宋体"/>
                <w:sz w:val="18"/>
                <w:szCs w:val="18"/>
              </w:rPr>
            </w:pPr>
          </w:p>
        </w:tc>
      </w:tr>
      <w:tr w14:paraId="7A963D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070FA2AA">
            <w:pPr>
              <w:spacing w:before="40" w:after="40" w:line="240" w:lineRule="exact"/>
              <w:jc w:val="left"/>
              <w:rPr>
                <w:rFonts w:ascii="宋体" w:hAnsi="宋体" w:eastAsia="宋体" w:cs="宋体"/>
                <w:sz w:val="18"/>
                <w:szCs w:val="18"/>
              </w:rPr>
            </w:pPr>
            <w:r>
              <w:rPr>
                <w:rFonts w:ascii="宋体" w:hAnsi="宋体" w:eastAsia="宋体" w:cs="宋体"/>
                <w:sz w:val="18"/>
                <w:szCs w:val="18"/>
              </w:rPr>
              <w:t>（四）所有者权益内部结转</w:t>
            </w:r>
          </w:p>
        </w:tc>
        <w:tc>
          <w:tcPr>
            <w:tcW w:w="602" w:type="dxa"/>
            <w:tcBorders>
              <w:top w:val="single" w:color="auto" w:sz="2" w:space="0"/>
              <w:left w:val="single" w:color="auto" w:sz="2" w:space="0"/>
              <w:bottom w:val="single" w:color="auto" w:sz="2" w:space="0"/>
              <w:right w:val="single" w:color="auto" w:sz="2" w:space="0"/>
            </w:tcBorders>
            <w:vAlign w:val="center"/>
          </w:tcPr>
          <w:p w14:paraId="01BA913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227542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44D9EA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6C9C14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8623E6D">
            <w:pPr>
              <w:spacing w:before="0" w:after="0" w:line="240" w:lineRule="exact"/>
              <w:jc w:val="right"/>
              <w:rPr>
                <w:rFonts w:ascii="宋体" w:hAnsi="宋体" w:eastAsia="宋体" w:cs="宋体"/>
                <w:sz w:val="18"/>
                <w:szCs w:val="18"/>
              </w:rPr>
            </w:pPr>
            <w:r>
              <w:rPr>
                <w:rFonts w:ascii="宋体" w:hAnsi="宋体" w:eastAsia="宋体" w:cs="宋体"/>
                <w:sz w:val="18"/>
                <w:szCs w:val="18"/>
              </w:rPr>
              <w:t>-3,765,300.73</w:t>
            </w:r>
          </w:p>
        </w:tc>
        <w:tc>
          <w:tcPr>
            <w:tcW w:w="602" w:type="dxa"/>
            <w:tcBorders>
              <w:top w:val="single" w:color="auto" w:sz="2" w:space="0"/>
              <w:left w:val="single" w:color="auto" w:sz="2" w:space="0"/>
              <w:bottom w:val="single" w:color="auto" w:sz="2" w:space="0"/>
              <w:right w:val="single" w:color="auto" w:sz="2" w:space="0"/>
            </w:tcBorders>
            <w:vAlign w:val="center"/>
          </w:tcPr>
          <w:p w14:paraId="07797BA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E47398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55BEAF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601681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69803E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7F86CC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455D9B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865F6A3">
            <w:pPr>
              <w:spacing w:before="0" w:after="0" w:line="240" w:lineRule="exact"/>
              <w:jc w:val="right"/>
              <w:rPr>
                <w:rFonts w:ascii="宋体" w:hAnsi="宋体" w:eastAsia="宋体" w:cs="宋体"/>
                <w:sz w:val="18"/>
                <w:szCs w:val="18"/>
              </w:rPr>
            </w:pPr>
            <w:r>
              <w:rPr>
                <w:rFonts w:ascii="宋体" w:hAnsi="宋体" w:eastAsia="宋体" w:cs="宋体"/>
                <w:sz w:val="18"/>
                <w:szCs w:val="18"/>
              </w:rPr>
              <w:t>-3,765,300.73</w:t>
            </w:r>
          </w:p>
        </w:tc>
        <w:tc>
          <w:tcPr>
            <w:tcW w:w="602" w:type="dxa"/>
            <w:tcBorders>
              <w:top w:val="single" w:color="auto" w:sz="2" w:space="0"/>
              <w:left w:val="single" w:color="auto" w:sz="2" w:space="0"/>
              <w:bottom w:val="single" w:color="auto" w:sz="2" w:space="0"/>
              <w:right w:val="single" w:color="auto" w:sz="2" w:space="0"/>
            </w:tcBorders>
            <w:vAlign w:val="center"/>
          </w:tcPr>
          <w:p w14:paraId="687F8D72">
            <w:pPr>
              <w:spacing w:before="0" w:after="0" w:line="240" w:lineRule="exact"/>
              <w:jc w:val="right"/>
              <w:rPr>
                <w:rFonts w:ascii="宋体" w:hAnsi="宋体" w:eastAsia="宋体" w:cs="宋体"/>
                <w:sz w:val="18"/>
                <w:szCs w:val="18"/>
              </w:rPr>
            </w:pPr>
            <w:r>
              <w:rPr>
                <w:rFonts w:ascii="宋体" w:hAnsi="宋体" w:eastAsia="宋体" w:cs="宋体"/>
                <w:sz w:val="18"/>
                <w:szCs w:val="18"/>
              </w:rPr>
              <w:t>-6,834,699.27</w:t>
            </w:r>
          </w:p>
        </w:tc>
        <w:tc>
          <w:tcPr>
            <w:tcW w:w="602" w:type="dxa"/>
            <w:tcBorders>
              <w:top w:val="single" w:color="auto" w:sz="2" w:space="0"/>
              <w:left w:val="single" w:color="auto" w:sz="2" w:space="0"/>
              <w:bottom w:val="single" w:color="auto" w:sz="2" w:space="0"/>
              <w:right w:val="single" w:color="auto" w:sz="2" w:space="0"/>
            </w:tcBorders>
            <w:vAlign w:val="center"/>
          </w:tcPr>
          <w:p w14:paraId="4C44E4B7">
            <w:pPr>
              <w:spacing w:before="0" w:after="0" w:line="240" w:lineRule="exact"/>
              <w:jc w:val="right"/>
              <w:rPr>
                <w:rFonts w:ascii="宋体" w:hAnsi="宋体" w:eastAsia="宋体" w:cs="宋体"/>
                <w:sz w:val="18"/>
                <w:szCs w:val="18"/>
              </w:rPr>
            </w:pPr>
            <w:r>
              <w:rPr>
                <w:rFonts w:ascii="宋体" w:hAnsi="宋体" w:eastAsia="宋体" w:cs="宋体"/>
                <w:sz w:val="18"/>
                <w:szCs w:val="18"/>
              </w:rPr>
              <w:t>-10,600,000.00</w:t>
            </w:r>
          </w:p>
        </w:tc>
      </w:tr>
      <w:tr w14:paraId="372194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0EB583F5">
            <w:pPr>
              <w:spacing w:before="40" w:after="40" w:line="240" w:lineRule="exact"/>
              <w:jc w:val="left"/>
              <w:rPr>
                <w:rFonts w:ascii="宋体" w:hAnsi="宋体" w:eastAsia="宋体" w:cs="宋体"/>
                <w:sz w:val="18"/>
                <w:szCs w:val="18"/>
              </w:rPr>
            </w:pPr>
            <w:r>
              <w:rPr>
                <w:rFonts w:ascii="宋体" w:hAnsi="宋体" w:eastAsia="宋体" w:cs="宋体"/>
                <w:sz w:val="18"/>
                <w:szCs w:val="18"/>
              </w:rPr>
              <w:t>1．资本公积转增资本（或股本）</w:t>
            </w:r>
          </w:p>
        </w:tc>
        <w:tc>
          <w:tcPr>
            <w:tcW w:w="602" w:type="dxa"/>
            <w:tcBorders>
              <w:top w:val="single" w:color="auto" w:sz="2" w:space="0"/>
              <w:left w:val="single" w:color="auto" w:sz="2" w:space="0"/>
              <w:bottom w:val="single" w:color="auto" w:sz="2" w:space="0"/>
              <w:right w:val="single" w:color="auto" w:sz="2" w:space="0"/>
            </w:tcBorders>
            <w:vAlign w:val="center"/>
          </w:tcPr>
          <w:p w14:paraId="401C6BC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9A6753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B15BA9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527396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40601C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96F348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0DAD2A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2F5AD1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730417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24E57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7D366B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81F2FA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BAE0B7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6E7E98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BA6A243">
            <w:pPr>
              <w:spacing w:before="0" w:after="0" w:line="240" w:lineRule="exact"/>
              <w:jc w:val="right"/>
              <w:rPr>
                <w:rFonts w:ascii="宋体" w:hAnsi="宋体" w:eastAsia="宋体" w:cs="宋体"/>
                <w:sz w:val="18"/>
                <w:szCs w:val="18"/>
              </w:rPr>
            </w:pPr>
          </w:p>
        </w:tc>
      </w:tr>
      <w:tr w14:paraId="576750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18BB5162">
            <w:pPr>
              <w:spacing w:before="40" w:after="40" w:line="240" w:lineRule="exact"/>
              <w:jc w:val="left"/>
              <w:rPr>
                <w:rFonts w:ascii="宋体" w:hAnsi="宋体" w:eastAsia="宋体" w:cs="宋体"/>
                <w:sz w:val="18"/>
                <w:szCs w:val="18"/>
              </w:rPr>
            </w:pPr>
            <w:r>
              <w:rPr>
                <w:rFonts w:ascii="宋体" w:hAnsi="宋体" w:eastAsia="宋体" w:cs="宋体"/>
                <w:sz w:val="18"/>
                <w:szCs w:val="18"/>
              </w:rPr>
              <w:t>2．盈余公积转增资本（或股本）</w:t>
            </w:r>
          </w:p>
        </w:tc>
        <w:tc>
          <w:tcPr>
            <w:tcW w:w="602" w:type="dxa"/>
            <w:tcBorders>
              <w:top w:val="single" w:color="auto" w:sz="2" w:space="0"/>
              <w:left w:val="single" w:color="auto" w:sz="2" w:space="0"/>
              <w:bottom w:val="single" w:color="auto" w:sz="2" w:space="0"/>
              <w:right w:val="single" w:color="auto" w:sz="2" w:space="0"/>
            </w:tcBorders>
            <w:vAlign w:val="center"/>
          </w:tcPr>
          <w:p w14:paraId="3EB66DC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0C23C2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E192BE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C5D56B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1351E1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07DB5B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DDEEAF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FCFACF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690925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EEEF7D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B22B4C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C2E18F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2C9678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A0FEFE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B50C200">
            <w:pPr>
              <w:spacing w:before="0" w:after="0" w:line="240" w:lineRule="exact"/>
              <w:jc w:val="right"/>
              <w:rPr>
                <w:rFonts w:ascii="宋体" w:hAnsi="宋体" w:eastAsia="宋体" w:cs="宋体"/>
                <w:sz w:val="18"/>
                <w:szCs w:val="18"/>
              </w:rPr>
            </w:pPr>
          </w:p>
        </w:tc>
      </w:tr>
      <w:tr w14:paraId="63737C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6A7528AD">
            <w:pPr>
              <w:spacing w:before="40" w:after="40" w:line="240" w:lineRule="exact"/>
              <w:jc w:val="left"/>
              <w:rPr>
                <w:rFonts w:ascii="宋体" w:hAnsi="宋体" w:eastAsia="宋体" w:cs="宋体"/>
                <w:sz w:val="18"/>
                <w:szCs w:val="18"/>
              </w:rPr>
            </w:pPr>
            <w:r>
              <w:rPr>
                <w:rFonts w:ascii="宋体" w:hAnsi="宋体" w:eastAsia="宋体" w:cs="宋体"/>
                <w:sz w:val="18"/>
                <w:szCs w:val="18"/>
              </w:rPr>
              <w:t>3．盈余公积弥补亏损</w:t>
            </w:r>
          </w:p>
        </w:tc>
        <w:tc>
          <w:tcPr>
            <w:tcW w:w="602" w:type="dxa"/>
            <w:tcBorders>
              <w:top w:val="single" w:color="auto" w:sz="2" w:space="0"/>
              <w:left w:val="single" w:color="auto" w:sz="2" w:space="0"/>
              <w:bottom w:val="single" w:color="auto" w:sz="2" w:space="0"/>
              <w:right w:val="single" w:color="auto" w:sz="2" w:space="0"/>
            </w:tcBorders>
            <w:vAlign w:val="center"/>
          </w:tcPr>
          <w:p w14:paraId="1170003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B5883B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DC611C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90116C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8409CE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0A193D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FDB75F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5AF55F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3D413B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75D8D5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486A3D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D27A45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8CC191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61472C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4DBF90A">
            <w:pPr>
              <w:spacing w:before="0" w:after="0" w:line="240" w:lineRule="exact"/>
              <w:jc w:val="right"/>
              <w:rPr>
                <w:rFonts w:ascii="宋体" w:hAnsi="宋体" w:eastAsia="宋体" w:cs="宋体"/>
                <w:sz w:val="18"/>
                <w:szCs w:val="18"/>
              </w:rPr>
            </w:pPr>
          </w:p>
        </w:tc>
      </w:tr>
      <w:tr w14:paraId="725CDA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6152D06A">
            <w:pPr>
              <w:spacing w:before="40" w:after="40" w:line="240" w:lineRule="exact"/>
              <w:jc w:val="left"/>
              <w:rPr>
                <w:rFonts w:ascii="宋体" w:hAnsi="宋体" w:eastAsia="宋体" w:cs="宋体"/>
                <w:sz w:val="18"/>
                <w:szCs w:val="18"/>
              </w:rPr>
            </w:pPr>
            <w:r>
              <w:rPr>
                <w:rFonts w:ascii="宋体" w:hAnsi="宋体" w:eastAsia="宋体" w:cs="宋体"/>
                <w:sz w:val="18"/>
                <w:szCs w:val="18"/>
              </w:rPr>
              <w:t>4．设定受益计划变动额结转留存收益</w:t>
            </w:r>
          </w:p>
        </w:tc>
        <w:tc>
          <w:tcPr>
            <w:tcW w:w="602" w:type="dxa"/>
            <w:tcBorders>
              <w:top w:val="single" w:color="auto" w:sz="2" w:space="0"/>
              <w:left w:val="single" w:color="auto" w:sz="2" w:space="0"/>
              <w:bottom w:val="single" w:color="auto" w:sz="2" w:space="0"/>
              <w:right w:val="single" w:color="auto" w:sz="2" w:space="0"/>
            </w:tcBorders>
            <w:vAlign w:val="center"/>
          </w:tcPr>
          <w:p w14:paraId="68E2DCA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A463BD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65DE34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D27233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7AE466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D54EE7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E9F4E9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B503AF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1D39B3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06EF22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2C5E6B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2ACF0E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6F4422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E2D252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D172D2A">
            <w:pPr>
              <w:spacing w:before="0" w:after="0" w:line="240" w:lineRule="exact"/>
              <w:jc w:val="right"/>
              <w:rPr>
                <w:rFonts w:ascii="宋体" w:hAnsi="宋体" w:eastAsia="宋体" w:cs="宋体"/>
                <w:sz w:val="18"/>
                <w:szCs w:val="18"/>
              </w:rPr>
            </w:pPr>
          </w:p>
        </w:tc>
      </w:tr>
      <w:tr w14:paraId="741DD9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1397A432">
            <w:pPr>
              <w:spacing w:before="40" w:after="40" w:line="240" w:lineRule="exact"/>
              <w:jc w:val="left"/>
              <w:rPr>
                <w:rFonts w:ascii="宋体" w:hAnsi="宋体" w:eastAsia="宋体" w:cs="宋体"/>
                <w:sz w:val="18"/>
                <w:szCs w:val="18"/>
              </w:rPr>
            </w:pPr>
            <w:r>
              <w:rPr>
                <w:rFonts w:ascii="宋体" w:hAnsi="宋体" w:eastAsia="宋体" w:cs="宋体"/>
                <w:sz w:val="18"/>
                <w:szCs w:val="18"/>
              </w:rPr>
              <w:t>5．其他综合收益结转留存收益</w:t>
            </w:r>
          </w:p>
        </w:tc>
        <w:tc>
          <w:tcPr>
            <w:tcW w:w="602" w:type="dxa"/>
            <w:tcBorders>
              <w:top w:val="single" w:color="auto" w:sz="2" w:space="0"/>
              <w:left w:val="single" w:color="auto" w:sz="2" w:space="0"/>
              <w:bottom w:val="single" w:color="auto" w:sz="2" w:space="0"/>
              <w:right w:val="single" w:color="auto" w:sz="2" w:space="0"/>
            </w:tcBorders>
            <w:vAlign w:val="center"/>
          </w:tcPr>
          <w:p w14:paraId="732E59E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571B6F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A244F3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338A89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EEBE12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BF13DB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3F507C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555012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FE05D4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5A8A84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CFFA81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CB07E3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BA96C3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C679B1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69B5BA9">
            <w:pPr>
              <w:spacing w:before="0" w:after="0" w:line="240" w:lineRule="exact"/>
              <w:jc w:val="right"/>
              <w:rPr>
                <w:rFonts w:ascii="宋体" w:hAnsi="宋体" w:eastAsia="宋体" w:cs="宋体"/>
                <w:sz w:val="18"/>
                <w:szCs w:val="18"/>
              </w:rPr>
            </w:pPr>
          </w:p>
        </w:tc>
      </w:tr>
      <w:tr w14:paraId="2A11A0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0D1655C4">
            <w:pPr>
              <w:spacing w:before="40" w:after="40" w:line="240" w:lineRule="exact"/>
              <w:jc w:val="left"/>
              <w:rPr>
                <w:rFonts w:ascii="宋体" w:hAnsi="宋体" w:eastAsia="宋体" w:cs="宋体"/>
                <w:sz w:val="18"/>
                <w:szCs w:val="18"/>
              </w:rPr>
            </w:pPr>
            <w:r>
              <w:rPr>
                <w:rFonts w:ascii="宋体" w:hAnsi="宋体" w:eastAsia="宋体" w:cs="宋体"/>
                <w:sz w:val="18"/>
                <w:szCs w:val="18"/>
              </w:rPr>
              <w:t>6．其他</w:t>
            </w:r>
          </w:p>
        </w:tc>
        <w:tc>
          <w:tcPr>
            <w:tcW w:w="602" w:type="dxa"/>
            <w:tcBorders>
              <w:top w:val="single" w:color="auto" w:sz="2" w:space="0"/>
              <w:left w:val="single" w:color="auto" w:sz="2" w:space="0"/>
              <w:bottom w:val="single" w:color="auto" w:sz="2" w:space="0"/>
              <w:right w:val="single" w:color="auto" w:sz="2" w:space="0"/>
            </w:tcBorders>
            <w:vAlign w:val="center"/>
          </w:tcPr>
          <w:p w14:paraId="344642E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909CDD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45F2BA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5B43D0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E4E447A">
            <w:pPr>
              <w:spacing w:before="0" w:after="0" w:line="240" w:lineRule="exact"/>
              <w:jc w:val="right"/>
              <w:rPr>
                <w:rFonts w:ascii="宋体" w:hAnsi="宋体" w:eastAsia="宋体" w:cs="宋体"/>
                <w:sz w:val="18"/>
                <w:szCs w:val="18"/>
              </w:rPr>
            </w:pPr>
            <w:r>
              <w:rPr>
                <w:rFonts w:ascii="宋体" w:hAnsi="宋体" w:eastAsia="宋体" w:cs="宋体"/>
                <w:sz w:val="18"/>
                <w:szCs w:val="18"/>
              </w:rPr>
              <w:t>-3,765,300.73</w:t>
            </w:r>
          </w:p>
        </w:tc>
        <w:tc>
          <w:tcPr>
            <w:tcW w:w="602" w:type="dxa"/>
            <w:tcBorders>
              <w:top w:val="single" w:color="auto" w:sz="2" w:space="0"/>
              <w:left w:val="single" w:color="auto" w:sz="2" w:space="0"/>
              <w:bottom w:val="single" w:color="auto" w:sz="2" w:space="0"/>
              <w:right w:val="single" w:color="auto" w:sz="2" w:space="0"/>
            </w:tcBorders>
            <w:vAlign w:val="center"/>
          </w:tcPr>
          <w:p w14:paraId="4A2E84B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6696E1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18AC04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3E1C56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7F388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154E73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EE5CA2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FB4F77E">
            <w:pPr>
              <w:spacing w:before="0" w:after="0" w:line="240" w:lineRule="exact"/>
              <w:jc w:val="right"/>
              <w:rPr>
                <w:rFonts w:ascii="宋体" w:hAnsi="宋体" w:eastAsia="宋体" w:cs="宋体"/>
                <w:sz w:val="18"/>
                <w:szCs w:val="18"/>
              </w:rPr>
            </w:pPr>
            <w:r>
              <w:rPr>
                <w:rFonts w:ascii="宋体" w:hAnsi="宋体" w:eastAsia="宋体" w:cs="宋体"/>
                <w:sz w:val="18"/>
                <w:szCs w:val="18"/>
              </w:rPr>
              <w:t>-3,765,300.73</w:t>
            </w:r>
          </w:p>
        </w:tc>
        <w:tc>
          <w:tcPr>
            <w:tcW w:w="602" w:type="dxa"/>
            <w:tcBorders>
              <w:top w:val="single" w:color="auto" w:sz="2" w:space="0"/>
              <w:left w:val="single" w:color="auto" w:sz="2" w:space="0"/>
              <w:bottom w:val="single" w:color="auto" w:sz="2" w:space="0"/>
              <w:right w:val="single" w:color="auto" w:sz="2" w:space="0"/>
            </w:tcBorders>
            <w:vAlign w:val="center"/>
          </w:tcPr>
          <w:p w14:paraId="09A92B37">
            <w:pPr>
              <w:spacing w:before="0" w:after="0" w:line="240" w:lineRule="exact"/>
              <w:jc w:val="right"/>
              <w:rPr>
                <w:rFonts w:ascii="宋体" w:hAnsi="宋体" w:eastAsia="宋体" w:cs="宋体"/>
                <w:sz w:val="18"/>
                <w:szCs w:val="18"/>
              </w:rPr>
            </w:pPr>
            <w:r>
              <w:rPr>
                <w:rFonts w:ascii="宋体" w:hAnsi="宋体" w:eastAsia="宋体" w:cs="宋体"/>
                <w:sz w:val="18"/>
                <w:szCs w:val="18"/>
              </w:rPr>
              <w:t>-6,834,699.27</w:t>
            </w:r>
          </w:p>
        </w:tc>
        <w:tc>
          <w:tcPr>
            <w:tcW w:w="602" w:type="dxa"/>
            <w:tcBorders>
              <w:top w:val="single" w:color="auto" w:sz="2" w:space="0"/>
              <w:left w:val="single" w:color="auto" w:sz="2" w:space="0"/>
              <w:bottom w:val="single" w:color="auto" w:sz="2" w:space="0"/>
              <w:right w:val="single" w:color="auto" w:sz="2" w:space="0"/>
            </w:tcBorders>
            <w:vAlign w:val="center"/>
          </w:tcPr>
          <w:p w14:paraId="1CC5E8CE">
            <w:pPr>
              <w:spacing w:before="0" w:after="0" w:line="240" w:lineRule="exact"/>
              <w:jc w:val="right"/>
              <w:rPr>
                <w:rFonts w:ascii="宋体" w:hAnsi="宋体" w:eastAsia="宋体" w:cs="宋体"/>
                <w:sz w:val="18"/>
                <w:szCs w:val="18"/>
              </w:rPr>
            </w:pPr>
            <w:r>
              <w:rPr>
                <w:rFonts w:ascii="宋体" w:hAnsi="宋体" w:eastAsia="宋体" w:cs="宋体"/>
                <w:sz w:val="18"/>
                <w:szCs w:val="18"/>
              </w:rPr>
              <w:t>-10,600,000.00</w:t>
            </w:r>
          </w:p>
        </w:tc>
      </w:tr>
      <w:tr w14:paraId="3E9623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56160E58">
            <w:pPr>
              <w:spacing w:before="40" w:after="40" w:line="240" w:lineRule="exact"/>
              <w:jc w:val="left"/>
              <w:rPr>
                <w:rFonts w:ascii="宋体" w:hAnsi="宋体" w:eastAsia="宋体" w:cs="宋体"/>
                <w:sz w:val="18"/>
                <w:szCs w:val="18"/>
              </w:rPr>
            </w:pPr>
            <w:r>
              <w:rPr>
                <w:rFonts w:ascii="宋体" w:hAnsi="宋体" w:eastAsia="宋体" w:cs="宋体"/>
                <w:sz w:val="18"/>
                <w:szCs w:val="18"/>
              </w:rPr>
              <w:t>（五）专项储备</w:t>
            </w:r>
          </w:p>
        </w:tc>
        <w:tc>
          <w:tcPr>
            <w:tcW w:w="602" w:type="dxa"/>
            <w:tcBorders>
              <w:top w:val="single" w:color="auto" w:sz="2" w:space="0"/>
              <w:left w:val="single" w:color="auto" w:sz="2" w:space="0"/>
              <w:bottom w:val="single" w:color="auto" w:sz="2" w:space="0"/>
              <w:right w:val="single" w:color="auto" w:sz="2" w:space="0"/>
            </w:tcBorders>
            <w:vAlign w:val="center"/>
          </w:tcPr>
          <w:p w14:paraId="02686FC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8A2BB7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153206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E3FE4C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3256B9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562DB2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7D0526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D0E219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46CDF3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8B5520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4621BA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5150C0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635E028">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E39F7E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19E1BEE">
            <w:pPr>
              <w:spacing w:before="0" w:after="0" w:line="240" w:lineRule="exact"/>
              <w:jc w:val="right"/>
              <w:rPr>
                <w:rFonts w:ascii="宋体" w:hAnsi="宋体" w:eastAsia="宋体" w:cs="宋体"/>
                <w:sz w:val="18"/>
                <w:szCs w:val="18"/>
              </w:rPr>
            </w:pPr>
          </w:p>
        </w:tc>
      </w:tr>
      <w:tr w14:paraId="71BCAA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6546B23D">
            <w:pPr>
              <w:spacing w:before="40" w:after="40" w:line="240" w:lineRule="exact"/>
              <w:jc w:val="left"/>
              <w:rPr>
                <w:rFonts w:ascii="宋体" w:hAnsi="宋体" w:eastAsia="宋体" w:cs="宋体"/>
                <w:sz w:val="18"/>
                <w:szCs w:val="18"/>
              </w:rPr>
            </w:pPr>
            <w:r>
              <w:rPr>
                <w:rFonts w:ascii="宋体" w:hAnsi="宋体" w:eastAsia="宋体" w:cs="宋体"/>
                <w:sz w:val="18"/>
                <w:szCs w:val="18"/>
              </w:rPr>
              <w:t>1．本期提取</w:t>
            </w:r>
          </w:p>
        </w:tc>
        <w:tc>
          <w:tcPr>
            <w:tcW w:w="602" w:type="dxa"/>
            <w:tcBorders>
              <w:top w:val="single" w:color="auto" w:sz="2" w:space="0"/>
              <w:left w:val="single" w:color="auto" w:sz="2" w:space="0"/>
              <w:bottom w:val="single" w:color="auto" w:sz="2" w:space="0"/>
              <w:right w:val="single" w:color="auto" w:sz="2" w:space="0"/>
            </w:tcBorders>
            <w:vAlign w:val="center"/>
          </w:tcPr>
          <w:p w14:paraId="72A6637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0B304C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AC6EFC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02BBCE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753213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D4A393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8272CF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CD949B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6EB309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DB6CD1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8260A7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F3C530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A0ADCF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CA030E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0F33285">
            <w:pPr>
              <w:spacing w:before="0" w:after="0" w:line="240" w:lineRule="exact"/>
              <w:jc w:val="right"/>
              <w:rPr>
                <w:rFonts w:ascii="宋体" w:hAnsi="宋体" w:eastAsia="宋体" w:cs="宋体"/>
                <w:sz w:val="18"/>
                <w:szCs w:val="18"/>
              </w:rPr>
            </w:pPr>
          </w:p>
        </w:tc>
      </w:tr>
      <w:tr w14:paraId="69C071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528277C5">
            <w:pPr>
              <w:spacing w:before="40" w:after="40" w:line="240" w:lineRule="exact"/>
              <w:jc w:val="left"/>
              <w:rPr>
                <w:rFonts w:ascii="宋体" w:hAnsi="宋体" w:eastAsia="宋体" w:cs="宋体"/>
                <w:sz w:val="18"/>
                <w:szCs w:val="18"/>
              </w:rPr>
            </w:pPr>
            <w:r>
              <w:rPr>
                <w:rFonts w:ascii="宋体" w:hAnsi="宋体" w:eastAsia="宋体" w:cs="宋体"/>
                <w:sz w:val="18"/>
                <w:szCs w:val="18"/>
              </w:rPr>
              <w:t>2．本期使用</w:t>
            </w:r>
          </w:p>
        </w:tc>
        <w:tc>
          <w:tcPr>
            <w:tcW w:w="602" w:type="dxa"/>
            <w:tcBorders>
              <w:top w:val="single" w:color="auto" w:sz="2" w:space="0"/>
              <w:left w:val="single" w:color="auto" w:sz="2" w:space="0"/>
              <w:bottom w:val="single" w:color="auto" w:sz="2" w:space="0"/>
              <w:right w:val="single" w:color="auto" w:sz="2" w:space="0"/>
            </w:tcBorders>
            <w:vAlign w:val="center"/>
          </w:tcPr>
          <w:p w14:paraId="229A5DC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A3964F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1184945">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8EC3929">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8282E2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FC5D62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8D4433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966D906">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459CA5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00C386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24250E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765F78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A7CA4A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6266D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16AB304">
            <w:pPr>
              <w:spacing w:before="0" w:after="0" w:line="240" w:lineRule="exact"/>
              <w:jc w:val="right"/>
              <w:rPr>
                <w:rFonts w:ascii="宋体" w:hAnsi="宋体" w:eastAsia="宋体" w:cs="宋体"/>
                <w:sz w:val="18"/>
                <w:szCs w:val="18"/>
              </w:rPr>
            </w:pPr>
          </w:p>
        </w:tc>
      </w:tr>
      <w:tr w14:paraId="113BAC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7546825D">
            <w:pPr>
              <w:spacing w:before="40" w:after="40" w:line="240" w:lineRule="exact"/>
              <w:jc w:val="left"/>
              <w:rPr>
                <w:rFonts w:ascii="宋体" w:hAnsi="宋体" w:eastAsia="宋体" w:cs="宋体"/>
                <w:sz w:val="18"/>
                <w:szCs w:val="18"/>
              </w:rPr>
            </w:pPr>
            <w:r>
              <w:rPr>
                <w:rFonts w:ascii="宋体" w:hAnsi="宋体" w:eastAsia="宋体" w:cs="宋体"/>
                <w:sz w:val="18"/>
                <w:szCs w:val="18"/>
              </w:rPr>
              <w:t>（六）其他</w:t>
            </w:r>
          </w:p>
        </w:tc>
        <w:tc>
          <w:tcPr>
            <w:tcW w:w="602" w:type="dxa"/>
            <w:tcBorders>
              <w:top w:val="single" w:color="auto" w:sz="2" w:space="0"/>
              <w:left w:val="single" w:color="auto" w:sz="2" w:space="0"/>
              <w:bottom w:val="single" w:color="auto" w:sz="2" w:space="0"/>
              <w:right w:val="single" w:color="auto" w:sz="2" w:space="0"/>
            </w:tcBorders>
            <w:vAlign w:val="center"/>
          </w:tcPr>
          <w:p w14:paraId="0D06CAE3">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1311A5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0D97BC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C74D98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9882124">
            <w:pPr>
              <w:spacing w:before="0" w:after="0" w:line="240" w:lineRule="exact"/>
              <w:jc w:val="right"/>
              <w:rPr>
                <w:rFonts w:ascii="宋体" w:hAnsi="宋体" w:eastAsia="宋体" w:cs="宋体"/>
                <w:sz w:val="18"/>
                <w:szCs w:val="18"/>
              </w:rPr>
            </w:pPr>
            <w:r>
              <w:rPr>
                <w:rFonts w:ascii="宋体" w:hAnsi="宋体" w:eastAsia="宋体" w:cs="宋体"/>
                <w:sz w:val="18"/>
                <w:szCs w:val="18"/>
              </w:rPr>
              <w:t>-220,000,000.00</w:t>
            </w:r>
          </w:p>
        </w:tc>
        <w:tc>
          <w:tcPr>
            <w:tcW w:w="602" w:type="dxa"/>
            <w:tcBorders>
              <w:top w:val="single" w:color="auto" w:sz="2" w:space="0"/>
              <w:left w:val="single" w:color="auto" w:sz="2" w:space="0"/>
              <w:bottom w:val="single" w:color="auto" w:sz="2" w:space="0"/>
              <w:right w:val="single" w:color="auto" w:sz="2" w:space="0"/>
            </w:tcBorders>
            <w:vAlign w:val="center"/>
          </w:tcPr>
          <w:p w14:paraId="3640473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0E87A8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57CDD900">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5419BC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23B054C">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6C24AE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C2C1337">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0AA102EB">
            <w:pPr>
              <w:spacing w:before="0" w:after="0" w:line="240" w:lineRule="exact"/>
              <w:jc w:val="right"/>
              <w:rPr>
                <w:rFonts w:ascii="宋体" w:hAnsi="宋体" w:eastAsia="宋体" w:cs="宋体"/>
                <w:sz w:val="18"/>
                <w:szCs w:val="18"/>
              </w:rPr>
            </w:pPr>
            <w:r>
              <w:rPr>
                <w:rFonts w:ascii="宋体" w:hAnsi="宋体" w:eastAsia="宋体" w:cs="宋体"/>
                <w:sz w:val="18"/>
                <w:szCs w:val="18"/>
              </w:rPr>
              <w:t>-220,000,000.00</w:t>
            </w:r>
          </w:p>
        </w:tc>
        <w:tc>
          <w:tcPr>
            <w:tcW w:w="602" w:type="dxa"/>
            <w:tcBorders>
              <w:top w:val="single" w:color="auto" w:sz="2" w:space="0"/>
              <w:left w:val="single" w:color="auto" w:sz="2" w:space="0"/>
              <w:bottom w:val="single" w:color="auto" w:sz="2" w:space="0"/>
              <w:right w:val="single" w:color="auto" w:sz="2" w:space="0"/>
            </w:tcBorders>
            <w:vAlign w:val="center"/>
          </w:tcPr>
          <w:p w14:paraId="0BE838C4">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B75DBAE">
            <w:pPr>
              <w:spacing w:before="0" w:after="0" w:line="240" w:lineRule="exact"/>
              <w:jc w:val="right"/>
              <w:rPr>
                <w:rFonts w:ascii="宋体" w:hAnsi="宋体" w:eastAsia="宋体" w:cs="宋体"/>
                <w:sz w:val="18"/>
                <w:szCs w:val="18"/>
              </w:rPr>
            </w:pPr>
            <w:r>
              <w:rPr>
                <w:rFonts w:ascii="宋体" w:hAnsi="宋体" w:eastAsia="宋体" w:cs="宋体"/>
                <w:sz w:val="18"/>
                <w:szCs w:val="18"/>
              </w:rPr>
              <w:t>-220,000,000.00</w:t>
            </w:r>
          </w:p>
        </w:tc>
      </w:tr>
      <w:tr w14:paraId="6AD421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02" w:type="dxa"/>
            <w:tcBorders>
              <w:top w:val="single" w:color="auto" w:sz="2" w:space="0"/>
              <w:left w:val="single" w:color="auto" w:sz="2" w:space="0"/>
              <w:bottom w:val="single" w:color="auto" w:sz="2" w:space="0"/>
              <w:right w:val="single" w:color="auto" w:sz="2" w:space="0"/>
            </w:tcBorders>
            <w:shd w:val="clear" w:color="auto" w:fill="D3D3D3"/>
            <w:vAlign w:val="center"/>
          </w:tcPr>
          <w:p w14:paraId="4A08449A">
            <w:pPr>
              <w:spacing w:before="40" w:after="40" w:line="240" w:lineRule="exact"/>
              <w:jc w:val="left"/>
              <w:rPr>
                <w:rFonts w:ascii="宋体" w:hAnsi="宋体" w:eastAsia="宋体" w:cs="宋体"/>
                <w:sz w:val="18"/>
                <w:szCs w:val="18"/>
              </w:rPr>
            </w:pPr>
            <w:r>
              <w:rPr>
                <w:rFonts w:ascii="宋体" w:hAnsi="宋体" w:eastAsia="宋体" w:cs="宋体"/>
                <w:sz w:val="18"/>
                <w:szCs w:val="18"/>
              </w:rPr>
              <w:t>四、本期期末余额</w:t>
            </w:r>
          </w:p>
        </w:tc>
        <w:tc>
          <w:tcPr>
            <w:tcW w:w="602" w:type="dxa"/>
            <w:tcBorders>
              <w:top w:val="single" w:color="auto" w:sz="2" w:space="0"/>
              <w:left w:val="single" w:color="auto" w:sz="2" w:space="0"/>
              <w:bottom w:val="single" w:color="auto" w:sz="2" w:space="0"/>
              <w:right w:val="single" w:color="auto" w:sz="2" w:space="0"/>
            </w:tcBorders>
            <w:vAlign w:val="center"/>
          </w:tcPr>
          <w:p w14:paraId="73F01EC0">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602" w:type="dxa"/>
            <w:tcBorders>
              <w:top w:val="single" w:color="auto" w:sz="2" w:space="0"/>
              <w:left w:val="single" w:color="auto" w:sz="2" w:space="0"/>
              <w:bottom w:val="single" w:color="auto" w:sz="2" w:space="0"/>
              <w:right w:val="single" w:color="auto" w:sz="2" w:space="0"/>
            </w:tcBorders>
            <w:vAlign w:val="center"/>
          </w:tcPr>
          <w:p w14:paraId="59A5AE9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204C56CE">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F98B1CA">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74EDF054">
            <w:pPr>
              <w:spacing w:before="0" w:after="0" w:line="240" w:lineRule="exact"/>
              <w:jc w:val="right"/>
              <w:rPr>
                <w:rFonts w:ascii="宋体" w:hAnsi="宋体" w:eastAsia="宋体" w:cs="宋体"/>
                <w:sz w:val="18"/>
                <w:szCs w:val="18"/>
              </w:rPr>
            </w:pPr>
            <w:r>
              <w:rPr>
                <w:rFonts w:ascii="宋体" w:hAnsi="宋体" w:eastAsia="宋体" w:cs="宋体"/>
                <w:sz w:val="18"/>
                <w:szCs w:val="18"/>
              </w:rPr>
              <w:t>607,925,894.48</w:t>
            </w:r>
          </w:p>
        </w:tc>
        <w:tc>
          <w:tcPr>
            <w:tcW w:w="602" w:type="dxa"/>
            <w:tcBorders>
              <w:top w:val="single" w:color="auto" w:sz="2" w:space="0"/>
              <w:left w:val="single" w:color="auto" w:sz="2" w:space="0"/>
              <w:bottom w:val="single" w:color="auto" w:sz="2" w:space="0"/>
              <w:right w:val="single" w:color="auto" w:sz="2" w:space="0"/>
            </w:tcBorders>
            <w:vAlign w:val="center"/>
          </w:tcPr>
          <w:p w14:paraId="09C5A402">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3B5C34AD">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408F313F">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E0C57A5">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602" w:type="dxa"/>
            <w:tcBorders>
              <w:top w:val="single" w:color="auto" w:sz="2" w:space="0"/>
              <w:left w:val="single" w:color="auto" w:sz="2" w:space="0"/>
              <w:bottom w:val="single" w:color="auto" w:sz="2" w:space="0"/>
              <w:right w:val="single" w:color="auto" w:sz="2" w:space="0"/>
            </w:tcBorders>
            <w:vAlign w:val="center"/>
          </w:tcPr>
          <w:p w14:paraId="0D4F3A21">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6F4CBC8D">
            <w:pPr>
              <w:spacing w:before="0" w:after="0" w:line="240" w:lineRule="exact"/>
              <w:jc w:val="right"/>
              <w:rPr>
                <w:rFonts w:ascii="宋体" w:hAnsi="宋体" w:eastAsia="宋体" w:cs="宋体"/>
                <w:sz w:val="18"/>
                <w:szCs w:val="18"/>
              </w:rPr>
            </w:pPr>
            <w:r>
              <w:rPr>
                <w:rFonts w:ascii="宋体" w:hAnsi="宋体" w:eastAsia="宋体" w:cs="宋体"/>
                <w:sz w:val="18"/>
                <w:szCs w:val="18"/>
              </w:rPr>
              <w:t>-295,103,547.33</w:t>
            </w:r>
          </w:p>
        </w:tc>
        <w:tc>
          <w:tcPr>
            <w:tcW w:w="602" w:type="dxa"/>
            <w:tcBorders>
              <w:top w:val="single" w:color="auto" w:sz="2" w:space="0"/>
              <w:left w:val="single" w:color="auto" w:sz="2" w:space="0"/>
              <w:bottom w:val="single" w:color="auto" w:sz="2" w:space="0"/>
              <w:right w:val="single" w:color="auto" w:sz="2" w:space="0"/>
            </w:tcBorders>
            <w:vAlign w:val="center"/>
          </w:tcPr>
          <w:p w14:paraId="086E7FBB">
            <w:pPr>
              <w:spacing w:before="0" w:after="0" w:line="240" w:lineRule="exact"/>
              <w:jc w:val="right"/>
              <w:rPr>
                <w:rFonts w:ascii="宋体" w:hAnsi="宋体" w:eastAsia="宋体" w:cs="宋体"/>
                <w:sz w:val="18"/>
                <w:szCs w:val="18"/>
              </w:rPr>
            </w:pPr>
          </w:p>
        </w:tc>
        <w:tc>
          <w:tcPr>
            <w:tcW w:w="602" w:type="dxa"/>
            <w:tcBorders>
              <w:top w:val="single" w:color="auto" w:sz="2" w:space="0"/>
              <w:left w:val="single" w:color="auto" w:sz="2" w:space="0"/>
              <w:bottom w:val="single" w:color="auto" w:sz="2" w:space="0"/>
              <w:right w:val="single" w:color="auto" w:sz="2" w:space="0"/>
            </w:tcBorders>
            <w:vAlign w:val="center"/>
          </w:tcPr>
          <w:p w14:paraId="1B9DE170">
            <w:pPr>
              <w:spacing w:before="0" w:after="0" w:line="240" w:lineRule="exact"/>
              <w:jc w:val="right"/>
              <w:rPr>
                <w:rFonts w:ascii="宋体" w:hAnsi="宋体" w:eastAsia="宋体" w:cs="宋体"/>
                <w:sz w:val="18"/>
                <w:szCs w:val="18"/>
              </w:rPr>
            </w:pPr>
            <w:r>
              <w:rPr>
                <w:rFonts w:ascii="宋体" w:hAnsi="宋体" w:eastAsia="宋体" w:cs="宋体"/>
                <w:sz w:val="18"/>
                <w:szCs w:val="18"/>
              </w:rPr>
              <w:t>516,483,180.46</w:t>
            </w:r>
          </w:p>
        </w:tc>
        <w:tc>
          <w:tcPr>
            <w:tcW w:w="602" w:type="dxa"/>
            <w:tcBorders>
              <w:top w:val="single" w:color="auto" w:sz="2" w:space="0"/>
              <w:left w:val="single" w:color="auto" w:sz="2" w:space="0"/>
              <w:bottom w:val="single" w:color="auto" w:sz="2" w:space="0"/>
              <w:right w:val="single" w:color="auto" w:sz="2" w:space="0"/>
            </w:tcBorders>
            <w:vAlign w:val="center"/>
          </w:tcPr>
          <w:p w14:paraId="5503C1E5">
            <w:pPr>
              <w:spacing w:before="0" w:after="0" w:line="240" w:lineRule="exact"/>
              <w:jc w:val="right"/>
              <w:rPr>
                <w:rFonts w:ascii="宋体" w:hAnsi="宋体" w:eastAsia="宋体" w:cs="宋体"/>
                <w:sz w:val="18"/>
                <w:szCs w:val="18"/>
              </w:rPr>
            </w:pPr>
            <w:r>
              <w:rPr>
                <w:rFonts w:ascii="宋体" w:hAnsi="宋体" w:eastAsia="宋体" w:cs="宋体"/>
                <w:sz w:val="18"/>
                <w:szCs w:val="18"/>
              </w:rPr>
              <w:t>52,761,779.01</w:t>
            </w:r>
          </w:p>
        </w:tc>
        <w:tc>
          <w:tcPr>
            <w:tcW w:w="602" w:type="dxa"/>
            <w:tcBorders>
              <w:top w:val="single" w:color="auto" w:sz="2" w:space="0"/>
              <w:left w:val="single" w:color="auto" w:sz="2" w:space="0"/>
              <w:bottom w:val="single" w:color="auto" w:sz="2" w:space="0"/>
              <w:right w:val="single" w:color="auto" w:sz="2" w:space="0"/>
            </w:tcBorders>
            <w:vAlign w:val="center"/>
          </w:tcPr>
          <w:p w14:paraId="573CED42">
            <w:pPr>
              <w:spacing w:before="0" w:after="0" w:line="240" w:lineRule="exact"/>
              <w:jc w:val="right"/>
              <w:rPr>
                <w:rFonts w:ascii="宋体" w:hAnsi="宋体" w:eastAsia="宋体" w:cs="宋体"/>
                <w:sz w:val="18"/>
                <w:szCs w:val="18"/>
              </w:rPr>
            </w:pPr>
            <w:r>
              <w:rPr>
                <w:rFonts w:ascii="宋体" w:hAnsi="宋体" w:eastAsia="宋体" w:cs="宋体"/>
                <w:sz w:val="18"/>
                <w:szCs w:val="18"/>
              </w:rPr>
              <w:t>569,244,959.47</w:t>
            </w:r>
          </w:p>
        </w:tc>
      </w:tr>
    </w:tbl>
    <w:p w14:paraId="21D56249">
      <w:pPr>
        <w:keepNext/>
        <w:keepLines/>
        <w:spacing w:before="300" w:after="300" w:line="280" w:lineRule="exact"/>
        <w:jc w:val="left"/>
        <w:outlineLvl w:val="2"/>
        <w:rPr>
          <w:rFonts w:ascii="宋体" w:hAnsi="宋体" w:eastAsia="宋体" w:cs="宋体"/>
          <w:b/>
          <w:bCs/>
          <w:sz w:val="21"/>
          <w:szCs w:val="21"/>
        </w:rPr>
      </w:pPr>
      <w:bookmarkStart w:id="160" w:name="_Toc989047"/>
      <w:r>
        <w:rPr>
          <w:rFonts w:ascii="宋体" w:hAnsi="宋体" w:eastAsia="宋体" w:cs="宋体"/>
          <w:b/>
          <w:bCs/>
          <w:sz w:val="21"/>
          <w:szCs w:val="21"/>
        </w:rPr>
        <w:t>8、母公司所有者权益变动表</w:t>
      </w:r>
      <w:bookmarkEnd w:id="160"/>
    </w:p>
    <w:p w14:paraId="343F1BC9">
      <w:pPr>
        <w:spacing w:before="40" w:after="40" w:line="240" w:lineRule="exact"/>
        <w:jc w:val="left"/>
        <w:rPr>
          <w:rFonts w:ascii="宋体" w:hAnsi="宋体" w:eastAsia="宋体" w:cs="宋体"/>
          <w:sz w:val="18"/>
          <w:szCs w:val="18"/>
        </w:rPr>
      </w:pPr>
      <w:r>
        <w:rPr>
          <w:rFonts w:ascii="宋体" w:hAnsi="宋体" w:eastAsia="宋体" w:cs="宋体"/>
          <w:sz w:val="18"/>
          <w:szCs w:val="18"/>
        </w:rPr>
        <w:t>本期金额</w:t>
      </w:r>
    </w:p>
    <w:p w14:paraId="69DEF5D0">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41"/>
        <w:gridCol w:w="741"/>
        <w:gridCol w:w="741"/>
        <w:gridCol w:w="741"/>
        <w:gridCol w:w="741"/>
        <w:gridCol w:w="741"/>
        <w:gridCol w:w="741"/>
        <w:gridCol w:w="741"/>
        <w:gridCol w:w="741"/>
        <w:gridCol w:w="741"/>
        <w:gridCol w:w="741"/>
        <w:gridCol w:w="741"/>
        <w:gridCol w:w="741"/>
      </w:tblGrid>
      <w:tr w14:paraId="71CF30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1EA2DD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8898" w:type="dxa"/>
            <w:gridSpan w:val="12"/>
            <w:tcBorders>
              <w:top w:val="single" w:color="auto" w:sz="2" w:space="0"/>
              <w:left w:val="single" w:color="auto" w:sz="2" w:space="0"/>
              <w:bottom w:val="single" w:color="auto" w:sz="2" w:space="0"/>
              <w:right w:val="single" w:color="auto" w:sz="2" w:space="0"/>
            </w:tcBorders>
            <w:shd w:val="clear" w:color="auto" w:fill="D3D3D3"/>
            <w:vAlign w:val="center"/>
          </w:tcPr>
          <w:p w14:paraId="7F9BDC35">
            <w:pPr>
              <w:spacing w:before="40" w:after="40" w:line="240" w:lineRule="exact"/>
              <w:jc w:val="center"/>
              <w:rPr>
                <w:rFonts w:ascii="宋体" w:hAnsi="宋体" w:eastAsia="宋体" w:cs="宋体"/>
                <w:sz w:val="18"/>
                <w:szCs w:val="18"/>
              </w:rPr>
            </w:pPr>
            <w:r>
              <w:rPr>
                <w:rFonts w:ascii="宋体" w:hAnsi="宋体" w:eastAsia="宋体" w:cs="宋体"/>
                <w:sz w:val="18"/>
                <w:szCs w:val="18"/>
              </w:rPr>
              <w:t>2024年度</w:t>
            </w:r>
          </w:p>
        </w:tc>
      </w:tr>
      <w:tr w14:paraId="702D60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4A5AC75"/>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8932AE5">
            <w:pPr>
              <w:spacing w:before="40" w:after="40" w:line="240" w:lineRule="exact"/>
              <w:jc w:val="center"/>
              <w:rPr>
                <w:rFonts w:ascii="宋体" w:hAnsi="宋体" w:eastAsia="宋体" w:cs="宋体"/>
                <w:sz w:val="18"/>
                <w:szCs w:val="18"/>
              </w:rPr>
            </w:pPr>
            <w:r>
              <w:rPr>
                <w:rFonts w:ascii="宋体" w:hAnsi="宋体" w:eastAsia="宋体" w:cs="宋体"/>
                <w:sz w:val="18"/>
                <w:szCs w:val="18"/>
              </w:rPr>
              <w:t>股本</w:t>
            </w:r>
          </w:p>
        </w:tc>
        <w:tc>
          <w:tcPr>
            <w:tcW w:w="2224"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195A1FED">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其他权益工具</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0776928">
            <w:pPr>
              <w:spacing w:before="40" w:after="40" w:line="240" w:lineRule="exact"/>
              <w:jc w:val="center"/>
              <w:rPr>
                <w:rFonts w:ascii="宋体" w:hAnsi="宋体" w:eastAsia="宋体" w:cs="宋体"/>
                <w:sz w:val="18"/>
                <w:szCs w:val="18"/>
              </w:rPr>
            </w:pPr>
            <w:r>
              <w:rPr>
                <w:rFonts w:ascii="宋体" w:hAnsi="宋体" w:eastAsia="宋体" w:cs="宋体"/>
                <w:sz w:val="18"/>
                <w:szCs w:val="18"/>
              </w:rPr>
              <w:t>资本公积</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6EF5593">
            <w:pPr>
              <w:spacing w:before="40" w:after="40" w:line="240" w:lineRule="exact"/>
              <w:jc w:val="center"/>
              <w:rPr>
                <w:rFonts w:ascii="宋体" w:hAnsi="宋体" w:eastAsia="宋体" w:cs="宋体"/>
                <w:sz w:val="18"/>
                <w:szCs w:val="18"/>
              </w:rPr>
            </w:pPr>
            <w:r>
              <w:rPr>
                <w:rFonts w:ascii="宋体" w:hAnsi="宋体" w:eastAsia="宋体" w:cs="宋体"/>
                <w:sz w:val="18"/>
                <w:szCs w:val="18"/>
              </w:rPr>
              <w:t>减：库存股</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4D72298">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5ABBCE1">
            <w:pPr>
              <w:spacing w:before="40" w:after="40" w:line="240" w:lineRule="exact"/>
              <w:jc w:val="center"/>
              <w:rPr>
                <w:rFonts w:ascii="宋体" w:hAnsi="宋体" w:eastAsia="宋体" w:cs="宋体"/>
                <w:sz w:val="18"/>
                <w:szCs w:val="18"/>
              </w:rPr>
            </w:pPr>
            <w:r>
              <w:rPr>
                <w:rFonts w:ascii="宋体" w:hAnsi="宋体" w:eastAsia="宋体" w:cs="宋体"/>
                <w:sz w:val="18"/>
                <w:szCs w:val="18"/>
              </w:rPr>
              <w:t>专项储备</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C2DFC48">
            <w:pPr>
              <w:spacing w:before="40" w:after="40" w:line="240" w:lineRule="exact"/>
              <w:jc w:val="center"/>
              <w:rPr>
                <w:rFonts w:ascii="宋体" w:hAnsi="宋体" w:eastAsia="宋体" w:cs="宋体"/>
                <w:sz w:val="18"/>
                <w:szCs w:val="18"/>
              </w:rPr>
            </w:pPr>
            <w:r>
              <w:rPr>
                <w:rFonts w:ascii="宋体" w:hAnsi="宋体" w:eastAsia="宋体" w:cs="宋体"/>
                <w:sz w:val="18"/>
                <w:szCs w:val="18"/>
              </w:rPr>
              <w:t>盈余公积</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03BEB29">
            <w:pPr>
              <w:spacing w:before="40" w:after="40" w:line="240" w:lineRule="exact"/>
              <w:jc w:val="center"/>
              <w:rPr>
                <w:rFonts w:ascii="宋体" w:hAnsi="宋体" w:eastAsia="宋体" w:cs="宋体"/>
                <w:sz w:val="18"/>
                <w:szCs w:val="18"/>
              </w:rPr>
            </w:pPr>
            <w:r>
              <w:rPr>
                <w:rFonts w:ascii="宋体" w:hAnsi="宋体" w:eastAsia="宋体" w:cs="宋体"/>
                <w:sz w:val="18"/>
                <w:szCs w:val="18"/>
              </w:rPr>
              <w:t>未分配利润</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1F8AFFA">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51338F8">
            <w:pPr>
              <w:spacing w:before="40" w:after="40" w:line="240" w:lineRule="exact"/>
              <w:jc w:val="center"/>
              <w:rPr>
                <w:rFonts w:ascii="宋体" w:hAnsi="宋体" w:eastAsia="宋体" w:cs="宋体"/>
                <w:sz w:val="18"/>
                <w:szCs w:val="18"/>
              </w:rPr>
            </w:pPr>
            <w:r>
              <w:rPr>
                <w:rFonts w:ascii="宋体" w:hAnsi="宋体" w:eastAsia="宋体" w:cs="宋体"/>
                <w:sz w:val="18"/>
                <w:szCs w:val="18"/>
              </w:rPr>
              <w:t>所有者权益合计</w:t>
            </w:r>
          </w:p>
        </w:tc>
      </w:tr>
      <w:tr w14:paraId="5317DF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FC9EC17"/>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4A52BE2"/>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289AC78">
            <w:pPr>
              <w:spacing w:before="40" w:after="40" w:line="240" w:lineRule="exact"/>
              <w:jc w:val="center"/>
              <w:rPr>
                <w:rFonts w:ascii="宋体" w:hAnsi="宋体" w:eastAsia="宋体" w:cs="宋体"/>
                <w:sz w:val="18"/>
                <w:szCs w:val="18"/>
              </w:rPr>
            </w:pPr>
            <w:r>
              <w:rPr>
                <w:rFonts w:ascii="宋体" w:hAnsi="宋体" w:eastAsia="宋体" w:cs="宋体"/>
                <w:sz w:val="18"/>
                <w:szCs w:val="18"/>
              </w:rPr>
              <w:t>优先股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1F2989C">
            <w:pPr>
              <w:spacing w:before="40" w:after="40" w:line="240" w:lineRule="exact"/>
              <w:jc w:val="center"/>
              <w:rPr>
                <w:rFonts w:ascii="宋体" w:hAnsi="宋体" w:eastAsia="宋体" w:cs="宋体"/>
                <w:sz w:val="18"/>
                <w:szCs w:val="18"/>
              </w:rPr>
            </w:pPr>
            <w:r>
              <w:rPr>
                <w:rFonts w:ascii="宋体" w:hAnsi="宋体" w:eastAsia="宋体" w:cs="宋体"/>
                <w:sz w:val="18"/>
                <w:szCs w:val="18"/>
              </w:rPr>
              <w:t>永续债</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3267A67">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90592C5"/>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5DA717A"/>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558EF54"/>
        </w:tc>
        <w:tc>
          <w:tcPr>
            <w:tcW w:w="741" w:type="dxa"/>
            <w:vMerge w:val="continue"/>
            <w:tcBorders>
              <w:top w:val="single" w:color="auto" w:sz="2" w:space="0"/>
              <w:left w:val="single" w:color="auto" w:sz="2" w:space="0"/>
              <w:bottom w:val="single" w:color="auto" w:sz="2" w:space="0"/>
              <w:right w:val="single" w:color="auto" w:sz="2" w:space="0"/>
            </w:tcBorders>
            <w:vAlign w:val="center"/>
          </w:tcPr>
          <w:p w14:paraId="26A4FF2A"/>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CA3D2A3"/>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FF45242"/>
        </w:tc>
        <w:tc>
          <w:tcPr>
            <w:tcW w:w="741" w:type="dxa"/>
            <w:vMerge w:val="continue"/>
            <w:tcBorders>
              <w:top w:val="single" w:color="auto" w:sz="2" w:space="0"/>
              <w:left w:val="single" w:color="auto" w:sz="2" w:space="0"/>
              <w:bottom w:val="single" w:color="auto" w:sz="2" w:space="0"/>
              <w:right w:val="single" w:color="auto" w:sz="2" w:space="0"/>
            </w:tcBorders>
            <w:vAlign w:val="center"/>
          </w:tcPr>
          <w:p w14:paraId="56C8BA2F"/>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E6DA095"/>
        </w:tc>
      </w:tr>
      <w:tr w14:paraId="129B65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A375225">
            <w:pPr>
              <w:spacing w:before="40" w:after="40" w:line="240" w:lineRule="exact"/>
              <w:jc w:val="left"/>
              <w:rPr>
                <w:rFonts w:ascii="宋体" w:hAnsi="宋体" w:eastAsia="宋体" w:cs="宋体"/>
                <w:sz w:val="18"/>
                <w:szCs w:val="18"/>
              </w:rPr>
            </w:pPr>
            <w:r>
              <w:rPr>
                <w:rFonts w:ascii="宋体" w:hAnsi="宋体" w:eastAsia="宋体" w:cs="宋体"/>
                <w:sz w:val="18"/>
                <w:szCs w:val="18"/>
              </w:rPr>
              <w:t>一、上年期末余额</w:t>
            </w:r>
          </w:p>
        </w:tc>
        <w:tc>
          <w:tcPr>
            <w:tcW w:w="741" w:type="dxa"/>
            <w:tcBorders>
              <w:top w:val="single" w:color="auto" w:sz="2" w:space="0"/>
              <w:left w:val="single" w:color="auto" w:sz="2" w:space="0"/>
              <w:bottom w:val="single" w:color="auto" w:sz="2" w:space="0"/>
              <w:right w:val="single" w:color="auto" w:sz="2" w:space="0"/>
            </w:tcBorders>
            <w:vAlign w:val="center"/>
          </w:tcPr>
          <w:p w14:paraId="73571663">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741" w:type="dxa"/>
            <w:tcBorders>
              <w:top w:val="single" w:color="auto" w:sz="2" w:space="0"/>
              <w:left w:val="single" w:color="auto" w:sz="2" w:space="0"/>
              <w:bottom w:val="single" w:color="auto" w:sz="2" w:space="0"/>
              <w:right w:val="single" w:color="auto" w:sz="2" w:space="0"/>
            </w:tcBorders>
            <w:vAlign w:val="center"/>
          </w:tcPr>
          <w:p w14:paraId="73FACE8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42E50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AB28A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4AA58F9">
            <w:pPr>
              <w:spacing w:before="0" w:after="0" w:line="240" w:lineRule="exact"/>
              <w:jc w:val="right"/>
              <w:rPr>
                <w:rFonts w:ascii="宋体" w:hAnsi="宋体" w:eastAsia="宋体" w:cs="宋体"/>
                <w:sz w:val="18"/>
                <w:szCs w:val="18"/>
              </w:rPr>
            </w:pPr>
            <w:r>
              <w:rPr>
                <w:rFonts w:ascii="宋体" w:hAnsi="宋体" w:eastAsia="宋体" w:cs="宋体"/>
                <w:sz w:val="18"/>
                <w:szCs w:val="18"/>
              </w:rPr>
              <w:t>675,753,512.82</w:t>
            </w:r>
          </w:p>
        </w:tc>
        <w:tc>
          <w:tcPr>
            <w:tcW w:w="741" w:type="dxa"/>
            <w:tcBorders>
              <w:top w:val="single" w:color="auto" w:sz="2" w:space="0"/>
              <w:left w:val="single" w:color="auto" w:sz="2" w:space="0"/>
              <w:bottom w:val="single" w:color="auto" w:sz="2" w:space="0"/>
              <w:right w:val="single" w:color="auto" w:sz="2" w:space="0"/>
            </w:tcBorders>
            <w:vAlign w:val="center"/>
          </w:tcPr>
          <w:p w14:paraId="6CEA14C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AC7B56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865C0A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4A978FA">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741" w:type="dxa"/>
            <w:tcBorders>
              <w:top w:val="single" w:color="auto" w:sz="2" w:space="0"/>
              <w:left w:val="single" w:color="auto" w:sz="2" w:space="0"/>
              <w:bottom w:val="single" w:color="auto" w:sz="2" w:space="0"/>
              <w:right w:val="single" w:color="auto" w:sz="2" w:space="0"/>
            </w:tcBorders>
            <w:vAlign w:val="center"/>
          </w:tcPr>
          <w:p w14:paraId="69DBCC1A">
            <w:pPr>
              <w:spacing w:before="0" w:after="0" w:line="240" w:lineRule="exact"/>
              <w:jc w:val="right"/>
              <w:rPr>
                <w:rFonts w:ascii="宋体" w:hAnsi="宋体" w:eastAsia="宋体" w:cs="宋体"/>
                <w:sz w:val="18"/>
                <w:szCs w:val="18"/>
              </w:rPr>
            </w:pPr>
            <w:r>
              <w:rPr>
                <w:rFonts w:ascii="宋体" w:hAnsi="宋体" w:eastAsia="宋体" w:cs="宋体"/>
                <w:sz w:val="18"/>
                <w:szCs w:val="18"/>
              </w:rPr>
              <w:t>248,070,535.57</w:t>
            </w:r>
          </w:p>
        </w:tc>
        <w:tc>
          <w:tcPr>
            <w:tcW w:w="741" w:type="dxa"/>
            <w:tcBorders>
              <w:top w:val="single" w:color="auto" w:sz="2" w:space="0"/>
              <w:left w:val="single" w:color="auto" w:sz="2" w:space="0"/>
              <w:bottom w:val="single" w:color="auto" w:sz="2" w:space="0"/>
              <w:right w:val="single" w:color="auto" w:sz="2" w:space="0"/>
            </w:tcBorders>
            <w:vAlign w:val="center"/>
          </w:tcPr>
          <w:p w14:paraId="3028D89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5E128E6">
            <w:pPr>
              <w:spacing w:before="0" w:after="0" w:line="240" w:lineRule="exact"/>
              <w:jc w:val="right"/>
              <w:rPr>
                <w:rFonts w:ascii="宋体" w:hAnsi="宋体" w:eastAsia="宋体" w:cs="宋体"/>
                <w:sz w:val="18"/>
                <w:szCs w:val="18"/>
              </w:rPr>
            </w:pPr>
            <w:r>
              <w:rPr>
                <w:rFonts w:ascii="宋体" w:hAnsi="宋体" w:eastAsia="宋体" w:cs="宋体"/>
                <w:sz w:val="18"/>
                <w:szCs w:val="18"/>
              </w:rPr>
              <w:t>1,127,484,881.70</w:t>
            </w:r>
          </w:p>
        </w:tc>
      </w:tr>
      <w:tr w14:paraId="5A9C25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7A818D4">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加：会计政策变更</w:t>
            </w:r>
          </w:p>
        </w:tc>
        <w:tc>
          <w:tcPr>
            <w:tcW w:w="741" w:type="dxa"/>
            <w:tcBorders>
              <w:top w:val="single" w:color="auto" w:sz="2" w:space="0"/>
              <w:left w:val="single" w:color="auto" w:sz="2" w:space="0"/>
              <w:bottom w:val="single" w:color="auto" w:sz="2" w:space="0"/>
              <w:right w:val="single" w:color="auto" w:sz="2" w:space="0"/>
            </w:tcBorders>
            <w:vAlign w:val="center"/>
          </w:tcPr>
          <w:p w14:paraId="0BC62FB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2B0BE7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7C512D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3B6C06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4613E6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723FA3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DD1193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631DE7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3F5D27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64C721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B04F70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402828C">
            <w:pPr>
              <w:spacing w:before="0" w:after="0" w:line="240" w:lineRule="exact"/>
              <w:jc w:val="right"/>
              <w:rPr>
                <w:rFonts w:ascii="宋体" w:hAnsi="宋体" w:eastAsia="宋体" w:cs="宋体"/>
                <w:sz w:val="18"/>
                <w:szCs w:val="18"/>
              </w:rPr>
            </w:pPr>
          </w:p>
        </w:tc>
      </w:tr>
      <w:tr w14:paraId="7363B2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5CE0DC1">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前期差错更正</w:t>
            </w:r>
          </w:p>
        </w:tc>
        <w:tc>
          <w:tcPr>
            <w:tcW w:w="741" w:type="dxa"/>
            <w:tcBorders>
              <w:top w:val="single" w:color="auto" w:sz="2" w:space="0"/>
              <w:left w:val="single" w:color="auto" w:sz="2" w:space="0"/>
              <w:bottom w:val="single" w:color="auto" w:sz="2" w:space="0"/>
              <w:right w:val="single" w:color="auto" w:sz="2" w:space="0"/>
            </w:tcBorders>
            <w:vAlign w:val="center"/>
          </w:tcPr>
          <w:p w14:paraId="4DFE6D5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227846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BFE866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73F9CC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296865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ED452E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802147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300645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3DF92F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58D51E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FC728C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692CF4A">
            <w:pPr>
              <w:spacing w:before="0" w:after="0" w:line="240" w:lineRule="exact"/>
              <w:jc w:val="right"/>
              <w:rPr>
                <w:rFonts w:ascii="宋体" w:hAnsi="宋体" w:eastAsia="宋体" w:cs="宋体"/>
                <w:sz w:val="18"/>
                <w:szCs w:val="18"/>
              </w:rPr>
            </w:pPr>
          </w:p>
        </w:tc>
      </w:tr>
      <w:tr w14:paraId="008F32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45A7647">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其他</w:t>
            </w:r>
          </w:p>
        </w:tc>
        <w:tc>
          <w:tcPr>
            <w:tcW w:w="741" w:type="dxa"/>
            <w:tcBorders>
              <w:top w:val="single" w:color="auto" w:sz="2" w:space="0"/>
              <w:left w:val="single" w:color="auto" w:sz="2" w:space="0"/>
              <w:bottom w:val="single" w:color="auto" w:sz="2" w:space="0"/>
              <w:right w:val="single" w:color="auto" w:sz="2" w:space="0"/>
            </w:tcBorders>
            <w:vAlign w:val="center"/>
          </w:tcPr>
          <w:p w14:paraId="44B2CB2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E114C9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DBD916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54CD2A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CEE688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EAACDF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3E5916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A6967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3F52C9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28556F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9327EB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0DD5541">
            <w:pPr>
              <w:spacing w:before="0" w:after="0" w:line="240" w:lineRule="exact"/>
              <w:jc w:val="right"/>
              <w:rPr>
                <w:rFonts w:ascii="宋体" w:hAnsi="宋体" w:eastAsia="宋体" w:cs="宋体"/>
                <w:sz w:val="18"/>
                <w:szCs w:val="18"/>
              </w:rPr>
            </w:pPr>
          </w:p>
        </w:tc>
      </w:tr>
      <w:tr w14:paraId="4636C4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DCBAC92">
            <w:pPr>
              <w:spacing w:before="40" w:after="40" w:line="240" w:lineRule="exact"/>
              <w:jc w:val="left"/>
              <w:rPr>
                <w:rFonts w:ascii="宋体" w:hAnsi="宋体" w:eastAsia="宋体" w:cs="宋体"/>
                <w:sz w:val="18"/>
                <w:szCs w:val="18"/>
              </w:rPr>
            </w:pPr>
            <w:r>
              <w:rPr>
                <w:rFonts w:ascii="宋体" w:hAnsi="宋体" w:eastAsia="宋体" w:cs="宋体"/>
                <w:sz w:val="18"/>
                <w:szCs w:val="18"/>
              </w:rPr>
              <w:t>二、本年期初余额</w:t>
            </w:r>
          </w:p>
        </w:tc>
        <w:tc>
          <w:tcPr>
            <w:tcW w:w="741" w:type="dxa"/>
            <w:tcBorders>
              <w:top w:val="single" w:color="auto" w:sz="2" w:space="0"/>
              <w:left w:val="single" w:color="auto" w:sz="2" w:space="0"/>
              <w:bottom w:val="single" w:color="auto" w:sz="2" w:space="0"/>
              <w:right w:val="single" w:color="auto" w:sz="2" w:space="0"/>
            </w:tcBorders>
            <w:vAlign w:val="center"/>
          </w:tcPr>
          <w:p w14:paraId="6EDE60E0">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741" w:type="dxa"/>
            <w:tcBorders>
              <w:top w:val="single" w:color="auto" w:sz="2" w:space="0"/>
              <w:left w:val="single" w:color="auto" w:sz="2" w:space="0"/>
              <w:bottom w:val="single" w:color="auto" w:sz="2" w:space="0"/>
              <w:right w:val="single" w:color="auto" w:sz="2" w:space="0"/>
            </w:tcBorders>
            <w:vAlign w:val="center"/>
          </w:tcPr>
          <w:p w14:paraId="58B7321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916E92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9B95B3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A2AA7CA">
            <w:pPr>
              <w:spacing w:before="0" w:after="0" w:line="240" w:lineRule="exact"/>
              <w:jc w:val="right"/>
              <w:rPr>
                <w:rFonts w:ascii="宋体" w:hAnsi="宋体" w:eastAsia="宋体" w:cs="宋体"/>
                <w:sz w:val="18"/>
                <w:szCs w:val="18"/>
              </w:rPr>
            </w:pPr>
            <w:r>
              <w:rPr>
                <w:rFonts w:ascii="宋体" w:hAnsi="宋体" w:eastAsia="宋体" w:cs="宋体"/>
                <w:sz w:val="18"/>
                <w:szCs w:val="18"/>
              </w:rPr>
              <w:t>675,753,512.82</w:t>
            </w:r>
          </w:p>
        </w:tc>
        <w:tc>
          <w:tcPr>
            <w:tcW w:w="741" w:type="dxa"/>
            <w:tcBorders>
              <w:top w:val="single" w:color="auto" w:sz="2" w:space="0"/>
              <w:left w:val="single" w:color="auto" w:sz="2" w:space="0"/>
              <w:bottom w:val="single" w:color="auto" w:sz="2" w:space="0"/>
              <w:right w:val="single" w:color="auto" w:sz="2" w:space="0"/>
            </w:tcBorders>
            <w:vAlign w:val="center"/>
          </w:tcPr>
          <w:p w14:paraId="7672504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060078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A63B5E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93B7BA5">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741" w:type="dxa"/>
            <w:tcBorders>
              <w:top w:val="single" w:color="auto" w:sz="2" w:space="0"/>
              <w:left w:val="single" w:color="auto" w:sz="2" w:space="0"/>
              <w:bottom w:val="single" w:color="auto" w:sz="2" w:space="0"/>
              <w:right w:val="single" w:color="auto" w:sz="2" w:space="0"/>
            </w:tcBorders>
            <w:vAlign w:val="center"/>
          </w:tcPr>
          <w:p w14:paraId="7C48F049">
            <w:pPr>
              <w:spacing w:before="0" w:after="0" w:line="240" w:lineRule="exact"/>
              <w:jc w:val="right"/>
              <w:rPr>
                <w:rFonts w:ascii="宋体" w:hAnsi="宋体" w:eastAsia="宋体" w:cs="宋体"/>
                <w:sz w:val="18"/>
                <w:szCs w:val="18"/>
              </w:rPr>
            </w:pPr>
            <w:r>
              <w:rPr>
                <w:rFonts w:ascii="宋体" w:hAnsi="宋体" w:eastAsia="宋体" w:cs="宋体"/>
                <w:sz w:val="18"/>
                <w:szCs w:val="18"/>
              </w:rPr>
              <w:t>248,070,535.57</w:t>
            </w:r>
          </w:p>
        </w:tc>
        <w:tc>
          <w:tcPr>
            <w:tcW w:w="741" w:type="dxa"/>
            <w:tcBorders>
              <w:top w:val="single" w:color="auto" w:sz="2" w:space="0"/>
              <w:left w:val="single" w:color="auto" w:sz="2" w:space="0"/>
              <w:bottom w:val="single" w:color="auto" w:sz="2" w:space="0"/>
              <w:right w:val="single" w:color="auto" w:sz="2" w:space="0"/>
            </w:tcBorders>
            <w:vAlign w:val="center"/>
          </w:tcPr>
          <w:p w14:paraId="7BC3033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0653754">
            <w:pPr>
              <w:spacing w:before="0" w:after="0" w:line="240" w:lineRule="exact"/>
              <w:jc w:val="right"/>
              <w:rPr>
                <w:rFonts w:ascii="宋体" w:hAnsi="宋体" w:eastAsia="宋体" w:cs="宋体"/>
                <w:sz w:val="18"/>
                <w:szCs w:val="18"/>
              </w:rPr>
            </w:pPr>
            <w:r>
              <w:rPr>
                <w:rFonts w:ascii="宋体" w:hAnsi="宋体" w:eastAsia="宋体" w:cs="宋体"/>
                <w:sz w:val="18"/>
                <w:szCs w:val="18"/>
              </w:rPr>
              <w:t>1,127,484,881.70</w:t>
            </w:r>
          </w:p>
        </w:tc>
      </w:tr>
      <w:tr w14:paraId="7F5AF2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8B64DA4">
            <w:pPr>
              <w:spacing w:before="40" w:after="40" w:line="240" w:lineRule="exact"/>
              <w:jc w:val="left"/>
              <w:rPr>
                <w:rFonts w:ascii="宋体" w:hAnsi="宋体" w:eastAsia="宋体" w:cs="宋体"/>
                <w:sz w:val="18"/>
                <w:szCs w:val="18"/>
              </w:rPr>
            </w:pPr>
            <w:r>
              <w:rPr>
                <w:rFonts w:ascii="宋体" w:hAnsi="宋体" w:eastAsia="宋体" w:cs="宋体"/>
                <w:sz w:val="18"/>
                <w:szCs w:val="18"/>
              </w:rPr>
              <w:t>三、本期增减变动金额（减少以“－”号填列）</w:t>
            </w:r>
          </w:p>
        </w:tc>
        <w:tc>
          <w:tcPr>
            <w:tcW w:w="741" w:type="dxa"/>
            <w:tcBorders>
              <w:top w:val="single" w:color="auto" w:sz="2" w:space="0"/>
              <w:left w:val="single" w:color="auto" w:sz="2" w:space="0"/>
              <w:bottom w:val="single" w:color="auto" w:sz="2" w:space="0"/>
              <w:right w:val="single" w:color="auto" w:sz="2" w:space="0"/>
            </w:tcBorders>
            <w:vAlign w:val="center"/>
          </w:tcPr>
          <w:p w14:paraId="521D678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C10FD4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3AAB15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93D1C3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9CAB23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4B7064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B10F7A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03908B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615976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0919E1D">
            <w:pPr>
              <w:spacing w:before="0" w:after="0" w:line="240" w:lineRule="exact"/>
              <w:jc w:val="right"/>
              <w:rPr>
                <w:rFonts w:ascii="宋体" w:hAnsi="宋体" w:eastAsia="宋体" w:cs="宋体"/>
                <w:sz w:val="18"/>
                <w:szCs w:val="18"/>
              </w:rPr>
            </w:pPr>
            <w:r>
              <w:rPr>
                <w:rFonts w:ascii="宋体" w:hAnsi="宋体" w:eastAsia="宋体" w:cs="宋体"/>
                <w:sz w:val="18"/>
                <w:szCs w:val="18"/>
              </w:rPr>
              <w:t>-65,630,078.51</w:t>
            </w:r>
          </w:p>
        </w:tc>
        <w:tc>
          <w:tcPr>
            <w:tcW w:w="741" w:type="dxa"/>
            <w:tcBorders>
              <w:top w:val="single" w:color="auto" w:sz="2" w:space="0"/>
              <w:left w:val="single" w:color="auto" w:sz="2" w:space="0"/>
              <w:bottom w:val="single" w:color="auto" w:sz="2" w:space="0"/>
              <w:right w:val="single" w:color="auto" w:sz="2" w:space="0"/>
            </w:tcBorders>
            <w:vAlign w:val="center"/>
          </w:tcPr>
          <w:p w14:paraId="475E02A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1C8560D">
            <w:pPr>
              <w:spacing w:before="0" w:after="0" w:line="240" w:lineRule="exact"/>
              <w:jc w:val="right"/>
              <w:rPr>
                <w:rFonts w:ascii="宋体" w:hAnsi="宋体" w:eastAsia="宋体" w:cs="宋体"/>
                <w:sz w:val="18"/>
                <w:szCs w:val="18"/>
              </w:rPr>
            </w:pPr>
            <w:r>
              <w:rPr>
                <w:rFonts w:ascii="宋体" w:hAnsi="宋体" w:eastAsia="宋体" w:cs="宋体"/>
                <w:sz w:val="18"/>
                <w:szCs w:val="18"/>
              </w:rPr>
              <w:t>-65,630,078.51</w:t>
            </w:r>
          </w:p>
        </w:tc>
      </w:tr>
      <w:tr w14:paraId="30D24C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74E0E28">
            <w:pPr>
              <w:spacing w:before="40" w:after="40" w:line="240" w:lineRule="exact"/>
              <w:jc w:val="left"/>
              <w:rPr>
                <w:rFonts w:ascii="宋体" w:hAnsi="宋体" w:eastAsia="宋体" w:cs="宋体"/>
                <w:sz w:val="18"/>
                <w:szCs w:val="18"/>
              </w:rPr>
            </w:pPr>
            <w:r>
              <w:rPr>
                <w:rFonts w:ascii="宋体" w:hAnsi="宋体" w:eastAsia="宋体" w:cs="宋体"/>
                <w:sz w:val="18"/>
                <w:szCs w:val="18"/>
              </w:rPr>
              <w:t>（一）综合收益总额</w:t>
            </w:r>
          </w:p>
        </w:tc>
        <w:tc>
          <w:tcPr>
            <w:tcW w:w="741" w:type="dxa"/>
            <w:tcBorders>
              <w:top w:val="single" w:color="auto" w:sz="2" w:space="0"/>
              <w:left w:val="single" w:color="auto" w:sz="2" w:space="0"/>
              <w:bottom w:val="single" w:color="auto" w:sz="2" w:space="0"/>
              <w:right w:val="single" w:color="auto" w:sz="2" w:space="0"/>
            </w:tcBorders>
            <w:vAlign w:val="center"/>
          </w:tcPr>
          <w:p w14:paraId="4D8E68D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297E16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B47F01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10435C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6F6B88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FFE725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1428DE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D57EA4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37886E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77DF9A4">
            <w:pPr>
              <w:spacing w:before="0" w:after="0" w:line="240" w:lineRule="exact"/>
              <w:jc w:val="right"/>
              <w:rPr>
                <w:rFonts w:ascii="宋体" w:hAnsi="宋体" w:eastAsia="宋体" w:cs="宋体"/>
                <w:sz w:val="18"/>
                <w:szCs w:val="18"/>
              </w:rPr>
            </w:pPr>
            <w:r>
              <w:rPr>
                <w:rFonts w:ascii="宋体" w:hAnsi="宋体" w:eastAsia="宋体" w:cs="宋体"/>
                <w:sz w:val="18"/>
                <w:szCs w:val="18"/>
              </w:rPr>
              <w:t>-65,630,078.51</w:t>
            </w:r>
          </w:p>
        </w:tc>
        <w:tc>
          <w:tcPr>
            <w:tcW w:w="741" w:type="dxa"/>
            <w:tcBorders>
              <w:top w:val="single" w:color="auto" w:sz="2" w:space="0"/>
              <w:left w:val="single" w:color="auto" w:sz="2" w:space="0"/>
              <w:bottom w:val="single" w:color="auto" w:sz="2" w:space="0"/>
              <w:right w:val="single" w:color="auto" w:sz="2" w:space="0"/>
            </w:tcBorders>
            <w:vAlign w:val="center"/>
          </w:tcPr>
          <w:p w14:paraId="1E28BEB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8DB4F32">
            <w:pPr>
              <w:spacing w:before="0" w:after="0" w:line="240" w:lineRule="exact"/>
              <w:jc w:val="right"/>
              <w:rPr>
                <w:rFonts w:ascii="宋体" w:hAnsi="宋体" w:eastAsia="宋体" w:cs="宋体"/>
                <w:sz w:val="18"/>
                <w:szCs w:val="18"/>
              </w:rPr>
            </w:pPr>
            <w:r>
              <w:rPr>
                <w:rFonts w:ascii="宋体" w:hAnsi="宋体" w:eastAsia="宋体" w:cs="宋体"/>
                <w:sz w:val="18"/>
                <w:szCs w:val="18"/>
              </w:rPr>
              <w:t>-65,630,078.51</w:t>
            </w:r>
          </w:p>
        </w:tc>
      </w:tr>
      <w:tr w14:paraId="1D9CFA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29FF3CE">
            <w:pPr>
              <w:spacing w:before="40" w:after="40" w:line="240" w:lineRule="exact"/>
              <w:jc w:val="left"/>
              <w:rPr>
                <w:rFonts w:ascii="宋体" w:hAnsi="宋体" w:eastAsia="宋体" w:cs="宋体"/>
                <w:sz w:val="18"/>
                <w:szCs w:val="18"/>
              </w:rPr>
            </w:pPr>
            <w:r>
              <w:rPr>
                <w:rFonts w:ascii="宋体" w:hAnsi="宋体" w:eastAsia="宋体" w:cs="宋体"/>
                <w:sz w:val="18"/>
                <w:szCs w:val="18"/>
              </w:rPr>
              <w:t>（二）所有者投入和减少资本</w:t>
            </w:r>
          </w:p>
        </w:tc>
        <w:tc>
          <w:tcPr>
            <w:tcW w:w="741" w:type="dxa"/>
            <w:tcBorders>
              <w:top w:val="single" w:color="auto" w:sz="2" w:space="0"/>
              <w:left w:val="single" w:color="auto" w:sz="2" w:space="0"/>
              <w:bottom w:val="single" w:color="auto" w:sz="2" w:space="0"/>
              <w:right w:val="single" w:color="auto" w:sz="2" w:space="0"/>
            </w:tcBorders>
            <w:vAlign w:val="center"/>
          </w:tcPr>
          <w:p w14:paraId="19F0DFA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2BE777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3EAECC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EB3AF1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9D3DC7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DF124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F34E72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A2D553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391282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747D76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EABD1D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D7C7454">
            <w:pPr>
              <w:spacing w:before="0" w:after="0" w:line="240" w:lineRule="exact"/>
              <w:jc w:val="right"/>
              <w:rPr>
                <w:rFonts w:ascii="宋体" w:hAnsi="宋体" w:eastAsia="宋体" w:cs="宋体"/>
                <w:sz w:val="18"/>
                <w:szCs w:val="18"/>
              </w:rPr>
            </w:pPr>
          </w:p>
        </w:tc>
      </w:tr>
      <w:tr w14:paraId="74AD92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33136E2">
            <w:pPr>
              <w:spacing w:before="40" w:after="40" w:line="240" w:lineRule="exact"/>
              <w:jc w:val="left"/>
              <w:rPr>
                <w:rFonts w:ascii="宋体" w:hAnsi="宋体" w:eastAsia="宋体" w:cs="宋体"/>
                <w:sz w:val="18"/>
                <w:szCs w:val="18"/>
              </w:rPr>
            </w:pPr>
            <w:r>
              <w:rPr>
                <w:rFonts w:ascii="宋体" w:hAnsi="宋体" w:eastAsia="宋体" w:cs="宋体"/>
                <w:sz w:val="18"/>
                <w:szCs w:val="18"/>
              </w:rPr>
              <w:t>1．所有者投入的普通股</w:t>
            </w:r>
          </w:p>
        </w:tc>
        <w:tc>
          <w:tcPr>
            <w:tcW w:w="741" w:type="dxa"/>
            <w:tcBorders>
              <w:top w:val="single" w:color="auto" w:sz="2" w:space="0"/>
              <w:left w:val="single" w:color="auto" w:sz="2" w:space="0"/>
              <w:bottom w:val="single" w:color="auto" w:sz="2" w:space="0"/>
              <w:right w:val="single" w:color="auto" w:sz="2" w:space="0"/>
            </w:tcBorders>
            <w:vAlign w:val="center"/>
          </w:tcPr>
          <w:p w14:paraId="085F495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045D1E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927A19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B001F3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3E4D52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A57BBD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36305F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B1F90E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30307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EB4587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2053F2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45E1239">
            <w:pPr>
              <w:spacing w:before="0" w:after="0" w:line="240" w:lineRule="exact"/>
              <w:jc w:val="right"/>
              <w:rPr>
                <w:rFonts w:ascii="宋体" w:hAnsi="宋体" w:eastAsia="宋体" w:cs="宋体"/>
                <w:sz w:val="18"/>
                <w:szCs w:val="18"/>
              </w:rPr>
            </w:pPr>
          </w:p>
        </w:tc>
      </w:tr>
      <w:tr w14:paraId="6907EB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33AF4CF">
            <w:pPr>
              <w:spacing w:before="40" w:after="40" w:line="240" w:lineRule="exact"/>
              <w:jc w:val="left"/>
              <w:rPr>
                <w:rFonts w:ascii="宋体" w:hAnsi="宋体" w:eastAsia="宋体" w:cs="宋体"/>
                <w:sz w:val="18"/>
                <w:szCs w:val="18"/>
              </w:rPr>
            </w:pPr>
            <w:r>
              <w:rPr>
                <w:rFonts w:ascii="宋体" w:hAnsi="宋体" w:eastAsia="宋体" w:cs="宋体"/>
                <w:sz w:val="18"/>
                <w:szCs w:val="18"/>
              </w:rPr>
              <w:t>2．其他权益工具持有者投入资本</w:t>
            </w:r>
          </w:p>
        </w:tc>
        <w:tc>
          <w:tcPr>
            <w:tcW w:w="741" w:type="dxa"/>
            <w:tcBorders>
              <w:top w:val="single" w:color="auto" w:sz="2" w:space="0"/>
              <w:left w:val="single" w:color="auto" w:sz="2" w:space="0"/>
              <w:bottom w:val="single" w:color="auto" w:sz="2" w:space="0"/>
              <w:right w:val="single" w:color="auto" w:sz="2" w:space="0"/>
            </w:tcBorders>
            <w:vAlign w:val="center"/>
          </w:tcPr>
          <w:p w14:paraId="06005AE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F32A5C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E18BB4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E24E72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85F5CC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3518FE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D568EA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3F19BB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1CAAC2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F4F1E0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3079D3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C8BD7F1">
            <w:pPr>
              <w:spacing w:before="0" w:after="0" w:line="240" w:lineRule="exact"/>
              <w:jc w:val="right"/>
              <w:rPr>
                <w:rFonts w:ascii="宋体" w:hAnsi="宋体" w:eastAsia="宋体" w:cs="宋体"/>
                <w:sz w:val="18"/>
                <w:szCs w:val="18"/>
              </w:rPr>
            </w:pPr>
          </w:p>
        </w:tc>
      </w:tr>
      <w:tr w14:paraId="77AFCD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2C83615">
            <w:pPr>
              <w:spacing w:before="40" w:after="40" w:line="240" w:lineRule="exact"/>
              <w:jc w:val="left"/>
              <w:rPr>
                <w:rFonts w:ascii="宋体" w:hAnsi="宋体" w:eastAsia="宋体" w:cs="宋体"/>
                <w:sz w:val="18"/>
                <w:szCs w:val="18"/>
              </w:rPr>
            </w:pPr>
            <w:r>
              <w:rPr>
                <w:rFonts w:ascii="宋体" w:hAnsi="宋体" w:eastAsia="宋体" w:cs="宋体"/>
                <w:sz w:val="18"/>
                <w:szCs w:val="18"/>
              </w:rPr>
              <w:t>3．股份支付计入所有者权益的金额</w:t>
            </w:r>
          </w:p>
        </w:tc>
        <w:tc>
          <w:tcPr>
            <w:tcW w:w="741" w:type="dxa"/>
            <w:tcBorders>
              <w:top w:val="single" w:color="auto" w:sz="2" w:space="0"/>
              <w:left w:val="single" w:color="auto" w:sz="2" w:space="0"/>
              <w:bottom w:val="single" w:color="auto" w:sz="2" w:space="0"/>
              <w:right w:val="single" w:color="auto" w:sz="2" w:space="0"/>
            </w:tcBorders>
            <w:vAlign w:val="center"/>
          </w:tcPr>
          <w:p w14:paraId="05CA9A1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A0654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0F7B51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970696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BB8889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70219C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927137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BE6E4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C91ECE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AD41A3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B94403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DBE4186">
            <w:pPr>
              <w:spacing w:before="0" w:after="0" w:line="240" w:lineRule="exact"/>
              <w:jc w:val="right"/>
              <w:rPr>
                <w:rFonts w:ascii="宋体" w:hAnsi="宋体" w:eastAsia="宋体" w:cs="宋体"/>
                <w:sz w:val="18"/>
                <w:szCs w:val="18"/>
              </w:rPr>
            </w:pPr>
          </w:p>
        </w:tc>
      </w:tr>
      <w:tr w14:paraId="494FB0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2B0ABA8">
            <w:pPr>
              <w:spacing w:before="40" w:after="40" w:line="240" w:lineRule="exact"/>
              <w:jc w:val="left"/>
              <w:rPr>
                <w:rFonts w:ascii="宋体" w:hAnsi="宋体" w:eastAsia="宋体" w:cs="宋体"/>
                <w:sz w:val="18"/>
                <w:szCs w:val="18"/>
              </w:rPr>
            </w:pPr>
            <w:r>
              <w:rPr>
                <w:rFonts w:ascii="宋体" w:hAnsi="宋体" w:eastAsia="宋体" w:cs="宋体"/>
                <w:sz w:val="18"/>
                <w:szCs w:val="18"/>
              </w:rPr>
              <w:t>4．其他</w:t>
            </w:r>
          </w:p>
        </w:tc>
        <w:tc>
          <w:tcPr>
            <w:tcW w:w="741" w:type="dxa"/>
            <w:tcBorders>
              <w:top w:val="single" w:color="auto" w:sz="2" w:space="0"/>
              <w:left w:val="single" w:color="auto" w:sz="2" w:space="0"/>
              <w:bottom w:val="single" w:color="auto" w:sz="2" w:space="0"/>
              <w:right w:val="single" w:color="auto" w:sz="2" w:space="0"/>
            </w:tcBorders>
            <w:vAlign w:val="center"/>
          </w:tcPr>
          <w:p w14:paraId="7975F15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FCFE6E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4A4413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4D18AD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8AB4C1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479E31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E57B85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6168AB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6BDE37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D2B85B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4E46D0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237774F">
            <w:pPr>
              <w:spacing w:before="0" w:after="0" w:line="240" w:lineRule="exact"/>
              <w:jc w:val="right"/>
              <w:rPr>
                <w:rFonts w:ascii="宋体" w:hAnsi="宋体" w:eastAsia="宋体" w:cs="宋体"/>
                <w:sz w:val="18"/>
                <w:szCs w:val="18"/>
              </w:rPr>
            </w:pPr>
          </w:p>
        </w:tc>
      </w:tr>
      <w:tr w14:paraId="3A6F12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BF3F652">
            <w:pPr>
              <w:spacing w:before="40" w:after="40" w:line="240" w:lineRule="exact"/>
              <w:jc w:val="left"/>
              <w:rPr>
                <w:rFonts w:ascii="宋体" w:hAnsi="宋体" w:eastAsia="宋体" w:cs="宋体"/>
                <w:sz w:val="18"/>
                <w:szCs w:val="18"/>
              </w:rPr>
            </w:pPr>
            <w:r>
              <w:rPr>
                <w:rFonts w:ascii="宋体" w:hAnsi="宋体" w:eastAsia="宋体" w:cs="宋体"/>
                <w:sz w:val="18"/>
                <w:szCs w:val="18"/>
              </w:rPr>
              <w:t>（三）利润分配</w:t>
            </w:r>
          </w:p>
        </w:tc>
        <w:tc>
          <w:tcPr>
            <w:tcW w:w="741" w:type="dxa"/>
            <w:tcBorders>
              <w:top w:val="single" w:color="auto" w:sz="2" w:space="0"/>
              <w:left w:val="single" w:color="auto" w:sz="2" w:space="0"/>
              <w:bottom w:val="single" w:color="auto" w:sz="2" w:space="0"/>
              <w:right w:val="single" w:color="auto" w:sz="2" w:space="0"/>
            </w:tcBorders>
            <w:vAlign w:val="center"/>
          </w:tcPr>
          <w:p w14:paraId="405F6C1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87A66F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4C3043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F5CC01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3D15EE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F34BC9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8B315B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8A7A09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C68AB8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D234E5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2721DA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0E94DBB">
            <w:pPr>
              <w:spacing w:before="0" w:after="0" w:line="240" w:lineRule="exact"/>
              <w:jc w:val="right"/>
              <w:rPr>
                <w:rFonts w:ascii="宋体" w:hAnsi="宋体" w:eastAsia="宋体" w:cs="宋体"/>
                <w:sz w:val="18"/>
                <w:szCs w:val="18"/>
              </w:rPr>
            </w:pPr>
          </w:p>
        </w:tc>
      </w:tr>
      <w:tr w14:paraId="6CF5CD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4530E73">
            <w:pPr>
              <w:spacing w:before="40" w:after="40" w:line="240" w:lineRule="exact"/>
              <w:jc w:val="left"/>
              <w:rPr>
                <w:rFonts w:ascii="宋体" w:hAnsi="宋体" w:eastAsia="宋体" w:cs="宋体"/>
                <w:sz w:val="18"/>
                <w:szCs w:val="18"/>
              </w:rPr>
            </w:pPr>
            <w:r>
              <w:rPr>
                <w:rFonts w:ascii="宋体" w:hAnsi="宋体" w:eastAsia="宋体" w:cs="宋体"/>
                <w:sz w:val="18"/>
                <w:szCs w:val="18"/>
              </w:rPr>
              <w:t>1．提取盈余公积</w:t>
            </w:r>
          </w:p>
        </w:tc>
        <w:tc>
          <w:tcPr>
            <w:tcW w:w="741" w:type="dxa"/>
            <w:tcBorders>
              <w:top w:val="single" w:color="auto" w:sz="2" w:space="0"/>
              <w:left w:val="single" w:color="auto" w:sz="2" w:space="0"/>
              <w:bottom w:val="single" w:color="auto" w:sz="2" w:space="0"/>
              <w:right w:val="single" w:color="auto" w:sz="2" w:space="0"/>
            </w:tcBorders>
            <w:vAlign w:val="center"/>
          </w:tcPr>
          <w:p w14:paraId="229D529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11D38C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F8A55B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523551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9989F3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D7DCCC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9E98D0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5DD031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E3C4AD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8D5968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37EB49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33F80B3">
            <w:pPr>
              <w:spacing w:before="0" w:after="0" w:line="240" w:lineRule="exact"/>
              <w:jc w:val="right"/>
              <w:rPr>
                <w:rFonts w:ascii="宋体" w:hAnsi="宋体" w:eastAsia="宋体" w:cs="宋体"/>
                <w:sz w:val="18"/>
                <w:szCs w:val="18"/>
              </w:rPr>
            </w:pPr>
          </w:p>
        </w:tc>
      </w:tr>
      <w:tr w14:paraId="508CDB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5BE65D7">
            <w:pPr>
              <w:spacing w:before="40" w:after="40" w:line="240" w:lineRule="exact"/>
              <w:jc w:val="left"/>
              <w:rPr>
                <w:rFonts w:ascii="宋体" w:hAnsi="宋体" w:eastAsia="宋体" w:cs="宋体"/>
                <w:sz w:val="18"/>
                <w:szCs w:val="18"/>
              </w:rPr>
            </w:pPr>
            <w:r>
              <w:rPr>
                <w:rFonts w:ascii="宋体" w:hAnsi="宋体" w:eastAsia="宋体" w:cs="宋体"/>
                <w:sz w:val="18"/>
                <w:szCs w:val="18"/>
              </w:rPr>
              <w:t>2．对所有者（或股东）的分配</w:t>
            </w:r>
          </w:p>
        </w:tc>
        <w:tc>
          <w:tcPr>
            <w:tcW w:w="741" w:type="dxa"/>
            <w:tcBorders>
              <w:top w:val="single" w:color="auto" w:sz="2" w:space="0"/>
              <w:left w:val="single" w:color="auto" w:sz="2" w:space="0"/>
              <w:bottom w:val="single" w:color="auto" w:sz="2" w:space="0"/>
              <w:right w:val="single" w:color="auto" w:sz="2" w:space="0"/>
            </w:tcBorders>
            <w:vAlign w:val="center"/>
          </w:tcPr>
          <w:p w14:paraId="34E9F76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B2783C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000D55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0C5279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CCE1BB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04A8C0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F55021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1F363A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0DCE01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7314DF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1384E8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A715B0A">
            <w:pPr>
              <w:spacing w:before="0" w:after="0" w:line="240" w:lineRule="exact"/>
              <w:jc w:val="right"/>
              <w:rPr>
                <w:rFonts w:ascii="宋体" w:hAnsi="宋体" w:eastAsia="宋体" w:cs="宋体"/>
                <w:sz w:val="18"/>
                <w:szCs w:val="18"/>
              </w:rPr>
            </w:pPr>
          </w:p>
        </w:tc>
      </w:tr>
      <w:tr w14:paraId="1AEC93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262A673">
            <w:pPr>
              <w:spacing w:before="40" w:after="40" w:line="240" w:lineRule="exact"/>
              <w:jc w:val="left"/>
              <w:rPr>
                <w:rFonts w:ascii="宋体" w:hAnsi="宋体" w:eastAsia="宋体" w:cs="宋体"/>
                <w:sz w:val="18"/>
                <w:szCs w:val="18"/>
              </w:rPr>
            </w:pPr>
            <w:r>
              <w:rPr>
                <w:rFonts w:ascii="宋体" w:hAnsi="宋体" w:eastAsia="宋体" w:cs="宋体"/>
                <w:sz w:val="18"/>
                <w:szCs w:val="18"/>
              </w:rPr>
              <w:t>3．其他</w:t>
            </w:r>
          </w:p>
        </w:tc>
        <w:tc>
          <w:tcPr>
            <w:tcW w:w="741" w:type="dxa"/>
            <w:tcBorders>
              <w:top w:val="single" w:color="auto" w:sz="2" w:space="0"/>
              <w:left w:val="single" w:color="auto" w:sz="2" w:space="0"/>
              <w:bottom w:val="single" w:color="auto" w:sz="2" w:space="0"/>
              <w:right w:val="single" w:color="auto" w:sz="2" w:space="0"/>
            </w:tcBorders>
            <w:vAlign w:val="center"/>
          </w:tcPr>
          <w:p w14:paraId="0B643A8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4FD777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B74CE0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950A11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92D009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7DE0F5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FCD80C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EFA4C5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CDA249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C7EDF5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FB8042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29A720B">
            <w:pPr>
              <w:spacing w:before="0" w:after="0" w:line="240" w:lineRule="exact"/>
              <w:jc w:val="right"/>
              <w:rPr>
                <w:rFonts w:ascii="宋体" w:hAnsi="宋体" w:eastAsia="宋体" w:cs="宋体"/>
                <w:sz w:val="18"/>
                <w:szCs w:val="18"/>
              </w:rPr>
            </w:pPr>
          </w:p>
        </w:tc>
      </w:tr>
      <w:tr w14:paraId="6E3D05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4A3F5F6">
            <w:pPr>
              <w:spacing w:before="40" w:after="40" w:line="240" w:lineRule="exact"/>
              <w:jc w:val="left"/>
              <w:rPr>
                <w:rFonts w:ascii="宋体" w:hAnsi="宋体" w:eastAsia="宋体" w:cs="宋体"/>
                <w:sz w:val="18"/>
                <w:szCs w:val="18"/>
              </w:rPr>
            </w:pPr>
            <w:r>
              <w:rPr>
                <w:rFonts w:ascii="宋体" w:hAnsi="宋体" w:eastAsia="宋体" w:cs="宋体"/>
                <w:sz w:val="18"/>
                <w:szCs w:val="18"/>
              </w:rPr>
              <w:t>（四）所有者权益内部结转</w:t>
            </w:r>
          </w:p>
        </w:tc>
        <w:tc>
          <w:tcPr>
            <w:tcW w:w="741" w:type="dxa"/>
            <w:tcBorders>
              <w:top w:val="single" w:color="auto" w:sz="2" w:space="0"/>
              <w:left w:val="single" w:color="auto" w:sz="2" w:space="0"/>
              <w:bottom w:val="single" w:color="auto" w:sz="2" w:space="0"/>
              <w:right w:val="single" w:color="auto" w:sz="2" w:space="0"/>
            </w:tcBorders>
            <w:vAlign w:val="center"/>
          </w:tcPr>
          <w:p w14:paraId="41A4D0A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771752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EA21A5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0DEF5A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351C49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1D835D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2EA757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FCAE2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266796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D6E0C7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D5119A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7410205">
            <w:pPr>
              <w:spacing w:before="0" w:after="0" w:line="240" w:lineRule="exact"/>
              <w:jc w:val="right"/>
              <w:rPr>
                <w:rFonts w:ascii="宋体" w:hAnsi="宋体" w:eastAsia="宋体" w:cs="宋体"/>
                <w:sz w:val="18"/>
                <w:szCs w:val="18"/>
              </w:rPr>
            </w:pPr>
          </w:p>
        </w:tc>
      </w:tr>
      <w:tr w14:paraId="7D6F5D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CB9FF1F">
            <w:pPr>
              <w:spacing w:before="40" w:after="40" w:line="240" w:lineRule="exact"/>
              <w:jc w:val="left"/>
              <w:rPr>
                <w:rFonts w:ascii="宋体" w:hAnsi="宋体" w:eastAsia="宋体" w:cs="宋体"/>
                <w:sz w:val="18"/>
                <w:szCs w:val="18"/>
              </w:rPr>
            </w:pPr>
            <w:r>
              <w:rPr>
                <w:rFonts w:ascii="宋体" w:hAnsi="宋体" w:eastAsia="宋体" w:cs="宋体"/>
                <w:sz w:val="18"/>
                <w:szCs w:val="18"/>
              </w:rPr>
              <w:t>1．资本公积转增资本（或股本）</w:t>
            </w:r>
          </w:p>
        </w:tc>
        <w:tc>
          <w:tcPr>
            <w:tcW w:w="741" w:type="dxa"/>
            <w:tcBorders>
              <w:top w:val="single" w:color="auto" w:sz="2" w:space="0"/>
              <w:left w:val="single" w:color="auto" w:sz="2" w:space="0"/>
              <w:bottom w:val="single" w:color="auto" w:sz="2" w:space="0"/>
              <w:right w:val="single" w:color="auto" w:sz="2" w:space="0"/>
            </w:tcBorders>
            <w:vAlign w:val="center"/>
          </w:tcPr>
          <w:p w14:paraId="6174B59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B8ED33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A36562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81C46B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F46120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6AAC3F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7B2C12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7124BA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D3A59F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21612F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DA589C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278BBCC">
            <w:pPr>
              <w:spacing w:before="0" w:after="0" w:line="240" w:lineRule="exact"/>
              <w:jc w:val="right"/>
              <w:rPr>
                <w:rFonts w:ascii="宋体" w:hAnsi="宋体" w:eastAsia="宋体" w:cs="宋体"/>
                <w:sz w:val="18"/>
                <w:szCs w:val="18"/>
              </w:rPr>
            </w:pPr>
          </w:p>
        </w:tc>
      </w:tr>
      <w:tr w14:paraId="60856A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D732480">
            <w:pPr>
              <w:spacing w:before="40" w:after="40" w:line="240" w:lineRule="exact"/>
              <w:jc w:val="left"/>
              <w:rPr>
                <w:rFonts w:ascii="宋体" w:hAnsi="宋体" w:eastAsia="宋体" w:cs="宋体"/>
                <w:sz w:val="18"/>
                <w:szCs w:val="18"/>
              </w:rPr>
            </w:pPr>
            <w:r>
              <w:rPr>
                <w:rFonts w:ascii="宋体" w:hAnsi="宋体" w:eastAsia="宋体" w:cs="宋体"/>
                <w:sz w:val="18"/>
                <w:szCs w:val="18"/>
              </w:rPr>
              <w:t>2．盈余公积转增资本（或股本）</w:t>
            </w:r>
          </w:p>
        </w:tc>
        <w:tc>
          <w:tcPr>
            <w:tcW w:w="741" w:type="dxa"/>
            <w:tcBorders>
              <w:top w:val="single" w:color="auto" w:sz="2" w:space="0"/>
              <w:left w:val="single" w:color="auto" w:sz="2" w:space="0"/>
              <w:bottom w:val="single" w:color="auto" w:sz="2" w:space="0"/>
              <w:right w:val="single" w:color="auto" w:sz="2" w:space="0"/>
            </w:tcBorders>
            <w:vAlign w:val="center"/>
          </w:tcPr>
          <w:p w14:paraId="3C70A35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BE3AF8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350C0E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EBA08D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27EC7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4C91F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D4C80D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4E035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A835A8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CA4AD2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F6EB62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473938A">
            <w:pPr>
              <w:spacing w:before="0" w:after="0" w:line="240" w:lineRule="exact"/>
              <w:jc w:val="right"/>
              <w:rPr>
                <w:rFonts w:ascii="宋体" w:hAnsi="宋体" w:eastAsia="宋体" w:cs="宋体"/>
                <w:sz w:val="18"/>
                <w:szCs w:val="18"/>
              </w:rPr>
            </w:pPr>
          </w:p>
        </w:tc>
      </w:tr>
      <w:tr w14:paraId="7CD553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D14557E">
            <w:pPr>
              <w:spacing w:before="40" w:after="40" w:line="240" w:lineRule="exact"/>
              <w:jc w:val="left"/>
              <w:rPr>
                <w:rFonts w:ascii="宋体" w:hAnsi="宋体" w:eastAsia="宋体" w:cs="宋体"/>
                <w:sz w:val="18"/>
                <w:szCs w:val="18"/>
              </w:rPr>
            </w:pPr>
            <w:r>
              <w:rPr>
                <w:rFonts w:ascii="宋体" w:hAnsi="宋体" w:eastAsia="宋体" w:cs="宋体"/>
                <w:sz w:val="18"/>
                <w:szCs w:val="18"/>
              </w:rPr>
              <w:t>3．盈余公积弥补亏损</w:t>
            </w:r>
          </w:p>
        </w:tc>
        <w:tc>
          <w:tcPr>
            <w:tcW w:w="741" w:type="dxa"/>
            <w:tcBorders>
              <w:top w:val="single" w:color="auto" w:sz="2" w:space="0"/>
              <w:left w:val="single" w:color="auto" w:sz="2" w:space="0"/>
              <w:bottom w:val="single" w:color="auto" w:sz="2" w:space="0"/>
              <w:right w:val="single" w:color="auto" w:sz="2" w:space="0"/>
            </w:tcBorders>
            <w:vAlign w:val="center"/>
          </w:tcPr>
          <w:p w14:paraId="1355959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1B9B2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AE59B0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CD0421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78ABDB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52A12F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4F8554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28391A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877881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4A5D30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9A803E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720535C">
            <w:pPr>
              <w:spacing w:before="0" w:after="0" w:line="240" w:lineRule="exact"/>
              <w:jc w:val="right"/>
              <w:rPr>
                <w:rFonts w:ascii="宋体" w:hAnsi="宋体" w:eastAsia="宋体" w:cs="宋体"/>
                <w:sz w:val="18"/>
                <w:szCs w:val="18"/>
              </w:rPr>
            </w:pPr>
          </w:p>
        </w:tc>
      </w:tr>
      <w:tr w14:paraId="376460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A93DBA6">
            <w:pPr>
              <w:spacing w:before="40" w:after="40" w:line="240" w:lineRule="exact"/>
              <w:jc w:val="left"/>
              <w:rPr>
                <w:rFonts w:ascii="宋体" w:hAnsi="宋体" w:eastAsia="宋体" w:cs="宋体"/>
                <w:sz w:val="18"/>
                <w:szCs w:val="18"/>
              </w:rPr>
            </w:pPr>
            <w:r>
              <w:rPr>
                <w:rFonts w:ascii="宋体" w:hAnsi="宋体" w:eastAsia="宋体" w:cs="宋体"/>
                <w:sz w:val="18"/>
                <w:szCs w:val="18"/>
              </w:rPr>
              <w:t>4．设定受益计划变动额结转留存收益</w:t>
            </w:r>
          </w:p>
        </w:tc>
        <w:tc>
          <w:tcPr>
            <w:tcW w:w="741" w:type="dxa"/>
            <w:tcBorders>
              <w:top w:val="single" w:color="auto" w:sz="2" w:space="0"/>
              <w:left w:val="single" w:color="auto" w:sz="2" w:space="0"/>
              <w:bottom w:val="single" w:color="auto" w:sz="2" w:space="0"/>
              <w:right w:val="single" w:color="auto" w:sz="2" w:space="0"/>
            </w:tcBorders>
            <w:vAlign w:val="center"/>
          </w:tcPr>
          <w:p w14:paraId="78AF2BA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B18204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3C4FC9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5DCF27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C6E157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EB59B6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7F5837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84FB3F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E76BE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C3F9D5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F2D514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3C8C67D">
            <w:pPr>
              <w:spacing w:before="0" w:after="0" w:line="240" w:lineRule="exact"/>
              <w:jc w:val="right"/>
              <w:rPr>
                <w:rFonts w:ascii="宋体" w:hAnsi="宋体" w:eastAsia="宋体" w:cs="宋体"/>
                <w:sz w:val="18"/>
                <w:szCs w:val="18"/>
              </w:rPr>
            </w:pPr>
          </w:p>
        </w:tc>
      </w:tr>
      <w:tr w14:paraId="638D4B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0D89E80">
            <w:pPr>
              <w:spacing w:before="40" w:after="40" w:line="240" w:lineRule="exact"/>
              <w:jc w:val="left"/>
              <w:rPr>
                <w:rFonts w:ascii="宋体" w:hAnsi="宋体" w:eastAsia="宋体" w:cs="宋体"/>
                <w:sz w:val="18"/>
                <w:szCs w:val="18"/>
              </w:rPr>
            </w:pPr>
            <w:r>
              <w:rPr>
                <w:rFonts w:ascii="宋体" w:hAnsi="宋体" w:eastAsia="宋体" w:cs="宋体"/>
                <w:sz w:val="18"/>
                <w:szCs w:val="18"/>
              </w:rPr>
              <w:t>5．其他综合收益结转留存收益</w:t>
            </w:r>
          </w:p>
        </w:tc>
        <w:tc>
          <w:tcPr>
            <w:tcW w:w="741" w:type="dxa"/>
            <w:tcBorders>
              <w:top w:val="single" w:color="auto" w:sz="2" w:space="0"/>
              <w:left w:val="single" w:color="auto" w:sz="2" w:space="0"/>
              <w:bottom w:val="single" w:color="auto" w:sz="2" w:space="0"/>
              <w:right w:val="single" w:color="auto" w:sz="2" w:space="0"/>
            </w:tcBorders>
            <w:vAlign w:val="center"/>
          </w:tcPr>
          <w:p w14:paraId="6D817F1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25EC4E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056427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20511E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2E8856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471666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2842D9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D6104E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C74420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75F25F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BD4F19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816ECE2">
            <w:pPr>
              <w:spacing w:before="0" w:after="0" w:line="240" w:lineRule="exact"/>
              <w:jc w:val="right"/>
              <w:rPr>
                <w:rFonts w:ascii="宋体" w:hAnsi="宋体" w:eastAsia="宋体" w:cs="宋体"/>
                <w:sz w:val="18"/>
                <w:szCs w:val="18"/>
              </w:rPr>
            </w:pPr>
          </w:p>
        </w:tc>
      </w:tr>
      <w:tr w14:paraId="14E6BF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64A0EA3">
            <w:pPr>
              <w:spacing w:before="40" w:after="40" w:line="240" w:lineRule="exact"/>
              <w:jc w:val="left"/>
              <w:rPr>
                <w:rFonts w:ascii="宋体" w:hAnsi="宋体" w:eastAsia="宋体" w:cs="宋体"/>
                <w:sz w:val="18"/>
                <w:szCs w:val="18"/>
              </w:rPr>
            </w:pPr>
            <w:r>
              <w:rPr>
                <w:rFonts w:ascii="宋体" w:hAnsi="宋体" w:eastAsia="宋体" w:cs="宋体"/>
                <w:sz w:val="18"/>
                <w:szCs w:val="18"/>
              </w:rPr>
              <w:t>6．其他</w:t>
            </w:r>
          </w:p>
        </w:tc>
        <w:tc>
          <w:tcPr>
            <w:tcW w:w="741" w:type="dxa"/>
            <w:tcBorders>
              <w:top w:val="single" w:color="auto" w:sz="2" w:space="0"/>
              <w:left w:val="single" w:color="auto" w:sz="2" w:space="0"/>
              <w:bottom w:val="single" w:color="auto" w:sz="2" w:space="0"/>
              <w:right w:val="single" w:color="auto" w:sz="2" w:space="0"/>
            </w:tcBorders>
            <w:vAlign w:val="center"/>
          </w:tcPr>
          <w:p w14:paraId="62AA350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1B7237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B254AA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CAE8E3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406AAA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8AA522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A8B080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71F5F0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7E3FCF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0920A7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05BA07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33D736D">
            <w:pPr>
              <w:spacing w:before="0" w:after="0" w:line="240" w:lineRule="exact"/>
              <w:jc w:val="right"/>
              <w:rPr>
                <w:rFonts w:ascii="宋体" w:hAnsi="宋体" w:eastAsia="宋体" w:cs="宋体"/>
                <w:sz w:val="18"/>
                <w:szCs w:val="18"/>
              </w:rPr>
            </w:pPr>
          </w:p>
        </w:tc>
      </w:tr>
      <w:tr w14:paraId="672742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5CC4116">
            <w:pPr>
              <w:spacing w:before="40" w:after="40" w:line="240" w:lineRule="exact"/>
              <w:jc w:val="left"/>
              <w:rPr>
                <w:rFonts w:ascii="宋体" w:hAnsi="宋体" w:eastAsia="宋体" w:cs="宋体"/>
                <w:sz w:val="18"/>
                <w:szCs w:val="18"/>
              </w:rPr>
            </w:pPr>
            <w:r>
              <w:rPr>
                <w:rFonts w:ascii="宋体" w:hAnsi="宋体" w:eastAsia="宋体" w:cs="宋体"/>
                <w:sz w:val="18"/>
                <w:szCs w:val="18"/>
              </w:rPr>
              <w:t>（五）专项储备</w:t>
            </w:r>
          </w:p>
        </w:tc>
        <w:tc>
          <w:tcPr>
            <w:tcW w:w="741" w:type="dxa"/>
            <w:tcBorders>
              <w:top w:val="single" w:color="auto" w:sz="2" w:space="0"/>
              <w:left w:val="single" w:color="auto" w:sz="2" w:space="0"/>
              <w:bottom w:val="single" w:color="auto" w:sz="2" w:space="0"/>
              <w:right w:val="single" w:color="auto" w:sz="2" w:space="0"/>
            </w:tcBorders>
            <w:vAlign w:val="center"/>
          </w:tcPr>
          <w:p w14:paraId="51EAEB8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4CDD31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F33EEB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7DDA95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D96F69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6ABA4B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704199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AB4376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9996DE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CBA77A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470D89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333EF97">
            <w:pPr>
              <w:spacing w:before="0" w:after="0" w:line="240" w:lineRule="exact"/>
              <w:jc w:val="right"/>
              <w:rPr>
                <w:rFonts w:ascii="宋体" w:hAnsi="宋体" w:eastAsia="宋体" w:cs="宋体"/>
                <w:sz w:val="18"/>
                <w:szCs w:val="18"/>
              </w:rPr>
            </w:pPr>
          </w:p>
        </w:tc>
      </w:tr>
      <w:tr w14:paraId="6526DA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82753E6">
            <w:pPr>
              <w:spacing w:before="40" w:after="40" w:line="240" w:lineRule="exact"/>
              <w:jc w:val="left"/>
              <w:rPr>
                <w:rFonts w:ascii="宋体" w:hAnsi="宋体" w:eastAsia="宋体" w:cs="宋体"/>
                <w:sz w:val="18"/>
                <w:szCs w:val="18"/>
              </w:rPr>
            </w:pPr>
            <w:r>
              <w:rPr>
                <w:rFonts w:ascii="宋体" w:hAnsi="宋体" w:eastAsia="宋体" w:cs="宋体"/>
                <w:sz w:val="18"/>
                <w:szCs w:val="18"/>
              </w:rPr>
              <w:t>1．本期提取</w:t>
            </w:r>
          </w:p>
        </w:tc>
        <w:tc>
          <w:tcPr>
            <w:tcW w:w="741" w:type="dxa"/>
            <w:tcBorders>
              <w:top w:val="single" w:color="auto" w:sz="2" w:space="0"/>
              <w:left w:val="single" w:color="auto" w:sz="2" w:space="0"/>
              <w:bottom w:val="single" w:color="auto" w:sz="2" w:space="0"/>
              <w:right w:val="single" w:color="auto" w:sz="2" w:space="0"/>
            </w:tcBorders>
            <w:vAlign w:val="center"/>
          </w:tcPr>
          <w:p w14:paraId="5D7AFAC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550EF9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97D29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68D889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0A5156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4B7C57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E3814E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3B3EE9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B27308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A0B694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7EB96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01048BF">
            <w:pPr>
              <w:spacing w:before="0" w:after="0" w:line="240" w:lineRule="exact"/>
              <w:jc w:val="right"/>
              <w:rPr>
                <w:rFonts w:ascii="宋体" w:hAnsi="宋体" w:eastAsia="宋体" w:cs="宋体"/>
                <w:sz w:val="18"/>
                <w:szCs w:val="18"/>
              </w:rPr>
            </w:pPr>
          </w:p>
        </w:tc>
      </w:tr>
      <w:tr w14:paraId="32509B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7D8B516">
            <w:pPr>
              <w:spacing w:before="40" w:after="40" w:line="240" w:lineRule="exact"/>
              <w:jc w:val="left"/>
              <w:rPr>
                <w:rFonts w:ascii="宋体" w:hAnsi="宋体" w:eastAsia="宋体" w:cs="宋体"/>
                <w:sz w:val="18"/>
                <w:szCs w:val="18"/>
              </w:rPr>
            </w:pPr>
            <w:r>
              <w:rPr>
                <w:rFonts w:ascii="宋体" w:hAnsi="宋体" w:eastAsia="宋体" w:cs="宋体"/>
                <w:sz w:val="18"/>
                <w:szCs w:val="18"/>
              </w:rPr>
              <w:t>2．本期使用</w:t>
            </w:r>
          </w:p>
        </w:tc>
        <w:tc>
          <w:tcPr>
            <w:tcW w:w="741" w:type="dxa"/>
            <w:tcBorders>
              <w:top w:val="single" w:color="auto" w:sz="2" w:space="0"/>
              <w:left w:val="single" w:color="auto" w:sz="2" w:space="0"/>
              <w:bottom w:val="single" w:color="auto" w:sz="2" w:space="0"/>
              <w:right w:val="single" w:color="auto" w:sz="2" w:space="0"/>
            </w:tcBorders>
            <w:vAlign w:val="center"/>
          </w:tcPr>
          <w:p w14:paraId="3E90874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4C64FD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ED5A93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F9D0F1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17B381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3121CD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1786B4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85890F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869221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D26ED5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CD80B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BE38E37">
            <w:pPr>
              <w:spacing w:before="0" w:after="0" w:line="240" w:lineRule="exact"/>
              <w:jc w:val="right"/>
              <w:rPr>
                <w:rFonts w:ascii="宋体" w:hAnsi="宋体" w:eastAsia="宋体" w:cs="宋体"/>
                <w:sz w:val="18"/>
                <w:szCs w:val="18"/>
              </w:rPr>
            </w:pPr>
          </w:p>
        </w:tc>
      </w:tr>
      <w:tr w14:paraId="7662FD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BF13393">
            <w:pPr>
              <w:spacing w:before="40" w:after="40" w:line="240" w:lineRule="exact"/>
              <w:jc w:val="left"/>
              <w:rPr>
                <w:rFonts w:ascii="宋体" w:hAnsi="宋体" w:eastAsia="宋体" w:cs="宋体"/>
                <w:sz w:val="18"/>
                <w:szCs w:val="18"/>
              </w:rPr>
            </w:pPr>
            <w:r>
              <w:rPr>
                <w:rFonts w:ascii="宋体" w:hAnsi="宋体" w:eastAsia="宋体" w:cs="宋体"/>
                <w:sz w:val="18"/>
                <w:szCs w:val="18"/>
              </w:rPr>
              <w:t>（六）其他</w:t>
            </w:r>
          </w:p>
        </w:tc>
        <w:tc>
          <w:tcPr>
            <w:tcW w:w="741" w:type="dxa"/>
            <w:tcBorders>
              <w:top w:val="single" w:color="auto" w:sz="2" w:space="0"/>
              <w:left w:val="single" w:color="auto" w:sz="2" w:space="0"/>
              <w:bottom w:val="single" w:color="auto" w:sz="2" w:space="0"/>
              <w:right w:val="single" w:color="auto" w:sz="2" w:space="0"/>
            </w:tcBorders>
            <w:vAlign w:val="center"/>
          </w:tcPr>
          <w:p w14:paraId="59A6761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1E4F15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C4F945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DDC384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179793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FFDFF9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357301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B4F987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254446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753C90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DFA4EC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99F9CDA">
            <w:pPr>
              <w:spacing w:before="0" w:after="0" w:line="240" w:lineRule="exact"/>
              <w:jc w:val="right"/>
              <w:rPr>
                <w:rFonts w:ascii="宋体" w:hAnsi="宋体" w:eastAsia="宋体" w:cs="宋体"/>
                <w:sz w:val="18"/>
                <w:szCs w:val="18"/>
              </w:rPr>
            </w:pPr>
          </w:p>
        </w:tc>
      </w:tr>
      <w:tr w14:paraId="6588D5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9565405">
            <w:pPr>
              <w:spacing w:before="40" w:after="40" w:line="240" w:lineRule="exact"/>
              <w:jc w:val="left"/>
              <w:rPr>
                <w:rFonts w:ascii="宋体" w:hAnsi="宋体" w:eastAsia="宋体" w:cs="宋体"/>
                <w:sz w:val="18"/>
                <w:szCs w:val="18"/>
              </w:rPr>
            </w:pPr>
            <w:r>
              <w:rPr>
                <w:rFonts w:ascii="宋体" w:hAnsi="宋体" w:eastAsia="宋体" w:cs="宋体"/>
                <w:sz w:val="18"/>
                <w:szCs w:val="18"/>
              </w:rPr>
              <w:t>四、本期期末余额</w:t>
            </w:r>
          </w:p>
        </w:tc>
        <w:tc>
          <w:tcPr>
            <w:tcW w:w="741" w:type="dxa"/>
            <w:tcBorders>
              <w:top w:val="single" w:color="auto" w:sz="2" w:space="0"/>
              <w:left w:val="single" w:color="auto" w:sz="2" w:space="0"/>
              <w:bottom w:val="single" w:color="auto" w:sz="2" w:space="0"/>
              <w:right w:val="single" w:color="auto" w:sz="2" w:space="0"/>
            </w:tcBorders>
            <w:vAlign w:val="center"/>
          </w:tcPr>
          <w:p w14:paraId="479E5043">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741" w:type="dxa"/>
            <w:tcBorders>
              <w:top w:val="single" w:color="auto" w:sz="2" w:space="0"/>
              <w:left w:val="single" w:color="auto" w:sz="2" w:space="0"/>
              <w:bottom w:val="single" w:color="auto" w:sz="2" w:space="0"/>
              <w:right w:val="single" w:color="auto" w:sz="2" w:space="0"/>
            </w:tcBorders>
            <w:vAlign w:val="center"/>
          </w:tcPr>
          <w:p w14:paraId="74DD4FA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959C59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42BAEB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4C4B625">
            <w:pPr>
              <w:spacing w:before="0" w:after="0" w:line="240" w:lineRule="exact"/>
              <w:jc w:val="right"/>
              <w:rPr>
                <w:rFonts w:ascii="宋体" w:hAnsi="宋体" w:eastAsia="宋体" w:cs="宋体"/>
                <w:sz w:val="18"/>
                <w:szCs w:val="18"/>
              </w:rPr>
            </w:pPr>
            <w:r>
              <w:rPr>
                <w:rFonts w:ascii="宋体" w:hAnsi="宋体" w:eastAsia="宋体" w:cs="宋体"/>
                <w:sz w:val="18"/>
                <w:szCs w:val="18"/>
              </w:rPr>
              <w:t>675,753,512.82</w:t>
            </w:r>
          </w:p>
        </w:tc>
        <w:tc>
          <w:tcPr>
            <w:tcW w:w="741" w:type="dxa"/>
            <w:tcBorders>
              <w:top w:val="single" w:color="auto" w:sz="2" w:space="0"/>
              <w:left w:val="single" w:color="auto" w:sz="2" w:space="0"/>
              <w:bottom w:val="single" w:color="auto" w:sz="2" w:space="0"/>
              <w:right w:val="single" w:color="auto" w:sz="2" w:space="0"/>
            </w:tcBorders>
            <w:vAlign w:val="center"/>
          </w:tcPr>
          <w:p w14:paraId="533F45B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DC5E2D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D8A5D1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EF728D2">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741" w:type="dxa"/>
            <w:tcBorders>
              <w:top w:val="single" w:color="auto" w:sz="2" w:space="0"/>
              <w:left w:val="single" w:color="auto" w:sz="2" w:space="0"/>
              <w:bottom w:val="single" w:color="auto" w:sz="2" w:space="0"/>
              <w:right w:val="single" w:color="auto" w:sz="2" w:space="0"/>
            </w:tcBorders>
            <w:vAlign w:val="center"/>
          </w:tcPr>
          <w:p w14:paraId="346FD130">
            <w:pPr>
              <w:spacing w:before="0" w:after="0" w:line="240" w:lineRule="exact"/>
              <w:jc w:val="right"/>
              <w:rPr>
                <w:rFonts w:ascii="宋体" w:hAnsi="宋体" w:eastAsia="宋体" w:cs="宋体"/>
                <w:sz w:val="18"/>
                <w:szCs w:val="18"/>
              </w:rPr>
            </w:pPr>
            <w:r>
              <w:rPr>
                <w:rFonts w:ascii="宋体" w:hAnsi="宋体" w:eastAsia="宋体" w:cs="宋体"/>
                <w:sz w:val="18"/>
                <w:szCs w:val="18"/>
              </w:rPr>
              <w:t>182,440,457.06</w:t>
            </w:r>
          </w:p>
        </w:tc>
        <w:tc>
          <w:tcPr>
            <w:tcW w:w="741" w:type="dxa"/>
            <w:tcBorders>
              <w:top w:val="single" w:color="auto" w:sz="2" w:space="0"/>
              <w:left w:val="single" w:color="auto" w:sz="2" w:space="0"/>
              <w:bottom w:val="single" w:color="auto" w:sz="2" w:space="0"/>
              <w:right w:val="single" w:color="auto" w:sz="2" w:space="0"/>
            </w:tcBorders>
            <w:vAlign w:val="center"/>
          </w:tcPr>
          <w:p w14:paraId="464125E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1F50A1">
            <w:pPr>
              <w:spacing w:before="0" w:after="0" w:line="240" w:lineRule="exact"/>
              <w:jc w:val="right"/>
              <w:rPr>
                <w:rFonts w:ascii="宋体" w:hAnsi="宋体" w:eastAsia="宋体" w:cs="宋体"/>
                <w:sz w:val="18"/>
                <w:szCs w:val="18"/>
              </w:rPr>
            </w:pPr>
            <w:r>
              <w:rPr>
                <w:rFonts w:ascii="宋体" w:hAnsi="宋体" w:eastAsia="宋体" w:cs="宋体"/>
                <w:sz w:val="18"/>
                <w:szCs w:val="18"/>
              </w:rPr>
              <w:t>1,061,854,803.19</w:t>
            </w:r>
          </w:p>
        </w:tc>
      </w:tr>
    </w:tbl>
    <w:p w14:paraId="1010DD38">
      <w:pPr>
        <w:spacing w:before="40" w:after="40" w:line="240" w:lineRule="exact"/>
        <w:jc w:val="left"/>
        <w:rPr>
          <w:rFonts w:ascii="宋体" w:hAnsi="宋体" w:eastAsia="宋体" w:cs="宋体"/>
          <w:sz w:val="18"/>
          <w:szCs w:val="18"/>
        </w:rPr>
      </w:pPr>
      <w:r>
        <w:rPr>
          <w:rFonts w:ascii="宋体" w:hAnsi="宋体" w:eastAsia="宋体" w:cs="宋体"/>
          <w:sz w:val="18"/>
          <w:szCs w:val="18"/>
        </w:rPr>
        <w:t>上期金额</w:t>
      </w:r>
    </w:p>
    <w:p w14:paraId="5AA215C3">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41"/>
        <w:gridCol w:w="741"/>
        <w:gridCol w:w="741"/>
        <w:gridCol w:w="741"/>
        <w:gridCol w:w="741"/>
        <w:gridCol w:w="741"/>
        <w:gridCol w:w="741"/>
        <w:gridCol w:w="741"/>
        <w:gridCol w:w="741"/>
        <w:gridCol w:w="741"/>
        <w:gridCol w:w="741"/>
        <w:gridCol w:w="741"/>
        <w:gridCol w:w="741"/>
      </w:tblGrid>
      <w:tr w14:paraId="3D68FC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CCE7400">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8898" w:type="dxa"/>
            <w:gridSpan w:val="12"/>
            <w:tcBorders>
              <w:top w:val="single" w:color="auto" w:sz="2" w:space="0"/>
              <w:left w:val="single" w:color="auto" w:sz="2" w:space="0"/>
              <w:bottom w:val="single" w:color="auto" w:sz="2" w:space="0"/>
              <w:right w:val="single" w:color="auto" w:sz="2" w:space="0"/>
            </w:tcBorders>
            <w:shd w:val="clear" w:color="auto" w:fill="D3D3D3"/>
            <w:vAlign w:val="center"/>
          </w:tcPr>
          <w:p w14:paraId="799F2E13">
            <w:pPr>
              <w:spacing w:before="40" w:after="40" w:line="240" w:lineRule="exact"/>
              <w:jc w:val="center"/>
              <w:rPr>
                <w:rFonts w:ascii="宋体" w:hAnsi="宋体" w:eastAsia="宋体" w:cs="宋体"/>
                <w:sz w:val="18"/>
                <w:szCs w:val="18"/>
              </w:rPr>
            </w:pPr>
            <w:r>
              <w:rPr>
                <w:rFonts w:ascii="宋体" w:hAnsi="宋体" w:eastAsia="宋体" w:cs="宋体"/>
                <w:sz w:val="18"/>
                <w:szCs w:val="18"/>
              </w:rPr>
              <w:t>2023年度</w:t>
            </w:r>
          </w:p>
        </w:tc>
      </w:tr>
      <w:tr w14:paraId="76A84D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FFE3F62"/>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34FB245">
            <w:pPr>
              <w:spacing w:before="40" w:after="40" w:line="240" w:lineRule="exact"/>
              <w:jc w:val="center"/>
              <w:rPr>
                <w:rFonts w:ascii="宋体" w:hAnsi="宋体" w:eastAsia="宋体" w:cs="宋体"/>
                <w:sz w:val="18"/>
                <w:szCs w:val="18"/>
              </w:rPr>
            </w:pPr>
            <w:r>
              <w:rPr>
                <w:rFonts w:ascii="宋体" w:hAnsi="宋体" w:eastAsia="宋体" w:cs="宋体"/>
                <w:sz w:val="18"/>
                <w:szCs w:val="18"/>
              </w:rPr>
              <w:t>股本</w:t>
            </w:r>
          </w:p>
        </w:tc>
        <w:tc>
          <w:tcPr>
            <w:tcW w:w="2224"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6649EA17">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其他权益工具</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8BE366E">
            <w:pPr>
              <w:spacing w:before="40" w:after="40" w:line="240" w:lineRule="exact"/>
              <w:jc w:val="center"/>
              <w:rPr>
                <w:rFonts w:ascii="宋体" w:hAnsi="宋体" w:eastAsia="宋体" w:cs="宋体"/>
                <w:sz w:val="18"/>
                <w:szCs w:val="18"/>
              </w:rPr>
            </w:pPr>
            <w:r>
              <w:rPr>
                <w:rFonts w:ascii="宋体" w:hAnsi="宋体" w:eastAsia="宋体" w:cs="宋体"/>
                <w:sz w:val="18"/>
                <w:szCs w:val="18"/>
              </w:rPr>
              <w:t>资本公积</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63DE817">
            <w:pPr>
              <w:spacing w:before="40" w:after="40" w:line="240" w:lineRule="exact"/>
              <w:jc w:val="center"/>
              <w:rPr>
                <w:rFonts w:ascii="宋体" w:hAnsi="宋体" w:eastAsia="宋体" w:cs="宋体"/>
                <w:sz w:val="18"/>
                <w:szCs w:val="18"/>
              </w:rPr>
            </w:pPr>
            <w:r>
              <w:rPr>
                <w:rFonts w:ascii="宋体" w:hAnsi="宋体" w:eastAsia="宋体" w:cs="宋体"/>
                <w:sz w:val="18"/>
                <w:szCs w:val="18"/>
              </w:rPr>
              <w:t>减：库存股</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ED354B6">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D340891">
            <w:pPr>
              <w:spacing w:before="40" w:after="40" w:line="240" w:lineRule="exact"/>
              <w:jc w:val="center"/>
              <w:rPr>
                <w:rFonts w:ascii="宋体" w:hAnsi="宋体" w:eastAsia="宋体" w:cs="宋体"/>
                <w:sz w:val="18"/>
                <w:szCs w:val="18"/>
              </w:rPr>
            </w:pPr>
            <w:r>
              <w:rPr>
                <w:rFonts w:ascii="宋体" w:hAnsi="宋体" w:eastAsia="宋体" w:cs="宋体"/>
                <w:sz w:val="18"/>
                <w:szCs w:val="18"/>
              </w:rPr>
              <w:t>专项储备</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7C54182">
            <w:pPr>
              <w:spacing w:before="40" w:after="40" w:line="240" w:lineRule="exact"/>
              <w:jc w:val="center"/>
              <w:rPr>
                <w:rFonts w:ascii="宋体" w:hAnsi="宋体" w:eastAsia="宋体" w:cs="宋体"/>
                <w:sz w:val="18"/>
                <w:szCs w:val="18"/>
              </w:rPr>
            </w:pPr>
            <w:r>
              <w:rPr>
                <w:rFonts w:ascii="宋体" w:hAnsi="宋体" w:eastAsia="宋体" w:cs="宋体"/>
                <w:sz w:val="18"/>
                <w:szCs w:val="18"/>
              </w:rPr>
              <w:t>盈余公积</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4A3E4DF">
            <w:pPr>
              <w:spacing w:before="40" w:after="40" w:line="240" w:lineRule="exact"/>
              <w:jc w:val="center"/>
              <w:rPr>
                <w:rFonts w:ascii="宋体" w:hAnsi="宋体" w:eastAsia="宋体" w:cs="宋体"/>
                <w:sz w:val="18"/>
                <w:szCs w:val="18"/>
              </w:rPr>
            </w:pPr>
            <w:r>
              <w:rPr>
                <w:rFonts w:ascii="宋体" w:hAnsi="宋体" w:eastAsia="宋体" w:cs="宋体"/>
                <w:sz w:val="18"/>
                <w:szCs w:val="18"/>
              </w:rPr>
              <w:t>未分配利润</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B49CCD5">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B5E5F57">
            <w:pPr>
              <w:spacing w:before="40" w:after="40" w:line="240" w:lineRule="exact"/>
              <w:jc w:val="center"/>
              <w:rPr>
                <w:rFonts w:ascii="宋体" w:hAnsi="宋体" w:eastAsia="宋体" w:cs="宋体"/>
                <w:sz w:val="18"/>
                <w:szCs w:val="18"/>
              </w:rPr>
            </w:pPr>
            <w:r>
              <w:rPr>
                <w:rFonts w:ascii="宋体" w:hAnsi="宋体" w:eastAsia="宋体" w:cs="宋体"/>
                <w:sz w:val="18"/>
                <w:szCs w:val="18"/>
              </w:rPr>
              <w:t>所有者权益合计</w:t>
            </w:r>
          </w:p>
        </w:tc>
      </w:tr>
      <w:tr w14:paraId="3B0555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D49A009"/>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35BF3EC"/>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74AF691">
            <w:pPr>
              <w:spacing w:before="40" w:after="40" w:line="240" w:lineRule="exact"/>
              <w:jc w:val="center"/>
              <w:rPr>
                <w:rFonts w:ascii="宋体" w:hAnsi="宋体" w:eastAsia="宋体" w:cs="宋体"/>
                <w:sz w:val="18"/>
                <w:szCs w:val="18"/>
              </w:rPr>
            </w:pPr>
            <w:r>
              <w:rPr>
                <w:rFonts w:ascii="宋体" w:hAnsi="宋体" w:eastAsia="宋体" w:cs="宋体"/>
                <w:sz w:val="18"/>
                <w:szCs w:val="18"/>
              </w:rPr>
              <w:t>优先股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7E6EFE6">
            <w:pPr>
              <w:spacing w:before="40" w:after="40" w:line="240" w:lineRule="exact"/>
              <w:jc w:val="center"/>
              <w:rPr>
                <w:rFonts w:ascii="宋体" w:hAnsi="宋体" w:eastAsia="宋体" w:cs="宋体"/>
                <w:sz w:val="18"/>
                <w:szCs w:val="18"/>
              </w:rPr>
            </w:pPr>
            <w:r>
              <w:rPr>
                <w:rFonts w:ascii="宋体" w:hAnsi="宋体" w:eastAsia="宋体" w:cs="宋体"/>
                <w:sz w:val="18"/>
                <w:szCs w:val="18"/>
              </w:rPr>
              <w:t>永续债</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FCADDBB">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9D41FC8"/>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FA6F683"/>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9209F48"/>
        </w:tc>
        <w:tc>
          <w:tcPr>
            <w:tcW w:w="741" w:type="dxa"/>
            <w:vMerge w:val="continue"/>
            <w:tcBorders>
              <w:top w:val="single" w:color="auto" w:sz="2" w:space="0"/>
              <w:left w:val="single" w:color="auto" w:sz="2" w:space="0"/>
              <w:bottom w:val="single" w:color="auto" w:sz="2" w:space="0"/>
              <w:right w:val="single" w:color="auto" w:sz="2" w:space="0"/>
            </w:tcBorders>
            <w:vAlign w:val="center"/>
          </w:tcPr>
          <w:p w14:paraId="4904237E"/>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DFEAF43"/>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B7EAE8E"/>
        </w:tc>
        <w:tc>
          <w:tcPr>
            <w:tcW w:w="741" w:type="dxa"/>
            <w:vMerge w:val="continue"/>
            <w:tcBorders>
              <w:top w:val="single" w:color="auto" w:sz="2" w:space="0"/>
              <w:left w:val="single" w:color="auto" w:sz="2" w:space="0"/>
              <w:bottom w:val="single" w:color="auto" w:sz="2" w:space="0"/>
              <w:right w:val="single" w:color="auto" w:sz="2" w:space="0"/>
            </w:tcBorders>
            <w:vAlign w:val="center"/>
          </w:tcPr>
          <w:p w14:paraId="1A0BBFCA"/>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1DD5A31"/>
        </w:tc>
      </w:tr>
      <w:tr w14:paraId="538D92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CFBB5C9">
            <w:pPr>
              <w:spacing w:before="40" w:after="40" w:line="240" w:lineRule="exact"/>
              <w:jc w:val="left"/>
              <w:rPr>
                <w:rFonts w:ascii="宋体" w:hAnsi="宋体" w:eastAsia="宋体" w:cs="宋体"/>
                <w:sz w:val="18"/>
                <w:szCs w:val="18"/>
              </w:rPr>
            </w:pPr>
            <w:r>
              <w:rPr>
                <w:rFonts w:ascii="宋体" w:hAnsi="宋体" w:eastAsia="宋体" w:cs="宋体"/>
                <w:sz w:val="18"/>
                <w:szCs w:val="18"/>
              </w:rPr>
              <w:t>一、上年期末余额</w:t>
            </w:r>
          </w:p>
        </w:tc>
        <w:tc>
          <w:tcPr>
            <w:tcW w:w="741" w:type="dxa"/>
            <w:tcBorders>
              <w:top w:val="single" w:color="auto" w:sz="2" w:space="0"/>
              <w:left w:val="single" w:color="auto" w:sz="2" w:space="0"/>
              <w:bottom w:val="single" w:color="auto" w:sz="2" w:space="0"/>
              <w:right w:val="single" w:color="auto" w:sz="2" w:space="0"/>
            </w:tcBorders>
            <w:vAlign w:val="center"/>
          </w:tcPr>
          <w:p w14:paraId="016E501E">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741" w:type="dxa"/>
            <w:tcBorders>
              <w:top w:val="single" w:color="auto" w:sz="2" w:space="0"/>
              <w:left w:val="single" w:color="auto" w:sz="2" w:space="0"/>
              <w:bottom w:val="single" w:color="auto" w:sz="2" w:space="0"/>
              <w:right w:val="single" w:color="auto" w:sz="2" w:space="0"/>
            </w:tcBorders>
            <w:vAlign w:val="center"/>
          </w:tcPr>
          <w:p w14:paraId="0053D5C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E3CD2C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1788D6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D3C985B">
            <w:pPr>
              <w:spacing w:before="0" w:after="0" w:line="240" w:lineRule="exact"/>
              <w:jc w:val="right"/>
              <w:rPr>
                <w:rFonts w:ascii="宋体" w:hAnsi="宋体" w:eastAsia="宋体" w:cs="宋体"/>
                <w:sz w:val="18"/>
                <w:szCs w:val="18"/>
              </w:rPr>
            </w:pPr>
            <w:r>
              <w:rPr>
                <w:rFonts w:ascii="宋体" w:hAnsi="宋体" w:eastAsia="宋体" w:cs="宋体"/>
                <w:sz w:val="18"/>
                <w:szCs w:val="18"/>
              </w:rPr>
              <w:t>675,753,512.82</w:t>
            </w:r>
          </w:p>
        </w:tc>
        <w:tc>
          <w:tcPr>
            <w:tcW w:w="741" w:type="dxa"/>
            <w:tcBorders>
              <w:top w:val="single" w:color="auto" w:sz="2" w:space="0"/>
              <w:left w:val="single" w:color="auto" w:sz="2" w:space="0"/>
              <w:bottom w:val="single" w:color="auto" w:sz="2" w:space="0"/>
              <w:right w:val="single" w:color="auto" w:sz="2" w:space="0"/>
            </w:tcBorders>
            <w:vAlign w:val="center"/>
          </w:tcPr>
          <w:p w14:paraId="21C7573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5034AB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F0F8E8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E694627">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741" w:type="dxa"/>
            <w:tcBorders>
              <w:top w:val="single" w:color="auto" w:sz="2" w:space="0"/>
              <w:left w:val="single" w:color="auto" w:sz="2" w:space="0"/>
              <w:bottom w:val="single" w:color="auto" w:sz="2" w:space="0"/>
              <w:right w:val="single" w:color="auto" w:sz="2" w:space="0"/>
            </w:tcBorders>
            <w:vAlign w:val="center"/>
          </w:tcPr>
          <w:p w14:paraId="109606A2">
            <w:pPr>
              <w:spacing w:before="0" w:after="0" w:line="240" w:lineRule="exact"/>
              <w:jc w:val="right"/>
              <w:rPr>
                <w:rFonts w:ascii="宋体" w:hAnsi="宋体" w:eastAsia="宋体" w:cs="宋体"/>
                <w:sz w:val="18"/>
                <w:szCs w:val="18"/>
              </w:rPr>
            </w:pPr>
            <w:r>
              <w:rPr>
                <w:rFonts w:ascii="宋体" w:hAnsi="宋体" w:eastAsia="宋体" w:cs="宋体"/>
                <w:sz w:val="18"/>
                <w:szCs w:val="18"/>
              </w:rPr>
              <w:t>446,645,446.82</w:t>
            </w:r>
          </w:p>
        </w:tc>
        <w:tc>
          <w:tcPr>
            <w:tcW w:w="741" w:type="dxa"/>
            <w:tcBorders>
              <w:top w:val="single" w:color="auto" w:sz="2" w:space="0"/>
              <w:left w:val="single" w:color="auto" w:sz="2" w:space="0"/>
              <w:bottom w:val="single" w:color="auto" w:sz="2" w:space="0"/>
              <w:right w:val="single" w:color="auto" w:sz="2" w:space="0"/>
            </w:tcBorders>
            <w:vAlign w:val="center"/>
          </w:tcPr>
          <w:p w14:paraId="2A0B431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6162110">
            <w:pPr>
              <w:spacing w:before="0" w:after="0" w:line="240" w:lineRule="exact"/>
              <w:jc w:val="right"/>
              <w:rPr>
                <w:rFonts w:ascii="宋体" w:hAnsi="宋体" w:eastAsia="宋体" w:cs="宋体"/>
                <w:sz w:val="18"/>
                <w:szCs w:val="18"/>
              </w:rPr>
            </w:pPr>
            <w:r>
              <w:rPr>
                <w:rFonts w:ascii="宋体" w:hAnsi="宋体" w:eastAsia="宋体" w:cs="宋体"/>
                <w:sz w:val="18"/>
                <w:szCs w:val="18"/>
              </w:rPr>
              <w:t>1,326,059,792.95</w:t>
            </w:r>
          </w:p>
        </w:tc>
      </w:tr>
      <w:tr w14:paraId="12779D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3E18A4C">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加：会计政策变更</w:t>
            </w:r>
          </w:p>
        </w:tc>
        <w:tc>
          <w:tcPr>
            <w:tcW w:w="741" w:type="dxa"/>
            <w:tcBorders>
              <w:top w:val="single" w:color="auto" w:sz="2" w:space="0"/>
              <w:left w:val="single" w:color="auto" w:sz="2" w:space="0"/>
              <w:bottom w:val="single" w:color="auto" w:sz="2" w:space="0"/>
              <w:right w:val="single" w:color="auto" w:sz="2" w:space="0"/>
            </w:tcBorders>
            <w:vAlign w:val="center"/>
          </w:tcPr>
          <w:p w14:paraId="7AD7D8B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28DEF3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9B2FE7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111B49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DD5A55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318C44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DE4D1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B792A6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475C5F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2A4AE1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F465AA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AB93F1A">
            <w:pPr>
              <w:spacing w:before="0" w:after="0" w:line="240" w:lineRule="exact"/>
              <w:jc w:val="right"/>
              <w:rPr>
                <w:rFonts w:ascii="宋体" w:hAnsi="宋体" w:eastAsia="宋体" w:cs="宋体"/>
                <w:sz w:val="18"/>
                <w:szCs w:val="18"/>
              </w:rPr>
            </w:pPr>
          </w:p>
        </w:tc>
      </w:tr>
      <w:tr w14:paraId="303A98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6851EB0">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前期差错更正</w:t>
            </w:r>
          </w:p>
        </w:tc>
        <w:tc>
          <w:tcPr>
            <w:tcW w:w="741" w:type="dxa"/>
            <w:tcBorders>
              <w:top w:val="single" w:color="auto" w:sz="2" w:space="0"/>
              <w:left w:val="single" w:color="auto" w:sz="2" w:space="0"/>
              <w:bottom w:val="single" w:color="auto" w:sz="2" w:space="0"/>
              <w:right w:val="single" w:color="auto" w:sz="2" w:space="0"/>
            </w:tcBorders>
            <w:vAlign w:val="center"/>
          </w:tcPr>
          <w:p w14:paraId="464A6EB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F81535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972E4A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BF2967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38D2E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AF85D9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F54A61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97E633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CBD4F9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5CF05E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A425F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76446E4">
            <w:pPr>
              <w:spacing w:before="0" w:after="0" w:line="240" w:lineRule="exact"/>
              <w:jc w:val="right"/>
              <w:rPr>
                <w:rFonts w:ascii="宋体" w:hAnsi="宋体" w:eastAsia="宋体" w:cs="宋体"/>
                <w:sz w:val="18"/>
                <w:szCs w:val="18"/>
              </w:rPr>
            </w:pPr>
          </w:p>
        </w:tc>
      </w:tr>
      <w:tr w14:paraId="0E71DB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D034462">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其他</w:t>
            </w:r>
          </w:p>
        </w:tc>
        <w:tc>
          <w:tcPr>
            <w:tcW w:w="741" w:type="dxa"/>
            <w:tcBorders>
              <w:top w:val="single" w:color="auto" w:sz="2" w:space="0"/>
              <w:left w:val="single" w:color="auto" w:sz="2" w:space="0"/>
              <w:bottom w:val="single" w:color="auto" w:sz="2" w:space="0"/>
              <w:right w:val="single" w:color="auto" w:sz="2" w:space="0"/>
            </w:tcBorders>
            <w:vAlign w:val="center"/>
          </w:tcPr>
          <w:p w14:paraId="6ADD31E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1BEC69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ED32A3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E030DC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77DC72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6D3B32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78BF4B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F4CF98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50D494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86E1D4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6BB673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931AC94">
            <w:pPr>
              <w:spacing w:before="0" w:after="0" w:line="240" w:lineRule="exact"/>
              <w:jc w:val="right"/>
              <w:rPr>
                <w:rFonts w:ascii="宋体" w:hAnsi="宋体" w:eastAsia="宋体" w:cs="宋体"/>
                <w:sz w:val="18"/>
                <w:szCs w:val="18"/>
              </w:rPr>
            </w:pPr>
          </w:p>
        </w:tc>
      </w:tr>
      <w:tr w14:paraId="7097E3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D85E4A9">
            <w:pPr>
              <w:spacing w:before="40" w:after="40" w:line="240" w:lineRule="exact"/>
              <w:jc w:val="left"/>
              <w:rPr>
                <w:rFonts w:ascii="宋体" w:hAnsi="宋体" w:eastAsia="宋体" w:cs="宋体"/>
                <w:sz w:val="18"/>
                <w:szCs w:val="18"/>
              </w:rPr>
            </w:pPr>
            <w:r>
              <w:rPr>
                <w:rFonts w:ascii="宋体" w:hAnsi="宋体" w:eastAsia="宋体" w:cs="宋体"/>
                <w:sz w:val="18"/>
                <w:szCs w:val="18"/>
              </w:rPr>
              <w:t>二、本年期初余额</w:t>
            </w:r>
          </w:p>
        </w:tc>
        <w:tc>
          <w:tcPr>
            <w:tcW w:w="741" w:type="dxa"/>
            <w:tcBorders>
              <w:top w:val="single" w:color="auto" w:sz="2" w:space="0"/>
              <w:left w:val="single" w:color="auto" w:sz="2" w:space="0"/>
              <w:bottom w:val="single" w:color="auto" w:sz="2" w:space="0"/>
              <w:right w:val="single" w:color="auto" w:sz="2" w:space="0"/>
            </w:tcBorders>
            <w:vAlign w:val="center"/>
          </w:tcPr>
          <w:p w14:paraId="60985F7C">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741" w:type="dxa"/>
            <w:tcBorders>
              <w:top w:val="single" w:color="auto" w:sz="2" w:space="0"/>
              <w:left w:val="single" w:color="auto" w:sz="2" w:space="0"/>
              <w:bottom w:val="single" w:color="auto" w:sz="2" w:space="0"/>
              <w:right w:val="single" w:color="auto" w:sz="2" w:space="0"/>
            </w:tcBorders>
            <w:vAlign w:val="center"/>
          </w:tcPr>
          <w:p w14:paraId="63A0924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7169A5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C6A8C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49DBDA4">
            <w:pPr>
              <w:spacing w:before="0" w:after="0" w:line="240" w:lineRule="exact"/>
              <w:jc w:val="right"/>
              <w:rPr>
                <w:rFonts w:ascii="宋体" w:hAnsi="宋体" w:eastAsia="宋体" w:cs="宋体"/>
                <w:sz w:val="18"/>
                <w:szCs w:val="18"/>
              </w:rPr>
            </w:pPr>
            <w:r>
              <w:rPr>
                <w:rFonts w:ascii="宋体" w:hAnsi="宋体" w:eastAsia="宋体" w:cs="宋体"/>
                <w:sz w:val="18"/>
                <w:szCs w:val="18"/>
              </w:rPr>
              <w:t>675,753,512.82</w:t>
            </w:r>
          </w:p>
        </w:tc>
        <w:tc>
          <w:tcPr>
            <w:tcW w:w="741" w:type="dxa"/>
            <w:tcBorders>
              <w:top w:val="single" w:color="auto" w:sz="2" w:space="0"/>
              <w:left w:val="single" w:color="auto" w:sz="2" w:space="0"/>
              <w:bottom w:val="single" w:color="auto" w:sz="2" w:space="0"/>
              <w:right w:val="single" w:color="auto" w:sz="2" w:space="0"/>
            </w:tcBorders>
            <w:vAlign w:val="center"/>
          </w:tcPr>
          <w:p w14:paraId="108E826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DF9819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E26A35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1863C03">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741" w:type="dxa"/>
            <w:tcBorders>
              <w:top w:val="single" w:color="auto" w:sz="2" w:space="0"/>
              <w:left w:val="single" w:color="auto" w:sz="2" w:space="0"/>
              <w:bottom w:val="single" w:color="auto" w:sz="2" w:space="0"/>
              <w:right w:val="single" w:color="auto" w:sz="2" w:space="0"/>
            </w:tcBorders>
            <w:vAlign w:val="center"/>
          </w:tcPr>
          <w:p w14:paraId="40DF0304">
            <w:pPr>
              <w:spacing w:before="0" w:after="0" w:line="240" w:lineRule="exact"/>
              <w:jc w:val="right"/>
              <w:rPr>
                <w:rFonts w:ascii="宋体" w:hAnsi="宋体" w:eastAsia="宋体" w:cs="宋体"/>
                <w:sz w:val="18"/>
                <w:szCs w:val="18"/>
              </w:rPr>
            </w:pPr>
            <w:r>
              <w:rPr>
                <w:rFonts w:ascii="宋体" w:hAnsi="宋体" w:eastAsia="宋体" w:cs="宋体"/>
                <w:sz w:val="18"/>
                <w:szCs w:val="18"/>
              </w:rPr>
              <w:t>446,645,446.82</w:t>
            </w:r>
          </w:p>
        </w:tc>
        <w:tc>
          <w:tcPr>
            <w:tcW w:w="741" w:type="dxa"/>
            <w:tcBorders>
              <w:top w:val="single" w:color="auto" w:sz="2" w:space="0"/>
              <w:left w:val="single" w:color="auto" w:sz="2" w:space="0"/>
              <w:bottom w:val="single" w:color="auto" w:sz="2" w:space="0"/>
              <w:right w:val="single" w:color="auto" w:sz="2" w:space="0"/>
            </w:tcBorders>
            <w:vAlign w:val="center"/>
          </w:tcPr>
          <w:p w14:paraId="7C72573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D3AD0F">
            <w:pPr>
              <w:spacing w:before="0" w:after="0" w:line="240" w:lineRule="exact"/>
              <w:jc w:val="right"/>
              <w:rPr>
                <w:rFonts w:ascii="宋体" w:hAnsi="宋体" w:eastAsia="宋体" w:cs="宋体"/>
                <w:sz w:val="18"/>
                <w:szCs w:val="18"/>
              </w:rPr>
            </w:pPr>
            <w:r>
              <w:rPr>
                <w:rFonts w:ascii="宋体" w:hAnsi="宋体" w:eastAsia="宋体" w:cs="宋体"/>
                <w:sz w:val="18"/>
                <w:szCs w:val="18"/>
              </w:rPr>
              <w:t>1,326,059,792.95</w:t>
            </w:r>
          </w:p>
        </w:tc>
      </w:tr>
      <w:tr w14:paraId="3B33A4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D47DFD8">
            <w:pPr>
              <w:spacing w:before="40" w:after="40" w:line="240" w:lineRule="exact"/>
              <w:jc w:val="left"/>
              <w:rPr>
                <w:rFonts w:ascii="宋体" w:hAnsi="宋体" w:eastAsia="宋体" w:cs="宋体"/>
                <w:sz w:val="18"/>
                <w:szCs w:val="18"/>
              </w:rPr>
            </w:pPr>
            <w:r>
              <w:rPr>
                <w:rFonts w:ascii="宋体" w:hAnsi="宋体" w:eastAsia="宋体" w:cs="宋体"/>
                <w:sz w:val="18"/>
                <w:szCs w:val="18"/>
              </w:rPr>
              <w:t>三、本期增减变动金额（减少以“－”号填列）</w:t>
            </w:r>
          </w:p>
        </w:tc>
        <w:tc>
          <w:tcPr>
            <w:tcW w:w="741" w:type="dxa"/>
            <w:tcBorders>
              <w:top w:val="single" w:color="auto" w:sz="2" w:space="0"/>
              <w:left w:val="single" w:color="auto" w:sz="2" w:space="0"/>
              <w:bottom w:val="single" w:color="auto" w:sz="2" w:space="0"/>
              <w:right w:val="single" w:color="auto" w:sz="2" w:space="0"/>
            </w:tcBorders>
            <w:vAlign w:val="center"/>
          </w:tcPr>
          <w:p w14:paraId="05D6BDD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13794E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65868E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906A77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49366B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5F81DE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9DC0DA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AE32E9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908F59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644B437">
            <w:pPr>
              <w:spacing w:before="0" w:after="0" w:line="240" w:lineRule="exact"/>
              <w:jc w:val="right"/>
              <w:rPr>
                <w:rFonts w:ascii="宋体" w:hAnsi="宋体" w:eastAsia="宋体" w:cs="宋体"/>
                <w:sz w:val="18"/>
                <w:szCs w:val="18"/>
              </w:rPr>
            </w:pPr>
            <w:r>
              <w:rPr>
                <w:rFonts w:ascii="宋体" w:hAnsi="宋体" w:eastAsia="宋体" w:cs="宋体"/>
                <w:sz w:val="18"/>
                <w:szCs w:val="18"/>
              </w:rPr>
              <w:t>-198,574,911.25</w:t>
            </w:r>
          </w:p>
        </w:tc>
        <w:tc>
          <w:tcPr>
            <w:tcW w:w="741" w:type="dxa"/>
            <w:tcBorders>
              <w:top w:val="single" w:color="auto" w:sz="2" w:space="0"/>
              <w:left w:val="single" w:color="auto" w:sz="2" w:space="0"/>
              <w:bottom w:val="single" w:color="auto" w:sz="2" w:space="0"/>
              <w:right w:val="single" w:color="auto" w:sz="2" w:space="0"/>
            </w:tcBorders>
            <w:vAlign w:val="center"/>
          </w:tcPr>
          <w:p w14:paraId="396525F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4480953">
            <w:pPr>
              <w:spacing w:before="0" w:after="0" w:line="240" w:lineRule="exact"/>
              <w:jc w:val="right"/>
              <w:rPr>
                <w:rFonts w:ascii="宋体" w:hAnsi="宋体" w:eastAsia="宋体" w:cs="宋体"/>
                <w:sz w:val="18"/>
                <w:szCs w:val="18"/>
              </w:rPr>
            </w:pPr>
            <w:r>
              <w:rPr>
                <w:rFonts w:ascii="宋体" w:hAnsi="宋体" w:eastAsia="宋体" w:cs="宋体"/>
                <w:sz w:val="18"/>
                <w:szCs w:val="18"/>
              </w:rPr>
              <w:t>-198,574,911.25</w:t>
            </w:r>
          </w:p>
        </w:tc>
      </w:tr>
      <w:tr w14:paraId="4029BF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257E747">
            <w:pPr>
              <w:spacing w:before="40" w:after="40" w:line="240" w:lineRule="exact"/>
              <w:jc w:val="left"/>
              <w:rPr>
                <w:rFonts w:ascii="宋体" w:hAnsi="宋体" w:eastAsia="宋体" w:cs="宋体"/>
                <w:sz w:val="18"/>
                <w:szCs w:val="18"/>
              </w:rPr>
            </w:pPr>
            <w:r>
              <w:rPr>
                <w:rFonts w:ascii="宋体" w:hAnsi="宋体" w:eastAsia="宋体" w:cs="宋体"/>
                <w:sz w:val="18"/>
                <w:szCs w:val="18"/>
              </w:rPr>
              <w:t>（一）综合收益总额</w:t>
            </w:r>
          </w:p>
        </w:tc>
        <w:tc>
          <w:tcPr>
            <w:tcW w:w="741" w:type="dxa"/>
            <w:tcBorders>
              <w:top w:val="single" w:color="auto" w:sz="2" w:space="0"/>
              <w:left w:val="single" w:color="auto" w:sz="2" w:space="0"/>
              <w:bottom w:val="single" w:color="auto" w:sz="2" w:space="0"/>
              <w:right w:val="single" w:color="auto" w:sz="2" w:space="0"/>
            </w:tcBorders>
            <w:vAlign w:val="center"/>
          </w:tcPr>
          <w:p w14:paraId="63320A4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FF03DB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26335E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290266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44D805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97C615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54C2F9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34824E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89FC00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3409D2C">
            <w:pPr>
              <w:spacing w:before="0" w:after="0" w:line="240" w:lineRule="exact"/>
              <w:jc w:val="right"/>
              <w:rPr>
                <w:rFonts w:ascii="宋体" w:hAnsi="宋体" w:eastAsia="宋体" w:cs="宋体"/>
                <w:sz w:val="18"/>
                <w:szCs w:val="18"/>
              </w:rPr>
            </w:pPr>
            <w:r>
              <w:rPr>
                <w:rFonts w:ascii="宋体" w:hAnsi="宋体" w:eastAsia="宋体" w:cs="宋体"/>
                <w:sz w:val="18"/>
                <w:szCs w:val="18"/>
              </w:rPr>
              <w:t>-198,574,911.25</w:t>
            </w:r>
          </w:p>
        </w:tc>
        <w:tc>
          <w:tcPr>
            <w:tcW w:w="741" w:type="dxa"/>
            <w:tcBorders>
              <w:top w:val="single" w:color="auto" w:sz="2" w:space="0"/>
              <w:left w:val="single" w:color="auto" w:sz="2" w:space="0"/>
              <w:bottom w:val="single" w:color="auto" w:sz="2" w:space="0"/>
              <w:right w:val="single" w:color="auto" w:sz="2" w:space="0"/>
            </w:tcBorders>
            <w:vAlign w:val="center"/>
          </w:tcPr>
          <w:p w14:paraId="1B022D4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0E7537C">
            <w:pPr>
              <w:spacing w:before="0" w:after="0" w:line="240" w:lineRule="exact"/>
              <w:jc w:val="right"/>
              <w:rPr>
                <w:rFonts w:ascii="宋体" w:hAnsi="宋体" w:eastAsia="宋体" w:cs="宋体"/>
                <w:sz w:val="18"/>
                <w:szCs w:val="18"/>
              </w:rPr>
            </w:pPr>
            <w:r>
              <w:rPr>
                <w:rFonts w:ascii="宋体" w:hAnsi="宋体" w:eastAsia="宋体" w:cs="宋体"/>
                <w:sz w:val="18"/>
                <w:szCs w:val="18"/>
              </w:rPr>
              <w:t>-198,574,911.25</w:t>
            </w:r>
          </w:p>
        </w:tc>
      </w:tr>
      <w:tr w14:paraId="2A1551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4683692">
            <w:pPr>
              <w:spacing w:before="40" w:after="40" w:line="240" w:lineRule="exact"/>
              <w:jc w:val="left"/>
              <w:rPr>
                <w:rFonts w:ascii="宋体" w:hAnsi="宋体" w:eastAsia="宋体" w:cs="宋体"/>
                <w:sz w:val="18"/>
                <w:szCs w:val="18"/>
              </w:rPr>
            </w:pPr>
            <w:r>
              <w:rPr>
                <w:rFonts w:ascii="宋体" w:hAnsi="宋体" w:eastAsia="宋体" w:cs="宋体"/>
                <w:sz w:val="18"/>
                <w:szCs w:val="18"/>
              </w:rPr>
              <w:t>（二）所有者投入和减少资本</w:t>
            </w:r>
          </w:p>
        </w:tc>
        <w:tc>
          <w:tcPr>
            <w:tcW w:w="741" w:type="dxa"/>
            <w:tcBorders>
              <w:top w:val="single" w:color="auto" w:sz="2" w:space="0"/>
              <w:left w:val="single" w:color="auto" w:sz="2" w:space="0"/>
              <w:bottom w:val="single" w:color="auto" w:sz="2" w:space="0"/>
              <w:right w:val="single" w:color="auto" w:sz="2" w:space="0"/>
            </w:tcBorders>
            <w:vAlign w:val="center"/>
          </w:tcPr>
          <w:p w14:paraId="1925A46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6746E5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76B0A1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5A3FE0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EE379B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6815BD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BE3713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FB3B2E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234A5B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A67654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04FBFC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4AA6405">
            <w:pPr>
              <w:spacing w:before="0" w:after="0" w:line="240" w:lineRule="exact"/>
              <w:jc w:val="right"/>
              <w:rPr>
                <w:rFonts w:ascii="宋体" w:hAnsi="宋体" w:eastAsia="宋体" w:cs="宋体"/>
                <w:sz w:val="18"/>
                <w:szCs w:val="18"/>
              </w:rPr>
            </w:pPr>
          </w:p>
        </w:tc>
      </w:tr>
      <w:tr w14:paraId="75E5C4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21F37BF">
            <w:pPr>
              <w:spacing w:before="40" w:after="40" w:line="240" w:lineRule="exact"/>
              <w:jc w:val="left"/>
              <w:rPr>
                <w:rFonts w:ascii="宋体" w:hAnsi="宋体" w:eastAsia="宋体" w:cs="宋体"/>
                <w:sz w:val="18"/>
                <w:szCs w:val="18"/>
              </w:rPr>
            </w:pPr>
            <w:r>
              <w:rPr>
                <w:rFonts w:ascii="宋体" w:hAnsi="宋体" w:eastAsia="宋体" w:cs="宋体"/>
                <w:sz w:val="18"/>
                <w:szCs w:val="18"/>
              </w:rPr>
              <w:t>1．所有者投入的普通股</w:t>
            </w:r>
          </w:p>
        </w:tc>
        <w:tc>
          <w:tcPr>
            <w:tcW w:w="741" w:type="dxa"/>
            <w:tcBorders>
              <w:top w:val="single" w:color="auto" w:sz="2" w:space="0"/>
              <w:left w:val="single" w:color="auto" w:sz="2" w:space="0"/>
              <w:bottom w:val="single" w:color="auto" w:sz="2" w:space="0"/>
              <w:right w:val="single" w:color="auto" w:sz="2" w:space="0"/>
            </w:tcBorders>
            <w:vAlign w:val="center"/>
          </w:tcPr>
          <w:p w14:paraId="2561C4E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A5E5AB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3B8ECD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46325B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21420A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2CEC48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2F78E2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B71E6E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592052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143A09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B6A5C4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A0A2C6A">
            <w:pPr>
              <w:spacing w:before="0" w:after="0" w:line="240" w:lineRule="exact"/>
              <w:jc w:val="right"/>
              <w:rPr>
                <w:rFonts w:ascii="宋体" w:hAnsi="宋体" w:eastAsia="宋体" w:cs="宋体"/>
                <w:sz w:val="18"/>
                <w:szCs w:val="18"/>
              </w:rPr>
            </w:pPr>
          </w:p>
        </w:tc>
      </w:tr>
      <w:tr w14:paraId="0BECAD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6DD3712">
            <w:pPr>
              <w:spacing w:before="40" w:after="40" w:line="240" w:lineRule="exact"/>
              <w:jc w:val="left"/>
              <w:rPr>
                <w:rFonts w:ascii="宋体" w:hAnsi="宋体" w:eastAsia="宋体" w:cs="宋体"/>
                <w:sz w:val="18"/>
                <w:szCs w:val="18"/>
              </w:rPr>
            </w:pPr>
            <w:r>
              <w:rPr>
                <w:rFonts w:ascii="宋体" w:hAnsi="宋体" w:eastAsia="宋体" w:cs="宋体"/>
                <w:sz w:val="18"/>
                <w:szCs w:val="18"/>
              </w:rPr>
              <w:t>2．其他权益工具持有者投入资本</w:t>
            </w:r>
          </w:p>
        </w:tc>
        <w:tc>
          <w:tcPr>
            <w:tcW w:w="741" w:type="dxa"/>
            <w:tcBorders>
              <w:top w:val="single" w:color="auto" w:sz="2" w:space="0"/>
              <w:left w:val="single" w:color="auto" w:sz="2" w:space="0"/>
              <w:bottom w:val="single" w:color="auto" w:sz="2" w:space="0"/>
              <w:right w:val="single" w:color="auto" w:sz="2" w:space="0"/>
            </w:tcBorders>
            <w:vAlign w:val="center"/>
          </w:tcPr>
          <w:p w14:paraId="5013B2B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E0D164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B57AD0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9DA397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2FFFA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EF12D8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FFF41C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B9EC4D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BC3703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C32EAE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E58C57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0F34D78">
            <w:pPr>
              <w:spacing w:before="0" w:after="0" w:line="240" w:lineRule="exact"/>
              <w:jc w:val="right"/>
              <w:rPr>
                <w:rFonts w:ascii="宋体" w:hAnsi="宋体" w:eastAsia="宋体" w:cs="宋体"/>
                <w:sz w:val="18"/>
                <w:szCs w:val="18"/>
              </w:rPr>
            </w:pPr>
          </w:p>
        </w:tc>
      </w:tr>
      <w:tr w14:paraId="6C29AC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BF9FBAA">
            <w:pPr>
              <w:spacing w:before="40" w:after="40" w:line="240" w:lineRule="exact"/>
              <w:jc w:val="left"/>
              <w:rPr>
                <w:rFonts w:ascii="宋体" w:hAnsi="宋体" w:eastAsia="宋体" w:cs="宋体"/>
                <w:sz w:val="18"/>
                <w:szCs w:val="18"/>
              </w:rPr>
            </w:pPr>
            <w:r>
              <w:rPr>
                <w:rFonts w:ascii="宋体" w:hAnsi="宋体" w:eastAsia="宋体" w:cs="宋体"/>
                <w:sz w:val="18"/>
                <w:szCs w:val="18"/>
              </w:rPr>
              <w:t>3．股份支付计入所有者权益的金额</w:t>
            </w:r>
          </w:p>
        </w:tc>
        <w:tc>
          <w:tcPr>
            <w:tcW w:w="741" w:type="dxa"/>
            <w:tcBorders>
              <w:top w:val="single" w:color="auto" w:sz="2" w:space="0"/>
              <w:left w:val="single" w:color="auto" w:sz="2" w:space="0"/>
              <w:bottom w:val="single" w:color="auto" w:sz="2" w:space="0"/>
              <w:right w:val="single" w:color="auto" w:sz="2" w:space="0"/>
            </w:tcBorders>
            <w:vAlign w:val="center"/>
          </w:tcPr>
          <w:p w14:paraId="694294C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A803E6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EFAE21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555BE0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C39F8A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E30C82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103B0B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FC84B2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A33C5C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7B4AE5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60A5D1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B6C29F2">
            <w:pPr>
              <w:spacing w:before="0" w:after="0" w:line="240" w:lineRule="exact"/>
              <w:jc w:val="right"/>
              <w:rPr>
                <w:rFonts w:ascii="宋体" w:hAnsi="宋体" w:eastAsia="宋体" w:cs="宋体"/>
                <w:sz w:val="18"/>
                <w:szCs w:val="18"/>
              </w:rPr>
            </w:pPr>
          </w:p>
        </w:tc>
      </w:tr>
      <w:tr w14:paraId="5FCF2E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A787A43">
            <w:pPr>
              <w:spacing w:before="40" w:after="40" w:line="240" w:lineRule="exact"/>
              <w:jc w:val="left"/>
              <w:rPr>
                <w:rFonts w:ascii="宋体" w:hAnsi="宋体" w:eastAsia="宋体" w:cs="宋体"/>
                <w:sz w:val="18"/>
                <w:szCs w:val="18"/>
              </w:rPr>
            </w:pPr>
            <w:r>
              <w:rPr>
                <w:rFonts w:ascii="宋体" w:hAnsi="宋体" w:eastAsia="宋体" w:cs="宋体"/>
                <w:sz w:val="18"/>
                <w:szCs w:val="18"/>
              </w:rPr>
              <w:t>4．其他</w:t>
            </w:r>
          </w:p>
        </w:tc>
        <w:tc>
          <w:tcPr>
            <w:tcW w:w="741" w:type="dxa"/>
            <w:tcBorders>
              <w:top w:val="single" w:color="auto" w:sz="2" w:space="0"/>
              <w:left w:val="single" w:color="auto" w:sz="2" w:space="0"/>
              <w:bottom w:val="single" w:color="auto" w:sz="2" w:space="0"/>
              <w:right w:val="single" w:color="auto" w:sz="2" w:space="0"/>
            </w:tcBorders>
            <w:vAlign w:val="center"/>
          </w:tcPr>
          <w:p w14:paraId="4BE4A47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6F33A9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BB8511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FBDE07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DC0507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1DA82C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D51854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8BE252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CB19DB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836E97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CEF00A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F190078">
            <w:pPr>
              <w:spacing w:before="0" w:after="0" w:line="240" w:lineRule="exact"/>
              <w:jc w:val="right"/>
              <w:rPr>
                <w:rFonts w:ascii="宋体" w:hAnsi="宋体" w:eastAsia="宋体" w:cs="宋体"/>
                <w:sz w:val="18"/>
                <w:szCs w:val="18"/>
              </w:rPr>
            </w:pPr>
          </w:p>
        </w:tc>
      </w:tr>
      <w:tr w14:paraId="68CB10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B206A1E">
            <w:pPr>
              <w:spacing w:before="40" w:after="40" w:line="240" w:lineRule="exact"/>
              <w:jc w:val="left"/>
              <w:rPr>
                <w:rFonts w:ascii="宋体" w:hAnsi="宋体" w:eastAsia="宋体" w:cs="宋体"/>
                <w:sz w:val="18"/>
                <w:szCs w:val="18"/>
              </w:rPr>
            </w:pPr>
            <w:r>
              <w:rPr>
                <w:rFonts w:ascii="宋体" w:hAnsi="宋体" w:eastAsia="宋体" w:cs="宋体"/>
                <w:sz w:val="18"/>
                <w:szCs w:val="18"/>
              </w:rPr>
              <w:t>（三）利润分配</w:t>
            </w:r>
          </w:p>
        </w:tc>
        <w:tc>
          <w:tcPr>
            <w:tcW w:w="741" w:type="dxa"/>
            <w:tcBorders>
              <w:top w:val="single" w:color="auto" w:sz="2" w:space="0"/>
              <w:left w:val="single" w:color="auto" w:sz="2" w:space="0"/>
              <w:bottom w:val="single" w:color="auto" w:sz="2" w:space="0"/>
              <w:right w:val="single" w:color="auto" w:sz="2" w:space="0"/>
            </w:tcBorders>
            <w:vAlign w:val="center"/>
          </w:tcPr>
          <w:p w14:paraId="4B0EE89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12D563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85ACEF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8C6C01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05D71D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3BA0E5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F6A580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BDBF01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BCE567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AE393B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0708FD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CCD57B8">
            <w:pPr>
              <w:spacing w:before="0" w:after="0" w:line="240" w:lineRule="exact"/>
              <w:jc w:val="right"/>
              <w:rPr>
                <w:rFonts w:ascii="宋体" w:hAnsi="宋体" w:eastAsia="宋体" w:cs="宋体"/>
                <w:sz w:val="18"/>
                <w:szCs w:val="18"/>
              </w:rPr>
            </w:pPr>
          </w:p>
        </w:tc>
      </w:tr>
      <w:tr w14:paraId="659B53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ACBE400">
            <w:pPr>
              <w:spacing w:before="40" w:after="40" w:line="240" w:lineRule="exact"/>
              <w:jc w:val="left"/>
              <w:rPr>
                <w:rFonts w:ascii="宋体" w:hAnsi="宋体" w:eastAsia="宋体" w:cs="宋体"/>
                <w:sz w:val="18"/>
                <w:szCs w:val="18"/>
              </w:rPr>
            </w:pPr>
            <w:r>
              <w:rPr>
                <w:rFonts w:ascii="宋体" w:hAnsi="宋体" w:eastAsia="宋体" w:cs="宋体"/>
                <w:sz w:val="18"/>
                <w:szCs w:val="18"/>
              </w:rPr>
              <w:t>1．提取盈余公积</w:t>
            </w:r>
          </w:p>
        </w:tc>
        <w:tc>
          <w:tcPr>
            <w:tcW w:w="741" w:type="dxa"/>
            <w:tcBorders>
              <w:top w:val="single" w:color="auto" w:sz="2" w:space="0"/>
              <w:left w:val="single" w:color="auto" w:sz="2" w:space="0"/>
              <w:bottom w:val="single" w:color="auto" w:sz="2" w:space="0"/>
              <w:right w:val="single" w:color="auto" w:sz="2" w:space="0"/>
            </w:tcBorders>
            <w:vAlign w:val="center"/>
          </w:tcPr>
          <w:p w14:paraId="39CFBFE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BF4037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A061D7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D102AA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1E55B7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746AA2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713A77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DD3562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8860D1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4EE60D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B17CFA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27ECD52">
            <w:pPr>
              <w:spacing w:before="0" w:after="0" w:line="240" w:lineRule="exact"/>
              <w:jc w:val="right"/>
              <w:rPr>
                <w:rFonts w:ascii="宋体" w:hAnsi="宋体" w:eastAsia="宋体" w:cs="宋体"/>
                <w:sz w:val="18"/>
                <w:szCs w:val="18"/>
              </w:rPr>
            </w:pPr>
          </w:p>
        </w:tc>
      </w:tr>
      <w:tr w14:paraId="5E387D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F11A22E">
            <w:pPr>
              <w:spacing w:before="40" w:after="40" w:line="240" w:lineRule="exact"/>
              <w:jc w:val="left"/>
              <w:rPr>
                <w:rFonts w:ascii="宋体" w:hAnsi="宋体" w:eastAsia="宋体" w:cs="宋体"/>
                <w:sz w:val="18"/>
                <w:szCs w:val="18"/>
              </w:rPr>
            </w:pPr>
            <w:r>
              <w:rPr>
                <w:rFonts w:ascii="宋体" w:hAnsi="宋体" w:eastAsia="宋体" w:cs="宋体"/>
                <w:sz w:val="18"/>
                <w:szCs w:val="18"/>
              </w:rPr>
              <w:t>2．对所有者（或股东）的分配</w:t>
            </w:r>
          </w:p>
        </w:tc>
        <w:tc>
          <w:tcPr>
            <w:tcW w:w="741" w:type="dxa"/>
            <w:tcBorders>
              <w:top w:val="single" w:color="auto" w:sz="2" w:space="0"/>
              <w:left w:val="single" w:color="auto" w:sz="2" w:space="0"/>
              <w:bottom w:val="single" w:color="auto" w:sz="2" w:space="0"/>
              <w:right w:val="single" w:color="auto" w:sz="2" w:space="0"/>
            </w:tcBorders>
            <w:vAlign w:val="center"/>
          </w:tcPr>
          <w:p w14:paraId="291EC28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659911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D9CFEE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E63FA6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C0F52E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787D98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C9464C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89A025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F54B45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2EE165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90A02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38D27E7">
            <w:pPr>
              <w:spacing w:before="0" w:after="0" w:line="240" w:lineRule="exact"/>
              <w:jc w:val="right"/>
              <w:rPr>
                <w:rFonts w:ascii="宋体" w:hAnsi="宋体" w:eastAsia="宋体" w:cs="宋体"/>
                <w:sz w:val="18"/>
                <w:szCs w:val="18"/>
              </w:rPr>
            </w:pPr>
          </w:p>
        </w:tc>
      </w:tr>
      <w:tr w14:paraId="564EE2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01DE6B6">
            <w:pPr>
              <w:spacing w:before="40" w:after="40" w:line="240" w:lineRule="exact"/>
              <w:jc w:val="left"/>
              <w:rPr>
                <w:rFonts w:ascii="宋体" w:hAnsi="宋体" w:eastAsia="宋体" w:cs="宋体"/>
                <w:sz w:val="18"/>
                <w:szCs w:val="18"/>
              </w:rPr>
            </w:pPr>
            <w:r>
              <w:rPr>
                <w:rFonts w:ascii="宋体" w:hAnsi="宋体" w:eastAsia="宋体" w:cs="宋体"/>
                <w:sz w:val="18"/>
                <w:szCs w:val="18"/>
              </w:rPr>
              <w:t>3．其他</w:t>
            </w:r>
          </w:p>
        </w:tc>
        <w:tc>
          <w:tcPr>
            <w:tcW w:w="741" w:type="dxa"/>
            <w:tcBorders>
              <w:top w:val="single" w:color="auto" w:sz="2" w:space="0"/>
              <w:left w:val="single" w:color="auto" w:sz="2" w:space="0"/>
              <w:bottom w:val="single" w:color="auto" w:sz="2" w:space="0"/>
              <w:right w:val="single" w:color="auto" w:sz="2" w:space="0"/>
            </w:tcBorders>
            <w:vAlign w:val="center"/>
          </w:tcPr>
          <w:p w14:paraId="4BFC502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D90336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588013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C6A12F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D5ECD6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A3BBAA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B6B290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9B830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756A3F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295AA8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978F10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4E9F38A">
            <w:pPr>
              <w:spacing w:before="0" w:after="0" w:line="240" w:lineRule="exact"/>
              <w:jc w:val="right"/>
              <w:rPr>
                <w:rFonts w:ascii="宋体" w:hAnsi="宋体" w:eastAsia="宋体" w:cs="宋体"/>
                <w:sz w:val="18"/>
                <w:szCs w:val="18"/>
              </w:rPr>
            </w:pPr>
          </w:p>
        </w:tc>
      </w:tr>
      <w:tr w14:paraId="0E541F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B9B463B">
            <w:pPr>
              <w:spacing w:before="40" w:after="40" w:line="240" w:lineRule="exact"/>
              <w:jc w:val="left"/>
              <w:rPr>
                <w:rFonts w:ascii="宋体" w:hAnsi="宋体" w:eastAsia="宋体" w:cs="宋体"/>
                <w:sz w:val="18"/>
                <w:szCs w:val="18"/>
              </w:rPr>
            </w:pPr>
            <w:r>
              <w:rPr>
                <w:rFonts w:ascii="宋体" w:hAnsi="宋体" w:eastAsia="宋体" w:cs="宋体"/>
                <w:sz w:val="18"/>
                <w:szCs w:val="18"/>
              </w:rPr>
              <w:t>（四）所有者权益内部结转</w:t>
            </w:r>
          </w:p>
        </w:tc>
        <w:tc>
          <w:tcPr>
            <w:tcW w:w="741" w:type="dxa"/>
            <w:tcBorders>
              <w:top w:val="single" w:color="auto" w:sz="2" w:space="0"/>
              <w:left w:val="single" w:color="auto" w:sz="2" w:space="0"/>
              <w:bottom w:val="single" w:color="auto" w:sz="2" w:space="0"/>
              <w:right w:val="single" w:color="auto" w:sz="2" w:space="0"/>
            </w:tcBorders>
            <w:vAlign w:val="center"/>
          </w:tcPr>
          <w:p w14:paraId="5275F2B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00C23A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9D53A9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B0DAF6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F07A5F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138FDB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F2BD36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3A1E97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B9D4F3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EAE8D4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AA3ADA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01AC21A">
            <w:pPr>
              <w:spacing w:before="0" w:after="0" w:line="240" w:lineRule="exact"/>
              <w:jc w:val="right"/>
              <w:rPr>
                <w:rFonts w:ascii="宋体" w:hAnsi="宋体" w:eastAsia="宋体" w:cs="宋体"/>
                <w:sz w:val="18"/>
                <w:szCs w:val="18"/>
              </w:rPr>
            </w:pPr>
          </w:p>
        </w:tc>
      </w:tr>
      <w:tr w14:paraId="1AE751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77F784B">
            <w:pPr>
              <w:spacing w:before="40" w:after="40" w:line="240" w:lineRule="exact"/>
              <w:jc w:val="left"/>
              <w:rPr>
                <w:rFonts w:ascii="宋体" w:hAnsi="宋体" w:eastAsia="宋体" w:cs="宋体"/>
                <w:sz w:val="18"/>
                <w:szCs w:val="18"/>
              </w:rPr>
            </w:pPr>
            <w:r>
              <w:rPr>
                <w:rFonts w:ascii="宋体" w:hAnsi="宋体" w:eastAsia="宋体" w:cs="宋体"/>
                <w:sz w:val="18"/>
                <w:szCs w:val="18"/>
              </w:rPr>
              <w:t>1．资本公积转增资本（或股本）</w:t>
            </w:r>
          </w:p>
        </w:tc>
        <w:tc>
          <w:tcPr>
            <w:tcW w:w="741" w:type="dxa"/>
            <w:tcBorders>
              <w:top w:val="single" w:color="auto" w:sz="2" w:space="0"/>
              <w:left w:val="single" w:color="auto" w:sz="2" w:space="0"/>
              <w:bottom w:val="single" w:color="auto" w:sz="2" w:space="0"/>
              <w:right w:val="single" w:color="auto" w:sz="2" w:space="0"/>
            </w:tcBorders>
            <w:vAlign w:val="center"/>
          </w:tcPr>
          <w:p w14:paraId="2BF1E45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148312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67F8EE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10EB9F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E34418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168919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97CBCE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23C51C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3AEBEB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411E74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1ED2F1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A9A2D3C">
            <w:pPr>
              <w:spacing w:before="0" w:after="0" w:line="240" w:lineRule="exact"/>
              <w:jc w:val="right"/>
              <w:rPr>
                <w:rFonts w:ascii="宋体" w:hAnsi="宋体" w:eastAsia="宋体" w:cs="宋体"/>
                <w:sz w:val="18"/>
                <w:szCs w:val="18"/>
              </w:rPr>
            </w:pPr>
          </w:p>
        </w:tc>
      </w:tr>
      <w:tr w14:paraId="65F624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39C1495">
            <w:pPr>
              <w:spacing w:before="40" w:after="40" w:line="240" w:lineRule="exact"/>
              <w:jc w:val="left"/>
              <w:rPr>
                <w:rFonts w:ascii="宋体" w:hAnsi="宋体" w:eastAsia="宋体" w:cs="宋体"/>
                <w:sz w:val="18"/>
                <w:szCs w:val="18"/>
              </w:rPr>
            </w:pPr>
            <w:r>
              <w:rPr>
                <w:rFonts w:ascii="宋体" w:hAnsi="宋体" w:eastAsia="宋体" w:cs="宋体"/>
                <w:sz w:val="18"/>
                <w:szCs w:val="18"/>
              </w:rPr>
              <w:t>2．盈余公积转增资本（或股本）</w:t>
            </w:r>
          </w:p>
        </w:tc>
        <w:tc>
          <w:tcPr>
            <w:tcW w:w="741" w:type="dxa"/>
            <w:tcBorders>
              <w:top w:val="single" w:color="auto" w:sz="2" w:space="0"/>
              <w:left w:val="single" w:color="auto" w:sz="2" w:space="0"/>
              <w:bottom w:val="single" w:color="auto" w:sz="2" w:space="0"/>
              <w:right w:val="single" w:color="auto" w:sz="2" w:space="0"/>
            </w:tcBorders>
            <w:vAlign w:val="center"/>
          </w:tcPr>
          <w:p w14:paraId="60F49A7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9C4177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10ED9F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7C9CB2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6A0307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EE6ECE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DBB414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93D737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9213B5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2408C2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ACA166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75A805C">
            <w:pPr>
              <w:spacing w:before="0" w:after="0" w:line="240" w:lineRule="exact"/>
              <w:jc w:val="right"/>
              <w:rPr>
                <w:rFonts w:ascii="宋体" w:hAnsi="宋体" w:eastAsia="宋体" w:cs="宋体"/>
                <w:sz w:val="18"/>
                <w:szCs w:val="18"/>
              </w:rPr>
            </w:pPr>
          </w:p>
        </w:tc>
      </w:tr>
      <w:tr w14:paraId="5E893C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343279D">
            <w:pPr>
              <w:spacing w:before="40" w:after="40" w:line="240" w:lineRule="exact"/>
              <w:jc w:val="left"/>
              <w:rPr>
                <w:rFonts w:ascii="宋体" w:hAnsi="宋体" w:eastAsia="宋体" w:cs="宋体"/>
                <w:sz w:val="18"/>
                <w:szCs w:val="18"/>
              </w:rPr>
            </w:pPr>
            <w:r>
              <w:rPr>
                <w:rFonts w:ascii="宋体" w:hAnsi="宋体" w:eastAsia="宋体" w:cs="宋体"/>
                <w:sz w:val="18"/>
                <w:szCs w:val="18"/>
              </w:rPr>
              <w:t>3．盈余公积弥补亏损</w:t>
            </w:r>
          </w:p>
        </w:tc>
        <w:tc>
          <w:tcPr>
            <w:tcW w:w="741" w:type="dxa"/>
            <w:tcBorders>
              <w:top w:val="single" w:color="auto" w:sz="2" w:space="0"/>
              <w:left w:val="single" w:color="auto" w:sz="2" w:space="0"/>
              <w:bottom w:val="single" w:color="auto" w:sz="2" w:space="0"/>
              <w:right w:val="single" w:color="auto" w:sz="2" w:space="0"/>
            </w:tcBorders>
            <w:vAlign w:val="center"/>
          </w:tcPr>
          <w:p w14:paraId="024369B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9D955D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94E801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B329CF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2BF16D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E9BA38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DA6771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BF23A3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20837F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E39ED9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3DFAA7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3795A6E">
            <w:pPr>
              <w:spacing w:before="0" w:after="0" w:line="240" w:lineRule="exact"/>
              <w:jc w:val="right"/>
              <w:rPr>
                <w:rFonts w:ascii="宋体" w:hAnsi="宋体" w:eastAsia="宋体" w:cs="宋体"/>
                <w:sz w:val="18"/>
                <w:szCs w:val="18"/>
              </w:rPr>
            </w:pPr>
          </w:p>
        </w:tc>
      </w:tr>
      <w:tr w14:paraId="7D5217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592A613">
            <w:pPr>
              <w:spacing w:before="40" w:after="40" w:line="240" w:lineRule="exact"/>
              <w:jc w:val="left"/>
              <w:rPr>
                <w:rFonts w:ascii="宋体" w:hAnsi="宋体" w:eastAsia="宋体" w:cs="宋体"/>
                <w:sz w:val="18"/>
                <w:szCs w:val="18"/>
              </w:rPr>
            </w:pPr>
            <w:r>
              <w:rPr>
                <w:rFonts w:ascii="宋体" w:hAnsi="宋体" w:eastAsia="宋体" w:cs="宋体"/>
                <w:sz w:val="18"/>
                <w:szCs w:val="18"/>
              </w:rPr>
              <w:t>4．设定受益计划变动额结转留存收益</w:t>
            </w:r>
          </w:p>
        </w:tc>
        <w:tc>
          <w:tcPr>
            <w:tcW w:w="741" w:type="dxa"/>
            <w:tcBorders>
              <w:top w:val="single" w:color="auto" w:sz="2" w:space="0"/>
              <w:left w:val="single" w:color="auto" w:sz="2" w:space="0"/>
              <w:bottom w:val="single" w:color="auto" w:sz="2" w:space="0"/>
              <w:right w:val="single" w:color="auto" w:sz="2" w:space="0"/>
            </w:tcBorders>
            <w:vAlign w:val="center"/>
          </w:tcPr>
          <w:p w14:paraId="124CE55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1CBDF4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8ADB9F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F12D39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185CDA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641C2B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831C41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EC8AAB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8E32C7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02C126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D6F136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EDCD4A0">
            <w:pPr>
              <w:spacing w:before="0" w:after="0" w:line="240" w:lineRule="exact"/>
              <w:jc w:val="right"/>
              <w:rPr>
                <w:rFonts w:ascii="宋体" w:hAnsi="宋体" w:eastAsia="宋体" w:cs="宋体"/>
                <w:sz w:val="18"/>
                <w:szCs w:val="18"/>
              </w:rPr>
            </w:pPr>
          </w:p>
        </w:tc>
      </w:tr>
      <w:tr w14:paraId="4975CC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0984535">
            <w:pPr>
              <w:spacing w:before="40" w:after="40" w:line="240" w:lineRule="exact"/>
              <w:jc w:val="left"/>
              <w:rPr>
                <w:rFonts w:ascii="宋体" w:hAnsi="宋体" w:eastAsia="宋体" w:cs="宋体"/>
                <w:sz w:val="18"/>
                <w:szCs w:val="18"/>
              </w:rPr>
            </w:pPr>
            <w:r>
              <w:rPr>
                <w:rFonts w:ascii="宋体" w:hAnsi="宋体" w:eastAsia="宋体" w:cs="宋体"/>
                <w:sz w:val="18"/>
                <w:szCs w:val="18"/>
              </w:rPr>
              <w:t>5．其他综合收益结转留存收益</w:t>
            </w:r>
          </w:p>
        </w:tc>
        <w:tc>
          <w:tcPr>
            <w:tcW w:w="741" w:type="dxa"/>
            <w:tcBorders>
              <w:top w:val="single" w:color="auto" w:sz="2" w:space="0"/>
              <w:left w:val="single" w:color="auto" w:sz="2" w:space="0"/>
              <w:bottom w:val="single" w:color="auto" w:sz="2" w:space="0"/>
              <w:right w:val="single" w:color="auto" w:sz="2" w:space="0"/>
            </w:tcBorders>
            <w:vAlign w:val="center"/>
          </w:tcPr>
          <w:p w14:paraId="071C240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43CE48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C0EAD6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A20C84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5F803C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92AFCA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181C1F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AF523B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42464D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F837C1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93D113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F6B4989">
            <w:pPr>
              <w:spacing w:before="0" w:after="0" w:line="240" w:lineRule="exact"/>
              <w:jc w:val="right"/>
              <w:rPr>
                <w:rFonts w:ascii="宋体" w:hAnsi="宋体" w:eastAsia="宋体" w:cs="宋体"/>
                <w:sz w:val="18"/>
                <w:szCs w:val="18"/>
              </w:rPr>
            </w:pPr>
          </w:p>
        </w:tc>
      </w:tr>
      <w:tr w14:paraId="4963B8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6613DB4">
            <w:pPr>
              <w:spacing w:before="40" w:after="40" w:line="240" w:lineRule="exact"/>
              <w:jc w:val="left"/>
              <w:rPr>
                <w:rFonts w:ascii="宋体" w:hAnsi="宋体" w:eastAsia="宋体" w:cs="宋体"/>
                <w:sz w:val="18"/>
                <w:szCs w:val="18"/>
              </w:rPr>
            </w:pPr>
            <w:r>
              <w:rPr>
                <w:rFonts w:ascii="宋体" w:hAnsi="宋体" w:eastAsia="宋体" w:cs="宋体"/>
                <w:sz w:val="18"/>
                <w:szCs w:val="18"/>
              </w:rPr>
              <w:t>6．其他</w:t>
            </w:r>
          </w:p>
        </w:tc>
        <w:tc>
          <w:tcPr>
            <w:tcW w:w="741" w:type="dxa"/>
            <w:tcBorders>
              <w:top w:val="single" w:color="auto" w:sz="2" w:space="0"/>
              <w:left w:val="single" w:color="auto" w:sz="2" w:space="0"/>
              <w:bottom w:val="single" w:color="auto" w:sz="2" w:space="0"/>
              <w:right w:val="single" w:color="auto" w:sz="2" w:space="0"/>
            </w:tcBorders>
            <w:vAlign w:val="center"/>
          </w:tcPr>
          <w:p w14:paraId="077FA80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589142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7A6BE2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0BEEA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638668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7BC7E2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18BFDC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E8A65C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7B55F6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D99E8A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1F97FF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1114302">
            <w:pPr>
              <w:spacing w:before="0" w:after="0" w:line="240" w:lineRule="exact"/>
              <w:jc w:val="right"/>
              <w:rPr>
                <w:rFonts w:ascii="宋体" w:hAnsi="宋体" w:eastAsia="宋体" w:cs="宋体"/>
                <w:sz w:val="18"/>
                <w:szCs w:val="18"/>
              </w:rPr>
            </w:pPr>
          </w:p>
        </w:tc>
      </w:tr>
      <w:tr w14:paraId="47C195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0C0F0E6">
            <w:pPr>
              <w:spacing w:before="40" w:after="40" w:line="240" w:lineRule="exact"/>
              <w:jc w:val="left"/>
              <w:rPr>
                <w:rFonts w:ascii="宋体" w:hAnsi="宋体" w:eastAsia="宋体" w:cs="宋体"/>
                <w:sz w:val="18"/>
                <w:szCs w:val="18"/>
              </w:rPr>
            </w:pPr>
            <w:r>
              <w:rPr>
                <w:rFonts w:ascii="宋体" w:hAnsi="宋体" w:eastAsia="宋体" w:cs="宋体"/>
                <w:sz w:val="18"/>
                <w:szCs w:val="18"/>
              </w:rPr>
              <w:t>（五）专项储备</w:t>
            </w:r>
          </w:p>
        </w:tc>
        <w:tc>
          <w:tcPr>
            <w:tcW w:w="741" w:type="dxa"/>
            <w:tcBorders>
              <w:top w:val="single" w:color="auto" w:sz="2" w:space="0"/>
              <w:left w:val="single" w:color="auto" w:sz="2" w:space="0"/>
              <w:bottom w:val="single" w:color="auto" w:sz="2" w:space="0"/>
              <w:right w:val="single" w:color="auto" w:sz="2" w:space="0"/>
            </w:tcBorders>
            <w:vAlign w:val="center"/>
          </w:tcPr>
          <w:p w14:paraId="04B2B0E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E283FA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68F916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1C7FCB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363A2E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1C6741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4AFE3D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6AF8A2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BD56E0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5FF09B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317DB7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0F69B9A">
            <w:pPr>
              <w:spacing w:before="0" w:after="0" w:line="240" w:lineRule="exact"/>
              <w:jc w:val="right"/>
              <w:rPr>
                <w:rFonts w:ascii="宋体" w:hAnsi="宋体" w:eastAsia="宋体" w:cs="宋体"/>
                <w:sz w:val="18"/>
                <w:szCs w:val="18"/>
              </w:rPr>
            </w:pPr>
          </w:p>
        </w:tc>
      </w:tr>
      <w:tr w14:paraId="5884C2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6786816">
            <w:pPr>
              <w:spacing w:before="40" w:after="40" w:line="240" w:lineRule="exact"/>
              <w:jc w:val="left"/>
              <w:rPr>
                <w:rFonts w:ascii="宋体" w:hAnsi="宋体" w:eastAsia="宋体" w:cs="宋体"/>
                <w:sz w:val="18"/>
                <w:szCs w:val="18"/>
              </w:rPr>
            </w:pPr>
            <w:r>
              <w:rPr>
                <w:rFonts w:ascii="宋体" w:hAnsi="宋体" w:eastAsia="宋体" w:cs="宋体"/>
                <w:sz w:val="18"/>
                <w:szCs w:val="18"/>
              </w:rPr>
              <w:t>1．本期提取</w:t>
            </w:r>
          </w:p>
        </w:tc>
        <w:tc>
          <w:tcPr>
            <w:tcW w:w="741" w:type="dxa"/>
            <w:tcBorders>
              <w:top w:val="single" w:color="auto" w:sz="2" w:space="0"/>
              <w:left w:val="single" w:color="auto" w:sz="2" w:space="0"/>
              <w:bottom w:val="single" w:color="auto" w:sz="2" w:space="0"/>
              <w:right w:val="single" w:color="auto" w:sz="2" w:space="0"/>
            </w:tcBorders>
            <w:vAlign w:val="center"/>
          </w:tcPr>
          <w:p w14:paraId="332128A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CA4C79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5CD10E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A9D54D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0512AF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5EA5BA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880634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508047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4F9E0E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539B3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0C149B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7448C51">
            <w:pPr>
              <w:spacing w:before="0" w:after="0" w:line="240" w:lineRule="exact"/>
              <w:jc w:val="right"/>
              <w:rPr>
                <w:rFonts w:ascii="宋体" w:hAnsi="宋体" w:eastAsia="宋体" w:cs="宋体"/>
                <w:sz w:val="18"/>
                <w:szCs w:val="18"/>
              </w:rPr>
            </w:pPr>
          </w:p>
        </w:tc>
      </w:tr>
      <w:tr w14:paraId="1C9BE2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AA0B1A0">
            <w:pPr>
              <w:spacing w:before="40" w:after="40" w:line="240" w:lineRule="exact"/>
              <w:jc w:val="left"/>
              <w:rPr>
                <w:rFonts w:ascii="宋体" w:hAnsi="宋体" w:eastAsia="宋体" w:cs="宋体"/>
                <w:sz w:val="18"/>
                <w:szCs w:val="18"/>
              </w:rPr>
            </w:pPr>
            <w:r>
              <w:rPr>
                <w:rFonts w:ascii="宋体" w:hAnsi="宋体" w:eastAsia="宋体" w:cs="宋体"/>
                <w:sz w:val="18"/>
                <w:szCs w:val="18"/>
              </w:rPr>
              <w:t>2．本期使用</w:t>
            </w:r>
          </w:p>
        </w:tc>
        <w:tc>
          <w:tcPr>
            <w:tcW w:w="741" w:type="dxa"/>
            <w:tcBorders>
              <w:top w:val="single" w:color="auto" w:sz="2" w:space="0"/>
              <w:left w:val="single" w:color="auto" w:sz="2" w:space="0"/>
              <w:bottom w:val="single" w:color="auto" w:sz="2" w:space="0"/>
              <w:right w:val="single" w:color="auto" w:sz="2" w:space="0"/>
            </w:tcBorders>
            <w:vAlign w:val="center"/>
          </w:tcPr>
          <w:p w14:paraId="1F9F8B1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7D58AA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2EDC00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ECDF88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7330F2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6F8074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344B78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F9E128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2058FE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5933C4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2A3F94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EBEB9FE">
            <w:pPr>
              <w:spacing w:before="0" w:after="0" w:line="240" w:lineRule="exact"/>
              <w:jc w:val="right"/>
              <w:rPr>
                <w:rFonts w:ascii="宋体" w:hAnsi="宋体" w:eastAsia="宋体" w:cs="宋体"/>
                <w:sz w:val="18"/>
                <w:szCs w:val="18"/>
              </w:rPr>
            </w:pPr>
          </w:p>
        </w:tc>
      </w:tr>
      <w:tr w14:paraId="5DCB9D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0B1BAE3">
            <w:pPr>
              <w:spacing w:before="40" w:after="40" w:line="240" w:lineRule="exact"/>
              <w:jc w:val="left"/>
              <w:rPr>
                <w:rFonts w:ascii="宋体" w:hAnsi="宋体" w:eastAsia="宋体" w:cs="宋体"/>
                <w:sz w:val="18"/>
                <w:szCs w:val="18"/>
              </w:rPr>
            </w:pPr>
            <w:r>
              <w:rPr>
                <w:rFonts w:ascii="宋体" w:hAnsi="宋体" w:eastAsia="宋体" w:cs="宋体"/>
                <w:sz w:val="18"/>
                <w:szCs w:val="18"/>
              </w:rPr>
              <w:t>（六）其他</w:t>
            </w:r>
          </w:p>
        </w:tc>
        <w:tc>
          <w:tcPr>
            <w:tcW w:w="741" w:type="dxa"/>
            <w:tcBorders>
              <w:top w:val="single" w:color="auto" w:sz="2" w:space="0"/>
              <w:left w:val="single" w:color="auto" w:sz="2" w:space="0"/>
              <w:bottom w:val="single" w:color="auto" w:sz="2" w:space="0"/>
              <w:right w:val="single" w:color="auto" w:sz="2" w:space="0"/>
            </w:tcBorders>
            <w:vAlign w:val="center"/>
          </w:tcPr>
          <w:p w14:paraId="22F885D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913CD8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81E33D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CB3FE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874B8E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56ECE6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260428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A00A50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CF00BC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7E28C1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16B171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B9671B5">
            <w:pPr>
              <w:spacing w:before="0" w:after="0" w:line="240" w:lineRule="exact"/>
              <w:jc w:val="right"/>
              <w:rPr>
                <w:rFonts w:ascii="宋体" w:hAnsi="宋体" w:eastAsia="宋体" w:cs="宋体"/>
                <w:sz w:val="18"/>
                <w:szCs w:val="18"/>
              </w:rPr>
            </w:pPr>
          </w:p>
        </w:tc>
      </w:tr>
      <w:tr w14:paraId="3DCE6C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1A8751B">
            <w:pPr>
              <w:spacing w:before="40" w:after="40" w:line="240" w:lineRule="exact"/>
              <w:jc w:val="left"/>
              <w:rPr>
                <w:rFonts w:ascii="宋体" w:hAnsi="宋体" w:eastAsia="宋体" w:cs="宋体"/>
                <w:sz w:val="18"/>
                <w:szCs w:val="18"/>
              </w:rPr>
            </w:pPr>
            <w:r>
              <w:rPr>
                <w:rFonts w:ascii="宋体" w:hAnsi="宋体" w:eastAsia="宋体" w:cs="宋体"/>
                <w:sz w:val="18"/>
                <w:szCs w:val="18"/>
              </w:rPr>
              <w:t>四、本期期末余额</w:t>
            </w:r>
          </w:p>
        </w:tc>
        <w:tc>
          <w:tcPr>
            <w:tcW w:w="741" w:type="dxa"/>
            <w:tcBorders>
              <w:top w:val="single" w:color="auto" w:sz="2" w:space="0"/>
              <w:left w:val="single" w:color="auto" w:sz="2" w:space="0"/>
              <w:bottom w:val="single" w:color="auto" w:sz="2" w:space="0"/>
              <w:right w:val="single" w:color="auto" w:sz="2" w:space="0"/>
            </w:tcBorders>
            <w:vAlign w:val="center"/>
          </w:tcPr>
          <w:p w14:paraId="5C4700AC">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741" w:type="dxa"/>
            <w:tcBorders>
              <w:top w:val="single" w:color="auto" w:sz="2" w:space="0"/>
              <w:left w:val="single" w:color="auto" w:sz="2" w:space="0"/>
              <w:bottom w:val="single" w:color="auto" w:sz="2" w:space="0"/>
              <w:right w:val="single" w:color="auto" w:sz="2" w:space="0"/>
            </w:tcBorders>
            <w:vAlign w:val="center"/>
          </w:tcPr>
          <w:p w14:paraId="2A7DAAD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54B005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FFAFDD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D56436B">
            <w:pPr>
              <w:spacing w:before="0" w:after="0" w:line="240" w:lineRule="exact"/>
              <w:jc w:val="right"/>
              <w:rPr>
                <w:rFonts w:ascii="宋体" w:hAnsi="宋体" w:eastAsia="宋体" w:cs="宋体"/>
                <w:sz w:val="18"/>
                <w:szCs w:val="18"/>
              </w:rPr>
            </w:pPr>
            <w:r>
              <w:rPr>
                <w:rFonts w:ascii="宋体" w:hAnsi="宋体" w:eastAsia="宋体" w:cs="宋体"/>
                <w:sz w:val="18"/>
                <w:szCs w:val="18"/>
              </w:rPr>
              <w:t>675,753,512.82</w:t>
            </w:r>
          </w:p>
        </w:tc>
        <w:tc>
          <w:tcPr>
            <w:tcW w:w="741" w:type="dxa"/>
            <w:tcBorders>
              <w:top w:val="single" w:color="auto" w:sz="2" w:space="0"/>
              <w:left w:val="single" w:color="auto" w:sz="2" w:space="0"/>
              <w:bottom w:val="single" w:color="auto" w:sz="2" w:space="0"/>
              <w:right w:val="single" w:color="auto" w:sz="2" w:space="0"/>
            </w:tcBorders>
            <w:vAlign w:val="center"/>
          </w:tcPr>
          <w:p w14:paraId="3394C03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8E4BA9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7768F7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4713C8C">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741" w:type="dxa"/>
            <w:tcBorders>
              <w:top w:val="single" w:color="auto" w:sz="2" w:space="0"/>
              <w:left w:val="single" w:color="auto" w:sz="2" w:space="0"/>
              <w:bottom w:val="single" w:color="auto" w:sz="2" w:space="0"/>
              <w:right w:val="single" w:color="auto" w:sz="2" w:space="0"/>
            </w:tcBorders>
            <w:vAlign w:val="center"/>
          </w:tcPr>
          <w:p w14:paraId="6970E9CB">
            <w:pPr>
              <w:spacing w:before="0" w:after="0" w:line="240" w:lineRule="exact"/>
              <w:jc w:val="right"/>
              <w:rPr>
                <w:rFonts w:ascii="宋体" w:hAnsi="宋体" w:eastAsia="宋体" w:cs="宋体"/>
                <w:sz w:val="18"/>
                <w:szCs w:val="18"/>
              </w:rPr>
            </w:pPr>
            <w:r>
              <w:rPr>
                <w:rFonts w:ascii="宋体" w:hAnsi="宋体" w:eastAsia="宋体" w:cs="宋体"/>
                <w:sz w:val="18"/>
                <w:szCs w:val="18"/>
              </w:rPr>
              <w:t>248,070,535.57</w:t>
            </w:r>
          </w:p>
        </w:tc>
        <w:tc>
          <w:tcPr>
            <w:tcW w:w="741" w:type="dxa"/>
            <w:tcBorders>
              <w:top w:val="single" w:color="auto" w:sz="2" w:space="0"/>
              <w:left w:val="single" w:color="auto" w:sz="2" w:space="0"/>
              <w:bottom w:val="single" w:color="auto" w:sz="2" w:space="0"/>
              <w:right w:val="single" w:color="auto" w:sz="2" w:space="0"/>
            </w:tcBorders>
            <w:vAlign w:val="center"/>
          </w:tcPr>
          <w:p w14:paraId="31DB68C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10A06EA">
            <w:pPr>
              <w:spacing w:before="0" w:after="0" w:line="240" w:lineRule="exact"/>
              <w:jc w:val="right"/>
              <w:rPr>
                <w:rFonts w:ascii="宋体" w:hAnsi="宋体" w:eastAsia="宋体" w:cs="宋体"/>
                <w:sz w:val="18"/>
                <w:szCs w:val="18"/>
              </w:rPr>
            </w:pPr>
            <w:r>
              <w:rPr>
                <w:rFonts w:ascii="宋体" w:hAnsi="宋体" w:eastAsia="宋体" w:cs="宋体"/>
                <w:sz w:val="18"/>
                <w:szCs w:val="18"/>
              </w:rPr>
              <w:t>1,127,484,881.70</w:t>
            </w:r>
          </w:p>
        </w:tc>
      </w:tr>
    </w:tbl>
    <w:p w14:paraId="2D884D2D">
      <w:pPr>
        <w:keepNext/>
        <w:keepLines/>
        <w:spacing w:before="300" w:after="300" w:line="320" w:lineRule="exact"/>
        <w:jc w:val="left"/>
        <w:outlineLvl w:val="1"/>
        <w:rPr>
          <w:rFonts w:ascii="宋体" w:hAnsi="宋体" w:eastAsia="宋体" w:cs="宋体"/>
          <w:b/>
          <w:bCs/>
          <w:sz w:val="24"/>
          <w:szCs w:val="24"/>
        </w:rPr>
      </w:pPr>
      <w:bookmarkStart w:id="161" w:name="_Toc989048"/>
      <w:r>
        <w:rPr>
          <w:rFonts w:ascii="宋体" w:hAnsi="宋体" w:eastAsia="宋体" w:cs="宋体"/>
          <w:b/>
          <w:bCs/>
          <w:sz w:val="24"/>
          <w:szCs w:val="24"/>
        </w:rPr>
        <w:t>三、公司基本情况</w:t>
      </w:r>
      <w:bookmarkEnd w:id="161"/>
    </w:p>
    <w:p w14:paraId="7431CFC5">
      <w:pPr>
        <w:pStyle w:val="2"/>
        <w:keepNext w:val="0"/>
        <w:keepLines w:val="0"/>
        <w:widowControl/>
        <w:suppressLineNumbers w:val="0"/>
        <w:spacing w:before="0" w:beforeAutospacing="0" w:after="0" w:afterAutospacing="0"/>
        <w:ind w:left="560" w:right="0"/>
        <w:rPr>
          <w:rFonts w:hint="default" w:ascii="Times New Roman" w:hAnsi="Times New Roman" w:cs="Times New Roman"/>
          <w:sz w:val="21"/>
          <w:szCs w:val="21"/>
        </w:rPr>
      </w:pPr>
      <w:r>
        <w:rPr>
          <w:rStyle w:val="6"/>
          <w:rFonts w:hint="eastAsia" w:ascii="宋体" w:hAnsi="宋体" w:eastAsia="宋体" w:cs="宋体"/>
          <w:b/>
          <w:bCs/>
          <w:sz w:val="21"/>
          <w:szCs w:val="21"/>
        </w:rPr>
        <w:t>(一)公司注册地、组织形式和总部地址</w:t>
      </w:r>
    </w:p>
    <w:p w14:paraId="63EF8EEE">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18EA14BE">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福建广生堂药业股份有限公司（以下简称“公司”或“本公司”）由福建广生堂药业有限公司整体变更设立的股份有限公司。</w:t>
      </w:r>
    </w:p>
    <w:p w14:paraId="52B2B224">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2015年4月，经中国证券监督管理委员会《关于核准福建广生堂股份有限公司首次公开发行股票的批复》（证监许可字【2015】537号）核准，公司向境内投资者首次发行1,750万股人民币普通股A股股票，其中转让老股350万股、发行新股1,400万股，并于2015年4月22日在深圳证券交易所上市交易。</w:t>
      </w:r>
    </w:p>
    <w:p w14:paraId="56A9ED53">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2021年，经中国证券监督管理委员会《关于同意福建广生堂药业股份有限公司向特定对象发行股票注册的批复》（证监许可[2020]2748号）核准，公司于2021年6月向特定对象发行股票1,877.7万股，新增股份于2021年7月9日上市。</w:t>
      </w:r>
    </w:p>
    <w:p w14:paraId="5784E350">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2022年1月14日，根据本公司2020年第二次临时股东大会审议通过的《关于〈2020年股票期权激励计划（草案）〉及其摘要的议案》、《关于〈2020年股票期权激励计划实施考核管理办法〉的议案》、《关于提请股东大会授权董事会办理2020年股票期权激励计划有关事项的议案》等议案，第四届董事会第十次会议审议通过《关于2020年股票期权激励计划第一个行权期行权条件成就的议案》，同意22名符合股票期权激励计划行权条件的激励对象的798,000份股票期权予以行权，行权价格为每股人民币31.23元，行权截止日期为2022年5月11日。本次共有18名激励对象共计490,000份股票期权行权，共计收到行权款人民币15,302,700.00元，其中计入股本490,000.00元，计入资本公积14,812,700.00元。经此行权，注册资本变更为人民币159,267,000.00元。</w:t>
      </w:r>
    </w:p>
    <w:p w14:paraId="3B30D529">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截止2024年12月31日，公司注册资本、实收资本均为15,926.70万元，统一社会信用代码：913500007297027606，注册地址：福建省宁德市柘荣县富源工业园区1-7幢，办公地址：福建省福州市闽侯县福州高新区乌龙江中大道7号海西高新技术产业园创新园二期16号楼，公司法定代表人：李国平。</w:t>
      </w:r>
    </w:p>
    <w:p w14:paraId="3DA3723B">
      <w:pPr>
        <w:pStyle w:val="2"/>
        <w:keepNext w:val="0"/>
        <w:keepLines w:val="0"/>
        <w:widowControl/>
        <w:suppressLineNumbers w:val="0"/>
        <w:spacing w:before="71" w:beforeAutospacing="0" w:after="0" w:afterAutospacing="0"/>
        <w:ind w:left="560" w:right="0"/>
        <w:rPr>
          <w:rFonts w:hint="default" w:ascii="Times New Roman" w:hAnsi="Times New Roman" w:cs="Times New Roman"/>
          <w:sz w:val="21"/>
          <w:szCs w:val="21"/>
        </w:rPr>
      </w:pPr>
      <w:r>
        <w:rPr>
          <w:rStyle w:val="6"/>
          <w:rFonts w:hint="eastAsia" w:ascii="宋体" w:hAnsi="宋体" w:eastAsia="宋体" w:cs="宋体"/>
          <w:b/>
          <w:bCs/>
          <w:sz w:val="21"/>
          <w:szCs w:val="21"/>
        </w:rPr>
        <w:t>(二)公司业务性质和主要经营活动</w:t>
      </w:r>
    </w:p>
    <w:p w14:paraId="544893A6">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041F503F">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属医药制造业，营业执照经营范围：许可项目：药品生产；药品批发；药品零售；食品销售；食品生产；保健食品生产；药品进出口；药品互联网信息服务。(依法须经批准的项目，经相关部门批准后方可开展经营活动，具体经营项目以相关部门批准文件或许可证件为准)一般项目：医学研究和试验发展；保健食品(预包装)销售；技术服务、技术开发、技术咨询、技术交流、技术转让、技术推广；技术进出口；货物进出口。(除依法须经批准的项目外，凭营业执照依法自主开展经营活动)。</w:t>
      </w:r>
    </w:p>
    <w:p w14:paraId="131ABA32">
      <w:pPr>
        <w:pStyle w:val="2"/>
        <w:keepNext w:val="0"/>
        <w:keepLines w:val="0"/>
        <w:widowControl/>
        <w:suppressLineNumbers w:val="0"/>
        <w:spacing w:before="156" w:beforeAutospacing="0" w:after="0" w:afterAutospacing="0"/>
        <w:ind w:left="560" w:right="0"/>
        <w:rPr>
          <w:rFonts w:hint="default" w:ascii="Times New Roman" w:hAnsi="Times New Roman" w:cs="Times New Roman"/>
          <w:sz w:val="21"/>
          <w:szCs w:val="21"/>
        </w:rPr>
      </w:pPr>
      <w:r>
        <w:rPr>
          <w:rStyle w:val="6"/>
          <w:rFonts w:hint="eastAsia" w:ascii="宋体" w:hAnsi="宋体" w:eastAsia="宋体" w:cs="宋体"/>
          <w:b/>
          <w:bCs/>
          <w:sz w:val="21"/>
          <w:szCs w:val="21"/>
        </w:rPr>
        <w:t>(三)合并财务报表范围</w:t>
      </w:r>
    </w:p>
    <w:p w14:paraId="6700E59D">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 </w:t>
      </w:r>
    </w:p>
    <w:p w14:paraId="023D1E43">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本公司本期纳入合并范围的子公司共13户，详见附注八、在其他主体中的权益。本期纳入合并财务报表范围的主体较上期相比，增加2户，合并范围变更主体的具体信息详见附注七、合并范围的变更。</w:t>
      </w:r>
    </w:p>
    <w:p w14:paraId="149437F6">
      <w:pPr>
        <w:pStyle w:val="2"/>
        <w:keepNext w:val="0"/>
        <w:keepLines w:val="0"/>
        <w:widowControl/>
        <w:suppressLineNumbers w:val="0"/>
        <w:spacing w:before="156" w:beforeAutospacing="0" w:after="0" w:afterAutospacing="0"/>
        <w:ind w:left="560" w:right="0"/>
        <w:rPr>
          <w:rFonts w:hint="default" w:ascii="Times New Roman" w:hAnsi="Times New Roman" w:cs="Times New Roman"/>
          <w:sz w:val="21"/>
          <w:szCs w:val="21"/>
        </w:rPr>
      </w:pPr>
      <w:r>
        <w:rPr>
          <w:rStyle w:val="6"/>
          <w:rFonts w:hint="eastAsia" w:ascii="宋体" w:hAnsi="宋体" w:eastAsia="宋体" w:cs="宋体"/>
          <w:b/>
          <w:bCs/>
          <w:sz w:val="21"/>
          <w:szCs w:val="21"/>
        </w:rPr>
        <w:t>(四)财务报表的批准报出</w:t>
      </w:r>
    </w:p>
    <w:p w14:paraId="15F425DB">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27957064">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本财务报表业经公司董事会于2025年4月16日批准报出。</w:t>
      </w:r>
    </w:p>
    <w:p w14:paraId="0CEC38F6">
      <w:pPr>
        <w:keepNext/>
        <w:keepLines/>
        <w:spacing w:before="300" w:after="300" w:line="320" w:lineRule="exact"/>
        <w:jc w:val="left"/>
        <w:outlineLvl w:val="1"/>
        <w:rPr>
          <w:rFonts w:ascii="宋体" w:hAnsi="宋体" w:eastAsia="宋体" w:cs="宋体"/>
          <w:b/>
          <w:bCs/>
          <w:sz w:val="24"/>
          <w:szCs w:val="24"/>
        </w:rPr>
      </w:pPr>
      <w:bookmarkStart w:id="162" w:name="_Toc989049"/>
      <w:r>
        <w:rPr>
          <w:rFonts w:ascii="宋体" w:hAnsi="宋体" w:eastAsia="宋体" w:cs="宋体"/>
          <w:b/>
          <w:bCs/>
          <w:sz w:val="24"/>
          <w:szCs w:val="24"/>
        </w:rPr>
        <w:t>四、财务报表的编制基础</w:t>
      </w:r>
      <w:bookmarkEnd w:id="162"/>
    </w:p>
    <w:p w14:paraId="34202612">
      <w:pPr>
        <w:keepNext/>
        <w:keepLines/>
        <w:spacing w:before="300" w:after="300" w:line="280" w:lineRule="exact"/>
        <w:jc w:val="left"/>
        <w:outlineLvl w:val="2"/>
        <w:rPr>
          <w:rFonts w:ascii="宋体" w:hAnsi="宋体" w:eastAsia="宋体" w:cs="宋体"/>
          <w:b/>
          <w:bCs/>
          <w:sz w:val="21"/>
          <w:szCs w:val="21"/>
        </w:rPr>
      </w:pPr>
      <w:bookmarkStart w:id="163" w:name="_Toc989050"/>
      <w:r>
        <w:rPr>
          <w:rFonts w:ascii="宋体" w:hAnsi="宋体" w:eastAsia="宋体" w:cs="宋体"/>
          <w:b/>
          <w:bCs/>
          <w:sz w:val="21"/>
          <w:szCs w:val="21"/>
        </w:rPr>
        <w:t>1、编制基础</w:t>
      </w:r>
      <w:bookmarkEnd w:id="163"/>
    </w:p>
    <w:p w14:paraId="244120CE">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根据实际发生的交易和事项，按照财政部颁布的《企业会计准则——基本准则》和具体企业会计准则、企业会计准则应用指南、企业会计准则解释及其他相关规定（以下合称“企业会计准则”）进行确认和计量，在此基础上，结合中国证券监督管理委员会《公开发行证券的公司信息披露编报规则第15号——财务报告的一般规定》的规定，编制财务报表。</w:t>
      </w:r>
    </w:p>
    <w:p w14:paraId="328F3189">
      <w:pPr>
        <w:keepNext/>
        <w:keepLines/>
        <w:spacing w:before="300" w:after="300" w:line="280" w:lineRule="exact"/>
        <w:jc w:val="left"/>
        <w:outlineLvl w:val="2"/>
        <w:rPr>
          <w:rFonts w:ascii="宋体" w:hAnsi="宋体" w:eastAsia="宋体" w:cs="宋体"/>
          <w:b/>
          <w:bCs/>
          <w:sz w:val="21"/>
          <w:szCs w:val="21"/>
        </w:rPr>
      </w:pPr>
      <w:bookmarkStart w:id="164" w:name="_Toc989051"/>
      <w:r>
        <w:rPr>
          <w:rFonts w:ascii="宋体" w:hAnsi="宋体" w:eastAsia="宋体" w:cs="宋体"/>
          <w:b/>
          <w:bCs/>
          <w:sz w:val="21"/>
          <w:szCs w:val="21"/>
        </w:rPr>
        <w:t>2、持续经营</w:t>
      </w:r>
      <w:bookmarkEnd w:id="164"/>
    </w:p>
    <w:p w14:paraId="6447CA17">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公司近三个年度大额研发投入等因素导致连续亏损，截止2024年12月31日，合并资产负债率72.35%，其中控股子公司广生中霖首轮融资本息确认的其他非流动负债金额为2.552 亿元，使得合并资产负债率提升 17.74%。资金方面，公司报表日后一年内应归还的金融机构借款3.00亿元，因公司期末尚存可支配资金1.43亿元，另有未使用的授信额度1.25亿元且期后已与多家银行机构达成续贷约定；经营方面，公司将继续加大医院准入及渠道下沉提升既有产品业绩，同时，公司通过引进圆山基金为战投，借助与漳州大健康产业的战略合作推进公司在中药大健康领域的战略布局,新增中药产品的品牌合作为公司销售上升提供助力、且公司的主要客户为大型医药集团公司等，该等客户具有可靠及良好的信誉回款情形一直较好，可以维持本公司的持续经营，公司自报告年末起至少12个月内具有持续经营能力，因此本财务报表系在持续经营假设的基础上编制。</w:t>
      </w:r>
    </w:p>
    <w:p w14:paraId="78270376">
      <w:pPr>
        <w:keepNext/>
        <w:keepLines/>
        <w:spacing w:before="300" w:after="300" w:line="560" w:lineRule="exact"/>
        <w:jc w:val="left"/>
        <w:outlineLvl w:val="1"/>
        <w:rPr>
          <w:rFonts w:ascii="宋体" w:hAnsi="宋体" w:eastAsia="宋体" w:cs="宋体"/>
          <w:b/>
          <w:bCs/>
          <w:sz w:val="24"/>
          <w:szCs w:val="24"/>
        </w:rPr>
      </w:pPr>
      <w:bookmarkStart w:id="165" w:name="_Toc989052"/>
      <w:r>
        <w:rPr>
          <w:rFonts w:ascii="宋体" w:hAnsi="宋体" w:eastAsia="宋体" w:cs="宋体"/>
          <w:b/>
          <w:bCs/>
          <w:sz w:val="24"/>
          <w:szCs w:val="24"/>
        </w:rPr>
        <w:t>五、重要会计政策及会计估计</w:t>
      </w:r>
      <w:bookmarkEnd w:id="165"/>
    </w:p>
    <w:p w14:paraId="28FCF26C">
      <w:pPr>
        <w:spacing w:before="100" w:after="100" w:line="240" w:lineRule="exact"/>
        <w:jc w:val="left"/>
        <w:rPr>
          <w:rFonts w:ascii="宋体" w:hAnsi="宋体" w:eastAsia="宋体" w:cs="宋体"/>
          <w:sz w:val="18"/>
          <w:szCs w:val="18"/>
        </w:rPr>
      </w:pPr>
      <w:r>
        <w:rPr>
          <w:rFonts w:ascii="宋体" w:hAnsi="宋体" w:eastAsia="宋体" w:cs="宋体"/>
          <w:sz w:val="18"/>
          <w:szCs w:val="18"/>
        </w:rPr>
        <w:t>具体会计政策和会计估计提示：</w:t>
      </w:r>
    </w:p>
    <w:p w14:paraId="6421DA7B">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公司根据自身生产经营特点，确定具体会计政策和会计估计，主要会计政策和会计估计参见本附注（十四）应收账款、（二十五）2无形资产的后续计量和3.4开发阶段支出符合资本化的具体标准、（三十三）收入。</w:t>
      </w:r>
    </w:p>
    <w:p w14:paraId="503FDF1C">
      <w:pPr>
        <w:keepNext/>
        <w:keepLines/>
        <w:spacing w:before="300" w:after="300" w:line="280" w:lineRule="exact"/>
        <w:jc w:val="left"/>
        <w:outlineLvl w:val="2"/>
        <w:rPr>
          <w:rFonts w:ascii="宋体" w:hAnsi="宋体" w:eastAsia="宋体" w:cs="宋体"/>
          <w:b/>
          <w:bCs/>
          <w:sz w:val="21"/>
          <w:szCs w:val="21"/>
        </w:rPr>
      </w:pPr>
      <w:bookmarkStart w:id="166" w:name="_Toc989053"/>
      <w:r>
        <w:rPr>
          <w:rFonts w:ascii="宋体" w:hAnsi="宋体" w:eastAsia="宋体" w:cs="宋体"/>
          <w:b/>
          <w:bCs/>
          <w:sz w:val="21"/>
          <w:szCs w:val="21"/>
        </w:rPr>
        <w:t>1、遵循企业会计准则的声明</w:t>
      </w:r>
      <w:bookmarkEnd w:id="166"/>
    </w:p>
    <w:p w14:paraId="497CF25A">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本公司所编制的财务报表符合企业会计准则的要求，真实、完整地反映了报告期公司的财务状况、经营成果、现金流量等有关信息。</w:t>
      </w:r>
    </w:p>
    <w:p w14:paraId="4F45FA3C">
      <w:pPr>
        <w:keepNext/>
        <w:keepLines/>
        <w:spacing w:before="300" w:after="300" w:line="280" w:lineRule="exact"/>
        <w:jc w:val="left"/>
        <w:outlineLvl w:val="2"/>
        <w:rPr>
          <w:rFonts w:ascii="宋体" w:hAnsi="宋体" w:eastAsia="宋体" w:cs="宋体"/>
          <w:b/>
          <w:bCs/>
          <w:sz w:val="21"/>
          <w:szCs w:val="21"/>
        </w:rPr>
      </w:pPr>
      <w:bookmarkStart w:id="167" w:name="_Toc989054"/>
      <w:r>
        <w:rPr>
          <w:rFonts w:ascii="宋体" w:hAnsi="宋体" w:eastAsia="宋体" w:cs="宋体"/>
          <w:b/>
          <w:bCs/>
          <w:sz w:val="21"/>
          <w:szCs w:val="21"/>
        </w:rPr>
        <w:t>2、会计期间</w:t>
      </w:r>
      <w:bookmarkEnd w:id="167"/>
    </w:p>
    <w:p w14:paraId="345607E3">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自公历1月1日至12月31日止为一个会计年度。</w:t>
      </w:r>
    </w:p>
    <w:p w14:paraId="30D51540">
      <w:pPr>
        <w:keepNext/>
        <w:keepLines/>
        <w:spacing w:before="300" w:after="300" w:line="280" w:lineRule="exact"/>
        <w:jc w:val="left"/>
        <w:outlineLvl w:val="2"/>
        <w:rPr>
          <w:rFonts w:ascii="宋体" w:hAnsi="宋体" w:eastAsia="宋体" w:cs="宋体"/>
          <w:b/>
          <w:bCs/>
          <w:sz w:val="21"/>
          <w:szCs w:val="21"/>
        </w:rPr>
      </w:pPr>
      <w:bookmarkStart w:id="168" w:name="_Toc989055"/>
      <w:r>
        <w:rPr>
          <w:rFonts w:ascii="宋体" w:hAnsi="宋体" w:eastAsia="宋体" w:cs="宋体"/>
          <w:b/>
          <w:bCs/>
          <w:sz w:val="21"/>
          <w:szCs w:val="21"/>
        </w:rPr>
        <w:t>3、营业周期</w:t>
      </w:r>
      <w:bookmarkEnd w:id="168"/>
    </w:p>
    <w:p w14:paraId="0A81FAAA">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营业周期是指企业从购买用于加工的资产起至实现现金或现金等价物的期间。本公司以12个月作为一个营业周期，并以其作为资产和负债的流动性划分标准。</w:t>
      </w:r>
    </w:p>
    <w:p w14:paraId="447F86CC">
      <w:pPr>
        <w:keepNext/>
        <w:keepLines/>
        <w:spacing w:before="300" w:after="300" w:line="280" w:lineRule="exact"/>
        <w:jc w:val="left"/>
        <w:outlineLvl w:val="2"/>
        <w:rPr>
          <w:rFonts w:ascii="宋体" w:hAnsi="宋体" w:eastAsia="宋体" w:cs="宋体"/>
          <w:b/>
          <w:bCs/>
          <w:sz w:val="21"/>
          <w:szCs w:val="21"/>
        </w:rPr>
      </w:pPr>
      <w:bookmarkStart w:id="169" w:name="_Toc989056"/>
      <w:r>
        <w:rPr>
          <w:rFonts w:ascii="宋体" w:hAnsi="宋体" w:eastAsia="宋体" w:cs="宋体"/>
          <w:b/>
          <w:bCs/>
          <w:sz w:val="21"/>
          <w:szCs w:val="21"/>
        </w:rPr>
        <w:t>4、记账本位币</w:t>
      </w:r>
      <w:bookmarkEnd w:id="169"/>
    </w:p>
    <w:p w14:paraId="3CFBE6FE">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采用人民币为记账本位币。</w:t>
      </w:r>
    </w:p>
    <w:p w14:paraId="531C62F3">
      <w:pPr>
        <w:keepNext/>
        <w:keepLines/>
        <w:spacing w:before="300" w:after="300" w:line="280" w:lineRule="exact"/>
        <w:jc w:val="left"/>
        <w:outlineLvl w:val="2"/>
        <w:rPr>
          <w:rFonts w:ascii="宋体" w:hAnsi="宋体" w:eastAsia="宋体" w:cs="宋体"/>
          <w:b/>
          <w:bCs/>
          <w:sz w:val="21"/>
          <w:szCs w:val="21"/>
        </w:rPr>
      </w:pPr>
      <w:bookmarkStart w:id="170" w:name="_Toc989057"/>
      <w:r>
        <w:rPr>
          <w:rFonts w:ascii="宋体" w:hAnsi="宋体" w:eastAsia="宋体" w:cs="宋体"/>
          <w:b/>
          <w:bCs/>
          <w:sz w:val="21"/>
          <w:szCs w:val="21"/>
        </w:rPr>
        <w:t>5、重要性标准确定方法和选择依据</w:t>
      </w:r>
      <w:bookmarkEnd w:id="170"/>
    </w:p>
    <w:p w14:paraId="58EA9888">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2D95E5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9E66B46">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78F5301">
            <w:pPr>
              <w:spacing w:before="40" w:after="40" w:line="240" w:lineRule="exact"/>
              <w:jc w:val="center"/>
              <w:rPr>
                <w:rFonts w:ascii="宋体" w:hAnsi="宋体" w:eastAsia="宋体" w:cs="宋体"/>
                <w:sz w:val="18"/>
                <w:szCs w:val="18"/>
              </w:rPr>
            </w:pPr>
            <w:r>
              <w:rPr>
                <w:rFonts w:ascii="宋体" w:hAnsi="宋体" w:eastAsia="宋体" w:cs="宋体"/>
                <w:sz w:val="18"/>
                <w:szCs w:val="18"/>
              </w:rPr>
              <w:t>重要性标准</w:t>
            </w:r>
          </w:p>
        </w:tc>
      </w:tr>
      <w:tr w14:paraId="228B22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6E21B94B">
            <w:pPr>
              <w:spacing w:before="0" w:after="0" w:line="240" w:lineRule="exact"/>
              <w:jc w:val="left"/>
              <w:rPr>
                <w:rFonts w:ascii="宋体" w:hAnsi="宋体" w:eastAsia="宋体" w:cs="宋体"/>
                <w:sz w:val="18"/>
                <w:szCs w:val="18"/>
              </w:rPr>
            </w:pPr>
            <w:r>
              <w:rPr>
                <w:rFonts w:ascii="宋体" w:hAnsi="宋体" w:eastAsia="宋体" w:cs="宋体"/>
                <w:sz w:val="18"/>
                <w:szCs w:val="18"/>
              </w:rPr>
              <w:t>重要的单项计提坏账准备的应收款项</w:t>
            </w:r>
          </w:p>
        </w:tc>
        <w:tc>
          <w:tcPr>
            <w:tcW w:w="4820" w:type="dxa"/>
            <w:tcBorders>
              <w:top w:val="single" w:color="auto" w:sz="2" w:space="0"/>
              <w:left w:val="single" w:color="auto" w:sz="2" w:space="0"/>
              <w:bottom w:val="single" w:color="auto" w:sz="2" w:space="0"/>
              <w:right w:val="single" w:color="auto" w:sz="2" w:space="0"/>
            </w:tcBorders>
            <w:vAlign w:val="center"/>
          </w:tcPr>
          <w:p w14:paraId="2FDB0F50">
            <w:pPr>
              <w:spacing w:before="0" w:after="0" w:line="240" w:lineRule="exact"/>
              <w:jc w:val="left"/>
              <w:rPr>
                <w:rFonts w:ascii="宋体" w:hAnsi="宋体" w:eastAsia="宋体" w:cs="宋体"/>
                <w:sz w:val="18"/>
                <w:szCs w:val="18"/>
              </w:rPr>
            </w:pPr>
            <w:r>
              <w:rPr>
                <w:rFonts w:ascii="宋体" w:hAnsi="宋体" w:eastAsia="宋体" w:cs="宋体"/>
                <w:sz w:val="18"/>
                <w:szCs w:val="18"/>
              </w:rPr>
              <w:t>单项应收账款金额超过资产总额0.03%</w:t>
            </w:r>
          </w:p>
        </w:tc>
      </w:tr>
      <w:tr w14:paraId="5D7A66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17CB0489">
            <w:pPr>
              <w:spacing w:before="0" w:after="0" w:line="240" w:lineRule="exact"/>
              <w:jc w:val="left"/>
              <w:rPr>
                <w:rFonts w:ascii="宋体" w:hAnsi="宋体" w:eastAsia="宋体" w:cs="宋体"/>
                <w:sz w:val="18"/>
                <w:szCs w:val="18"/>
              </w:rPr>
            </w:pPr>
            <w:r>
              <w:rPr>
                <w:rFonts w:ascii="宋体" w:hAnsi="宋体" w:eastAsia="宋体" w:cs="宋体"/>
                <w:sz w:val="18"/>
                <w:szCs w:val="18"/>
              </w:rPr>
              <w:t>应收款项本期重要的坏账准备收回或转回金额</w:t>
            </w:r>
          </w:p>
        </w:tc>
        <w:tc>
          <w:tcPr>
            <w:tcW w:w="4820" w:type="dxa"/>
            <w:tcBorders>
              <w:top w:val="single" w:color="auto" w:sz="2" w:space="0"/>
              <w:left w:val="single" w:color="auto" w:sz="2" w:space="0"/>
              <w:bottom w:val="single" w:color="auto" w:sz="2" w:space="0"/>
              <w:right w:val="single" w:color="auto" w:sz="2" w:space="0"/>
            </w:tcBorders>
            <w:vAlign w:val="center"/>
          </w:tcPr>
          <w:p w14:paraId="2A204ED4">
            <w:pPr>
              <w:spacing w:before="0" w:after="0" w:line="240" w:lineRule="exact"/>
              <w:jc w:val="left"/>
              <w:rPr>
                <w:rFonts w:ascii="宋体" w:hAnsi="宋体" w:eastAsia="宋体" w:cs="宋体"/>
                <w:sz w:val="18"/>
                <w:szCs w:val="18"/>
              </w:rPr>
            </w:pPr>
            <w:r>
              <w:rPr>
                <w:rFonts w:ascii="宋体" w:hAnsi="宋体" w:eastAsia="宋体" w:cs="宋体"/>
                <w:sz w:val="18"/>
                <w:szCs w:val="18"/>
              </w:rPr>
              <w:t>单项应收账款金额超过资产总额0.03%</w:t>
            </w:r>
          </w:p>
        </w:tc>
      </w:tr>
      <w:tr w14:paraId="54F852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34689579">
            <w:pPr>
              <w:spacing w:before="0" w:after="0" w:line="240" w:lineRule="exact"/>
              <w:jc w:val="left"/>
              <w:rPr>
                <w:rFonts w:ascii="宋体" w:hAnsi="宋体" w:eastAsia="宋体" w:cs="宋体"/>
                <w:sz w:val="18"/>
                <w:szCs w:val="18"/>
              </w:rPr>
            </w:pPr>
            <w:r>
              <w:rPr>
                <w:rFonts w:ascii="宋体" w:hAnsi="宋体" w:eastAsia="宋体" w:cs="宋体"/>
                <w:sz w:val="18"/>
                <w:szCs w:val="18"/>
              </w:rPr>
              <w:t>重要的应收款项核销</w:t>
            </w:r>
          </w:p>
        </w:tc>
        <w:tc>
          <w:tcPr>
            <w:tcW w:w="4820" w:type="dxa"/>
            <w:tcBorders>
              <w:top w:val="single" w:color="auto" w:sz="2" w:space="0"/>
              <w:left w:val="single" w:color="auto" w:sz="2" w:space="0"/>
              <w:bottom w:val="single" w:color="auto" w:sz="2" w:space="0"/>
              <w:right w:val="single" w:color="auto" w:sz="2" w:space="0"/>
            </w:tcBorders>
            <w:vAlign w:val="center"/>
          </w:tcPr>
          <w:p w14:paraId="46486CAC">
            <w:pPr>
              <w:spacing w:before="0" w:after="0" w:line="240" w:lineRule="exact"/>
              <w:jc w:val="left"/>
              <w:rPr>
                <w:rFonts w:ascii="宋体" w:hAnsi="宋体" w:eastAsia="宋体" w:cs="宋体"/>
                <w:sz w:val="18"/>
                <w:szCs w:val="18"/>
              </w:rPr>
            </w:pPr>
            <w:r>
              <w:rPr>
                <w:rFonts w:ascii="宋体" w:hAnsi="宋体" w:eastAsia="宋体" w:cs="宋体"/>
                <w:sz w:val="18"/>
                <w:szCs w:val="18"/>
              </w:rPr>
              <w:t>单项金额超过资产总额0.03%</w:t>
            </w:r>
          </w:p>
        </w:tc>
      </w:tr>
      <w:tr w14:paraId="63CE27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0CC2ED0C">
            <w:pPr>
              <w:spacing w:before="0" w:after="0" w:line="240" w:lineRule="exact"/>
              <w:jc w:val="left"/>
              <w:rPr>
                <w:rFonts w:ascii="宋体" w:hAnsi="宋体" w:eastAsia="宋体" w:cs="宋体"/>
                <w:sz w:val="18"/>
                <w:szCs w:val="18"/>
              </w:rPr>
            </w:pPr>
            <w:r>
              <w:rPr>
                <w:rFonts w:ascii="宋体" w:hAnsi="宋体" w:eastAsia="宋体" w:cs="宋体"/>
                <w:sz w:val="18"/>
                <w:szCs w:val="18"/>
              </w:rPr>
              <w:t>重要的账龄超过1年的预付账款、应付账款</w:t>
            </w:r>
          </w:p>
        </w:tc>
        <w:tc>
          <w:tcPr>
            <w:tcW w:w="4820" w:type="dxa"/>
            <w:tcBorders>
              <w:top w:val="single" w:color="auto" w:sz="2" w:space="0"/>
              <w:left w:val="single" w:color="auto" w:sz="2" w:space="0"/>
              <w:bottom w:val="single" w:color="auto" w:sz="2" w:space="0"/>
              <w:right w:val="single" w:color="auto" w:sz="2" w:space="0"/>
            </w:tcBorders>
            <w:vAlign w:val="center"/>
          </w:tcPr>
          <w:p w14:paraId="006DFC65">
            <w:pPr>
              <w:spacing w:before="0" w:after="0" w:line="240" w:lineRule="exact"/>
              <w:jc w:val="left"/>
              <w:rPr>
                <w:rFonts w:ascii="宋体" w:hAnsi="宋体" w:eastAsia="宋体" w:cs="宋体"/>
                <w:sz w:val="18"/>
                <w:szCs w:val="18"/>
              </w:rPr>
            </w:pPr>
            <w:r>
              <w:rPr>
                <w:rFonts w:ascii="宋体" w:hAnsi="宋体" w:eastAsia="宋体" w:cs="宋体"/>
                <w:sz w:val="18"/>
                <w:szCs w:val="18"/>
              </w:rPr>
              <w:t>单项金额超过资产总额0.03%</w:t>
            </w:r>
          </w:p>
        </w:tc>
      </w:tr>
      <w:tr w14:paraId="22D868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5B35FE65">
            <w:pPr>
              <w:spacing w:before="0" w:after="0" w:line="240" w:lineRule="exact"/>
              <w:jc w:val="left"/>
              <w:rPr>
                <w:rFonts w:ascii="宋体" w:hAnsi="宋体" w:eastAsia="宋体" w:cs="宋体"/>
                <w:sz w:val="18"/>
                <w:szCs w:val="18"/>
              </w:rPr>
            </w:pPr>
            <w:r>
              <w:rPr>
                <w:rFonts w:ascii="宋体" w:hAnsi="宋体" w:eastAsia="宋体" w:cs="宋体"/>
                <w:sz w:val="18"/>
                <w:szCs w:val="18"/>
              </w:rPr>
              <w:t>重要的在建工程</w:t>
            </w:r>
          </w:p>
        </w:tc>
        <w:tc>
          <w:tcPr>
            <w:tcW w:w="4820" w:type="dxa"/>
            <w:tcBorders>
              <w:top w:val="single" w:color="auto" w:sz="2" w:space="0"/>
              <w:left w:val="single" w:color="auto" w:sz="2" w:space="0"/>
              <w:bottom w:val="single" w:color="auto" w:sz="2" w:space="0"/>
              <w:right w:val="single" w:color="auto" w:sz="2" w:space="0"/>
            </w:tcBorders>
            <w:vAlign w:val="center"/>
          </w:tcPr>
          <w:p w14:paraId="48AACD44">
            <w:pPr>
              <w:spacing w:before="0" w:after="0" w:line="240" w:lineRule="exact"/>
              <w:jc w:val="left"/>
              <w:rPr>
                <w:rFonts w:ascii="宋体" w:hAnsi="宋体" w:eastAsia="宋体" w:cs="宋体"/>
                <w:sz w:val="18"/>
                <w:szCs w:val="18"/>
              </w:rPr>
            </w:pPr>
            <w:r>
              <w:rPr>
                <w:rFonts w:ascii="宋体" w:hAnsi="宋体" w:eastAsia="宋体" w:cs="宋体"/>
                <w:sz w:val="18"/>
                <w:szCs w:val="18"/>
              </w:rPr>
              <w:t>募投项目涉及的在建工程项目、单个项目预算投入金额在1000万元以上</w:t>
            </w:r>
          </w:p>
        </w:tc>
      </w:tr>
      <w:tr w14:paraId="3906CD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3268E4BF">
            <w:pPr>
              <w:spacing w:before="0" w:after="0" w:line="240" w:lineRule="exact"/>
              <w:jc w:val="left"/>
              <w:rPr>
                <w:rFonts w:ascii="宋体" w:hAnsi="宋体" w:eastAsia="宋体" w:cs="宋体"/>
                <w:sz w:val="18"/>
                <w:szCs w:val="18"/>
              </w:rPr>
            </w:pPr>
            <w:r>
              <w:rPr>
                <w:rFonts w:ascii="宋体" w:hAnsi="宋体" w:eastAsia="宋体" w:cs="宋体"/>
                <w:sz w:val="18"/>
                <w:szCs w:val="18"/>
              </w:rPr>
              <w:t>账龄超过1年且金额重要的合同负债</w:t>
            </w:r>
          </w:p>
        </w:tc>
        <w:tc>
          <w:tcPr>
            <w:tcW w:w="4820" w:type="dxa"/>
            <w:tcBorders>
              <w:top w:val="single" w:color="auto" w:sz="2" w:space="0"/>
              <w:left w:val="single" w:color="auto" w:sz="2" w:space="0"/>
              <w:bottom w:val="single" w:color="auto" w:sz="2" w:space="0"/>
              <w:right w:val="single" w:color="auto" w:sz="2" w:space="0"/>
            </w:tcBorders>
            <w:vAlign w:val="center"/>
          </w:tcPr>
          <w:p w14:paraId="66FEBD52">
            <w:pPr>
              <w:spacing w:before="0" w:after="0" w:line="240" w:lineRule="exact"/>
              <w:jc w:val="left"/>
              <w:rPr>
                <w:rFonts w:ascii="宋体" w:hAnsi="宋体" w:eastAsia="宋体" w:cs="宋体"/>
                <w:sz w:val="18"/>
                <w:szCs w:val="18"/>
              </w:rPr>
            </w:pPr>
            <w:r>
              <w:rPr>
                <w:rFonts w:ascii="宋体" w:hAnsi="宋体" w:eastAsia="宋体" w:cs="宋体"/>
                <w:sz w:val="18"/>
                <w:szCs w:val="18"/>
              </w:rPr>
              <w:t>单项账龄超过1年的合同负债占合同负债总额的</w:t>
            </w:r>
          </w:p>
          <w:p w14:paraId="2A882A37">
            <w:pPr>
              <w:spacing w:before="0" w:after="0" w:line="240" w:lineRule="exact"/>
              <w:jc w:val="left"/>
              <w:rPr>
                <w:rFonts w:ascii="宋体" w:hAnsi="宋体" w:eastAsia="宋体" w:cs="宋体"/>
                <w:sz w:val="18"/>
                <w:szCs w:val="18"/>
              </w:rPr>
            </w:pPr>
          </w:p>
          <w:p w14:paraId="1003062C">
            <w:pPr>
              <w:spacing w:before="0" w:after="0" w:line="240" w:lineRule="exact"/>
              <w:jc w:val="left"/>
              <w:rPr>
                <w:rFonts w:ascii="宋体" w:hAnsi="宋体" w:eastAsia="宋体" w:cs="宋体"/>
                <w:sz w:val="18"/>
                <w:szCs w:val="18"/>
              </w:rPr>
            </w:pPr>
            <w:r>
              <w:rPr>
                <w:rFonts w:ascii="宋体" w:hAnsi="宋体" w:eastAsia="宋体" w:cs="宋体"/>
                <w:sz w:val="18"/>
                <w:szCs w:val="18"/>
              </w:rPr>
              <w:t>10%以上</w:t>
            </w:r>
          </w:p>
        </w:tc>
      </w:tr>
      <w:tr w14:paraId="4018BE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5B79DC28">
            <w:pPr>
              <w:spacing w:before="0" w:after="0" w:line="240" w:lineRule="exact"/>
              <w:jc w:val="left"/>
              <w:rPr>
                <w:rFonts w:ascii="宋体" w:hAnsi="宋体" w:eastAsia="宋体" w:cs="宋体"/>
                <w:sz w:val="18"/>
                <w:szCs w:val="18"/>
              </w:rPr>
            </w:pPr>
            <w:r>
              <w:rPr>
                <w:rFonts w:ascii="宋体" w:hAnsi="宋体" w:eastAsia="宋体" w:cs="宋体"/>
                <w:sz w:val="18"/>
                <w:szCs w:val="18"/>
              </w:rPr>
              <w:t>重要的非全资子公司</w:t>
            </w:r>
          </w:p>
        </w:tc>
        <w:tc>
          <w:tcPr>
            <w:tcW w:w="4820" w:type="dxa"/>
            <w:tcBorders>
              <w:top w:val="single" w:color="auto" w:sz="2" w:space="0"/>
              <w:left w:val="single" w:color="auto" w:sz="2" w:space="0"/>
              <w:bottom w:val="single" w:color="auto" w:sz="2" w:space="0"/>
              <w:right w:val="single" w:color="auto" w:sz="2" w:space="0"/>
            </w:tcBorders>
            <w:vAlign w:val="center"/>
          </w:tcPr>
          <w:p w14:paraId="1DC6FF49">
            <w:pPr>
              <w:spacing w:before="0" w:after="0" w:line="240" w:lineRule="exact"/>
              <w:jc w:val="left"/>
              <w:rPr>
                <w:rFonts w:ascii="宋体" w:hAnsi="宋体" w:eastAsia="宋体" w:cs="宋体"/>
                <w:sz w:val="18"/>
                <w:szCs w:val="18"/>
              </w:rPr>
            </w:pPr>
            <w:r>
              <w:rPr>
                <w:rFonts w:ascii="宋体" w:hAnsi="宋体" w:eastAsia="宋体" w:cs="宋体"/>
                <w:sz w:val="18"/>
                <w:szCs w:val="18"/>
              </w:rPr>
              <w:t>资产总额、营业收入、净利润（三者任一）占合并报表相应指标的10%以上</w:t>
            </w:r>
          </w:p>
        </w:tc>
      </w:tr>
      <w:tr w14:paraId="75B210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02E4272E">
            <w:pPr>
              <w:spacing w:before="0" w:after="0" w:line="240" w:lineRule="exact"/>
              <w:jc w:val="left"/>
              <w:rPr>
                <w:rFonts w:ascii="宋体" w:hAnsi="宋体" w:eastAsia="宋体" w:cs="宋体"/>
                <w:sz w:val="18"/>
                <w:szCs w:val="18"/>
              </w:rPr>
            </w:pPr>
            <w:r>
              <w:rPr>
                <w:rFonts w:ascii="宋体" w:hAnsi="宋体" w:eastAsia="宋体" w:cs="宋体"/>
                <w:sz w:val="18"/>
                <w:szCs w:val="18"/>
              </w:rPr>
              <w:t>重要合营企业或联营企业</w:t>
            </w:r>
          </w:p>
        </w:tc>
        <w:tc>
          <w:tcPr>
            <w:tcW w:w="4820" w:type="dxa"/>
            <w:tcBorders>
              <w:top w:val="single" w:color="auto" w:sz="2" w:space="0"/>
              <w:left w:val="single" w:color="auto" w:sz="2" w:space="0"/>
              <w:bottom w:val="single" w:color="auto" w:sz="2" w:space="0"/>
              <w:right w:val="single" w:color="auto" w:sz="2" w:space="0"/>
            </w:tcBorders>
            <w:vAlign w:val="center"/>
          </w:tcPr>
          <w:p w14:paraId="6C3B3685">
            <w:pPr>
              <w:spacing w:before="0" w:after="0" w:line="240" w:lineRule="exact"/>
              <w:jc w:val="left"/>
              <w:rPr>
                <w:rFonts w:ascii="宋体" w:hAnsi="宋体" w:eastAsia="宋体" w:cs="宋体"/>
                <w:sz w:val="18"/>
                <w:szCs w:val="18"/>
              </w:rPr>
            </w:pPr>
            <w:r>
              <w:rPr>
                <w:rFonts w:ascii="宋体" w:hAnsi="宋体" w:eastAsia="宋体" w:cs="宋体"/>
                <w:sz w:val="18"/>
                <w:szCs w:val="18"/>
              </w:rPr>
              <w:t>对合营或联营企业的长期股权投资账面价值超过资产总额5%或权益法下本期投资损益占合并净利润的10%以上</w:t>
            </w:r>
          </w:p>
        </w:tc>
      </w:tr>
      <w:tr w14:paraId="5380C0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0BAC5FF5">
            <w:pPr>
              <w:spacing w:before="0" w:after="0" w:line="240" w:lineRule="exact"/>
              <w:jc w:val="left"/>
              <w:rPr>
                <w:rFonts w:ascii="宋体" w:hAnsi="宋体" w:eastAsia="宋体" w:cs="宋体"/>
                <w:sz w:val="18"/>
                <w:szCs w:val="18"/>
              </w:rPr>
            </w:pPr>
            <w:r>
              <w:rPr>
                <w:rFonts w:ascii="宋体" w:hAnsi="宋体" w:eastAsia="宋体" w:cs="宋体"/>
                <w:sz w:val="18"/>
                <w:szCs w:val="18"/>
              </w:rPr>
              <w:t>重要的资本化研发项目</w:t>
            </w:r>
          </w:p>
        </w:tc>
        <w:tc>
          <w:tcPr>
            <w:tcW w:w="4820" w:type="dxa"/>
            <w:tcBorders>
              <w:top w:val="single" w:color="auto" w:sz="2" w:space="0"/>
              <w:left w:val="single" w:color="auto" w:sz="2" w:space="0"/>
              <w:bottom w:val="single" w:color="auto" w:sz="2" w:space="0"/>
              <w:right w:val="single" w:color="auto" w:sz="2" w:space="0"/>
            </w:tcBorders>
            <w:vAlign w:val="center"/>
          </w:tcPr>
          <w:p w14:paraId="4BCAEF95">
            <w:pPr>
              <w:spacing w:before="0" w:after="0" w:line="240" w:lineRule="exact"/>
              <w:jc w:val="left"/>
              <w:rPr>
                <w:rFonts w:ascii="宋体" w:hAnsi="宋体" w:eastAsia="宋体" w:cs="宋体"/>
                <w:sz w:val="18"/>
                <w:szCs w:val="18"/>
              </w:rPr>
            </w:pPr>
            <w:r>
              <w:rPr>
                <w:rFonts w:ascii="宋体" w:hAnsi="宋体" w:eastAsia="宋体" w:cs="宋体"/>
                <w:sz w:val="18"/>
                <w:szCs w:val="18"/>
              </w:rPr>
              <w:t>单个项目资本化累计金额超过资产总额2%的项目</w:t>
            </w:r>
          </w:p>
        </w:tc>
      </w:tr>
      <w:tr w14:paraId="4A24AB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1C5EB7ED">
            <w:pPr>
              <w:spacing w:before="0" w:after="0" w:line="240" w:lineRule="exact"/>
              <w:jc w:val="left"/>
              <w:rPr>
                <w:rFonts w:ascii="宋体" w:hAnsi="宋体" w:eastAsia="宋体" w:cs="宋体"/>
                <w:sz w:val="18"/>
                <w:szCs w:val="18"/>
              </w:rPr>
            </w:pPr>
            <w:r>
              <w:rPr>
                <w:rFonts w:ascii="宋体" w:hAnsi="宋体" w:eastAsia="宋体" w:cs="宋体"/>
                <w:sz w:val="18"/>
                <w:szCs w:val="18"/>
              </w:rPr>
              <w:t>重要的投资活动</w:t>
            </w:r>
          </w:p>
        </w:tc>
        <w:tc>
          <w:tcPr>
            <w:tcW w:w="4820" w:type="dxa"/>
            <w:tcBorders>
              <w:top w:val="single" w:color="auto" w:sz="2" w:space="0"/>
              <w:left w:val="single" w:color="auto" w:sz="2" w:space="0"/>
              <w:bottom w:val="single" w:color="auto" w:sz="2" w:space="0"/>
              <w:right w:val="single" w:color="auto" w:sz="2" w:space="0"/>
            </w:tcBorders>
            <w:vAlign w:val="center"/>
          </w:tcPr>
          <w:p w14:paraId="4EAF6595">
            <w:pPr>
              <w:spacing w:before="0" w:after="0" w:line="240" w:lineRule="exact"/>
              <w:jc w:val="left"/>
              <w:rPr>
                <w:rFonts w:ascii="宋体" w:hAnsi="宋体" w:eastAsia="宋体" w:cs="宋体"/>
                <w:sz w:val="18"/>
                <w:szCs w:val="18"/>
              </w:rPr>
            </w:pPr>
            <w:r>
              <w:rPr>
                <w:rFonts w:ascii="宋体" w:hAnsi="宋体" w:eastAsia="宋体" w:cs="宋体"/>
                <w:sz w:val="18"/>
                <w:szCs w:val="18"/>
              </w:rPr>
              <w:t>单项投资活动占收到或支付投资活动相关的现金流入或流出总额的10%以上且金额大于1000万元人民币</w:t>
            </w:r>
          </w:p>
        </w:tc>
      </w:tr>
    </w:tbl>
    <w:p w14:paraId="35A659D4">
      <w:pPr>
        <w:keepNext/>
        <w:keepLines/>
        <w:spacing w:before="300" w:after="300" w:line="280" w:lineRule="exact"/>
        <w:jc w:val="left"/>
        <w:outlineLvl w:val="2"/>
        <w:rPr>
          <w:rFonts w:ascii="宋体" w:hAnsi="宋体" w:eastAsia="宋体" w:cs="宋体"/>
          <w:b/>
          <w:bCs/>
          <w:sz w:val="21"/>
          <w:szCs w:val="21"/>
        </w:rPr>
      </w:pPr>
      <w:bookmarkStart w:id="171" w:name="_Toc989058"/>
      <w:r>
        <w:rPr>
          <w:rFonts w:ascii="宋体" w:hAnsi="宋体" w:eastAsia="宋体" w:cs="宋体"/>
          <w:b/>
          <w:bCs/>
          <w:sz w:val="21"/>
          <w:szCs w:val="21"/>
        </w:rPr>
        <w:t>6、同一控制下和非同一控制下企业合并的会计处理方法</w:t>
      </w:r>
      <w:bookmarkEnd w:id="171"/>
    </w:p>
    <w:p w14:paraId="34DB52C5">
      <w:pPr>
        <w:pStyle w:val="2"/>
        <w:keepNext w:val="0"/>
        <w:keepLines w:val="0"/>
        <w:widowControl/>
        <w:suppressLineNumbers w:val="0"/>
        <w:spacing w:before="0" w:beforeAutospacing="0" w:after="0" w:afterAutospacing="0" w:line="415" w:lineRule="auto"/>
        <w:ind w:left="560" w:right="312"/>
        <w:rPr>
          <w:rFonts w:hint="default" w:ascii="Times New Roman" w:hAnsi="Times New Roman" w:cs="Times New Roman"/>
          <w:sz w:val="21"/>
          <w:szCs w:val="21"/>
        </w:rPr>
      </w:pPr>
      <w:r>
        <w:rPr>
          <w:rStyle w:val="6"/>
          <w:rFonts w:hint="eastAsia" w:ascii="宋体" w:hAnsi="宋体" w:eastAsia="宋体" w:cs="宋体"/>
          <w:b/>
          <w:bCs/>
          <w:spacing w:val="-4"/>
          <w:sz w:val="21"/>
          <w:szCs w:val="21"/>
        </w:rPr>
        <w:t>1.分步实现企业合并过程中的各项交易的条款、条件以及经济影响符合以下一种或多</w:t>
      </w:r>
      <w:r>
        <w:rPr>
          <w:rStyle w:val="6"/>
          <w:rFonts w:hint="eastAsia" w:ascii="宋体" w:hAnsi="宋体" w:eastAsia="宋体" w:cs="宋体"/>
          <w:b/>
          <w:bCs/>
          <w:spacing w:val="-3"/>
          <w:sz w:val="21"/>
          <w:szCs w:val="21"/>
        </w:rPr>
        <w:t>种情况，将多次交易事项作为一揽子交易进行会计处理</w:t>
      </w:r>
    </w:p>
    <w:p w14:paraId="60649595">
      <w:pPr>
        <w:pStyle w:val="2"/>
        <w:keepNext w:val="0"/>
        <w:keepLines w:val="0"/>
        <w:widowControl/>
        <w:suppressLineNumbers w:val="0"/>
        <w:spacing w:before="0" w:beforeAutospacing="0" w:after="0" w:afterAutospacing="0" w:line="360" w:lineRule="auto"/>
        <w:ind w:left="0" w:right="0"/>
        <w:rPr>
          <w:rFonts w:hint="default" w:ascii="Times New Roman" w:hAnsi="Times New Roman" w:cs="Times New Roman"/>
          <w:sz w:val="21"/>
          <w:szCs w:val="21"/>
        </w:rPr>
      </w:pPr>
      <w:r>
        <w:rPr>
          <w:rFonts w:hint="eastAsia" w:ascii="宋体" w:hAnsi="宋体" w:eastAsia="宋体" w:cs="宋体"/>
          <w:sz w:val="21"/>
          <w:szCs w:val="21"/>
        </w:rPr>
        <w:t>（1）这些交易是同时或者在考虑了彼此影响的情况下订立的；</w:t>
      </w:r>
    </w:p>
    <w:p w14:paraId="0A0C96DD">
      <w:pPr>
        <w:pStyle w:val="2"/>
        <w:keepNext w:val="0"/>
        <w:keepLines w:val="0"/>
        <w:widowControl/>
        <w:suppressLineNumbers w:val="0"/>
        <w:spacing w:before="0" w:beforeAutospacing="0" w:after="0" w:afterAutospacing="0" w:line="360" w:lineRule="auto"/>
        <w:ind w:left="0" w:right="0"/>
        <w:rPr>
          <w:rFonts w:hint="default" w:ascii="Times New Roman" w:hAnsi="Times New Roman" w:cs="Times New Roman"/>
          <w:sz w:val="21"/>
          <w:szCs w:val="21"/>
        </w:rPr>
      </w:pPr>
      <w:r>
        <w:rPr>
          <w:rFonts w:hint="eastAsia" w:ascii="宋体" w:hAnsi="宋体" w:eastAsia="宋体" w:cs="宋体"/>
          <w:sz w:val="21"/>
          <w:szCs w:val="21"/>
        </w:rPr>
        <w:t>（2）这些交易整体才能达成一项完整的商业结果；</w:t>
      </w:r>
    </w:p>
    <w:p w14:paraId="327756D2">
      <w:pPr>
        <w:pStyle w:val="2"/>
        <w:keepNext w:val="0"/>
        <w:keepLines w:val="0"/>
        <w:widowControl/>
        <w:suppressLineNumbers w:val="0"/>
        <w:spacing w:before="0" w:beforeAutospacing="0" w:after="0" w:afterAutospacing="0" w:line="360" w:lineRule="auto"/>
        <w:ind w:left="0" w:right="0"/>
        <w:rPr>
          <w:rFonts w:hint="default" w:ascii="Times New Roman" w:hAnsi="Times New Roman" w:cs="Times New Roman"/>
          <w:sz w:val="21"/>
          <w:szCs w:val="21"/>
        </w:rPr>
      </w:pPr>
      <w:r>
        <w:rPr>
          <w:rFonts w:hint="eastAsia" w:ascii="宋体" w:hAnsi="宋体" w:eastAsia="宋体" w:cs="宋体"/>
          <w:sz w:val="21"/>
          <w:szCs w:val="21"/>
        </w:rPr>
        <w:t>（3）一项交易的发生取决于其他至少一项交易的发生；</w:t>
      </w:r>
    </w:p>
    <w:p w14:paraId="72DD77D7">
      <w:pPr>
        <w:pStyle w:val="2"/>
        <w:keepNext w:val="0"/>
        <w:keepLines w:val="0"/>
        <w:widowControl/>
        <w:suppressLineNumbers w:val="0"/>
        <w:spacing w:before="0" w:beforeAutospacing="0" w:after="0" w:afterAutospacing="0" w:line="360" w:lineRule="auto"/>
        <w:ind w:left="0" w:right="0"/>
        <w:rPr>
          <w:rFonts w:hint="default" w:ascii="Times New Roman" w:hAnsi="Times New Roman" w:cs="Times New Roman"/>
          <w:sz w:val="21"/>
          <w:szCs w:val="21"/>
        </w:rPr>
      </w:pPr>
      <w:r>
        <w:rPr>
          <w:rFonts w:hint="eastAsia" w:ascii="宋体" w:hAnsi="宋体" w:eastAsia="宋体" w:cs="宋体"/>
          <w:sz w:val="21"/>
          <w:szCs w:val="21"/>
        </w:rPr>
        <w:t>（4）一项交易单独看是不经济的，但是和其他交易一并考虑时是经济的。</w:t>
      </w:r>
    </w:p>
    <w:p w14:paraId="3CC74C33">
      <w:pPr>
        <w:pStyle w:val="2"/>
        <w:keepNext w:val="0"/>
        <w:keepLines w:val="0"/>
        <w:widowControl/>
        <w:suppressLineNumbers w:val="0"/>
        <w:spacing w:before="1"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2.同一控制下的企业合并</w:t>
      </w:r>
    </w:p>
    <w:p w14:paraId="3CDCDECB">
      <w:pPr>
        <w:pStyle w:val="2"/>
        <w:keepNext w:val="0"/>
        <w:keepLines w:val="0"/>
        <w:widowControl/>
        <w:suppressLineNumbers w:val="0"/>
        <w:spacing w:before="6"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0FFB1883">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参与合并的企业在合并前后均受同一方或相同的多方最终控制，且该控制并非暂时性的，为同一控制下的企业合并。</w:t>
      </w:r>
    </w:p>
    <w:p w14:paraId="4BA7C1BE">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在企业合并中取得的资产和负债，按照合并日在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14:paraId="78C7FB2F">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如果存在或有对价并需要确认预计负债或资产，该预计负债或资产金额与后续或有对价结算金额的差额，调整资本公积（资本溢价或股本溢价），资本公积不足的，调整留存收益。</w:t>
      </w:r>
    </w:p>
    <w:p w14:paraId="713AC031">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对于通过多次交易最终实现企业合并的，属于一揽子交易的，将各项交易作为一项取得控制权的交易进行会计处理；不属于一揽子交易的，在取得控制权日，长期股权投资初始投资成本，与达到合并前的长期股权投资账面价值加上合并日进一步取得股份新支付对价的账面价值之和的差额，调整资本公积；资本公积不足冲减的，调整留存收益。对于合并日之前持有的股权投资，因采用权益法核算或金融工具确认和计量准则核算而确认的其他综合收益，</w:t>
      </w:r>
      <w:r>
        <w:rPr>
          <w:rFonts w:hint="eastAsia" w:ascii="宋体" w:hAnsi="宋体" w:eastAsia="宋体" w:cs="宋体"/>
          <w:spacing w:val="-12"/>
          <w:sz w:val="21"/>
          <w:szCs w:val="21"/>
        </w:rPr>
        <w:t>暂不进行会计处理，直至处置该项投资时采用与被投资单位直接处置相关资产或负债相同的基础进行会计处理；因采用权益法核算而确认的被投资单位净资产中除净损益、其他综合收</w:t>
      </w:r>
      <w:r>
        <w:rPr>
          <w:rFonts w:hint="eastAsia" w:ascii="宋体" w:hAnsi="宋体" w:eastAsia="宋体" w:cs="宋体"/>
          <w:spacing w:val="-11"/>
          <w:sz w:val="21"/>
          <w:szCs w:val="21"/>
        </w:rPr>
        <w:t>益和利润分配以外的所有者权益其他变动，暂不进行会计处理，直至处置该项投资时转入当</w:t>
      </w:r>
      <w:r>
        <w:rPr>
          <w:rFonts w:hint="eastAsia" w:ascii="宋体" w:hAnsi="宋体" w:eastAsia="宋体" w:cs="宋体"/>
          <w:spacing w:val="-8"/>
          <w:sz w:val="21"/>
          <w:szCs w:val="21"/>
        </w:rPr>
        <w:t>期损益。</w:t>
      </w:r>
    </w:p>
    <w:p w14:paraId="469FF6CF">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3.非同一控制下的企业合并</w:t>
      </w:r>
    </w:p>
    <w:p w14:paraId="64841A21">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5CD5900B">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参与合并的企业在合并前后不受同一方或相同的多方最终控制，为非同一控制下的企业合并。</w:t>
      </w:r>
    </w:p>
    <w:p w14:paraId="2EE0A406">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本公司在购买日对作为企业合并对价付出的资产、发生或承担的负债按照公允价值计量，公允价值与其账面价值的差额，计入当期损益。</w:t>
      </w:r>
    </w:p>
    <w:p w14:paraId="491E5056">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购买日是指本公司实际取得对被购买方控制权的日期，即被购买方的净资产或生产经营决策的控制权转移给本公司的日期。同时满足下列条件时，本公司一般认为实现了控制权的转移：</w:t>
      </w:r>
    </w:p>
    <w:p w14:paraId="0E2D0123">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①企业合并合同或协议已获本公司内部权力机构通过。</w:t>
      </w:r>
    </w:p>
    <w:p w14:paraId="635BA38F">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②企业合并事项需要经过国家有关主管部门审批的，已获得批准。</w:t>
      </w:r>
    </w:p>
    <w:p w14:paraId="01E5A6EB">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③已办理了必要的财产权转移手续。</w:t>
      </w:r>
    </w:p>
    <w:p w14:paraId="37342C66">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④本公司已支付了合并价款的大部分，并且有能力、有计划支付剩余款项。</w:t>
      </w:r>
    </w:p>
    <w:p w14:paraId="69E38D8A">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⑤本公司实际上已经控制了被购买方的财务和经营政策，并享有相应的利益、承担相应的风险。</w:t>
      </w:r>
    </w:p>
    <w:p w14:paraId="607E5B8A">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对合并成本大于合并中取得的被购买方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计入当期损益。通过多次交换交易分步实现的非同一控制下企业合并，属于一揽子交易的，将各项交易作为一项取得控制权的交易进行会计处理；不属于一揽子交易的，合并日之前持有的股权投资采用权益法核算的，以购买日之前所持被购买方的股权投资的账面价值与购买日新增投资成本之和，作为该项投资的初始投资成本；购买日之前持有的股权投资因采用权益法核算而确认的其他综合收益，在处置该项投资时采用与被投资单位直接处置相关资产或负债相同的基础进行会计处理。合并日之前持有的股权投资采用金融工具确认和计量准则核算的，以该</w:t>
      </w:r>
      <w:r>
        <w:rPr>
          <w:rFonts w:hint="eastAsia" w:ascii="宋体" w:hAnsi="宋体" w:eastAsia="宋体" w:cs="宋体"/>
          <w:spacing w:val="-7"/>
          <w:sz w:val="21"/>
          <w:szCs w:val="21"/>
        </w:rPr>
        <w:t>股权投资在合并日的公允价值加上新增投资成本之和，作为合并日的初始投资成本。原持有股权的公允价值与账面价值之间的差额以及原计入其他综合收益的累计公允价值变动应全</w:t>
      </w:r>
      <w:r>
        <w:rPr>
          <w:rFonts w:hint="eastAsia" w:ascii="宋体" w:hAnsi="宋体" w:eastAsia="宋体" w:cs="宋体"/>
          <w:spacing w:val="-5"/>
          <w:sz w:val="21"/>
          <w:szCs w:val="21"/>
        </w:rPr>
        <w:t>部转入合并日当期的投资收益。</w:t>
      </w:r>
    </w:p>
    <w:p w14:paraId="7CA6094F">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4.为合并发生的相关费用</w:t>
      </w:r>
    </w:p>
    <w:p w14:paraId="49DD9CAA">
      <w:pPr>
        <w:pStyle w:val="2"/>
        <w:keepNext w:val="0"/>
        <w:keepLines w:val="0"/>
        <w:widowControl/>
        <w:suppressLineNumbers w:val="0"/>
        <w:spacing w:before="6"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15B2EF45">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为企业合并发生的审计、法律服务、评估咨询等中介费用以及其他直接相关费用，于发生时计入当期损益；为企业合并而发行权益性证券的交易费用，可直接归属于权益性交易的从权益中扣减。</w:t>
      </w:r>
    </w:p>
    <w:p w14:paraId="1DD2B128">
      <w:pPr>
        <w:keepNext/>
        <w:keepLines/>
        <w:spacing w:before="300" w:after="300" w:line="280" w:lineRule="exact"/>
        <w:jc w:val="left"/>
        <w:outlineLvl w:val="2"/>
        <w:rPr>
          <w:rFonts w:ascii="宋体" w:hAnsi="宋体" w:eastAsia="宋体" w:cs="宋体"/>
          <w:b/>
          <w:bCs/>
          <w:sz w:val="21"/>
          <w:szCs w:val="21"/>
        </w:rPr>
      </w:pPr>
      <w:bookmarkStart w:id="172" w:name="_Toc989059"/>
      <w:r>
        <w:rPr>
          <w:rFonts w:ascii="宋体" w:hAnsi="宋体" w:eastAsia="宋体" w:cs="宋体"/>
          <w:b/>
          <w:bCs/>
          <w:sz w:val="21"/>
          <w:szCs w:val="21"/>
        </w:rPr>
        <w:t>7、控制的判断标准和合并财务报表的编制方法</w:t>
      </w:r>
      <w:bookmarkEnd w:id="172"/>
    </w:p>
    <w:p w14:paraId="00B798E5">
      <w:pPr>
        <w:pStyle w:val="2"/>
        <w:keepNext w:val="0"/>
        <w:keepLines w:val="0"/>
        <w:widowControl/>
        <w:suppressLineNumbers w:val="0"/>
        <w:spacing w:before="0"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1.合并范围</w:t>
      </w:r>
    </w:p>
    <w:p w14:paraId="56297DDA">
      <w:pPr>
        <w:pStyle w:val="2"/>
        <w:keepNext w:val="0"/>
        <w:keepLines w:val="0"/>
        <w:widowControl/>
        <w:suppressLineNumbers w:val="0"/>
        <w:spacing w:before="0" w:beforeAutospacing="0" w:after="0" w:afterAutospacing="0" w:line="360" w:lineRule="auto"/>
        <w:ind w:left="0" w:right="0" w:firstLine="420"/>
        <w:rPr>
          <w:rFonts w:hint="default" w:ascii="Times New Roman" w:hAnsi="Times New Roman" w:cs="Times New Roman"/>
          <w:sz w:val="21"/>
          <w:szCs w:val="21"/>
        </w:rPr>
      </w:pPr>
      <w:r>
        <w:rPr>
          <w:rFonts w:hint="eastAsia" w:ascii="宋体" w:hAnsi="宋体" w:eastAsia="宋体" w:cs="宋体"/>
          <w:sz w:val="21"/>
          <w:szCs w:val="21"/>
        </w:rPr>
        <w:t>本公司合并财务报表的合并范围以控制为基础确定，所有子公司（包括本公司所控制的单独主体）均纳入合并财务报表。</w:t>
      </w:r>
    </w:p>
    <w:p w14:paraId="173EEC00">
      <w:pPr>
        <w:pStyle w:val="2"/>
        <w:keepNext w:val="0"/>
        <w:keepLines w:val="0"/>
        <w:widowControl/>
        <w:suppressLineNumbers w:val="0"/>
        <w:spacing w:before="157"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2.合并程序</w:t>
      </w:r>
    </w:p>
    <w:p w14:paraId="36D8059D">
      <w:pPr>
        <w:pStyle w:val="2"/>
        <w:keepNext w:val="0"/>
        <w:keepLines w:val="0"/>
        <w:widowControl/>
        <w:suppressLineNumbers w:val="0"/>
        <w:spacing w:before="6"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546E8664">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14:paraId="274363F4">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所有纳入合并财务报表合并范围的子公司所采用的会计政策、会计期间与本公司一致，如子公司采用的会计政策、会计期间与本公司不一致的，在编制合并财务报表时，按本公司的会计政策、会计期间进行必要的调整。</w:t>
      </w:r>
    </w:p>
    <w:p w14:paraId="0A8AC5AE">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合并财务报表时抵销本公司与各子公司、各子公司相互之间发生的内部交易对合并资产负债表、合并利润表、合并现金流量表、合并股东权益变动表的影响。如果站在企业集团合并财务报表角度与以本公司或子公司为会计主体对同一交易的认定不同时，从企业集团的角度对该交易予以调整。</w:t>
      </w:r>
    </w:p>
    <w:p w14:paraId="354322BD">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14:paraId="719BEDD2">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对于同一控制下企业合并取得的子公司，以其资产、负债（包括最终控制方收购该子公司而形成的商誉）在最终控制方财务报表中的账面价值为基础对其财务报表进行调整。</w:t>
      </w:r>
    </w:p>
    <w:p w14:paraId="79869814">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对于非同一控制下企业合并取得的子公司，以购买日可辨认净资产公允价值为基础对其财务报表进行调整</w:t>
      </w:r>
    </w:p>
    <w:p w14:paraId="0543E1A6">
      <w:pPr>
        <w:pStyle w:val="2"/>
        <w:keepNext w:val="0"/>
        <w:keepLines w:val="0"/>
        <w:widowControl/>
        <w:suppressLineNumbers w:val="0"/>
        <w:spacing w:before="0" w:beforeAutospacing="0" w:after="0" w:afterAutospacing="0" w:line="269" w:lineRule="atLeast"/>
        <w:ind w:left="558" w:right="0"/>
        <w:rPr>
          <w:rFonts w:hint="default" w:ascii="Times New Roman" w:hAnsi="Times New Roman" w:cs="Times New Roman"/>
          <w:sz w:val="21"/>
          <w:szCs w:val="21"/>
        </w:rPr>
      </w:pPr>
      <w:r>
        <w:rPr>
          <w:rFonts w:hint="eastAsia" w:ascii="宋体" w:hAnsi="宋体" w:eastAsia="宋体" w:cs="宋体"/>
          <w:spacing w:val="-3"/>
          <w:sz w:val="21"/>
          <w:szCs w:val="21"/>
        </w:rPr>
        <w:t>（1）增加子公司或业务</w:t>
      </w:r>
    </w:p>
    <w:p w14:paraId="4B6FAD9B">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5"/>
          <w:szCs w:val="15"/>
        </w:rPr>
        <w:t> </w:t>
      </w:r>
    </w:p>
    <w:p w14:paraId="511F80B1">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在报告期内，若因同一控制下企业合并增加子公司或业务的，则调整合并资产负债表的期初数；将子公司或业务合并当期期初至报告期末的收入、费用、利润纳入合并利润表；将子公司或业务合并当期期初至报告期末的现金流量纳入合并现金流量表，同时对比较报表的相关项目进行调整，视同合并后的报告主体自最终控制方开始控制时点起一直存在。</w:t>
      </w:r>
    </w:p>
    <w:p w14:paraId="7C0B5946">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因追加投资等原因能够对同一控制下的被投资方实施控制的，视同参与合并的各方在最终控制方开始控制时即以目前的状态存在进行调整。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14:paraId="40F2B043">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在报告期内，若因非同一控制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14:paraId="1F7DA5F9">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因追加投资等原因能够对非同一控制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14:paraId="6C39BE1B">
      <w:pPr>
        <w:pStyle w:val="2"/>
        <w:keepNext w:val="0"/>
        <w:keepLines w:val="0"/>
        <w:widowControl/>
        <w:suppressLineNumbers w:val="0"/>
        <w:spacing w:before="0" w:beforeAutospacing="0" w:after="0" w:afterAutospacing="0" w:line="360" w:lineRule="auto"/>
        <w:ind w:left="0" w:right="0" w:firstLine="408"/>
        <w:jc w:val="both"/>
        <w:rPr>
          <w:rFonts w:hint="default" w:ascii="Times New Roman" w:hAnsi="Times New Roman" w:cs="Times New Roman"/>
          <w:sz w:val="21"/>
          <w:szCs w:val="21"/>
        </w:rPr>
      </w:pPr>
      <w:r>
        <w:rPr>
          <w:rFonts w:hint="eastAsia" w:ascii="宋体" w:hAnsi="宋体" w:eastAsia="宋体" w:cs="宋体"/>
          <w:spacing w:val="-3"/>
          <w:sz w:val="21"/>
          <w:szCs w:val="21"/>
        </w:rPr>
        <w:t>处置子公司或业务</w:t>
      </w:r>
    </w:p>
    <w:p w14:paraId="454B6020">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1）一般处理方法</w:t>
      </w:r>
    </w:p>
    <w:p w14:paraId="2EBFEC20">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在报告期内，本公司处置子公司或业务，则该子公司或业务期初至处置日的收入、费用、利润纳入合并利润表；该子公司或业务期初至处置日的现金流量纳入合并现金流量表。</w:t>
      </w:r>
    </w:p>
    <w:p w14:paraId="2C04A5C7">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14:paraId="48FAD62D">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2）分步处置子公司</w:t>
      </w:r>
    </w:p>
    <w:p w14:paraId="02B7D882">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14:paraId="17E07C27">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A.这些交易是同时或者在考虑了彼此影响的情况下订立的；B.这些交易整体才能达成一项完整的商业结果；</w:t>
      </w:r>
    </w:p>
    <w:p w14:paraId="75EE9A72">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一项交易的发生取决于其他至少一项交易的发生；</w:t>
      </w:r>
    </w:p>
    <w:p w14:paraId="16B59B34">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一项交易单独看是不经济的，但是和其他交易一并考虑时是经济的。</w:t>
      </w:r>
    </w:p>
    <w:p w14:paraId="66AFC334">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14:paraId="76D0CC2A">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14:paraId="7EACC770">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购买子公司少数股权</w:t>
      </w:r>
    </w:p>
    <w:p w14:paraId="2FEE3C1D">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14:paraId="6573AFC6">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不丧失控制权的情况下部分处置对子公司的股权投资</w:t>
      </w:r>
    </w:p>
    <w:p w14:paraId="6A3EF6FF">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股本溢价，资本公积中的股本溢价不足冲减的，调整留存收益。</w:t>
      </w:r>
    </w:p>
    <w:p w14:paraId="2F9BA5A2">
      <w:pPr>
        <w:keepNext/>
        <w:keepLines/>
        <w:spacing w:before="300" w:after="300" w:line="280" w:lineRule="exact"/>
        <w:jc w:val="left"/>
        <w:outlineLvl w:val="2"/>
        <w:rPr>
          <w:rFonts w:ascii="宋体" w:hAnsi="宋体" w:eastAsia="宋体" w:cs="宋体"/>
          <w:b/>
          <w:bCs/>
          <w:sz w:val="21"/>
          <w:szCs w:val="21"/>
        </w:rPr>
      </w:pPr>
      <w:bookmarkStart w:id="173" w:name="_Toc989060"/>
      <w:r>
        <w:rPr>
          <w:rFonts w:ascii="宋体" w:hAnsi="宋体" w:eastAsia="宋体" w:cs="宋体"/>
          <w:b/>
          <w:bCs/>
          <w:sz w:val="21"/>
          <w:szCs w:val="21"/>
        </w:rPr>
        <w:t>8、合营安排分类及共同经营会计处理方法</w:t>
      </w:r>
      <w:bookmarkEnd w:id="173"/>
    </w:p>
    <w:p w14:paraId="411AC6D7">
      <w:pPr>
        <w:pStyle w:val="2"/>
        <w:keepNext w:val="0"/>
        <w:keepLines w:val="0"/>
        <w:widowControl/>
        <w:suppressLineNumbers w:val="0"/>
        <w:spacing w:before="0"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1.合营安排的分类</w:t>
      </w:r>
    </w:p>
    <w:p w14:paraId="5CD93E79">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2467EA3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本公司根据合营安排的结构、法律形式以及合营安排中约定的条款、其他相关事实和情况等因素，将合营安排分为共同经营和合营企业。</w:t>
      </w:r>
    </w:p>
    <w:p w14:paraId="2B903CE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未通过单独主体达成的合营安排，划分为共同经营；通过单独主体达成的合营安排，通常划分为合营企业；但有确凿证据表明满足下列任一条件并且符合相关法律法规规定的合营安排划分为共同经营：</w:t>
      </w:r>
    </w:p>
    <w:p w14:paraId="3F62F76E">
      <w:pPr>
        <w:pStyle w:val="2"/>
        <w:keepNext w:val="0"/>
        <w:keepLines w:val="0"/>
        <w:widowControl/>
        <w:suppressLineNumbers w:val="0"/>
        <w:spacing w:before="0" w:beforeAutospacing="0" w:after="0" w:afterAutospacing="0" w:line="360" w:lineRule="auto"/>
        <w:ind w:left="0" w:right="0" w:firstLine="420"/>
        <w:rPr>
          <w:rFonts w:hint="default" w:ascii="Times New Roman" w:hAnsi="Times New Roman" w:cs="Times New Roman"/>
          <w:sz w:val="21"/>
          <w:szCs w:val="21"/>
        </w:rPr>
      </w:pPr>
      <w:r>
        <w:rPr>
          <w:rFonts w:hint="eastAsia" w:ascii="宋体" w:hAnsi="宋体" w:eastAsia="宋体" w:cs="宋体"/>
          <w:sz w:val="21"/>
          <w:szCs w:val="21"/>
        </w:rPr>
        <w:t>（1）合营安排的法律形式表明，合营方对该安排中的相关资产和负债分别享有权利和承担义务。</w:t>
      </w:r>
    </w:p>
    <w:p w14:paraId="6F46B4A4">
      <w:pPr>
        <w:pStyle w:val="2"/>
        <w:keepNext w:val="0"/>
        <w:keepLines w:val="0"/>
        <w:widowControl/>
        <w:suppressLineNumbers w:val="0"/>
        <w:spacing w:before="0" w:beforeAutospacing="0" w:after="0" w:afterAutospacing="0" w:line="360" w:lineRule="auto"/>
        <w:ind w:left="0" w:right="0" w:firstLine="420"/>
        <w:rPr>
          <w:rFonts w:hint="default" w:ascii="Times New Roman" w:hAnsi="Times New Roman" w:cs="Times New Roman"/>
          <w:sz w:val="21"/>
          <w:szCs w:val="21"/>
        </w:rPr>
      </w:pPr>
      <w:r>
        <w:rPr>
          <w:rFonts w:hint="eastAsia" w:ascii="宋体" w:hAnsi="宋体" w:eastAsia="宋体" w:cs="宋体"/>
          <w:sz w:val="21"/>
          <w:szCs w:val="21"/>
        </w:rPr>
        <w:t>（2）合营安排的合同条款约定，合营方对该安排中的相关资产和负债分别享有权利和承担义务。</w:t>
      </w:r>
    </w:p>
    <w:p w14:paraId="3B5500BC">
      <w:pPr>
        <w:pStyle w:val="2"/>
        <w:keepNext w:val="0"/>
        <w:keepLines w:val="0"/>
        <w:widowControl/>
        <w:suppressLineNumbers w:val="0"/>
        <w:spacing w:before="0" w:beforeAutospacing="0" w:after="0" w:afterAutospacing="0" w:line="360" w:lineRule="auto"/>
        <w:ind w:left="0" w:right="0" w:firstLine="420"/>
        <w:rPr>
          <w:rFonts w:hint="default" w:ascii="Times New Roman" w:hAnsi="Times New Roman" w:cs="Times New Roman"/>
          <w:sz w:val="21"/>
          <w:szCs w:val="21"/>
        </w:rPr>
      </w:pPr>
      <w:r>
        <w:rPr>
          <w:rFonts w:hint="eastAsia" w:ascii="宋体" w:hAnsi="宋体" w:eastAsia="宋体" w:cs="宋体"/>
          <w:sz w:val="21"/>
          <w:szCs w:val="21"/>
        </w:rPr>
        <w:t>（3）其他相关事实和情况表明，合营方对该安排中的相关资产和负债分别享有权利和承担义务，如合营方享有与合营安排相关的几乎所有产出，并且该安排中负债的清偿持续依赖于合营方的支持。</w:t>
      </w:r>
    </w:p>
    <w:p w14:paraId="2EDEE9B3">
      <w:pPr>
        <w:pStyle w:val="2"/>
        <w:keepNext w:val="0"/>
        <w:keepLines w:val="0"/>
        <w:widowControl/>
        <w:suppressLineNumbers w:val="0"/>
        <w:spacing w:before="155"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2.共同经营会计处理方法</w:t>
      </w:r>
    </w:p>
    <w:p w14:paraId="4ED3CB9F">
      <w:pPr>
        <w:pStyle w:val="2"/>
        <w:keepNext w:val="0"/>
        <w:keepLines w:val="0"/>
        <w:widowControl/>
        <w:suppressLineNumbers w:val="0"/>
        <w:spacing w:before="6"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1DCFC9E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本公司确认共同经营中利益份额中与本公司相关的下列项目，并按照相关企业会计准则的规定进行会计处理：</w:t>
      </w:r>
    </w:p>
    <w:p w14:paraId="6635397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（1）确认单独所持有的资产，以及按其份额确认共同持有的资产；</w:t>
      </w:r>
    </w:p>
    <w:p w14:paraId="70CD0F8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（2）确认单独所承担的负债，以及按其份额确认共同承担的负债；</w:t>
      </w:r>
    </w:p>
    <w:p w14:paraId="416FCC0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（3）确认出售其享有的共同经营产出份额所产生的收入；</w:t>
      </w:r>
    </w:p>
    <w:p w14:paraId="0F07720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（4）按其份额确认共同经营因出售产出所产生的收入；</w:t>
      </w:r>
    </w:p>
    <w:p w14:paraId="6EFFDD5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（5）确认单独所发生的费用，以及按其份额确认共同经营发生的费用。</w:t>
      </w:r>
    </w:p>
    <w:p w14:paraId="7804B93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向共同经营投出或出售资产等（该资产构成业务的除外），在该资产等由共同经营出售给第三方之前，仅确认因该交易产生的损益中归属于共同经营其他参与方的部分。投出或出售的资产发生资产减值损失的，本公司全额确认该损失。</w:t>
      </w:r>
    </w:p>
    <w:p w14:paraId="5AB6FDD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自共同经营购买资产等（该资产构成业务的除外），在将该资产等出售给第三方之前，仅确认因该交易产生的损益中归属于共同经营其他参与方的部分。购入的资产发生资产减值损失的，本公司按承担的份额确认该部分损失。</w:t>
      </w:r>
    </w:p>
    <w:p w14:paraId="5E678DF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本公司对共同经营不享有共同控制，如果本公司享有该共同经营相关资产且承担该共同经营相关负债的，仍按上述原则进行会计处理，否则，应当按照相关企业会计准则的规定进行会计处理。</w:t>
      </w:r>
    </w:p>
    <w:p w14:paraId="6D16FB2F">
      <w:pPr>
        <w:keepNext/>
        <w:keepLines/>
        <w:spacing w:before="300" w:after="300" w:line="280" w:lineRule="exact"/>
        <w:jc w:val="left"/>
        <w:outlineLvl w:val="2"/>
        <w:rPr>
          <w:rFonts w:ascii="宋体" w:hAnsi="宋体" w:eastAsia="宋体" w:cs="宋体"/>
          <w:b/>
          <w:bCs/>
          <w:sz w:val="21"/>
          <w:szCs w:val="21"/>
        </w:rPr>
      </w:pPr>
      <w:bookmarkStart w:id="174" w:name="_Toc989061"/>
      <w:r>
        <w:rPr>
          <w:rFonts w:ascii="宋体" w:hAnsi="宋体" w:eastAsia="宋体" w:cs="宋体"/>
          <w:b/>
          <w:bCs/>
          <w:sz w:val="21"/>
          <w:szCs w:val="21"/>
        </w:rPr>
        <w:t>9、现金及现金等价物的确定标准</w:t>
      </w:r>
      <w:bookmarkEnd w:id="174"/>
    </w:p>
    <w:p w14:paraId="6C17E7C4">
      <w:pPr>
        <w:pStyle w:val="2"/>
        <w:keepNext w:val="0"/>
        <w:keepLines w:val="0"/>
        <w:widowControl/>
        <w:suppressLineNumbers w:val="0"/>
        <w:spacing w:before="0" w:beforeAutospacing="0" w:after="0" w:afterAutospacing="0" w:line="360" w:lineRule="auto"/>
        <w:ind w:left="0" w:right="0" w:firstLine="420"/>
        <w:rPr>
          <w:rFonts w:hint="default" w:ascii="Times New Roman" w:hAnsi="Times New Roman" w:cs="Times New Roman"/>
          <w:sz w:val="21"/>
          <w:szCs w:val="21"/>
        </w:rPr>
      </w:pPr>
      <w:r>
        <w:rPr>
          <w:rFonts w:hint="eastAsia" w:ascii="宋体" w:hAnsi="宋体" w:eastAsia="宋体" w:cs="宋体"/>
          <w:sz w:val="21"/>
          <w:szCs w:val="21"/>
        </w:rPr>
        <w:t>在编制现金流量表时，本公司将库存现金以及可以随时用于支付的存款确认为现金，将同时具备期限短（一般从购买日起三个月内到期）、流动性强、易于转换为已知金额的现金、价值变动风险很小四个条件的投资，确定为现金等价物。</w:t>
      </w:r>
    </w:p>
    <w:p w14:paraId="05D1BC99">
      <w:pPr>
        <w:keepNext/>
        <w:keepLines/>
        <w:spacing w:before="300" w:after="300" w:line="280" w:lineRule="exact"/>
        <w:jc w:val="left"/>
        <w:outlineLvl w:val="2"/>
        <w:rPr>
          <w:rFonts w:ascii="宋体" w:hAnsi="宋体" w:eastAsia="宋体" w:cs="宋体"/>
          <w:b/>
          <w:bCs/>
          <w:sz w:val="21"/>
          <w:szCs w:val="21"/>
        </w:rPr>
      </w:pPr>
      <w:bookmarkStart w:id="175" w:name="_Toc989062"/>
      <w:r>
        <w:rPr>
          <w:rFonts w:ascii="宋体" w:hAnsi="宋体" w:eastAsia="宋体" w:cs="宋体"/>
          <w:b/>
          <w:bCs/>
          <w:sz w:val="21"/>
          <w:szCs w:val="21"/>
        </w:rPr>
        <w:t>10、外币业务和外币报表折算</w:t>
      </w:r>
      <w:bookmarkEnd w:id="175"/>
    </w:p>
    <w:p w14:paraId="385249C3">
      <w:pPr>
        <w:pStyle w:val="2"/>
        <w:keepNext w:val="0"/>
        <w:keepLines w:val="0"/>
        <w:widowControl/>
        <w:suppressLineNumbers w:val="0"/>
        <w:spacing w:before="0" w:beforeAutospacing="0" w:after="0" w:afterAutospacing="0" w:line="360" w:lineRule="auto"/>
        <w:ind w:left="0" w:right="0" w:firstLine="420"/>
        <w:rPr>
          <w:rFonts w:hint="default" w:ascii="Times New Roman" w:hAnsi="Times New Roman" w:cs="Times New Roman"/>
          <w:sz w:val="21"/>
          <w:szCs w:val="21"/>
        </w:rPr>
      </w:pPr>
      <w:r>
        <w:rPr>
          <w:rFonts w:hint="eastAsia" w:ascii="宋体" w:hAnsi="宋体" w:eastAsia="宋体" w:cs="宋体"/>
          <w:sz w:val="21"/>
          <w:szCs w:val="21"/>
        </w:rPr>
        <w:t>外币业务交易在初始确认时，采用交易发生日的即期汇率作为折算汇率折合成人民币记账。</w:t>
      </w:r>
    </w:p>
    <w:p w14:paraId="63CE1DF3">
      <w:pPr>
        <w:pStyle w:val="2"/>
        <w:keepNext w:val="0"/>
        <w:keepLines w:val="0"/>
        <w:widowControl/>
        <w:suppressLineNumbers w:val="0"/>
        <w:spacing w:before="0" w:beforeAutospacing="0" w:after="0" w:afterAutospacing="0" w:line="360" w:lineRule="auto"/>
        <w:ind w:left="0" w:right="0" w:firstLine="420"/>
        <w:rPr>
          <w:rFonts w:hint="default" w:ascii="Times New Roman" w:hAnsi="Times New Roman" w:cs="Times New Roman"/>
          <w:sz w:val="21"/>
          <w:szCs w:val="21"/>
        </w:rPr>
      </w:pPr>
      <w:r>
        <w:rPr>
          <w:rFonts w:hint="eastAsia" w:ascii="宋体" w:hAnsi="宋体" w:eastAsia="宋体" w:cs="宋体"/>
          <w:sz w:val="21"/>
          <w:szCs w:val="21"/>
        </w:rPr>
        <w:t>资产负债表日，外币货币性项目按资产负债表日即期汇率折算，由此产生的汇兑差额，除属于与购建符合资本化条件的资产相关的外币专门借款产生的汇兑差额按照借款费用资本化的原则处理外，均计入当期损益。以历史成本计量的外币非货币性项目，仍采用交易发生日的即期汇率折算，不改变其记账本位币金额。</w:t>
      </w:r>
    </w:p>
    <w:p w14:paraId="142F05FD">
      <w:pPr>
        <w:pStyle w:val="2"/>
        <w:keepNext w:val="0"/>
        <w:keepLines w:val="0"/>
        <w:widowControl/>
        <w:suppressLineNumbers w:val="0"/>
        <w:spacing w:before="0" w:beforeAutospacing="0" w:after="0" w:afterAutospacing="0" w:line="360" w:lineRule="auto"/>
        <w:ind w:left="0" w:right="0" w:firstLine="420"/>
        <w:rPr>
          <w:rFonts w:hint="default" w:ascii="Times New Roman" w:hAnsi="Times New Roman" w:cs="Times New Roman"/>
          <w:sz w:val="21"/>
          <w:szCs w:val="21"/>
        </w:rPr>
      </w:pPr>
      <w:r>
        <w:rPr>
          <w:rFonts w:hint="eastAsia" w:ascii="宋体" w:hAnsi="宋体" w:eastAsia="宋体" w:cs="宋体"/>
          <w:sz w:val="21"/>
          <w:szCs w:val="21"/>
        </w:rPr>
        <w:t>以公允价值计量的外币非货币性项目，采用公允价值确定日的即期汇率折算，折算后的记账本位币金额与原记账本位币金额的差额，作为公允价值变动(含汇率变动)处理，计入当期损益或确认为其他综合收益。</w:t>
      </w:r>
    </w:p>
    <w:p w14:paraId="5AF0B041">
      <w:pPr>
        <w:keepNext/>
        <w:keepLines/>
        <w:spacing w:before="300" w:after="300" w:line="280" w:lineRule="exact"/>
        <w:jc w:val="left"/>
        <w:outlineLvl w:val="2"/>
        <w:rPr>
          <w:rFonts w:ascii="宋体" w:hAnsi="宋体" w:eastAsia="宋体" w:cs="宋体"/>
          <w:b/>
          <w:bCs/>
          <w:sz w:val="21"/>
          <w:szCs w:val="21"/>
        </w:rPr>
      </w:pPr>
      <w:bookmarkStart w:id="176" w:name="_Toc989063"/>
      <w:r>
        <w:rPr>
          <w:rFonts w:ascii="宋体" w:hAnsi="宋体" w:eastAsia="宋体" w:cs="宋体"/>
          <w:b/>
          <w:bCs/>
          <w:sz w:val="21"/>
          <w:szCs w:val="21"/>
        </w:rPr>
        <w:t>11、金融工具</w:t>
      </w:r>
      <w:bookmarkEnd w:id="176"/>
    </w:p>
    <w:p w14:paraId="019B48F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本公司在成为金融工具合同的一方时确认一项金融资产或金融负债。</w:t>
      </w:r>
    </w:p>
    <w:p w14:paraId="4AA493F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实际利率法是指计算金融资产或金融负债的摊余成本以及将利息收入或利息费用分摊计入各会计期间的方法。</w:t>
      </w:r>
    </w:p>
    <w:p w14:paraId="53D4EE0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实际利率，是指将金融资产或金融负债在预计存续期的估计未来现金流量，折现为该金融资产账面余额或该金融负债摊余成本所使用的利率。在确定实际利率时，在考虑金融资产或金融负债所有合同条款(如提前还款、展期、看涨期权或其他类似期权等)的基础上估计预期现金流量，但不考虑预期信用损失。</w:t>
      </w:r>
    </w:p>
    <w:p w14:paraId="687621C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资产或金融负债的摊余成本是以该金融资产或金融负债的初始确认金额扣除已偿还的本金，加上或减去采用实际利率法将该初始确认金额与到期日金额之间的差额进行摊销形成的累计摊销额，再扣除累计计提的损失准备(仅适用于金融资产)。</w:t>
      </w:r>
    </w:p>
    <w:p w14:paraId="192CB643">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2"/>
          <w:sz w:val="21"/>
          <w:szCs w:val="21"/>
        </w:rPr>
        <w:t>1.金融资产的分类、确认和计量</w:t>
      </w:r>
    </w:p>
    <w:p w14:paraId="25525F40">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0B4BE7C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本公司根据所管理金融资产的业务模式和金融资产的合同现金流量特征，将金融资产划分为以下三类：</w:t>
      </w:r>
    </w:p>
    <w:p w14:paraId="7A17E547">
      <w:pPr>
        <w:pStyle w:val="2"/>
        <w:keepNext w:val="0"/>
        <w:keepLines w:val="0"/>
        <w:widowControl/>
        <w:suppressLineNumbers w:val="0"/>
        <w:spacing w:before="0" w:beforeAutospacing="0" w:after="0" w:afterAutospacing="0" w:line="360" w:lineRule="auto"/>
        <w:ind w:left="0" w:right="0"/>
        <w:rPr>
          <w:rFonts w:hint="default" w:ascii="Times New Roman" w:hAnsi="Times New Roman" w:cs="Times New Roman"/>
          <w:sz w:val="21"/>
          <w:szCs w:val="21"/>
        </w:rPr>
      </w:pPr>
      <w:r>
        <w:rPr>
          <w:rFonts w:hint="eastAsia" w:ascii="宋体" w:hAnsi="宋体" w:eastAsia="宋体" w:cs="宋体"/>
          <w:sz w:val="21"/>
          <w:szCs w:val="21"/>
        </w:rPr>
        <w:t>（1）以摊余成本计量的金融资产。</w:t>
      </w:r>
    </w:p>
    <w:p w14:paraId="004A8B3B">
      <w:pPr>
        <w:pStyle w:val="2"/>
        <w:keepNext w:val="0"/>
        <w:keepLines w:val="0"/>
        <w:widowControl/>
        <w:suppressLineNumbers w:val="0"/>
        <w:spacing w:before="0" w:beforeAutospacing="0" w:after="0" w:afterAutospacing="0" w:line="360" w:lineRule="auto"/>
        <w:ind w:left="0" w:right="0"/>
        <w:rPr>
          <w:rFonts w:hint="default" w:ascii="Times New Roman" w:hAnsi="Times New Roman" w:cs="Times New Roman"/>
          <w:sz w:val="21"/>
          <w:szCs w:val="21"/>
        </w:rPr>
      </w:pPr>
      <w:r>
        <w:rPr>
          <w:rFonts w:hint="eastAsia" w:ascii="宋体" w:hAnsi="宋体" w:eastAsia="宋体" w:cs="宋体"/>
          <w:sz w:val="21"/>
          <w:szCs w:val="21"/>
        </w:rPr>
        <w:t>（2）以公允价值计量且其变动计入其他综合收益的金融资产。</w:t>
      </w:r>
    </w:p>
    <w:p w14:paraId="3DE894C1">
      <w:pPr>
        <w:pStyle w:val="2"/>
        <w:keepNext w:val="0"/>
        <w:keepLines w:val="0"/>
        <w:widowControl/>
        <w:suppressLineNumbers w:val="0"/>
        <w:spacing w:before="0" w:beforeAutospacing="0" w:after="0" w:afterAutospacing="0" w:line="360" w:lineRule="auto"/>
        <w:ind w:left="0" w:right="0"/>
        <w:rPr>
          <w:rFonts w:hint="default" w:ascii="Times New Roman" w:hAnsi="Times New Roman" w:cs="Times New Roman"/>
          <w:sz w:val="21"/>
          <w:szCs w:val="21"/>
        </w:rPr>
      </w:pPr>
      <w:r>
        <w:rPr>
          <w:rFonts w:hint="eastAsia" w:ascii="宋体" w:hAnsi="宋体" w:eastAsia="宋体" w:cs="宋体"/>
          <w:sz w:val="21"/>
          <w:szCs w:val="21"/>
        </w:rPr>
        <w:t>（3）以公允价值计量且其变动计入当期损益的金融资产。</w:t>
      </w:r>
    </w:p>
    <w:p w14:paraId="20D427C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金融资产在初始确认时以公允价值计量，但是因销售商品或提供服务等产生的应收账款或应收票据未包含重大融资成分或不考虑不超过一年的融资成分的，按照交易价格进行初始计量。</w:t>
      </w:r>
    </w:p>
    <w:p w14:paraId="5BEF669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对于以公允价值计量且其变动计入当期损益的金融资产，相关交易费用直接计入当期损益，其他类别的金融资产相关交易费用计入其初始确认金额。</w:t>
      </w:r>
    </w:p>
    <w:p w14:paraId="73BDFEC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金融资产的后续计量取决于其分类，当且仅当本公司改变管理金融资产的业务模式时，才对所有受影响的相关金融资产进行重分类。</w:t>
      </w:r>
    </w:p>
    <w:p w14:paraId="7B30A93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（1）分类为以摊余成本计量的金融资产</w:t>
      </w:r>
    </w:p>
    <w:p w14:paraId="0A33F26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资产的合同条款规定在特定日期产生的现金流量仅为对本金和以未偿付本金金额为基础的利息的支付，且管理该金融资产的业务模式是以收取合同现金流量为目标，则本公司将该金融资产分类为以摊余成本计量的金融资产。本公司分类为以摊余成本计量的金融资产包括货币资金、应收票据及应收账款、其他应收款、长期应收款、债权投资等。</w:t>
      </w:r>
    </w:p>
    <w:p w14:paraId="3AC827A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此类金融资产采用实际利率法确认利息收入，按摊余成本进行后续计量，其发生减值时或终止确认、修改产生的利得或损失，计入当期损益。除下列情况外，本公司根据金融资产账面余额乘以实际利率计算确定利息收入：</w:t>
      </w:r>
    </w:p>
    <w:p w14:paraId="2E7288C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1）对于购入或源生的已发生信用减值的金融资产，本公司自初始确认起，按照该金融资产的摊余成本和经信用调整的实际利率计算确定其利息收入。</w:t>
      </w:r>
    </w:p>
    <w:p w14:paraId="177A69A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对于购入或源生的未发生信用减值、但在后续期间成为已发生信用减值的金融资产，本公司在后续期间，按照该金融资产的摊余成本和实际利率计算确定其利息收入。若该金融工具在后续期间因其信用风险有所改善而不再存在信用减值，本公司转按实际利率乘以该金融资产账面余额来计算确定利息收入。</w:t>
      </w:r>
    </w:p>
    <w:p w14:paraId="06C44A2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（2）分类为以公允价值计量且其变动计入其他综合收益的金融资产</w:t>
      </w:r>
    </w:p>
    <w:p w14:paraId="3BD61EF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资产的合同条款规定在特定日期产生的现金流量仅为对本金和以未偿付本金金额为基础的利息的支付，且管理该金融资产的业务模式既以收取合同现金流量为目标又以出售该金融资产为目标，则本公司将该金融资产分类为以公允价值计量且其变动计入其他综合收益的金融资产。</w:t>
      </w:r>
    </w:p>
    <w:p w14:paraId="6E5DB3B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此类金融资产采用实际利率法确认利息收入。除利息收入、减值损失及汇兑差额确认为当期损益外，其余公允价值变动计入其他综合收益。当该金融资产终止确认时，之前计入其他综合收益的累计利得或损失从其他综合收益中转出，计入当期损益。</w:t>
      </w:r>
    </w:p>
    <w:p w14:paraId="7056165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以公允价值计量且变动计入其他综合收益的应收票据及应收账款列报为应收款项融资，其他此类金融资产列报为其他债权投资，其中：自资产负债表日起一年内到期的其他债权投资列报为一年内到期的非流动资产，原到期日在一年以内的其他债权投资列报为其他流动资产。</w:t>
      </w:r>
    </w:p>
    <w:p w14:paraId="1C0A583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（3）指定为以公允价值计量且其变动计入其他综合收益的金融资产</w:t>
      </w:r>
    </w:p>
    <w:p w14:paraId="4F55728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在初始确认时，本公司可以单项金融资产为基础不可撤销地将非交易性权益工具投资指定为以公允价值计量且其变动计入其他综合收益的金融资产。</w:t>
      </w:r>
    </w:p>
    <w:p w14:paraId="1D324FF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此类金融资产的公允价值变动计入其他综合收益，不需计提减值准备。该金融资产终止确认时，之前计入其他综合收益的累计利得或损失从其他综合收益中转出，计入留存收益。本公司持有该权益工具投资期间，在本公司收取股利的权利已经确立，与股利相关的经济利益很可能流入本公司，且股利的金额能够可靠计量时，确认股利收入并计入当期损益。本公司对此类金融资产在其他权益工具投资项目下列报。</w:t>
      </w:r>
    </w:p>
    <w:p w14:paraId="0924C98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权益工具投资满足下列条件之一的，属于以公允价值计量且其变动计入当期损益的金融资产：取得该金融资产的目的主要是为了近期出售；初始确认时属于集中管理的可辨认金融资产工具组合的一部分，且有客观证据表明近期实际存在短期获利模式；属于衍生工具（符合财务担保合同定义的以及被指定为有效套期工具的衍生工具除外）。</w:t>
      </w:r>
    </w:p>
    <w:p w14:paraId="626B1B9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（4）分类为以公允价值计量且其变动计入当期损益的金融资产</w:t>
      </w:r>
    </w:p>
    <w:p w14:paraId="1D56B20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不符合分类为以摊余成本计量或以公允价值计量且其变动计入其他综合收益的金融资产条件、亦不指定为以公允价值计量且其变动计入其他综合收益的金融资产均分类为以公允价值计量且其变动计入当期损益的金融资产。</w:t>
      </w:r>
    </w:p>
    <w:p w14:paraId="594A7AE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本公司对此类金融资产采用公允价值进行后续计量，将公允价值变动形成的利得或损失以及与此类金融资产相关的股利和利息收入计入当期损益。</w:t>
      </w:r>
    </w:p>
    <w:p w14:paraId="4CB39A3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本公司对此类金融资产根据其流动性在交易性金融资产、其他非流动金融资产项目列报。</w:t>
      </w:r>
    </w:p>
    <w:p w14:paraId="2DDD6EA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（5）指定为以公允价值计量且其变动计入当期损益的金融资产</w:t>
      </w:r>
    </w:p>
    <w:p w14:paraId="61BD381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在初始确认时，本公司为了消除或显著减少会计错配，可以单项金融资产为基础不可撤销地将金融资产指定为以公允价值计量且其变动计入当期损益的金融资产。</w:t>
      </w:r>
    </w:p>
    <w:p w14:paraId="044FB20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混合合同包含一项或多项嵌入衍生工具，且其主合同不属于以上金融资产的，本公司可以将其整体指定为以公允价值计量且其变动计入当期损益的金融工具。但下列情况除外：</w:t>
      </w:r>
    </w:p>
    <w:p w14:paraId="0644104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1）嵌入衍生工具不会对混合合同的现金流量产生重大改变。</w:t>
      </w:r>
    </w:p>
    <w:p w14:paraId="109FD28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2）在初次确定类似的混合合同是否需要分拆时，几乎不需分析就能明确其包含的嵌入衍生工具不应分拆。如嵌入贷款的提前还款权，允许持有人以接近摊余成本的金额提前偿还贷款，该提前还款权不需要分拆。</w:t>
      </w:r>
    </w:p>
    <w:p w14:paraId="25C0486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本公司对此类金融资产采用公允价值进行后续计量，将公允价值变动形成的利得或损失以及与此类金融资产相关的股利和利息收入计入当期损益。</w:t>
      </w:r>
    </w:p>
    <w:p w14:paraId="57B3226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本公司对此类金融资产根据其流动性在交易性金融资产、其他非流动金融资产项目列报。</w:t>
      </w:r>
    </w:p>
    <w:p w14:paraId="1E88BF54">
      <w:pPr>
        <w:pStyle w:val="2"/>
        <w:keepNext w:val="0"/>
        <w:keepLines w:val="0"/>
        <w:widowControl/>
        <w:suppressLineNumbers w:val="0"/>
        <w:spacing w:before="156" w:beforeAutospacing="0" w:after="0" w:afterAutospacing="0" w:line="360" w:lineRule="auto"/>
        <w:ind w:left="0" w:right="0"/>
        <w:jc w:val="both"/>
        <w:rPr>
          <w:rFonts w:hint="default" w:ascii="Times New Roman" w:hAnsi="Times New Roman" w:cs="Times New Roman"/>
          <w:sz w:val="21"/>
          <w:szCs w:val="21"/>
        </w:rPr>
      </w:pPr>
      <w:r>
        <w:rPr>
          <w:rStyle w:val="6"/>
          <w:rFonts w:hint="eastAsia" w:ascii="宋体" w:hAnsi="宋体" w:eastAsia="宋体" w:cs="宋体"/>
          <w:b/>
          <w:bCs/>
          <w:spacing w:val="-2"/>
          <w:sz w:val="21"/>
          <w:szCs w:val="21"/>
        </w:rPr>
        <w:t>   2.金融负债的分类、确认和计量</w:t>
      </w:r>
    </w:p>
    <w:p w14:paraId="36A6FCC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根据所发行金融工具的合同条款及其所反映的经济实质而非仅以法律形式，结合金融负债和权益工具的定义，在初始确认时将该金融工具或其组成部分分类为金融负债或权益工具。金融负债在初始确认时分类为：以公允价值计量且其变动计入当期损益的金融负债、其他金融负债、被指定为有效套期工具的衍生工具。</w:t>
      </w:r>
    </w:p>
    <w:p w14:paraId="22BF7D2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金融负债在初始确认时以公允价值计量。对于以公允价值计量且其变动计入当期损益的金融负债，相关的交易费用直接计入当期损益；对于其他类别的金融负债，相关交易费用计入初始确认金额。</w:t>
      </w:r>
    </w:p>
    <w:p w14:paraId="3032756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金融负债的后续计量取决于其分类：</w:t>
      </w:r>
    </w:p>
    <w:p w14:paraId="318EAC8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（1）以公允价值计量且其变动计入当期损益的金融负债</w:t>
      </w:r>
    </w:p>
    <w:p w14:paraId="6470DB4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此类金融负债包括交易性金融负债（含属于金融负债的衍生工具）和初始确认时指定为以公允价值计量且其变动计入当期损益的金融负债。</w:t>
      </w:r>
    </w:p>
    <w:p w14:paraId="2D54BB9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满足下列条件之一的，属于交易性金融负债：承担相关金融负债的目的主要是为了在近期内出售或回购；属于集中管理的可辨认金融工具组合的一部分，且有客观证据表明企业近期采用短期获利方式模式；属于衍生工具，但是，被指定且为有效套期工具的衍生工具、符合财务担保合同的衍生工具除外。交易性金融负债（含属于金融负债的衍生工具），按照公允价值进行后续计量，除与套期会计有关外，所有公允价值变动均计入当期损益。</w:t>
      </w:r>
    </w:p>
    <w:p w14:paraId="4140133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在初始确认时，为了提供更相关的会计信息，本公司将满足下列条件之一的金融负债不可撤销地指定为以公允价值计量且其变动计入当期损益的金融负债：</w:t>
      </w:r>
    </w:p>
    <w:p w14:paraId="790AA2F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1）能够消除或显著减少会计错配。</w:t>
      </w:r>
    </w:p>
    <w:p w14:paraId="674C50D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2）根据正式书面文件载明的企业风险管理或投资策略，以公允价值为基础对金融负债组合或金融资产和金融负债组合进行管理和业绩评价，并在企业内部以此为基础向关键管理人员报告。</w:t>
      </w:r>
    </w:p>
    <w:p w14:paraId="49401E1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此类金融负债采用公允价值进行后续计量，除由本公司自身信用风险变动引起的公允价值变动计入其他综合收益之外，其他公允价值变动计入当期损益。除非由本公司自身信用风险变动引起的公允价值变动计入其他综合收益会造成或扩大损益中的会计错配，本公司将所有公允价值变动（包括自身信用风险变动的影响金额）计入当期损益。</w:t>
      </w:r>
    </w:p>
    <w:p w14:paraId="1195006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（2）其他金融负债</w:t>
      </w:r>
    </w:p>
    <w:p w14:paraId="55FC6EF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除下列各项外，公司将金融负债分类为以摊余成本计量的金融负债，对此类金融负债采用实际利率法，按照摊余成本进行后续计量，终止确认或摊销产生的利得或损失计入当期损益：</w:t>
      </w:r>
    </w:p>
    <w:p w14:paraId="678F3F9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1）以公允价值计量且其变动计入当期损益的金融负债。</w:t>
      </w:r>
    </w:p>
    <w:p w14:paraId="228E991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2）金融资产转移不符合终止确认条件或继续涉入被转移金融资产所形成的金融负债。</w:t>
      </w:r>
    </w:p>
    <w:p w14:paraId="1CECE68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3）不属于本条前两类情形的财务担保合同，以及不属于本条第1）类情形的以低于市场利率贷款的贷款承诺。</w:t>
      </w:r>
    </w:p>
    <w:p w14:paraId="4F67E35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财务担保合同是指当特定债务人到期不能按照最初或修改后的债务工具条款偿付债务时，要求发行方向蒙受损失的合同持有人赔付特定金额的合同。不属于指定为以公允价值计量且其变动计入当期损益的金融负债的财务担保合同，在初始确认后按照损失准备金额以及初始确认金额扣除担保期内的累计摊销额后的余额孰高进行计量。</w:t>
      </w:r>
    </w:p>
    <w:p w14:paraId="37545037">
      <w:pPr>
        <w:pStyle w:val="2"/>
        <w:keepNext w:val="0"/>
        <w:keepLines w:val="0"/>
        <w:widowControl/>
        <w:suppressLineNumbers w:val="0"/>
        <w:spacing w:before="156" w:beforeAutospacing="0" w:after="0" w:afterAutospacing="0" w:line="360" w:lineRule="auto"/>
        <w:ind w:left="0" w:right="0"/>
        <w:jc w:val="both"/>
        <w:rPr>
          <w:rFonts w:hint="default" w:ascii="Times New Roman" w:hAnsi="Times New Roman" w:cs="Times New Roman"/>
          <w:sz w:val="21"/>
          <w:szCs w:val="21"/>
        </w:rPr>
      </w:pPr>
      <w:r>
        <w:rPr>
          <w:rStyle w:val="6"/>
          <w:rFonts w:hint="eastAsia" w:ascii="宋体" w:hAnsi="宋体" w:eastAsia="宋体" w:cs="宋体"/>
          <w:b/>
          <w:bCs/>
          <w:spacing w:val="-2"/>
          <w:sz w:val="21"/>
          <w:szCs w:val="21"/>
        </w:rPr>
        <w:t>   3.金融资产和金融负债的终止确认</w:t>
      </w:r>
    </w:p>
    <w:p w14:paraId="12C041D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（1）金融资产满足下列条件之一的，终止确认金融资产，即从其账户和资产负债表内予以转销：</w:t>
      </w:r>
    </w:p>
    <w:p w14:paraId="1F4FF71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1）收取该金融资产现金流量的合同权利终止。</w:t>
      </w:r>
    </w:p>
    <w:p w14:paraId="606DF70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2）该金融资产已转移，且该转移满足金融资产终止确认的规定。</w:t>
      </w:r>
    </w:p>
    <w:p w14:paraId="7481D33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金融负债终止确认条件</w:t>
      </w:r>
    </w:p>
    <w:p w14:paraId="254B7D3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（2）金融负债（或其一部分）的现时义务已经解除的，则终止确认该金融负债（或该部分金融负债）。</w:t>
      </w:r>
    </w:p>
    <w:p w14:paraId="7EC12F1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与借出方之间签订协议，以承担新金融负债方式替换原金融负债，且新金融负债与原金融负债的合同条款实质上不同的，或对原金融负债（或其一部分）的合同条款做出实质性修改的，则终止确认原金融负债，同时确认一项新金融负债，账面价值与支付的对价（包括转出的非现金资产或承担的负债）之间的差额，计入当期损益。</w:t>
      </w:r>
    </w:p>
    <w:p w14:paraId="42CB682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回购金融负债一部分的，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应当计入当期损益。</w:t>
      </w:r>
    </w:p>
    <w:p w14:paraId="79D0A6CF">
      <w:pPr>
        <w:pStyle w:val="2"/>
        <w:keepNext w:val="0"/>
        <w:keepLines w:val="0"/>
        <w:widowControl/>
        <w:suppressLineNumbers w:val="0"/>
        <w:spacing w:before="156" w:beforeAutospacing="0" w:after="0" w:afterAutospacing="0" w:line="360" w:lineRule="auto"/>
        <w:ind w:left="0" w:right="0"/>
        <w:jc w:val="both"/>
        <w:rPr>
          <w:rFonts w:hint="default" w:ascii="Times New Roman" w:hAnsi="Times New Roman" w:cs="Times New Roman"/>
          <w:sz w:val="21"/>
          <w:szCs w:val="21"/>
        </w:rPr>
      </w:pPr>
      <w:r>
        <w:rPr>
          <w:rStyle w:val="6"/>
          <w:rFonts w:hint="eastAsia" w:ascii="宋体" w:hAnsi="宋体" w:eastAsia="宋体" w:cs="宋体"/>
          <w:b/>
          <w:bCs/>
          <w:spacing w:val="-2"/>
          <w:sz w:val="21"/>
          <w:szCs w:val="21"/>
        </w:rPr>
        <w:t>   4.金融资产转移的确认依据和计量方法</w:t>
      </w:r>
    </w:p>
    <w:p w14:paraId="4A3327C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本公司在发生金融资产转移时，评估其保留金融资产所有权上的风险和报酬的程度，并分别下列情形处理：</w:t>
      </w:r>
    </w:p>
    <w:p w14:paraId="1455EEB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（1）转移了金融资产所有权上几乎所有风险和报酬的，则终止确认该金融资产，并将转移中产生或保留的权利和义务单独确认为资产或负债。</w:t>
      </w:r>
    </w:p>
    <w:p w14:paraId="0725494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（2）保留了金融资产所有权上几乎所有风险和报酬的，则继续确认该金融资产。</w:t>
      </w:r>
    </w:p>
    <w:p w14:paraId="015060C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（3）既没有转移也没有保留金融资产所有权上几乎所有风险和报酬的（即除本条（1）、（2）之外的其他情形），则根据其是否保留了对金融资产的控制，分别下列情形处理：</w:t>
      </w:r>
    </w:p>
    <w:p w14:paraId="6C07E8D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1）未保留对该金融资产控制的，则终止确认该金融资产，并将转移中产生或保留的权利和义务单独确认为资产或负债。</w:t>
      </w:r>
    </w:p>
    <w:p w14:paraId="00E756B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保留了对该金融资产控制的，则按照其继续涉入被转移金融资产的程度继续确认有关金融资产，并相应确认相关负债。继续涉入被转移金融资产的程度，是指本公司承担的被转移金融资产价值变动风险或报酬的程度。</w:t>
      </w:r>
    </w:p>
    <w:p w14:paraId="765479A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在判断金融资产转移是否满足上述金融资产终止确认条件时，采用实质重于形式的原则。公司将金融资产转移区分为金融资产整体转移和部分转移。</w:t>
      </w:r>
    </w:p>
    <w:p w14:paraId="12EDE01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（2）金融资产整体转移满足终止确认条件的，将下列两项金额的差额计入当期损益：</w:t>
      </w:r>
    </w:p>
    <w:p w14:paraId="5C4F9B4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1）被转移金融资产在终止确认日的账面价值。</w:t>
      </w:r>
    </w:p>
    <w:p w14:paraId="4F8508C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2）因转移金融资产而收到的对价，与原直接计入其他综合收益的公允价值变动累计额中对应终止确认部分的金额（涉及转移的金融资产为以公允价值计量且其变动计入其他综合收益的金融资产）之和。</w:t>
      </w:r>
    </w:p>
    <w:p w14:paraId="5A11B2A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资产部分转移且该被转移部分整体满足终止确认条件的，将转移前金融资产整体的账面价值，在终止确认部分和继续确认部分（在此种情形下，所保留的服务资产应当视同继续确认金融资产的一部分）之间，按照转移日各自的相对公允价值进行分摊，并将下列两项金额的差额计入当期损益：</w:t>
      </w:r>
    </w:p>
    <w:p w14:paraId="3C199BA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1）终止确认部分在终止确认日的账面价值。</w:t>
      </w:r>
    </w:p>
    <w:p w14:paraId="0916815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2）终止确认部分收到的对价，与原计入其他综合收益的公允价值变动累计额中对应终止确认部分的金额（涉及转移的金融资产为以公允价值计量且其变动计入其他综合收益的金融资产）之和。</w:t>
      </w:r>
    </w:p>
    <w:p w14:paraId="29E012D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金融资产转移不满足终止确认条件的，继续确认该金融资产，所收到的对价确认为一项金融负债。</w:t>
      </w:r>
    </w:p>
    <w:p w14:paraId="4ACFED17">
      <w:pPr>
        <w:pStyle w:val="2"/>
        <w:keepNext w:val="0"/>
        <w:keepLines w:val="0"/>
        <w:widowControl/>
        <w:suppressLineNumbers w:val="0"/>
        <w:spacing w:before="156" w:beforeAutospacing="0" w:after="0" w:afterAutospacing="0" w:line="360" w:lineRule="auto"/>
        <w:ind w:left="0" w:right="0"/>
        <w:jc w:val="both"/>
        <w:rPr>
          <w:rFonts w:hint="default" w:ascii="Times New Roman" w:hAnsi="Times New Roman" w:cs="Times New Roman"/>
          <w:sz w:val="21"/>
          <w:szCs w:val="21"/>
        </w:rPr>
      </w:pPr>
      <w:r>
        <w:rPr>
          <w:rStyle w:val="6"/>
          <w:rFonts w:hint="eastAsia" w:ascii="宋体" w:hAnsi="宋体" w:eastAsia="宋体" w:cs="宋体"/>
          <w:b/>
          <w:bCs/>
          <w:spacing w:val="-2"/>
          <w:sz w:val="21"/>
          <w:szCs w:val="21"/>
        </w:rPr>
        <w:t>   5.金融资产和金融负债公允价值的确定方法</w:t>
      </w:r>
    </w:p>
    <w:p w14:paraId="58701D2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存在活跃市场的金融资产或金融负债，以活跃市场的报价确定其公允价值，除非该项金融资产存在针对资产本身的限售期。对于针对资产本身的限售的金融资产，按照活跃市场的报价扣除市场参与者因承担指定期间内无法在公开市场上出售该金融资产的风险而要求获得的补偿金额后确定。活跃市场的报价包括易于且可定期从交易所、交易商、经纪人、行业集团、定价机构或监管机构等获得相关资产或负债的报价，且能代表在公平交易基础上实际并经常发生的市场交易。</w:t>
      </w:r>
    </w:p>
    <w:p w14:paraId="11A4248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初始取得或衍生的金融资产或承担的金融负债，以市场交易价格作为确定其公允价值的基础。</w:t>
      </w:r>
    </w:p>
    <w:p w14:paraId="0AF5590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不存在活跃市场的金融资产或金融负债，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14:paraId="16642090">
      <w:pPr>
        <w:pStyle w:val="2"/>
        <w:keepNext w:val="0"/>
        <w:keepLines w:val="0"/>
        <w:widowControl/>
        <w:suppressLineNumbers w:val="0"/>
        <w:spacing w:before="0" w:beforeAutospacing="1" w:after="0" w:afterAutospacing="1" w:line="360" w:lineRule="auto"/>
        <w:ind w:left="0" w:right="0" w:firstLine="420"/>
        <w:jc w:val="both"/>
      </w:pPr>
      <w:r>
        <w:rPr>
          <w:rStyle w:val="6"/>
          <w:rFonts w:hint="eastAsia" w:ascii="宋体" w:hAnsi="宋体" w:eastAsia="宋体" w:cs="宋体"/>
          <w:b/>
          <w:bCs/>
          <w:sz w:val="21"/>
          <w:szCs w:val="21"/>
        </w:rPr>
        <w:t> 6.金融工具减值</w:t>
      </w:r>
    </w:p>
    <w:p w14:paraId="219AC1F2">
      <w:pPr>
        <w:pStyle w:val="2"/>
        <w:keepNext w:val="0"/>
        <w:keepLines w:val="0"/>
        <w:widowControl/>
        <w:suppressLineNumbers w:val="0"/>
        <w:spacing w:before="6"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2AD2456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本公司对以摊余成本计量的金融资产、分类为以公允价值计量且其变动计入其他综合收益的金融资产以及财务担保合同以预期信用损失为基础进行减值会计处理并确认损失准备。</w:t>
      </w:r>
    </w:p>
    <w:p w14:paraId="50AD040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14:paraId="6C3CB49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对由收入准则规范的交易形成的应收款项，本公司运用简化计量方法，按照相当于整个存续期内预期信用损失的金额计量损失准备。</w:t>
      </w:r>
    </w:p>
    <w:p w14:paraId="61E30CF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对于购买或源生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p>
    <w:p w14:paraId="6EC90C3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除上述采用简化计量方法和购买或源生的已发生信用减值以外的其他金融资产，本公司在每个资产负债表日评估相关金融工具的信用风险自初始确认后是否已显著增加，并按照下列情形分别计量其损失准备、确认预期信用损失及其变动：</w:t>
      </w:r>
    </w:p>
    <w:p w14:paraId="15BF8E4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（1）如果该金融工具的信用风险自初始确认后并未显著增加，处于第一阶段，则按照相当于该金融工具未来12个月内预期信用损失的金额计量其损失准备，并按照账面余额和实际利率计算利息收入。</w:t>
      </w:r>
    </w:p>
    <w:p w14:paraId="06D3E59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如果该金融工具的信用风险自初始确认后已显著增加但尚未发生信用减值的，处于第二阶段，则按照相当于该金融工具整个存续期内预期信用损失的金额计量其损失准备，并按照账面余额和实际利率计算利息收入。</w:t>
      </w:r>
    </w:p>
    <w:p w14:paraId="6F32117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（3）如果该金融工具自初始确认后已经发生信用减值的，处于第三阶段，本公司按照相当于该金融工具整个存续期内预期信用损失的金额计量其损失准备，并按照摊余成本和实际利率计算利息收入。</w:t>
      </w:r>
    </w:p>
    <w:p w14:paraId="4F64A16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工具信用损失准备的增加或转回金额，作为减值损失或利得计入当期损益。除分类为以公允价值计量且其变动计入其他综合收益的金融资产外，信用损失准备抵减金融资产的账面余额。对于分类为以公允价值计量且其变动计入其他综合收益的金融资产，本公司在其他综合收益中确认其信用损失准备，不减少该金融资产在资产负债表中列示的账面价值。本公司在前一会计期间已经按照相当于金融工具整个存续期内预期信用损失的金额计</w:t>
      </w:r>
    </w:p>
    <w:p w14:paraId="4DAB0B0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量了损失准备，但在当期资产负债表日，该金融工具已不再属于自初始确认后信用风险显著增加的情形的，本公司在当期资产负债表日按照相当于未来12个月内预期信用损失的金额计量该金融工具的损失准备，由此形成的损失准备的转回金额作为减值利得计入当期损益。</w:t>
      </w:r>
    </w:p>
    <w:p w14:paraId="6E522A9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（1）信用风险显著增加</w:t>
      </w:r>
    </w:p>
    <w:p w14:paraId="6E26672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利用可获得的合理且有依据的前瞻性信息，通过比较金融工具在资产负债表日发生违约的风险与在初始确认日发生违约的风险，以确定金融工具的信用风险自初始确认后是否已显著增加。对于财务担保合同，本公司在应用金融工具减值规定时，将本公司成为做出不可撤销承诺的一方之日作为初始确认日。</w:t>
      </w:r>
    </w:p>
    <w:p w14:paraId="23EB693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本公司在评估信用风险是否显著增加时会考虑如下因素：1）债务人经营成果实际或预期是否发生显著变化；</w:t>
      </w:r>
    </w:p>
    <w:p w14:paraId="109D1BF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1）债务人所处的监管、经济或技术环境是否发生显著不利变化；</w:t>
      </w:r>
    </w:p>
    <w:p w14:paraId="1C2074D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2）作为债务抵押的担保物价值或第三方提供的担保或信用增级质量是否发生显著变化，这些变化预期将降低债务人按合同规定期限还款的经济动机或者影响违约概率；</w:t>
      </w:r>
    </w:p>
    <w:p w14:paraId="2F15F7F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3）债务人预期表现和还款行为是否发生显著变化；</w:t>
      </w:r>
    </w:p>
    <w:p w14:paraId="0D623CD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4）本公司对金融工具信用管理方法是否发生变化等。</w:t>
      </w:r>
    </w:p>
    <w:p w14:paraId="4F0A0EE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于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流量义务的能力，则该金融工具被视为具有较低的信用风险。</w:t>
      </w:r>
    </w:p>
    <w:p w14:paraId="5CFC829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（2）已发生信用减值的金融资产</w:t>
      </w:r>
    </w:p>
    <w:p w14:paraId="05F9310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当对金融资产预期未来现金流量具有不利影响的一项或多项事件发生时，该金融资产成为已发生信用减值的金融资产。金融资产已发生信用减值的证据包括下列可观察信息：</w:t>
      </w:r>
    </w:p>
    <w:p w14:paraId="6C84F5C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1）发行方或债务人发生重大财务困难；</w:t>
      </w:r>
    </w:p>
    <w:p w14:paraId="5771764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2）债务人违反合同，如偿付利息或本金违约或逾期等；</w:t>
      </w:r>
    </w:p>
    <w:p w14:paraId="05CD553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3）债权人出于与债务人财务困难有关的经济或合同考虑，给予债务人在任何其他情况下都不会做出的让步；</w:t>
      </w:r>
    </w:p>
    <w:p w14:paraId="06F9297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4）债务人很可能破产或进行其他财务重组；</w:t>
      </w:r>
    </w:p>
    <w:p w14:paraId="10E8CD2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5）发行方或债务人财务困难导致该金融资产的活跃市场消失；</w:t>
      </w:r>
    </w:p>
    <w:p w14:paraId="760A26A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6）以大幅折扣购买或源生一项金融资产，该折扣反映了发生信用损失的事实。</w:t>
      </w:r>
    </w:p>
    <w:p w14:paraId="088AF1E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金融资产发生信用减值，有可能是多个事件的共同作用所致，未必是可单独识别的事件所致。</w:t>
      </w:r>
    </w:p>
    <w:p w14:paraId="652FE05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（3）预期信用损失的确定</w:t>
      </w:r>
    </w:p>
    <w:p w14:paraId="2A846A6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本公司基于单项和组合评估金融工具的预期信用损失，在评估预期信用损失时，考虑有关过去事项、当前状况以及未来经济状况预测的合理且有依据的信息。</w:t>
      </w:r>
    </w:p>
    <w:p w14:paraId="08BC6D6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以共同信用风险特征为依据，将金融工具分为不同组合。本公司采用的共同信用风险特征包括：金融工具类型、信用风险评级、账龄组合、合同结算周期、债务人所处行业等。相关金融工具的单项评估标准和组合信用风险特征详见相关金融工具的会计政策。</w:t>
      </w:r>
    </w:p>
    <w:p w14:paraId="3812E12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1）本公司按照下列方法确定相关金融工具的预期信用损失：</w:t>
      </w:r>
    </w:p>
    <w:p w14:paraId="117465E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2）对于金融资产，信用损失为本公司应收取的合同现金流量与预期收取的现金流量之间差额的现值。</w:t>
      </w:r>
    </w:p>
    <w:p w14:paraId="2056CBE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3）对于租赁应收款项，信用损失为本公司应收取的合同现金流量与预期收取的现金流量之间差额的现值。</w:t>
      </w:r>
    </w:p>
    <w:p w14:paraId="2DFF5EF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4）对于财务担保合同，信用损失为本公司就该合同持有人发生的信用损失向其做出赔付的预计付款额，减去本公司预期向该合同持有人、债务人或任何其他方收取的金额之间差额的现值。</w:t>
      </w:r>
    </w:p>
    <w:p w14:paraId="2CE1364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对于资产负债表日已发生信用减值但并非购买或源生已发生信用减值的金融资产，信用损失为该金融资产账面余额与按原实际利率折现的估计未来现金流量的现值之间的差额。</w:t>
      </w:r>
    </w:p>
    <w:p w14:paraId="7917FED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w:t>
      </w:r>
    </w:p>
    <w:p w14:paraId="7224D0F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（4）减记金融资产</w:t>
      </w:r>
    </w:p>
    <w:p w14:paraId="175F565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当本公司不再合理预期金融资产合同现金流量能够全部或部分收回的，直接减记该金融资产的账面余额。这种减记构成相关金融资产的终止确认。</w:t>
      </w:r>
    </w:p>
    <w:p w14:paraId="742EE8CF">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2"/>
          <w:sz w:val="21"/>
          <w:szCs w:val="21"/>
        </w:rPr>
        <w:t>7.金融资产及金融负债的抵销</w:t>
      </w:r>
    </w:p>
    <w:p w14:paraId="63B5D09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金融资产和金融负债在资产负债表内分别列示，没有相互抵销。但是，同时满足下列条件的，以相互抵销后的净额在资产负债表内列示：</w:t>
      </w:r>
    </w:p>
    <w:p w14:paraId="4F13936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（1）本公司具有抵销已确认金额的法定权利，且该种法定权利是当前可执行的；</w:t>
      </w:r>
    </w:p>
    <w:p w14:paraId="1785765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（2）本公司计划以净额结算，或同时变现该金融资产和清偿该金融负债。</w:t>
      </w:r>
    </w:p>
    <w:p w14:paraId="78B5C033">
      <w:pPr>
        <w:keepNext/>
        <w:keepLines/>
        <w:spacing w:before="300" w:after="300" w:line="280" w:lineRule="exact"/>
        <w:jc w:val="left"/>
        <w:outlineLvl w:val="2"/>
        <w:rPr>
          <w:rFonts w:ascii="宋体" w:hAnsi="宋体" w:eastAsia="宋体" w:cs="宋体"/>
          <w:b/>
          <w:bCs/>
          <w:sz w:val="21"/>
          <w:szCs w:val="21"/>
        </w:rPr>
      </w:pPr>
      <w:bookmarkStart w:id="177" w:name="_Toc989064"/>
      <w:r>
        <w:rPr>
          <w:rFonts w:ascii="宋体" w:hAnsi="宋体" w:eastAsia="宋体" w:cs="宋体"/>
          <w:b/>
          <w:bCs/>
          <w:sz w:val="21"/>
          <w:szCs w:val="21"/>
        </w:rPr>
        <w:t>12、应收票据</w:t>
      </w:r>
      <w:bookmarkEnd w:id="177"/>
    </w:p>
    <w:p w14:paraId="049D7CE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本公司对应收票据的预期信用损失的确定方法及会计处理方法详见本附注（十二）6.金融工具减值。</w:t>
      </w:r>
    </w:p>
    <w:p w14:paraId="217F2CA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当在单项工具层面无法以合理成本评估预期信用损失的充分证据时，本公司参考历史信用损失经验，结合当前状况以及对未来经济状况的判断，依据信用风险特征将应收票据划分为若干组合，在组合基础上计算预期信用损失。确定组合的依据如下：</w:t>
      </w:r>
    </w:p>
    <w:tbl>
      <w:tblPr>
        <w:tblStyle w:val="3"/>
        <w:tblW w:w="877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382"/>
        <w:gridCol w:w="3721"/>
        <w:gridCol w:w="3667"/>
      </w:tblGrid>
      <w:tr w14:paraId="245757A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1382"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3DF9288C">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组合名称</w:t>
            </w:r>
          </w:p>
        </w:tc>
        <w:tc>
          <w:tcPr>
            <w:tcW w:w="3721"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2B9A6D3C">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确定组合的依据</w:t>
            </w:r>
          </w:p>
        </w:tc>
        <w:tc>
          <w:tcPr>
            <w:tcW w:w="366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3B378C76">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计提方法</w:t>
            </w:r>
          </w:p>
        </w:tc>
      </w:tr>
      <w:tr w14:paraId="0D4C4E5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238" w:hRule="atLeast"/>
        </w:trPr>
        <w:tc>
          <w:tcPr>
            <w:tcW w:w="13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F657038">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低风险银行承兑票据组合</w:t>
            </w:r>
          </w:p>
        </w:tc>
        <w:tc>
          <w:tcPr>
            <w:tcW w:w="37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61C3BE73">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出票人具有较高的信用评级，历史上未发生票据违</w:t>
            </w:r>
            <w:r>
              <w:rPr>
                <w:rFonts w:hint="eastAsia" w:ascii="宋体" w:hAnsi="宋体" w:eastAsia="宋体" w:cs="宋体"/>
                <w:spacing w:val="-1"/>
                <w:sz w:val="18"/>
                <w:szCs w:val="18"/>
              </w:rPr>
              <w:t>约，信用损失风险极低，在短期内履行其支付合同现</w:t>
            </w:r>
            <w:r>
              <w:rPr>
                <w:rFonts w:hint="eastAsia" w:ascii="宋体" w:hAnsi="宋体" w:eastAsia="宋体" w:cs="宋体"/>
                <w:sz w:val="18"/>
                <w:szCs w:val="18"/>
              </w:rPr>
              <w:t>金流量义务的能力很强</w:t>
            </w:r>
          </w:p>
        </w:tc>
        <w:tc>
          <w:tcPr>
            <w:tcW w:w="366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4E513D34">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参考历史信用损失经验，结合当前状况以及对未来经济状况的预期计量预期信用损失</w:t>
            </w:r>
          </w:p>
        </w:tc>
      </w:tr>
      <w:tr w14:paraId="2AD724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238" w:hRule="atLeast"/>
        </w:trPr>
        <w:tc>
          <w:tcPr>
            <w:tcW w:w="13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B13A7E4">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商业承兑汇票</w:t>
            </w:r>
          </w:p>
        </w:tc>
        <w:tc>
          <w:tcPr>
            <w:tcW w:w="37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301D5E02">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相较于银行承兑汇票，信用损失风险较高</w:t>
            </w:r>
          </w:p>
        </w:tc>
        <w:tc>
          <w:tcPr>
            <w:tcW w:w="366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261B852F">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参考历史信用损失经验，结合当前状况以及对未来经济状况的预期计量坏账准备</w:t>
            </w:r>
          </w:p>
        </w:tc>
      </w:tr>
    </w:tbl>
    <w:p w14:paraId="17F4A704">
      <w:pPr>
        <w:keepNext/>
        <w:keepLines/>
        <w:spacing w:before="300" w:after="300" w:line="280" w:lineRule="exact"/>
        <w:jc w:val="left"/>
        <w:outlineLvl w:val="2"/>
        <w:rPr>
          <w:rFonts w:ascii="宋体" w:hAnsi="宋体" w:eastAsia="宋体" w:cs="宋体"/>
          <w:b/>
          <w:bCs/>
          <w:sz w:val="21"/>
          <w:szCs w:val="21"/>
        </w:rPr>
      </w:pPr>
      <w:bookmarkStart w:id="178" w:name="_Toc989065"/>
      <w:r>
        <w:rPr>
          <w:rFonts w:ascii="宋体" w:hAnsi="宋体" w:eastAsia="宋体" w:cs="宋体"/>
          <w:b/>
          <w:bCs/>
          <w:sz w:val="21"/>
          <w:szCs w:val="21"/>
        </w:rPr>
        <w:t>13、应收账款</w:t>
      </w:r>
      <w:bookmarkEnd w:id="178"/>
    </w:p>
    <w:p w14:paraId="1171EAC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本公司对应收账款的预期信用损失的确定方法及会计处理方法详见本附注（十二）6.金融工具减值。</w:t>
      </w:r>
    </w:p>
    <w:p w14:paraId="6BF43F3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确定组合的依据如下：</w:t>
      </w:r>
    </w:p>
    <w:tbl>
      <w:tblPr>
        <w:tblStyle w:val="3"/>
        <w:tblW w:w="877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2835"/>
        <w:gridCol w:w="2268"/>
        <w:gridCol w:w="3667"/>
      </w:tblGrid>
      <w:tr w14:paraId="1665A3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2835"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EA1A95D">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组合名称</w:t>
            </w:r>
          </w:p>
        </w:tc>
        <w:tc>
          <w:tcPr>
            <w:tcW w:w="226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70D574C6">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确定组合的依据</w:t>
            </w:r>
          </w:p>
        </w:tc>
        <w:tc>
          <w:tcPr>
            <w:tcW w:w="366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6D75B0A5">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计提方法</w:t>
            </w:r>
          </w:p>
        </w:tc>
      </w:tr>
      <w:tr w14:paraId="51E6F95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38" w:hRule="atLeast"/>
        </w:trPr>
        <w:tc>
          <w:tcPr>
            <w:tcW w:w="28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14:paraId="3AF1FF50">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经销及外包推广模式客户组合</w:t>
            </w:r>
          </w:p>
        </w:tc>
        <w:tc>
          <w:tcPr>
            <w:tcW w:w="2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14:paraId="2458E8A1">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按业务模式分类</w:t>
            </w:r>
          </w:p>
        </w:tc>
        <w:tc>
          <w:tcPr>
            <w:tcW w:w="366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14:paraId="63153ACA">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矩阵模型分析法</w:t>
            </w:r>
          </w:p>
        </w:tc>
      </w:tr>
      <w:tr w14:paraId="057DE71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238" w:hRule="atLeast"/>
        </w:trPr>
        <w:tc>
          <w:tcPr>
            <w:tcW w:w="28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14:paraId="28A8105A">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自主推广模式组合</w:t>
            </w:r>
          </w:p>
        </w:tc>
        <w:tc>
          <w:tcPr>
            <w:tcW w:w="2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14:paraId="6FEC4930">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按业务模式分类</w:t>
            </w:r>
          </w:p>
        </w:tc>
        <w:tc>
          <w:tcPr>
            <w:tcW w:w="366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14:paraId="7AAA8E74">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矩阵模型分析法</w:t>
            </w:r>
          </w:p>
        </w:tc>
      </w:tr>
    </w:tbl>
    <w:p w14:paraId="55957E6A">
      <w:pPr>
        <w:keepNext/>
        <w:keepLines/>
        <w:spacing w:before="300" w:after="300" w:line="280" w:lineRule="exact"/>
        <w:jc w:val="left"/>
        <w:outlineLvl w:val="2"/>
        <w:rPr>
          <w:rFonts w:ascii="宋体" w:hAnsi="宋体" w:eastAsia="宋体" w:cs="宋体"/>
          <w:b/>
          <w:bCs/>
          <w:sz w:val="21"/>
          <w:szCs w:val="21"/>
        </w:rPr>
      </w:pPr>
      <w:bookmarkStart w:id="179" w:name="_Toc989066"/>
      <w:r>
        <w:rPr>
          <w:rFonts w:ascii="宋体" w:hAnsi="宋体" w:eastAsia="宋体" w:cs="宋体"/>
          <w:b/>
          <w:bCs/>
          <w:sz w:val="21"/>
          <w:szCs w:val="21"/>
        </w:rPr>
        <w:t>14、应收款项融资</w:t>
      </w:r>
      <w:bookmarkEnd w:id="179"/>
    </w:p>
    <w:p w14:paraId="3BE920B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本公司对应收款项融资的预期信用损失的确定方法及会计处理方法详见本附注（十二）金融工具减值。</w:t>
      </w:r>
    </w:p>
    <w:p w14:paraId="7F40F62D">
      <w:pPr>
        <w:keepNext/>
        <w:keepLines/>
        <w:spacing w:before="300" w:after="300" w:line="280" w:lineRule="exact"/>
        <w:jc w:val="left"/>
        <w:outlineLvl w:val="2"/>
        <w:rPr>
          <w:rFonts w:ascii="宋体" w:hAnsi="宋体" w:eastAsia="宋体" w:cs="宋体"/>
          <w:b/>
          <w:bCs/>
          <w:sz w:val="21"/>
          <w:szCs w:val="21"/>
        </w:rPr>
      </w:pPr>
      <w:bookmarkStart w:id="180" w:name="_Toc989067"/>
      <w:r>
        <w:rPr>
          <w:rFonts w:ascii="宋体" w:hAnsi="宋体" w:eastAsia="宋体" w:cs="宋体"/>
          <w:b/>
          <w:bCs/>
          <w:sz w:val="21"/>
          <w:szCs w:val="21"/>
        </w:rPr>
        <w:t>15、其他应收款</w:t>
      </w:r>
      <w:bookmarkEnd w:id="180"/>
    </w:p>
    <w:p w14:paraId="061D8C16">
      <w:pPr>
        <w:pStyle w:val="2"/>
        <w:keepNext w:val="0"/>
        <w:keepLines w:val="0"/>
        <w:widowControl/>
        <w:suppressLineNumbers w:val="0"/>
        <w:spacing w:before="6"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4D1E6A2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本公司对其他应收款的预期信用损失的确定方法及会计处理方法详见本附注（十二）6.金融工具减值。</w:t>
      </w:r>
    </w:p>
    <w:p w14:paraId="07E9B4E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当在单项工具层面无法以合理成本评估预期信用损失的充分证据时，本公司参考历史信用损失经验，结合当前状况以及对未来经济状况的判断，依据信用风险特征将其他应收款划分为若干组合，在组合基础上计算预期信用损失。确定组合的依据如下：</w:t>
      </w:r>
    </w:p>
    <w:tbl>
      <w:tblPr>
        <w:tblStyle w:val="3"/>
        <w:tblW w:w="877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2835"/>
        <w:gridCol w:w="1985"/>
        <w:gridCol w:w="3950"/>
      </w:tblGrid>
      <w:tr w14:paraId="360548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2835"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2BF6D7D">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组合名称</w:t>
            </w:r>
          </w:p>
        </w:tc>
        <w:tc>
          <w:tcPr>
            <w:tcW w:w="1985"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7DDCF5F9">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确定组合的依据</w:t>
            </w:r>
          </w:p>
        </w:tc>
        <w:tc>
          <w:tcPr>
            <w:tcW w:w="39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2F9FE2D0">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计提方法</w:t>
            </w:r>
          </w:p>
        </w:tc>
      </w:tr>
      <w:tr w14:paraId="1873B7E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238" w:hRule="atLeast"/>
        </w:trPr>
        <w:tc>
          <w:tcPr>
            <w:tcW w:w="28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0A2BAA5F">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并表范围关联方</w:t>
            </w:r>
          </w:p>
        </w:tc>
        <w:tc>
          <w:tcPr>
            <w:tcW w:w="198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351DB049">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款项性质及风险特征</w:t>
            </w:r>
          </w:p>
        </w:tc>
        <w:tc>
          <w:tcPr>
            <w:tcW w:w="39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3B70A28B">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该组合的信用风险不会因违约而产生重大损失，不计提坏账准备</w:t>
            </w:r>
          </w:p>
        </w:tc>
      </w:tr>
      <w:tr w14:paraId="72EDE1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238" w:hRule="atLeast"/>
        </w:trPr>
        <w:tc>
          <w:tcPr>
            <w:tcW w:w="28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1A7CB382">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信用组合</w:t>
            </w:r>
          </w:p>
        </w:tc>
        <w:tc>
          <w:tcPr>
            <w:tcW w:w="198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2075C792">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款项性质及风险特征</w:t>
            </w:r>
          </w:p>
        </w:tc>
        <w:tc>
          <w:tcPr>
            <w:tcW w:w="39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49910ED8">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按账龄与整个存续期预期信用损失率对照表计提</w:t>
            </w:r>
          </w:p>
        </w:tc>
      </w:tr>
      <w:tr w14:paraId="0DEAC2A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238" w:hRule="atLeast"/>
        </w:trPr>
        <w:tc>
          <w:tcPr>
            <w:tcW w:w="28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18211CAC">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押金、保证金、员工备用金组合</w:t>
            </w:r>
          </w:p>
        </w:tc>
        <w:tc>
          <w:tcPr>
            <w:tcW w:w="198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1D554A5D">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款项性质及风险特征</w:t>
            </w:r>
          </w:p>
        </w:tc>
        <w:tc>
          <w:tcPr>
            <w:tcW w:w="39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2C29C9A4">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该组合的信用风险不会因违约而产生重大损失，不计提坏账准备</w:t>
            </w:r>
          </w:p>
        </w:tc>
      </w:tr>
    </w:tbl>
    <w:p w14:paraId="14215D2C">
      <w:pPr>
        <w:keepNext/>
        <w:keepLines/>
        <w:spacing w:before="300" w:after="300" w:line="280" w:lineRule="exact"/>
        <w:jc w:val="left"/>
        <w:outlineLvl w:val="2"/>
        <w:rPr>
          <w:rFonts w:ascii="宋体" w:hAnsi="宋体" w:eastAsia="宋体" w:cs="宋体"/>
          <w:b/>
          <w:bCs/>
          <w:sz w:val="21"/>
          <w:szCs w:val="21"/>
        </w:rPr>
      </w:pPr>
      <w:bookmarkStart w:id="181" w:name="_Toc989068"/>
      <w:r>
        <w:rPr>
          <w:rFonts w:ascii="宋体" w:hAnsi="宋体" w:eastAsia="宋体" w:cs="宋体"/>
          <w:b/>
          <w:bCs/>
          <w:sz w:val="21"/>
          <w:szCs w:val="21"/>
        </w:rPr>
        <w:t>16、合同资产</w:t>
      </w:r>
      <w:bookmarkEnd w:id="181"/>
    </w:p>
    <w:p w14:paraId="4C05C9A6">
      <w:pPr>
        <w:keepNext/>
        <w:keepLines/>
        <w:spacing w:before="300" w:after="300" w:line="280" w:lineRule="exact"/>
        <w:jc w:val="left"/>
        <w:outlineLvl w:val="2"/>
        <w:rPr>
          <w:rFonts w:ascii="宋体" w:hAnsi="宋体" w:eastAsia="宋体" w:cs="宋体"/>
          <w:b/>
          <w:bCs/>
          <w:sz w:val="21"/>
          <w:szCs w:val="21"/>
        </w:rPr>
      </w:pPr>
      <w:bookmarkStart w:id="182" w:name="_Toc989069"/>
      <w:r>
        <w:rPr>
          <w:rFonts w:ascii="宋体" w:hAnsi="宋体" w:eastAsia="宋体" w:cs="宋体"/>
          <w:b/>
          <w:bCs/>
          <w:sz w:val="21"/>
          <w:szCs w:val="21"/>
        </w:rPr>
        <w:t>17、存货</w:t>
      </w:r>
      <w:bookmarkEnd w:id="182"/>
    </w:p>
    <w:p w14:paraId="5BECCEC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1.存货类别</w:t>
      </w:r>
    </w:p>
    <w:p w14:paraId="0044660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存货是指本公司在日常活动中持有以备出售的产成品或商品、处在生产过程中的在产品、在生产过程或提供劳务过程中耗用的材料和物料等。主要包括原材料、周转材料、委托加工材料、在产品、半成品、产成品（库存商品）、发出商品等。</w:t>
      </w:r>
    </w:p>
    <w:p w14:paraId="3D5C33D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2.存货发出计价方法</w:t>
      </w:r>
    </w:p>
    <w:p w14:paraId="44CB69D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存货在取得时，按成本进行初始计量，包括采购成本、加工成本和其他成本。存货发出时按月末一次加权平均法计价。</w:t>
      </w:r>
    </w:p>
    <w:p w14:paraId="0847D12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3.存货的盘存制度</w:t>
      </w:r>
    </w:p>
    <w:p w14:paraId="32C1278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存货盘存制度为永续盘存制。</w:t>
      </w:r>
    </w:p>
    <w:p w14:paraId="22729D2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4.存货跌价准备的确认标准和计提方法</w:t>
      </w:r>
    </w:p>
    <w:p w14:paraId="3746D99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期末对存货进行全面清查后，按存货的成本与可变现净值孰低提取或调整存货跌价准备。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14:paraId="1311848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14:paraId="4EC65DA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以前减记存货价值的影响因素已经消失的，减记的金额予以恢复，并在原已计提的存货跌价准备金额内转回，转回的金额计入当期损益。</w:t>
      </w:r>
    </w:p>
    <w:p w14:paraId="4457E365">
      <w:pPr>
        <w:keepNext/>
        <w:keepLines/>
        <w:spacing w:before="300" w:after="300" w:line="280" w:lineRule="exact"/>
        <w:jc w:val="left"/>
        <w:outlineLvl w:val="2"/>
        <w:rPr>
          <w:rFonts w:ascii="宋体" w:hAnsi="宋体" w:eastAsia="宋体" w:cs="宋体"/>
          <w:b/>
          <w:bCs/>
          <w:sz w:val="21"/>
          <w:szCs w:val="21"/>
        </w:rPr>
      </w:pPr>
      <w:bookmarkStart w:id="183" w:name="_Toc989070"/>
      <w:r>
        <w:rPr>
          <w:rFonts w:ascii="宋体" w:hAnsi="宋体" w:eastAsia="宋体" w:cs="宋体"/>
          <w:b/>
          <w:bCs/>
          <w:sz w:val="21"/>
          <w:szCs w:val="21"/>
        </w:rPr>
        <w:t>18、持有待售资产</w:t>
      </w:r>
      <w:bookmarkEnd w:id="183"/>
    </w:p>
    <w:p w14:paraId="758C4893">
      <w:pPr>
        <w:keepNext/>
        <w:keepLines/>
        <w:spacing w:before="300" w:after="300" w:line="280" w:lineRule="exact"/>
        <w:jc w:val="left"/>
        <w:outlineLvl w:val="2"/>
        <w:rPr>
          <w:rFonts w:ascii="宋体" w:hAnsi="宋体" w:eastAsia="宋体" w:cs="宋体"/>
          <w:b/>
          <w:bCs/>
          <w:sz w:val="21"/>
          <w:szCs w:val="21"/>
        </w:rPr>
      </w:pPr>
      <w:bookmarkStart w:id="184" w:name="_Toc989071"/>
      <w:r>
        <w:rPr>
          <w:rFonts w:ascii="宋体" w:hAnsi="宋体" w:eastAsia="宋体" w:cs="宋体"/>
          <w:b/>
          <w:bCs/>
          <w:sz w:val="21"/>
          <w:szCs w:val="21"/>
        </w:rPr>
        <w:t>19、债权投资</w:t>
      </w:r>
      <w:bookmarkEnd w:id="184"/>
    </w:p>
    <w:p w14:paraId="2F5B08FE">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本公司对债权投资的预期信用损失的确定方法及会计处理方法详见本附注（十二）</w:t>
      </w:r>
      <w:r>
        <w:rPr>
          <w:rFonts w:hint="default" w:ascii="Times New Roman" w:hAnsi="Times New Roman" w:eastAsia="宋体" w:cs="Times New Roman"/>
          <w:sz w:val="21"/>
          <w:szCs w:val="21"/>
        </w:rPr>
        <w:t>6.</w:t>
      </w:r>
      <w:r>
        <w:rPr>
          <w:rFonts w:hint="eastAsia" w:ascii="宋体" w:hAnsi="宋体" w:eastAsia="宋体" w:cs="宋体"/>
          <w:sz w:val="21"/>
          <w:szCs w:val="21"/>
        </w:rPr>
        <w:t>金融工具减值。</w:t>
      </w:r>
    </w:p>
    <w:p w14:paraId="4FFE5936">
      <w:pPr>
        <w:keepNext/>
        <w:keepLines/>
        <w:spacing w:before="300" w:after="300" w:line="280" w:lineRule="exact"/>
        <w:jc w:val="left"/>
        <w:outlineLvl w:val="2"/>
        <w:rPr>
          <w:rFonts w:ascii="宋体" w:hAnsi="宋体" w:eastAsia="宋体" w:cs="宋体"/>
          <w:b/>
          <w:bCs/>
          <w:sz w:val="21"/>
          <w:szCs w:val="21"/>
        </w:rPr>
      </w:pPr>
      <w:bookmarkStart w:id="185" w:name="_Toc989072"/>
      <w:r>
        <w:rPr>
          <w:rFonts w:ascii="宋体" w:hAnsi="宋体" w:eastAsia="宋体" w:cs="宋体"/>
          <w:b/>
          <w:bCs/>
          <w:sz w:val="21"/>
          <w:szCs w:val="21"/>
        </w:rPr>
        <w:t>20、其他债权投资</w:t>
      </w:r>
      <w:bookmarkEnd w:id="185"/>
    </w:p>
    <w:p w14:paraId="7684F52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本公司对其他债权投资的预期信用损失的确定方法及会计处理方法详见本附注（十二）金融工具减值。</w:t>
      </w:r>
    </w:p>
    <w:p w14:paraId="1211737C">
      <w:pPr>
        <w:keepNext/>
        <w:keepLines/>
        <w:spacing w:before="300" w:after="300" w:line="280" w:lineRule="exact"/>
        <w:jc w:val="left"/>
        <w:outlineLvl w:val="2"/>
        <w:rPr>
          <w:rFonts w:ascii="宋体" w:hAnsi="宋体" w:eastAsia="宋体" w:cs="宋体"/>
          <w:b/>
          <w:bCs/>
          <w:sz w:val="21"/>
          <w:szCs w:val="21"/>
        </w:rPr>
      </w:pPr>
      <w:bookmarkStart w:id="186" w:name="_Toc989073"/>
      <w:r>
        <w:rPr>
          <w:rFonts w:ascii="宋体" w:hAnsi="宋体" w:eastAsia="宋体" w:cs="宋体"/>
          <w:b/>
          <w:bCs/>
          <w:sz w:val="21"/>
          <w:szCs w:val="21"/>
        </w:rPr>
        <w:t>21、长期应收款</w:t>
      </w:r>
      <w:bookmarkEnd w:id="186"/>
    </w:p>
    <w:p w14:paraId="3828E6C3">
      <w:pPr>
        <w:keepNext/>
        <w:keepLines/>
        <w:spacing w:before="300" w:after="300" w:line="280" w:lineRule="exact"/>
        <w:jc w:val="left"/>
        <w:outlineLvl w:val="2"/>
        <w:rPr>
          <w:rFonts w:ascii="宋体" w:hAnsi="宋体" w:eastAsia="宋体" w:cs="宋体"/>
          <w:b/>
          <w:bCs/>
          <w:sz w:val="21"/>
          <w:szCs w:val="21"/>
        </w:rPr>
      </w:pPr>
      <w:bookmarkStart w:id="187" w:name="_Toc989074"/>
      <w:r>
        <w:rPr>
          <w:rFonts w:ascii="宋体" w:hAnsi="宋体" w:eastAsia="宋体" w:cs="宋体"/>
          <w:b/>
          <w:bCs/>
          <w:sz w:val="21"/>
          <w:szCs w:val="21"/>
        </w:rPr>
        <w:t>22、长期股权投资</w:t>
      </w:r>
      <w:bookmarkEnd w:id="187"/>
    </w:p>
    <w:p w14:paraId="0AC47368">
      <w:pPr>
        <w:pStyle w:val="2"/>
        <w:keepNext w:val="0"/>
        <w:keepLines w:val="0"/>
        <w:widowControl/>
        <w:suppressLineNumbers w:val="0"/>
        <w:spacing w:before="0" w:beforeAutospacing="1" w:after="0" w:afterAutospacing="1" w:line="360" w:lineRule="auto"/>
        <w:ind w:left="0" w:right="0" w:firstLine="422"/>
        <w:jc w:val="both"/>
      </w:pPr>
      <w:r>
        <w:rPr>
          <w:rStyle w:val="6"/>
          <w:rFonts w:hint="eastAsia" w:ascii="宋体" w:hAnsi="宋体" w:eastAsia="宋体" w:cs="宋体"/>
          <w:b/>
          <w:bCs/>
          <w:sz w:val="21"/>
          <w:szCs w:val="21"/>
        </w:rPr>
        <w:t>1．初始投资成本的确定</w:t>
      </w:r>
    </w:p>
    <w:p w14:paraId="5559A07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（1）企业合并形成的长期股权投资，具体会计政策详见本附注（七）同一控制下和非同一控制下企业合并的会计处理方法。</w:t>
      </w:r>
    </w:p>
    <w:p w14:paraId="754B8B4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（2）其他方式取得的长期股权投资</w:t>
      </w:r>
    </w:p>
    <w:p w14:paraId="30BCC5F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以支付现金方式取得的长期股权投资，按照实际支付的购买价款作为初始投资成本。初始投资成本包括与取得长期股权投资直接相关的费用、税金及其他必要支出。</w:t>
      </w:r>
    </w:p>
    <w:p w14:paraId="29C5D69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以发行权益性证券取得的长期股权投资，按照发行权益性证券的公允价值作为初始投资成本；发行或取得自身权益工具时发生的交易费用，可直接归属于权益性交易的从权益中扣减。</w:t>
      </w:r>
    </w:p>
    <w:p w14:paraId="4D34C4D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非货币性资产交换具备商业实质和换入资产或换出资产的公允价值能够可靠计量的前提下，非货币性资产交换换入的长期股权投资以换出资产的公允价值为基础确定其初始投资成本，除非有确凿证据表明换入资产的公允价值更加可靠；不满足上述前提的非货币性资产交换，以换出资产的账面价值和应支付的相关税费作为换入长期股权投资的初始投资成本。</w:t>
      </w:r>
    </w:p>
    <w:p w14:paraId="18DEF0E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通过债务重组取得的长期股权投资，其初始投资成本按照公允价值为基础确定。</w:t>
      </w:r>
    </w:p>
    <w:p w14:paraId="4BE121DE">
      <w:pPr>
        <w:pStyle w:val="2"/>
        <w:keepNext w:val="0"/>
        <w:keepLines w:val="0"/>
        <w:widowControl/>
        <w:suppressLineNumbers w:val="0"/>
        <w:spacing w:before="0" w:beforeAutospacing="1" w:after="0" w:afterAutospacing="1" w:line="360" w:lineRule="auto"/>
        <w:ind w:left="0" w:right="0" w:firstLine="422"/>
        <w:jc w:val="both"/>
      </w:pPr>
      <w:r>
        <w:rPr>
          <w:rStyle w:val="6"/>
          <w:rFonts w:hint="eastAsia" w:ascii="宋体" w:hAnsi="宋体" w:eastAsia="宋体" w:cs="宋体"/>
          <w:b/>
          <w:bCs/>
          <w:sz w:val="21"/>
          <w:szCs w:val="21"/>
        </w:rPr>
        <w:t>2.后续计量及损益确认</w:t>
      </w:r>
    </w:p>
    <w:p w14:paraId="15C2D06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（1）成本法</w:t>
      </w:r>
    </w:p>
    <w:p w14:paraId="489A9BA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本公司能够对被投资单位实施控制的长期股权投资采用成本法核算，并按照初始投资成本计价，追加或收回投资调整长期股权投资的成本。</w:t>
      </w:r>
    </w:p>
    <w:p w14:paraId="62E8C1D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除取得投资时实际支付的价款或对价中包含的已宣告但尚未发放的现金股利或利润外，本公司按照享有被投资单位宣告分派的现金股利或利润确认为当期投资收益。</w:t>
      </w:r>
    </w:p>
    <w:p w14:paraId="3D6C423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（2）权益法</w:t>
      </w:r>
    </w:p>
    <w:p w14:paraId="271F1CC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联营企业和合营企业的长期股权投资采用权益法核算；对于其中一部分通过风险投资机构、共同基金、信托公司或包括投连险基金在内的类似主体间接持有的联营企业的权益性投资，采用公允价值计量且其变动计入损益。</w:t>
      </w:r>
    </w:p>
    <w:p w14:paraId="2C999D1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长期股权投资的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14:paraId="055A23E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取得长期股权投资后，按照应享有或应分担的被投资单位实现的净损益和其他综合收益的份额，分别确认投资收益和其他综合收益，同时调整长期股权投资的账面价值；并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14:paraId="5F0C0C7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在确认应享有被投资单位净损益的份额时，以取得投资时被投资单位各项可辨认资产等的公允价值为基础，对被投资单位的净利润进行调整后确认。本公司与联营企业、合营企业之间发生的未实现内部交易损益按照应享有的比例计算归属于本公司的部分予以抵销，在此基础上确认投资损益。</w:t>
      </w:r>
    </w:p>
    <w:p w14:paraId="5E88977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14:paraId="1F8069E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被投资单位以后期间实现盈利的，公司在扣除未确认的亏损分担额后，按与上述相反的顺序处理，减记已确认预计负债的账面余额、恢复其他实质上构成对被投资单位净投资的长期权益及长期股权投资的账面价值后，恢复确认投资收益。</w:t>
      </w:r>
    </w:p>
    <w:p w14:paraId="4674F9A7">
      <w:pPr>
        <w:pStyle w:val="2"/>
        <w:keepNext w:val="0"/>
        <w:keepLines w:val="0"/>
        <w:widowControl/>
        <w:suppressLineNumbers w:val="0"/>
        <w:spacing w:before="0" w:beforeAutospacing="1" w:after="0" w:afterAutospacing="1" w:line="360" w:lineRule="auto"/>
        <w:ind w:left="0" w:right="0" w:firstLine="422"/>
        <w:jc w:val="both"/>
      </w:pPr>
      <w:r>
        <w:rPr>
          <w:rStyle w:val="6"/>
          <w:rFonts w:hint="eastAsia" w:ascii="宋体" w:hAnsi="宋体" w:eastAsia="宋体" w:cs="宋体"/>
          <w:b/>
          <w:bCs/>
          <w:sz w:val="21"/>
          <w:szCs w:val="21"/>
        </w:rPr>
        <w:t>3.长期股权投资核算方法的转换</w:t>
      </w:r>
    </w:p>
    <w:p w14:paraId="0C8F62C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（1）公允价值计量转权益法核算</w:t>
      </w:r>
    </w:p>
    <w:p w14:paraId="7115974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原持有的对被投资单位不具有控制、共同控制或重大影响的按金融工具确认和计量准则进行会计处理的权益性投资，因追加投资等原因能够对被投资单位施加重大影响或实施共同控制但不构成控制的，按照《企业会计准则第22号——金融工具确认和计量》确定的原持有的股权投资的公允价值加上新增投资成本之和，作为改按权益法核算的初始投资成本。</w:t>
      </w:r>
    </w:p>
    <w:p w14:paraId="222FEFE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按权益法核算的初始投资成本小于按照追加投资后全新的持股比例计算确定的应享有被投资单位在追加投资日可辨认净资产公允价值份额之间的差额，调整长期股权投资的账面价值，并计入当期营业外收入。</w:t>
      </w:r>
    </w:p>
    <w:p w14:paraId="6C0C82A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（2）公允价值计量或权益法核算转成本法核算</w:t>
      </w:r>
    </w:p>
    <w:p w14:paraId="7EA2E66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原持有的对被投资单位不具有控制、共同控制或重大影响的按金融工具确认和计量准则进行会计处理的权益性投资，或原持有对联营企业、合营企业的长期股权投资，因追加投资等原因能够对非同一控制下的被投资单位实施控制的，在编制个别财务报表时，按照原持有的股权投资账面价值加上新增投资成本之和，作为改按成本法核算的初始投资成本。</w:t>
      </w:r>
    </w:p>
    <w:p w14:paraId="5A5DE48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购买日之前持有的股权投资因采用权益法核算而确认的其他综合收益，在处置该项投资时采用与被投资单位直接处置相关资产或负债相同的基础进行会计处理。</w:t>
      </w:r>
    </w:p>
    <w:p w14:paraId="0329FD1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购买日之前持有的股权投资按照《企业会计准则第22号——金融工具确认和计量》的有关规定进行会计处理的，原计入其他综合收益的累计公允价值变动在改按成本法核算时转入当期损益。</w:t>
      </w:r>
    </w:p>
    <w:p w14:paraId="4E59529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（3）权益法核算转公允价值计量</w:t>
      </w:r>
    </w:p>
    <w:p w14:paraId="5524850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因处置部分股权投资等原因丧失了对被投资单位的共同控制或重大影响的，处置后的剩余股权改按《企业会计准则第22号——金融工具确认和计量》核算，其在丧失共同控制或重大影响之日的公允价值与账面价值之间的差额计入当期损益。</w:t>
      </w:r>
    </w:p>
    <w:p w14:paraId="75A85EC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原股权投资因采用权益法核算而确认的其他综合收益，在终止采用权益法核算时采用与被投资单位直接处置相关资产或负债相同的基础进行会计处理。</w:t>
      </w:r>
    </w:p>
    <w:p w14:paraId="5FA909A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（4）成本法转权益法</w:t>
      </w:r>
    </w:p>
    <w:p w14:paraId="00D4AEB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因处置部分权益性投资等原因丧失了对被投资单位的控制的，在编制个别财务报表时，处置后的剩余股权能够对被投资单位实施共同控制或施加重大影响的，改按权益法核算，并对该剩余股权视同自取得时即采用权益法核算进行调整。</w:t>
      </w:r>
    </w:p>
    <w:p w14:paraId="07698BF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（5）成本法转公允价值计量</w:t>
      </w:r>
    </w:p>
    <w:p w14:paraId="7AAFF39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因处置部分权益性投资等原因丧失了对被投资单位的控制的，在编制个别财务报表时，处置后的剩余股权不能对被投资单位实施共同控制或施加重大影响的，改按《企业会计准则第22号——金融工具确认和计量》的有关规定进行会计处理，其在丧失控制之日的公允价值与账面价值间的差额计入当期损益。</w:t>
      </w:r>
    </w:p>
    <w:p w14:paraId="1D70E104">
      <w:pPr>
        <w:pStyle w:val="2"/>
        <w:keepNext w:val="0"/>
        <w:keepLines w:val="0"/>
        <w:widowControl/>
        <w:suppressLineNumbers w:val="0"/>
        <w:spacing w:before="0" w:beforeAutospacing="1" w:after="0" w:afterAutospacing="1" w:line="360" w:lineRule="auto"/>
        <w:ind w:left="0" w:right="0" w:firstLine="422"/>
        <w:jc w:val="both"/>
      </w:pPr>
      <w:r>
        <w:rPr>
          <w:rStyle w:val="6"/>
          <w:rFonts w:hint="eastAsia" w:ascii="宋体" w:hAnsi="宋体" w:eastAsia="宋体" w:cs="宋体"/>
          <w:b/>
          <w:bCs/>
          <w:sz w:val="21"/>
          <w:szCs w:val="21"/>
        </w:rPr>
        <w:t>4.长期股权投资的处置</w:t>
      </w:r>
    </w:p>
    <w:p w14:paraId="49BC363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处置长期股权投资，其账面价值与实际取得价款之间的差额，应当计入当期损益。采用权益法核算的长期股权投资，在处置该项投资时，采用与被投资单位直接处置相关资产或负债相同的基础，按相应比例对原计入其他综合收益的部分进行会计处理。</w:t>
      </w:r>
    </w:p>
    <w:p w14:paraId="44BBC7C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处置对子公司股权投资的各项交易的条款、条件以及经济影响符合以下一种或多种情况，将多次交易事项作为一揽子交易进行会计处理：</w:t>
      </w:r>
    </w:p>
    <w:p w14:paraId="361CB89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（1）这些交易是同时或者在考虑了彼此影响的情况下订立的；</w:t>
      </w:r>
    </w:p>
    <w:p w14:paraId="3E2EBE3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（2）这些交易整体才能达成一项完整的商业结果；</w:t>
      </w:r>
    </w:p>
    <w:p w14:paraId="5573EE0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（3）一项交易的发生取决于其他至少一项交易的发生；</w:t>
      </w:r>
    </w:p>
    <w:p w14:paraId="4C0C6C8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（4）一项交易单独看是不经济的，但是和其他交易一并考虑时是经济的。</w:t>
      </w:r>
    </w:p>
    <w:p w14:paraId="6AFC569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因处置部分股权投资或其他原因丧失了对原有子公司控制权的，不属于一揽子交易的，区分个别财务报表和合并财务报表进行相关会计处理：</w:t>
      </w:r>
    </w:p>
    <w:p w14:paraId="2FBAACB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在个别财务报表中，对于处置的股权，其账面价值与实际取得价款之间的差额计入当期损益。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间的差额计入当期损益。</w:t>
      </w:r>
    </w:p>
    <w:p w14:paraId="74C3604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在合并财务报表中，对于在丧失对子公司控制权以前的各项交易，处置价款与处置长期股权投资相应对享有子公司自购买日或合并日开始持续计算的净资产份额之间的差额，调整资本公积（股本溢价），资本公积不足冲减的，调整留存收益；在丧失对子公司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等，在丧失控制权时转为当期投资收益。</w:t>
      </w:r>
    </w:p>
    <w:p w14:paraId="3EF2103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处置对子公司股权投资直至丧失控制权的各项交易属于一揽子交易的，将各项交易作为一项处置子公司股权投资并丧失控制权的交易进行会计处理，区分个别财务报表和合并财务报表进行相关会计处理：</w:t>
      </w:r>
    </w:p>
    <w:p w14:paraId="343B99A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在个别财务报表中，在丧失控制权之前每一次处置价款与处置的股权对应的长期股权投资账面价值之间的差额，确认为其他综合收益，在丧失控制权时一并转入丧失控制权当期的损益。</w:t>
      </w:r>
    </w:p>
    <w:p w14:paraId="3A7F6FD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在合并财务报表中，在丧失控制权之前每一次处置价款与处置投资对应的享有该子公司净资产份额的差额，确认为其他综合收益，在丧失控制权时一并转入丧失控制权当期的损益。</w:t>
      </w:r>
    </w:p>
    <w:p w14:paraId="0A467F26">
      <w:pPr>
        <w:pStyle w:val="2"/>
        <w:keepNext w:val="0"/>
        <w:keepLines w:val="0"/>
        <w:widowControl/>
        <w:suppressLineNumbers w:val="0"/>
        <w:spacing w:before="0" w:beforeAutospacing="1" w:after="0" w:afterAutospacing="1" w:line="360" w:lineRule="auto"/>
        <w:ind w:left="0" w:right="0" w:firstLine="422"/>
        <w:jc w:val="both"/>
      </w:pPr>
      <w:r>
        <w:rPr>
          <w:rStyle w:val="6"/>
          <w:rFonts w:hint="eastAsia" w:ascii="宋体" w:hAnsi="宋体" w:eastAsia="宋体" w:cs="宋体"/>
          <w:b/>
          <w:bCs/>
          <w:sz w:val="21"/>
          <w:szCs w:val="21"/>
        </w:rPr>
        <w:t>5.共同控制、重大影响的判断标准</w:t>
      </w:r>
    </w:p>
    <w:p w14:paraId="2C907CF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如果本公司按照相关约定与其他参与方集体控制某项安排，并且对该安排回报具有重大影响的活动决策，需要经过分享控制权的参与方一致同意时才存在，则视为本公司与其他参与方共同控制某项安排，该安排即属于合营安排。</w:t>
      </w:r>
    </w:p>
    <w:p w14:paraId="5244DCD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合营安排通过单独主体达成的，根据相关约定判断本公司对该单独主体的净资产享有权利时，将该单独主体作为合营企业，采用权益法核算。若根据相关约定判断本公司并非对该单独主体的净资产享有权利时，该单独主体作为共同经营，本公司确认与共同经营利益份额相关的项目，并按照相关企业会计准则的规定进行会计处理。</w:t>
      </w:r>
    </w:p>
    <w:p w14:paraId="2C897C0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重大影响，是指投资方对被投资单位的财务和经营政策有参与决策的权力，但并不能够控制或者与其他方一起共同控制这些政策的制定。本公司通过以下一种或多种情形，并综合考虑所有事实和情况后，判断对被投资单位具有重大影响：（1）在被投资单位的董事会或类似权力机构中派有代表；（2）参与被投资单位财务和经营政策制定过程；（3）与被投资单位之间发生重要交易；（4）向被投资单位派出管理人员；（5）向被投资单位提供关键技术资料。</w:t>
      </w:r>
    </w:p>
    <w:p w14:paraId="2027BA79">
      <w:pPr>
        <w:keepNext/>
        <w:keepLines/>
        <w:spacing w:before="300" w:after="300" w:line="280" w:lineRule="exact"/>
        <w:jc w:val="left"/>
        <w:outlineLvl w:val="2"/>
        <w:rPr>
          <w:rFonts w:ascii="宋体" w:hAnsi="宋体" w:eastAsia="宋体" w:cs="宋体"/>
          <w:b/>
          <w:bCs/>
          <w:sz w:val="21"/>
          <w:szCs w:val="21"/>
        </w:rPr>
      </w:pPr>
      <w:bookmarkStart w:id="188" w:name="_Toc989075"/>
      <w:r>
        <w:rPr>
          <w:rFonts w:ascii="宋体" w:hAnsi="宋体" w:eastAsia="宋体" w:cs="宋体"/>
          <w:b/>
          <w:bCs/>
          <w:sz w:val="21"/>
          <w:szCs w:val="21"/>
        </w:rPr>
        <w:t>23、投资性房地产</w:t>
      </w:r>
      <w:bookmarkEnd w:id="188"/>
    </w:p>
    <w:p w14:paraId="21118513">
      <w:pPr>
        <w:spacing w:before="100" w:after="100" w:line="240" w:lineRule="exact"/>
        <w:jc w:val="left"/>
        <w:rPr>
          <w:rFonts w:ascii="宋体" w:hAnsi="宋体" w:eastAsia="宋体" w:cs="宋体"/>
          <w:sz w:val="18"/>
          <w:szCs w:val="18"/>
        </w:rPr>
      </w:pPr>
      <w:r>
        <w:rPr>
          <w:rFonts w:ascii="宋体" w:hAnsi="宋体" w:eastAsia="宋体" w:cs="宋体"/>
          <w:sz w:val="18"/>
          <w:szCs w:val="18"/>
        </w:rPr>
        <w:t>投资性房地产计量模式</w:t>
      </w:r>
    </w:p>
    <w:p w14:paraId="4018D0E1">
      <w:pPr>
        <w:spacing w:before="0" w:after="0" w:line="240" w:lineRule="exact"/>
        <w:jc w:val="left"/>
        <w:rPr>
          <w:rFonts w:ascii="宋体" w:hAnsi="宋体" w:eastAsia="宋体" w:cs="宋体"/>
          <w:sz w:val="18"/>
          <w:szCs w:val="18"/>
        </w:rPr>
      </w:pPr>
      <w:r>
        <w:rPr>
          <w:rFonts w:ascii="宋体" w:hAnsi="宋体" w:eastAsia="宋体" w:cs="宋体"/>
          <w:sz w:val="18"/>
          <w:szCs w:val="18"/>
        </w:rPr>
        <w:t>不适用</w:t>
      </w:r>
    </w:p>
    <w:p w14:paraId="270223B3">
      <w:pPr>
        <w:keepNext/>
        <w:keepLines/>
        <w:spacing w:before="300" w:after="300" w:line="280" w:lineRule="exact"/>
        <w:jc w:val="left"/>
        <w:outlineLvl w:val="2"/>
        <w:rPr>
          <w:rFonts w:ascii="宋体" w:hAnsi="宋体" w:eastAsia="宋体" w:cs="宋体"/>
          <w:b/>
          <w:bCs/>
          <w:sz w:val="21"/>
          <w:szCs w:val="21"/>
        </w:rPr>
      </w:pPr>
      <w:bookmarkStart w:id="189" w:name="_Toc989076"/>
      <w:r>
        <w:rPr>
          <w:rFonts w:ascii="宋体" w:hAnsi="宋体" w:eastAsia="宋体" w:cs="宋体"/>
          <w:b/>
          <w:bCs/>
          <w:sz w:val="21"/>
          <w:szCs w:val="21"/>
        </w:rPr>
        <w:t>24、固定资产</w:t>
      </w:r>
      <w:bookmarkEnd w:id="189"/>
    </w:p>
    <w:p w14:paraId="4E51F875">
      <w:pPr>
        <w:keepNext/>
        <w:keepLines/>
        <w:spacing w:before="300" w:after="300" w:line="280" w:lineRule="exact"/>
        <w:jc w:val="left"/>
        <w:outlineLvl w:val="3"/>
        <w:rPr>
          <w:rFonts w:ascii="宋体" w:hAnsi="宋体" w:eastAsia="宋体" w:cs="宋体"/>
          <w:b/>
          <w:bCs/>
          <w:sz w:val="21"/>
          <w:szCs w:val="21"/>
        </w:rPr>
      </w:pPr>
      <w:bookmarkStart w:id="190" w:name="_Toc989077"/>
      <w:r>
        <w:rPr>
          <w:rFonts w:ascii="宋体" w:hAnsi="宋体" w:eastAsia="宋体" w:cs="宋体"/>
          <w:b/>
          <w:bCs/>
          <w:sz w:val="21"/>
          <w:szCs w:val="21"/>
        </w:rPr>
        <w:t>（1） 确认条件</w:t>
      </w:r>
      <w:bookmarkEnd w:id="190"/>
    </w:p>
    <w:p w14:paraId="2307F506">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1.固定资产确认条件</w:t>
      </w:r>
    </w:p>
    <w:p w14:paraId="594526F5">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固定资产指为生产商品、提供劳务、出租或经营管理而持有，并且使用寿命超过一个会计年度的有形资产。固定资产在同时满足下列条件时予以确认：</w:t>
      </w:r>
    </w:p>
    <w:p w14:paraId="2B26708B">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（1）与该固定资产有关的经济利益很可能流入企业；</w:t>
      </w:r>
    </w:p>
    <w:p w14:paraId="33E703AF">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（2）该固定资产的成本能够可靠地计量。</w:t>
      </w:r>
    </w:p>
    <w:p w14:paraId="421E0587">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2.固定资产初始计量</w:t>
      </w:r>
    </w:p>
    <w:p w14:paraId="39BDD913">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本公司固定资产按成本进行初始计量。</w:t>
      </w:r>
    </w:p>
    <w:p w14:paraId="1D1D5957">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（1）外购的固定资产的成本包括买价、进口关税等相关税费，以及为使固定资产达到预定可使用状态前所发生的可直接归属于该资产的其他支出。</w:t>
      </w:r>
    </w:p>
    <w:p w14:paraId="6B2EE5E3">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（2）自行建造固定资产的成本，由建造该项资产达到预定可使用状态前所发生的必要支出构成。</w:t>
      </w:r>
    </w:p>
    <w:p w14:paraId="3C97D02D">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（3）投资者投入的固定资产，按投资合同或协议约定的价值作为入账价值，但合同或协议约定价值不公允的按公允价值入账。</w:t>
      </w:r>
    </w:p>
    <w:p w14:paraId="22F451C3">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4）购买固定资产的价款超过正常信用条件延期支付，实质上具有融资性质的，固定资产的成本以购买价款的现值为基础确定。实际支付的价款与购买价款的现值之间的差额，除应予资本化的以外，在信用期间内计入当期损益。</w:t>
      </w:r>
    </w:p>
    <w:p w14:paraId="246510AF">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1.固定资产后续计量及处置</w:t>
      </w:r>
    </w:p>
    <w:p w14:paraId="4D7A743A">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（1）固定资产折旧</w:t>
      </w:r>
    </w:p>
    <w:p w14:paraId="33CD7D95">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固定资产折旧按其入账价值减去预计净残值后在预计使用寿命内计提。对计提了减值准备的固定资产，则在未来期间按扣除减值准备后的账面价值及依据尚可使用年限确定折旧额；已提足折旧仍继续使用的固定资产不计提折旧。</w:t>
      </w:r>
    </w:p>
    <w:p w14:paraId="58C23D76">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本公司根据固定资产的性质和使用情况，确定固定资产的使用寿命和预计净残值。并在年度终了，对固定资产的使用寿命、预计净残值和折旧方法进行复核，如与原先估计数存在差异的，进行相应的调整。</w:t>
      </w:r>
    </w:p>
    <w:p w14:paraId="29379CAA">
      <w:pPr>
        <w:pStyle w:val="2"/>
        <w:keepNext w:val="0"/>
        <w:keepLines w:val="0"/>
        <w:widowControl/>
        <w:suppressLineNumbers w:val="0"/>
        <w:spacing w:line="560" w:lineRule="atLeast"/>
        <w:ind w:left="0" w:firstLine="357"/>
        <w:rPr>
          <w:rFonts w:hint="eastAsia" w:ascii="宋体" w:hAnsi="宋体" w:eastAsia="宋体" w:cs="宋体"/>
          <w:sz w:val="18"/>
          <w:szCs w:val="18"/>
        </w:rPr>
      </w:pPr>
      <w:r>
        <w:rPr>
          <w:rFonts w:hint="eastAsia" w:ascii="宋体" w:hAnsi="宋体" w:eastAsia="宋体" w:cs="宋体"/>
          <w:sz w:val="18"/>
          <w:szCs w:val="18"/>
        </w:rPr>
        <w:t>各类固定资产的折旧方法、折旧年限和年折旧率如下：</w:t>
      </w:r>
    </w:p>
    <w:p w14:paraId="37A67866">
      <w:pPr>
        <w:keepNext/>
        <w:keepLines/>
        <w:spacing w:before="300" w:after="300" w:line="280" w:lineRule="exact"/>
        <w:jc w:val="left"/>
        <w:outlineLvl w:val="3"/>
        <w:rPr>
          <w:rFonts w:ascii="宋体" w:hAnsi="宋体" w:eastAsia="宋体" w:cs="宋体"/>
          <w:b/>
          <w:bCs/>
          <w:sz w:val="21"/>
          <w:szCs w:val="21"/>
        </w:rPr>
      </w:pPr>
      <w:bookmarkStart w:id="191" w:name="_Toc989078"/>
      <w:r>
        <w:rPr>
          <w:rFonts w:ascii="宋体" w:hAnsi="宋体" w:eastAsia="宋体" w:cs="宋体"/>
          <w:b/>
          <w:bCs/>
          <w:sz w:val="21"/>
          <w:szCs w:val="21"/>
        </w:rPr>
        <w:t>（2） 折旧方法</w:t>
      </w:r>
      <w:bookmarkEnd w:id="191"/>
    </w:p>
    <w:p w14:paraId="5F0ACAC0">
      <w:pPr>
        <w:spacing w:before="0" w:after="0" w:line="0" w:lineRule="exact"/>
        <w:jc w:val="left"/>
      </w:pP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52C82C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B4B544F">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A4A9B2D">
            <w:pPr>
              <w:spacing w:before="40" w:after="40" w:line="240" w:lineRule="exact"/>
              <w:jc w:val="center"/>
              <w:rPr>
                <w:rFonts w:ascii="宋体" w:hAnsi="宋体" w:eastAsia="宋体" w:cs="宋体"/>
                <w:sz w:val="18"/>
                <w:szCs w:val="18"/>
              </w:rPr>
            </w:pPr>
            <w:r>
              <w:rPr>
                <w:rFonts w:ascii="宋体" w:hAnsi="宋体" w:eastAsia="宋体" w:cs="宋体"/>
                <w:sz w:val="18"/>
                <w:szCs w:val="18"/>
              </w:rPr>
              <w:t>折旧方法</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A540D61">
            <w:pPr>
              <w:spacing w:before="40" w:after="40" w:line="240" w:lineRule="exact"/>
              <w:jc w:val="center"/>
              <w:rPr>
                <w:rFonts w:ascii="宋体" w:hAnsi="宋体" w:eastAsia="宋体" w:cs="宋体"/>
                <w:sz w:val="18"/>
                <w:szCs w:val="18"/>
              </w:rPr>
            </w:pPr>
            <w:r>
              <w:rPr>
                <w:rFonts w:ascii="宋体" w:hAnsi="宋体" w:eastAsia="宋体" w:cs="宋体"/>
                <w:sz w:val="18"/>
                <w:szCs w:val="18"/>
              </w:rPr>
              <w:t>折旧年限</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9958FC3">
            <w:pPr>
              <w:spacing w:before="40" w:after="40" w:line="240" w:lineRule="exact"/>
              <w:jc w:val="center"/>
              <w:rPr>
                <w:rFonts w:ascii="宋体" w:hAnsi="宋体" w:eastAsia="宋体" w:cs="宋体"/>
                <w:sz w:val="18"/>
                <w:szCs w:val="18"/>
              </w:rPr>
            </w:pPr>
            <w:r>
              <w:rPr>
                <w:rFonts w:ascii="宋体" w:hAnsi="宋体" w:eastAsia="宋体" w:cs="宋体"/>
                <w:sz w:val="18"/>
                <w:szCs w:val="18"/>
              </w:rPr>
              <w:t>残值率</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B3D6C4A">
            <w:pPr>
              <w:spacing w:before="40" w:after="40" w:line="240" w:lineRule="exact"/>
              <w:jc w:val="center"/>
              <w:rPr>
                <w:rFonts w:ascii="宋体" w:hAnsi="宋体" w:eastAsia="宋体" w:cs="宋体"/>
                <w:sz w:val="18"/>
                <w:szCs w:val="18"/>
              </w:rPr>
            </w:pPr>
            <w:r>
              <w:rPr>
                <w:rFonts w:ascii="宋体" w:hAnsi="宋体" w:eastAsia="宋体" w:cs="宋体"/>
                <w:sz w:val="18"/>
                <w:szCs w:val="18"/>
              </w:rPr>
              <w:t>年折旧率</w:t>
            </w:r>
          </w:p>
        </w:tc>
      </w:tr>
      <w:tr w14:paraId="1D364A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0AC477B9">
            <w:pPr>
              <w:spacing w:before="0" w:after="0" w:line="240" w:lineRule="exact"/>
              <w:jc w:val="left"/>
              <w:rPr>
                <w:rFonts w:ascii="宋体" w:hAnsi="宋体" w:eastAsia="宋体" w:cs="宋体"/>
                <w:sz w:val="18"/>
                <w:szCs w:val="18"/>
              </w:rPr>
            </w:pPr>
            <w:r>
              <w:rPr>
                <w:rFonts w:ascii="宋体" w:hAnsi="宋体" w:eastAsia="宋体" w:cs="宋体"/>
                <w:sz w:val="18"/>
                <w:szCs w:val="18"/>
              </w:rPr>
              <w:t>房屋及建筑物</w:t>
            </w:r>
          </w:p>
        </w:tc>
        <w:tc>
          <w:tcPr>
            <w:tcW w:w="1928" w:type="dxa"/>
            <w:tcBorders>
              <w:top w:val="single" w:color="auto" w:sz="2" w:space="0"/>
              <w:left w:val="single" w:color="auto" w:sz="2" w:space="0"/>
              <w:bottom w:val="single" w:color="auto" w:sz="2" w:space="0"/>
              <w:right w:val="single" w:color="auto" w:sz="2" w:space="0"/>
            </w:tcBorders>
            <w:vAlign w:val="center"/>
          </w:tcPr>
          <w:p w14:paraId="570B37DE">
            <w:pPr>
              <w:spacing w:before="0" w:after="0" w:line="240" w:lineRule="exact"/>
              <w:jc w:val="left"/>
              <w:rPr>
                <w:rFonts w:ascii="宋体" w:hAnsi="宋体" w:eastAsia="宋体" w:cs="宋体"/>
                <w:sz w:val="18"/>
                <w:szCs w:val="18"/>
              </w:rPr>
            </w:pPr>
            <w:r>
              <w:rPr>
                <w:rFonts w:ascii="宋体" w:hAnsi="宋体" w:eastAsia="宋体" w:cs="宋体"/>
                <w:sz w:val="18"/>
                <w:szCs w:val="18"/>
              </w:rPr>
              <w:t>年限平均法</w:t>
            </w:r>
          </w:p>
        </w:tc>
        <w:tc>
          <w:tcPr>
            <w:tcW w:w="1928" w:type="dxa"/>
            <w:tcBorders>
              <w:top w:val="single" w:color="auto" w:sz="2" w:space="0"/>
              <w:left w:val="single" w:color="auto" w:sz="2" w:space="0"/>
              <w:bottom w:val="single" w:color="auto" w:sz="2" w:space="0"/>
              <w:right w:val="single" w:color="auto" w:sz="2" w:space="0"/>
            </w:tcBorders>
            <w:vAlign w:val="center"/>
          </w:tcPr>
          <w:p w14:paraId="2A033358">
            <w:pPr>
              <w:spacing w:before="0" w:after="0" w:line="240" w:lineRule="exact"/>
              <w:jc w:val="left"/>
              <w:rPr>
                <w:rFonts w:ascii="宋体" w:hAnsi="宋体" w:eastAsia="宋体" w:cs="宋体"/>
                <w:sz w:val="18"/>
                <w:szCs w:val="18"/>
              </w:rPr>
            </w:pPr>
            <w:r>
              <w:rPr>
                <w:rFonts w:ascii="宋体" w:hAnsi="宋体" w:eastAsia="宋体" w:cs="宋体"/>
                <w:sz w:val="18"/>
                <w:szCs w:val="18"/>
              </w:rPr>
              <w:t>20年</w:t>
            </w:r>
          </w:p>
        </w:tc>
        <w:tc>
          <w:tcPr>
            <w:tcW w:w="1928" w:type="dxa"/>
            <w:tcBorders>
              <w:top w:val="single" w:color="auto" w:sz="2" w:space="0"/>
              <w:left w:val="single" w:color="auto" w:sz="2" w:space="0"/>
              <w:bottom w:val="single" w:color="auto" w:sz="2" w:space="0"/>
              <w:right w:val="single" w:color="auto" w:sz="2" w:space="0"/>
            </w:tcBorders>
            <w:vAlign w:val="center"/>
          </w:tcPr>
          <w:p w14:paraId="31D00291">
            <w:pPr>
              <w:spacing w:before="0" w:after="0" w:line="240" w:lineRule="exact"/>
              <w:jc w:val="left"/>
              <w:rPr>
                <w:rFonts w:ascii="宋体" w:hAnsi="宋体" w:eastAsia="宋体" w:cs="宋体"/>
                <w:sz w:val="18"/>
                <w:szCs w:val="18"/>
              </w:rPr>
            </w:pPr>
            <w:r>
              <w:rPr>
                <w:rFonts w:ascii="宋体" w:hAnsi="宋体" w:eastAsia="宋体" w:cs="宋体"/>
                <w:sz w:val="18"/>
                <w:szCs w:val="18"/>
              </w:rPr>
              <w:t>5%</w:t>
            </w:r>
          </w:p>
        </w:tc>
        <w:tc>
          <w:tcPr>
            <w:tcW w:w="1928" w:type="dxa"/>
            <w:tcBorders>
              <w:top w:val="single" w:color="auto" w:sz="2" w:space="0"/>
              <w:left w:val="single" w:color="auto" w:sz="2" w:space="0"/>
              <w:bottom w:val="single" w:color="auto" w:sz="2" w:space="0"/>
              <w:right w:val="single" w:color="auto" w:sz="2" w:space="0"/>
            </w:tcBorders>
            <w:vAlign w:val="center"/>
          </w:tcPr>
          <w:p w14:paraId="52554B0C">
            <w:pPr>
              <w:spacing w:before="0" w:after="0" w:line="240" w:lineRule="exact"/>
              <w:jc w:val="left"/>
              <w:rPr>
                <w:rFonts w:ascii="宋体" w:hAnsi="宋体" w:eastAsia="宋体" w:cs="宋体"/>
                <w:sz w:val="18"/>
                <w:szCs w:val="18"/>
              </w:rPr>
            </w:pPr>
            <w:r>
              <w:rPr>
                <w:rFonts w:ascii="宋体" w:hAnsi="宋体" w:eastAsia="宋体" w:cs="宋体"/>
                <w:sz w:val="18"/>
                <w:szCs w:val="18"/>
              </w:rPr>
              <w:t>4.75%</w:t>
            </w:r>
          </w:p>
        </w:tc>
      </w:tr>
      <w:tr w14:paraId="3A72ED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605F11D5">
            <w:pPr>
              <w:spacing w:before="0" w:after="0" w:line="240" w:lineRule="exact"/>
              <w:jc w:val="left"/>
              <w:rPr>
                <w:rFonts w:ascii="宋体" w:hAnsi="宋体" w:eastAsia="宋体" w:cs="宋体"/>
                <w:sz w:val="18"/>
                <w:szCs w:val="18"/>
              </w:rPr>
            </w:pPr>
            <w:r>
              <w:rPr>
                <w:rFonts w:ascii="宋体" w:hAnsi="宋体" w:eastAsia="宋体" w:cs="宋体"/>
                <w:sz w:val="18"/>
                <w:szCs w:val="18"/>
              </w:rPr>
              <w:t>生产设备</w:t>
            </w:r>
          </w:p>
        </w:tc>
        <w:tc>
          <w:tcPr>
            <w:tcW w:w="1928" w:type="dxa"/>
            <w:tcBorders>
              <w:top w:val="single" w:color="auto" w:sz="2" w:space="0"/>
              <w:left w:val="single" w:color="auto" w:sz="2" w:space="0"/>
              <w:bottom w:val="single" w:color="auto" w:sz="2" w:space="0"/>
              <w:right w:val="single" w:color="auto" w:sz="2" w:space="0"/>
            </w:tcBorders>
            <w:vAlign w:val="center"/>
          </w:tcPr>
          <w:p w14:paraId="0E6494C7">
            <w:pPr>
              <w:spacing w:before="0" w:after="0" w:line="240" w:lineRule="exact"/>
              <w:jc w:val="left"/>
              <w:rPr>
                <w:rFonts w:ascii="宋体" w:hAnsi="宋体" w:eastAsia="宋体" w:cs="宋体"/>
                <w:sz w:val="18"/>
                <w:szCs w:val="18"/>
              </w:rPr>
            </w:pPr>
            <w:r>
              <w:rPr>
                <w:rFonts w:ascii="宋体" w:hAnsi="宋体" w:eastAsia="宋体" w:cs="宋体"/>
                <w:sz w:val="18"/>
                <w:szCs w:val="18"/>
              </w:rPr>
              <w:t>年限平均法</w:t>
            </w:r>
          </w:p>
        </w:tc>
        <w:tc>
          <w:tcPr>
            <w:tcW w:w="1928" w:type="dxa"/>
            <w:tcBorders>
              <w:top w:val="single" w:color="auto" w:sz="2" w:space="0"/>
              <w:left w:val="single" w:color="auto" w:sz="2" w:space="0"/>
              <w:bottom w:val="single" w:color="auto" w:sz="2" w:space="0"/>
              <w:right w:val="single" w:color="auto" w:sz="2" w:space="0"/>
            </w:tcBorders>
            <w:vAlign w:val="center"/>
          </w:tcPr>
          <w:p w14:paraId="0C91D75A">
            <w:pPr>
              <w:spacing w:before="0" w:after="0" w:line="240" w:lineRule="exact"/>
              <w:jc w:val="left"/>
              <w:rPr>
                <w:rFonts w:ascii="宋体" w:hAnsi="宋体" w:eastAsia="宋体" w:cs="宋体"/>
                <w:sz w:val="18"/>
                <w:szCs w:val="18"/>
              </w:rPr>
            </w:pPr>
            <w:r>
              <w:rPr>
                <w:rFonts w:ascii="宋体" w:hAnsi="宋体" w:eastAsia="宋体" w:cs="宋体"/>
                <w:sz w:val="18"/>
                <w:szCs w:val="18"/>
              </w:rPr>
              <w:t>10年</w:t>
            </w:r>
          </w:p>
        </w:tc>
        <w:tc>
          <w:tcPr>
            <w:tcW w:w="1928" w:type="dxa"/>
            <w:tcBorders>
              <w:top w:val="single" w:color="auto" w:sz="2" w:space="0"/>
              <w:left w:val="single" w:color="auto" w:sz="2" w:space="0"/>
              <w:bottom w:val="single" w:color="auto" w:sz="2" w:space="0"/>
              <w:right w:val="single" w:color="auto" w:sz="2" w:space="0"/>
            </w:tcBorders>
            <w:vAlign w:val="center"/>
          </w:tcPr>
          <w:p w14:paraId="3AFB9AEF">
            <w:pPr>
              <w:spacing w:before="0" w:after="0" w:line="240" w:lineRule="exact"/>
              <w:jc w:val="left"/>
              <w:rPr>
                <w:rFonts w:ascii="宋体" w:hAnsi="宋体" w:eastAsia="宋体" w:cs="宋体"/>
                <w:sz w:val="18"/>
                <w:szCs w:val="18"/>
              </w:rPr>
            </w:pPr>
            <w:r>
              <w:rPr>
                <w:rFonts w:ascii="宋体" w:hAnsi="宋体" w:eastAsia="宋体" w:cs="宋体"/>
                <w:sz w:val="18"/>
                <w:szCs w:val="18"/>
              </w:rPr>
              <w:t>5%</w:t>
            </w:r>
          </w:p>
        </w:tc>
        <w:tc>
          <w:tcPr>
            <w:tcW w:w="1928" w:type="dxa"/>
            <w:tcBorders>
              <w:top w:val="single" w:color="auto" w:sz="2" w:space="0"/>
              <w:left w:val="single" w:color="auto" w:sz="2" w:space="0"/>
              <w:bottom w:val="single" w:color="auto" w:sz="2" w:space="0"/>
              <w:right w:val="single" w:color="auto" w:sz="2" w:space="0"/>
            </w:tcBorders>
            <w:vAlign w:val="center"/>
          </w:tcPr>
          <w:p w14:paraId="5365DA26">
            <w:pPr>
              <w:spacing w:before="0" w:after="0" w:line="240" w:lineRule="exact"/>
              <w:jc w:val="left"/>
              <w:rPr>
                <w:rFonts w:ascii="宋体" w:hAnsi="宋体" w:eastAsia="宋体" w:cs="宋体"/>
                <w:sz w:val="18"/>
                <w:szCs w:val="18"/>
              </w:rPr>
            </w:pPr>
            <w:r>
              <w:rPr>
                <w:rFonts w:ascii="宋体" w:hAnsi="宋体" w:eastAsia="宋体" w:cs="宋体"/>
                <w:sz w:val="18"/>
                <w:szCs w:val="18"/>
              </w:rPr>
              <w:t>9.50%</w:t>
            </w:r>
          </w:p>
        </w:tc>
      </w:tr>
      <w:tr w14:paraId="11A3EC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194AFBA0">
            <w:pPr>
              <w:spacing w:before="0" w:after="0" w:line="240" w:lineRule="exact"/>
              <w:jc w:val="left"/>
              <w:rPr>
                <w:rFonts w:ascii="宋体" w:hAnsi="宋体" w:eastAsia="宋体" w:cs="宋体"/>
                <w:sz w:val="18"/>
                <w:szCs w:val="18"/>
              </w:rPr>
            </w:pPr>
            <w:r>
              <w:rPr>
                <w:rFonts w:ascii="宋体" w:hAnsi="宋体" w:eastAsia="宋体" w:cs="宋体"/>
                <w:sz w:val="18"/>
                <w:szCs w:val="18"/>
              </w:rPr>
              <w:t>办公设备</w:t>
            </w:r>
          </w:p>
        </w:tc>
        <w:tc>
          <w:tcPr>
            <w:tcW w:w="1928" w:type="dxa"/>
            <w:tcBorders>
              <w:top w:val="single" w:color="auto" w:sz="2" w:space="0"/>
              <w:left w:val="single" w:color="auto" w:sz="2" w:space="0"/>
              <w:bottom w:val="single" w:color="auto" w:sz="2" w:space="0"/>
              <w:right w:val="single" w:color="auto" w:sz="2" w:space="0"/>
            </w:tcBorders>
            <w:vAlign w:val="center"/>
          </w:tcPr>
          <w:p w14:paraId="28D2534D">
            <w:pPr>
              <w:spacing w:before="0" w:after="0" w:line="240" w:lineRule="exact"/>
              <w:jc w:val="left"/>
              <w:rPr>
                <w:rFonts w:ascii="宋体" w:hAnsi="宋体" w:eastAsia="宋体" w:cs="宋体"/>
                <w:sz w:val="18"/>
                <w:szCs w:val="18"/>
              </w:rPr>
            </w:pPr>
            <w:r>
              <w:rPr>
                <w:rFonts w:ascii="宋体" w:hAnsi="宋体" w:eastAsia="宋体" w:cs="宋体"/>
                <w:sz w:val="18"/>
                <w:szCs w:val="18"/>
              </w:rPr>
              <w:t>年限平均法</w:t>
            </w:r>
          </w:p>
        </w:tc>
        <w:tc>
          <w:tcPr>
            <w:tcW w:w="1928" w:type="dxa"/>
            <w:tcBorders>
              <w:top w:val="single" w:color="auto" w:sz="2" w:space="0"/>
              <w:left w:val="single" w:color="auto" w:sz="2" w:space="0"/>
              <w:bottom w:val="single" w:color="auto" w:sz="2" w:space="0"/>
              <w:right w:val="single" w:color="auto" w:sz="2" w:space="0"/>
            </w:tcBorders>
            <w:vAlign w:val="center"/>
          </w:tcPr>
          <w:p w14:paraId="0DB5C75D">
            <w:pPr>
              <w:spacing w:before="0" w:after="0" w:line="240" w:lineRule="exact"/>
              <w:jc w:val="left"/>
              <w:rPr>
                <w:rFonts w:ascii="宋体" w:hAnsi="宋体" w:eastAsia="宋体" w:cs="宋体"/>
                <w:sz w:val="18"/>
                <w:szCs w:val="18"/>
              </w:rPr>
            </w:pPr>
            <w:r>
              <w:rPr>
                <w:rFonts w:ascii="宋体" w:hAnsi="宋体" w:eastAsia="宋体" w:cs="宋体"/>
                <w:sz w:val="18"/>
                <w:szCs w:val="18"/>
              </w:rPr>
              <w:t>5年</w:t>
            </w:r>
          </w:p>
        </w:tc>
        <w:tc>
          <w:tcPr>
            <w:tcW w:w="1928" w:type="dxa"/>
            <w:tcBorders>
              <w:top w:val="single" w:color="auto" w:sz="2" w:space="0"/>
              <w:left w:val="single" w:color="auto" w:sz="2" w:space="0"/>
              <w:bottom w:val="single" w:color="auto" w:sz="2" w:space="0"/>
              <w:right w:val="single" w:color="auto" w:sz="2" w:space="0"/>
            </w:tcBorders>
            <w:vAlign w:val="center"/>
          </w:tcPr>
          <w:p w14:paraId="53B91602">
            <w:pPr>
              <w:spacing w:before="0" w:after="0" w:line="240" w:lineRule="exact"/>
              <w:jc w:val="left"/>
              <w:rPr>
                <w:rFonts w:ascii="宋体" w:hAnsi="宋体" w:eastAsia="宋体" w:cs="宋体"/>
                <w:sz w:val="18"/>
                <w:szCs w:val="18"/>
              </w:rPr>
            </w:pPr>
            <w:r>
              <w:rPr>
                <w:rFonts w:ascii="宋体" w:hAnsi="宋体" w:eastAsia="宋体" w:cs="宋体"/>
                <w:sz w:val="18"/>
                <w:szCs w:val="18"/>
              </w:rPr>
              <w:t>5%</w:t>
            </w:r>
          </w:p>
        </w:tc>
        <w:tc>
          <w:tcPr>
            <w:tcW w:w="1928" w:type="dxa"/>
            <w:tcBorders>
              <w:top w:val="single" w:color="auto" w:sz="2" w:space="0"/>
              <w:left w:val="single" w:color="auto" w:sz="2" w:space="0"/>
              <w:bottom w:val="single" w:color="auto" w:sz="2" w:space="0"/>
              <w:right w:val="single" w:color="auto" w:sz="2" w:space="0"/>
            </w:tcBorders>
            <w:vAlign w:val="center"/>
          </w:tcPr>
          <w:p w14:paraId="2CC21A56">
            <w:pPr>
              <w:spacing w:before="0" w:after="0" w:line="240" w:lineRule="exact"/>
              <w:jc w:val="left"/>
              <w:rPr>
                <w:rFonts w:ascii="宋体" w:hAnsi="宋体" w:eastAsia="宋体" w:cs="宋体"/>
                <w:sz w:val="18"/>
                <w:szCs w:val="18"/>
              </w:rPr>
            </w:pPr>
            <w:r>
              <w:rPr>
                <w:rFonts w:ascii="宋体" w:hAnsi="宋体" w:eastAsia="宋体" w:cs="宋体"/>
                <w:sz w:val="18"/>
                <w:szCs w:val="18"/>
              </w:rPr>
              <w:t>19.00%</w:t>
            </w:r>
          </w:p>
        </w:tc>
      </w:tr>
      <w:tr w14:paraId="5A0D15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7280FC4C">
            <w:pPr>
              <w:spacing w:before="0" w:after="0" w:line="240" w:lineRule="exact"/>
              <w:jc w:val="left"/>
              <w:rPr>
                <w:rFonts w:ascii="宋体" w:hAnsi="宋体" w:eastAsia="宋体" w:cs="宋体"/>
                <w:sz w:val="18"/>
                <w:szCs w:val="18"/>
              </w:rPr>
            </w:pPr>
            <w:r>
              <w:rPr>
                <w:rFonts w:ascii="宋体" w:hAnsi="宋体" w:eastAsia="宋体" w:cs="宋体"/>
                <w:sz w:val="18"/>
                <w:szCs w:val="18"/>
              </w:rPr>
              <w:t>运输设备</w:t>
            </w:r>
          </w:p>
        </w:tc>
        <w:tc>
          <w:tcPr>
            <w:tcW w:w="1928" w:type="dxa"/>
            <w:tcBorders>
              <w:top w:val="single" w:color="auto" w:sz="2" w:space="0"/>
              <w:left w:val="single" w:color="auto" w:sz="2" w:space="0"/>
              <w:bottom w:val="single" w:color="auto" w:sz="2" w:space="0"/>
              <w:right w:val="single" w:color="auto" w:sz="2" w:space="0"/>
            </w:tcBorders>
            <w:vAlign w:val="center"/>
          </w:tcPr>
          <w:p w14:paraId="70388850">
            <w:pPr>
              <w:spacing w:before="0" w:after="0" w:line="240" w:lineRule="exact"/>
              <w:jc w:val="left"/>
              <w:rPr>
                <w:rFonts w:ascii="宋体" w:hAnsi="宋体" w:eastAsia="宋体" w:cs="宋体"/>
                <w:sz w:val="18"/>
                <w:szCs w:val="18"/>
              </w:rPr>
            </w:pPr>
            <w:r>
              <w:rPr>
                <w:rFonts w:ascii="宋体" w:hAnsi="宋体" w:eastAsia="宋体" w:cs="宋体"/>
                <w:sz w:val="18"/>
                <w:szCs w:val="18"/>
              </w:rPr>
              <w:t>年限平均法</w:t>
            </w:r>
          </w:p>
        </w:tc>
        <w:tc>
          <w:tcPr>
            <w:tcW w:w="1928" w:type="dxa"/>
            <w:tcBorders>
              <w:top w:val="single" w:color="auto" w:sz="2" w:space="0"/>
              <w:left w:val="single" w:color="auto" w:sz="2" w:space="0"/>
              <w:bottom w:val="single" w:color="auto" w:sz="2" w:space="0"/>
              <w:right w:val="single" w:color="auto" w:sz="2" w:space="0"/>
            </w:tcBorders>
            <w:vAlign w:val="center"/>
          </w:tcPr>
          <w:p w14:paraId="14F7A9C2">
            <w:pPr>
              <w:spacing w:before="0" w:after="0" w:line="240" w:lineRule="exact"/>
              <w:jc w:val="left"/>
              <w:rPr>
                <w:rFonts w:ascii="宋体" w:hAnsi="宋体" w:eastAsia="宋体" w:cs="宋体"/>
                <w:sz w:val="18"/>
                <w:szCs w:val="18"/>
              </w:rPr>
            </w:pPr>
            <w:r>
              <w:rPr>
                <w:rFonts w:ascii="宋体" w:hAnsi="宋体" w:eastAsia="宋体" w:cs="宋体"/>
                <w:sz w:val="18"/>
                <w:szCs w:val="18"/>
              </w:rPr>
              <w:t>5年</w:t>
            </w:r>
          </w:p>
        </w:tc>
        <w:tc>
          <w:tcPr>
            <w:tcW w:w="1928" w:type="dxa"/>
            <w:tcBorders>
              <w:top w:val="single" w:color="auto" w:sz="2" w:space="0"/>
              <w:left w:val="single" w:color="auto" w:sz="2" w:space="0"/>
              <w:bottom w:val="single" w:color="auto" w:sz="2" w:space="0"/>
              <w:right w:val="single" w:color="auto" w:sz="2" w:space="0"/>
            </w:tcBorders>
            <w:vAlign w:val="center"/>
          </w:tcPr>
          <w:p w14:paraId="42485416">
            <w:pPr>
              <w:spacing w:before="0" w:after="0" w:line="240" w:lineRule="exact"/>
              <w:jc w:val="left"/>
              <w:rPr>
                <w:rFonts w:ascii="宋体" w:hAnsi="宋体" w:eastAsia="宋体" w:cs="宋体"/>
                <w:sz w:val="18"/>
                <w:szCs w:val="18"/>
              </w:rPr>
            </w:pPr>
            <w:r>
              <w:rPr>
                <w:rFonts w:ascii="宋体" w:hAnsi="宋体" w:eastAsia="宋体" w:cs="宋体"/>
                <w:sz w:val="18"/>
                <w:szCs w:val="18"/>
              </w:rPr>
              <w:t>5%</w:t>
            </w:r>
          </w:p>
        </w:tc>
        <w:tc>
          <w:tcPr>
            <w:tcW w:w="1928" w:type="dxa"/>
            <w:tcBorders>
              <w:top w:val="single" w:color="auto" w:sz="2" w:space="0"/>
              <w:left w:val="single" w:color="auto" w:sz="2" w:space="0"/>
              <w:bottom w:val="single" w:color="auto" w:sz="2" w:space="0"/>
              <w:right w:val="single" w:color="auto" w:sz="2" w:space="0"/>
            </w:tcBorders>
            <w:vAlign w:val="center"/>
          </w:tcPr>
          <w:p w14:paraId="0482B3A1">
            <w:pPr>
              <w:spacing w:before="0" w:after="0" w:line="240" w:lineRule="exact"/>
              <w:jc w:val="left"/>
              <w:rPr>
                <w:rFonts w:ascii="宋体" w:hAnsi="宋体" w:eastAsia="宋体" w:cs="宋体"/>
                <w:sz w:val="18"/>
                <w:szCs w:val="18"/>
              </w:rPr>
            </w:pPr>
          </w:p>
        </w:tc>
      </w:tr>
    </w:tbl>
    <w:p w14:paraId="257E491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（2）固定资产的后续支出</w:t>
      </w:r>
    </w:p>
    <w:p w14:paraId="7DC2DBD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与固定资产有关的后续支出，符合固定资产确认条件的，计入固定资产成本；不符合固定资产确认条件的，在发生时计入当期损益。</w:t>
      </w:r>
    </w:p>
    <w:p w14:paraId="63E625C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（3）固定资产的减值</w:t>
      </w:r>
    </w:p>
    <w:p w14:paraId="3648D02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固定资产的减值测试方法和减值准备计提方法详见本附注（二十六）长期资产减值。</w:t>
      </w:r>
    </w:p>
    <w:p w14:paraId="7A9CE3F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（4）固定资产处置</w:t>
      </w:r>
    </w:p>
    <w:p w14:paraId="46D6351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当固定资产被处置、或者预期通过使用或处置不能产生经济利益时，终止确认该固定资产。固定资产出售、转让、报废或毁损的处置收入扣除其账面价值和相关税费后的金额计入当期损益。</w:t>
      </w:r>
    </w:p>
    <w:p w14:paraId="12BAE0A1">
      <w:pPr>
        <w:keepNext/>
        <w:keepLines/>
        <w:spacing w:before="300" w:after="300" w:line="280" w:lineRule="exact"/>
        <w:jc w:val="left"/>
        <w:outlineLvl w:val="2"/>
        <w:rPr>
          <w:rFonts w:ascii="宋体" w:hAnsi="宋体" w:eastAsia="宋体" w:cs="宋体"/>
          <w:b/>
          <w:bCs/>
          <w:sz w:val="21"/>
          <w:szCs w:val="21"/>
        </w:rPr>
      </w:pPr>
      <w:bookmarkStart w:id="192" w:name="_Toc989079"/>
      <w:r>
        <w:rPr>
          <w:rFonts w:ascii="宋体" w:hAnsi="宋体" w:eastAsia="宋体" w:cs="宋体"/>
          <w:b/>
          <w:bCs/>
          <w:sz w:val="21"/>
          <w:szCs w:val="21"/>
        </w:rPr>
        <w:t>25、在建工程</w:t>
      </w:r>
      <w:bookmarkEnd w:id="192"/>
    </w:p>
    <w:p w14:paraId="1A28659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自行建造的在建工程按实际成本计价，实际成本由建造该项资产达到预定可使用状态前所发生的必要支出构成，包括工程用物资成本、人工成本、交纳的相关税费、应予资本化的借款费用以及应分摊的间接费用等。</w:t>
      </w:r>
    </w:p>
    <w:p w14:paraId="0CC9B13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建工程项目按建造该项资产达到预定可使用状态前所发生的全部支出，作为固定资产的入账价值。所建造的在建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14:paraId="308A34B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在建工程的减值测试方法和减值准备计提方法详见本附注（二十六）长期资产减值。</w:t>
      </w:r>
    </w:p>
    <w:p w14:paraId="2A6722E3">
      <w:pPr>
        <w:keepNext/>
        <w:keepLines/>
        <w:spacing w:before="300" w:after="300" w:line="280" w:lineRule="exact"/>
        <w:jc w:val="left"/>
        <w:outlineLvl w:val="2"/>
        <w:rPr>
          <w:rFonts w:ascii="宋体" w:hAnsi="宋体" w:eastAsia="宋体" w:cs="宋体"/>
          <w:b/>
          <w:bCs/>
          <w:sz w:val="21"/>
          <w:szCs w:val="21"/>
        </w:rPr>
      </w:pPr>
      <w:bookmarkStart w:id="193" w:name="_Toc989080"/>
      <w:r>
        <w:rPr>
          <w:rFonts w:ascii="宋体" w:hAnsi="宋体" w:eastAsia="宋体" w:cs="宋体"/>
          <w:b/>
          <w:bCs/>
          <w:sz w:val="21"/>
          <w:szCs w:val="21"/>
        </w:rPr>
        <w:t>26、借款费用</w:t>
      </w:r>
      <w:bookmarkEnd w:id="193"/>
    </w:p>
    <w:p w14:paraId="74BEAB81">
      <w:pPr>
        <w:pStyle w:val="2"/>
        <w:keepNext w:val="0"/>
        <w:keepLines w:val="0"/>
        <w:widowControl/>
        <w:suppressLineNumbers w:val="0"/>
        <w:spacing w:before="0"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2"/>
          <w:sz w:val="21"/>
          <w:szCs w:val="21"/>
        </w:rPr>
        <w:t>1.借款费用资本化的确认原则</w:t>
      </w:r>
    </w:p>
    <w:p w14:paraId="0FDE4401">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1F8FCC8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本公司发生的借款费用，可直接归属于符合资本化条件的资产的购建或者生产的，予以资本化，计入相关资产成本；其他借款费用，在发生时根据其发生额确认为费用，计入当期损益。</w:t>
      </w:r>
    </w:p>
    <w:p w14:paraId="13517BB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符合资本化条件的资产，是指需要经过相当长时间的购建或者生产活动才能达到预定可使用或者可销售状态的固定资产、投资性房地产和存货等资产。</w:t>
      </w:r>
    </w:p>
    <w:p w14:paraId="73F19F1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借款费用同时满足下列条件时开始资本化：</w:t>
      </w:r>
    </w:p>
    <w:p w14:paraId="3E637ED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资产支出已经发生，资产支出包括为购建或者生产符合资本化条件的资产而以支付现金、转移非现金资产或者承担带息债务形式发生的支出；</w:t>
      </w:r>
    </w:p>
    <w:p w14:paraId="673B189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借款费用已经发生；</w:t>
      </w:r>
    </w:p>
    <w:p w14:paraId="15E68E3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为使资产达到预定可使用或者可销售状态所必要的购建或者生产活动已经开始。</w:t>
      </w:r>
    </w:p>
    <w:p w14:paraId="62FAEB7A">
      <w:pPr>
        <w:pStyle w:val="2"/>
        <w:keepNext w:val="0"/>
        <w:keepLines w:val="0"/>
        <w:widowControl/>
        <w:suppressLineNumbers w:val="0"/>
        <w:spacing w:before="0"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2.借款费用资本化期间</w:t>
      </w:r>
    </w:p>
    <w:p w14:paraId="2A02B6D0">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4C7FC85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资本化期间，指从借款费用开始资本化时点到停止资本化时点的期间，借款费用暂停资本化的期间不包括在内。</w:t>
      </w:r>
    </w:p>
    <w:p w14:paraId="3DEB155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当购建或者生产符合资本化条件的资产达到预定可使用或者可销售状态时，借款费用停止资本化。</w:t>
      </w:r>
    </w:p>
    <w:p w14:paraId="5C0BAA3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当购建或者生产符合资本化条件的资产中部分项目分别完工且可单独使用时，该部分资产借款费用停止资本化。</w:t>
      </w:r>
    </w:p>
    <w:p w14:paraId="4A07530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购建或者生产的资产的各部分分别完工，但必须等到整体完工后才可使用或可对外销售的，在该资产整体完工时停止借款费用资本化。</w:t>
      </w:r>
    </w:p>
    <w:p w14:paraId="754BFFFC">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3.暂停资本化期间</w:t>
      </w:r>
    </w:p>
    <w:p w14:paraId="6F34775E">
      <w:pPr>
        <w:pStyle w:val="2"/>
        <w:keepNext w:val="0"/>
        <w:keepLines w:val="0"/>
        <w:widowControl/>
        <w:suppressLineNumbers w:val="0"/>
        <w:spacing w:before="6"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14A4ECE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符合资本化条件的资产在购建或生产过程中发生的非正常中断、且中断时间连续超过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14:paraId="347B6762">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2"/>
          <w:sz w:val="21"/>
          <w:szCs w:val="21"/>
        </w:rPr>
        <w:t>4.借款费用资本化金额的计算方法</w:t>
      </w:r>
    </w:p>
    <w:p w14:paraId="03AAD249">
      <w:pPr>
        <w:pStyle w:val="2"/>
        <w:keepNext w:val="0"/>
        <w:keepLines w:val="0"/>
        <w:widowControl/>
        <w:suppressLineNumbers w:val="0"/>
        <w:spacing w:before="6"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61606B8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专门借款的利息费用（扣除尚未动用的借款资金存入银行取得的利息收入或者进行暂时性投资取得的投资收益）及其辅助费用在所购建或者生产的符合资本化条件的资产达到预定可使用或者可销售状态前，予以资本化。</w:t>
      </w:r>
    </w:p>
    <w:p w14:paraId="25B6340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根据累计资产支出超过专门借款部分的资产支出加权平均数乘以所占用一般借款的资本化率，计算确定一般借款应予资本化的利息金额。资本化率根据一般借款加权平均利率计算确定。</w:t>
      </w:r>
    </w:p>
    <w:p w14:paraId="3A8272D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借款存在折价或者溢价的，按照实际利率法确定每一会计期间应摊销的折价或者溢价金额，调整每期利息金额。</w:t>
      </w:r>
    </w:p>
    <w:p w14:paraId="7D52CA60">
      <w:pPr>
        <w:keepNext/>
        <w:keepLines/>
        <w:spacing w:before="300" w:after="300" w:line="280" w:lineRule="exact"/>
        <w:jc w:val="left"/>
        <w:outlineLvl w:val="2"/>
        <w:rPr>
          <w:rFonts w:ascii="宋体" w:hAnsi="宋体" w:eastAsia="宋体" w:cs="宋体"/>
          <w:b/>
          <w:bCs/>
          <w:sz w:val="21"/>
          <w:szCs w:val="21"/>
        </w:rPr>
      </w:pPr>
      <w:bookmarkStart w:id="194" w:name="_Toc989081"/>
      <w:r>
        <w:rPr>
          <w:rFonts w:ascii="宋体" w:hAnsi="宋体" w:eastAsia="宋体" w:cs="宋体"/>
          <w:b/>
          <w:bCs/>
          <w:sz w:val="21"/>
          <w:szCs w:val="21"/>
        </w:rPr>
        <w:t>27、生物资产</w:t>
      </w:r>
      <w:bookmarkEnd w:id="194"/>
    </w:p>
    <w:p w14:paraId="206AFA2A">
      <w:pPr>
        <w:keepNext/>
        <w:keepLines/>
        <w:spacing w:before="300" w:after="300" w:line="280" w:lineRule="exact"/>
        <w:jc w:val="left"/>
        <w:outlineLvl w:val="2"/>
        <w:rPr>
          <w:rFonts w:ascii="宋体" w:hAnsi="宋体" w:eastAsia="宋体" w:cs="宋体"/>
          <w:b/>
          <w:bCs/>
          <w:sz w:val="21"/>
          <w:szCs w:val="21"/>
        </w:rPr>
      </w:pPr>
      <w:bookmarkStart w:id="195" w:name="_Toc989082"/>
      <w:r>
        <w:rPr>
          <w:rFonts w:ascii="宋体" w:hAnsi="宋体" w:eastAsia="宋体" w:cs="宋体"/>
          <w:b/>
          <w:bCs/>
          <w:sz w:val="21"/>
          <w:szCs w:val="21"/>
        </w:rPr>
        <w:t>28、油气资产</w:t>
      </w:r>
      <w:bookmarkEnd w:id="195"/>
    </w:p>
    <w:p w14:paraId="2C4D8F6A">
      <w:pPr>
        <w:keepNext/>
        <w:keepLines/>
        <w:spacing w:before="300" w:after="300" w:line="280" w:lineRule="exact"/>
        <w:jc w:val="left"/>
        <w:outlineLvl w:val="2"/>
        <w:rPr>
          <w:rFonts w:ascii="宋体" w:hAnsi="宋体" w:eastAsia="宋体" w:cs="宋体"/>
          <w:b/>
          <w:bCs/>
          <w:sz w:val="21"/>
          <w:szCs w:val="21"/>
        </w:rPr>
      </w:pPr>
      <w:bookmarkStart w:id="196" w:name="_Toc989083"/>
      <w:r>
        <w:rPr>
          <w:rFonts w:ascii="宋体" w:hAnsi="宋体" w:eastAsia="宋体" w:cs="宋体"/>
          <w:b/>
          <w:bCs/>
          <w:sz w:val="21"/>
          <w:szCs w:val="21"/>
        </w:rPr>
        <w:t>29、无形资产</w:t>
      </w:r>
      <w:bookmarkEnd w:id="196"/>
    </w:p>
    <w:p w14:paraId="3EC0DA95">
      <w:pPr>
        <w:keepNext/>
        <w:keepLines/>
        <w:spacing w:before="300" w:after="300" w:line="280" w:lineRule="exact"/>
        <w:jc w:val="left"/>
        <w:outlineLvl w:val="3"/>
        <w:rPr>
          <w:rFonts w:ascii="宋体" w:hAnsi="宋体" w:eastAsia="宋体" w:cs="宋体"/>
          <w:b/>
          <w:bCs/>
          <w:sz w:val="21"/>
          <w:szCs w:val="21"/>
        </w:rPr>
      </w:pPr>
      <w:bookmarkStart w:id="197" w:name="_Toc989084"/>
      <w:r>
        <w:rPr>
          <w:rFonts w:ascii="宋体" w:hAnsi="宋体" w:eastAsia="宋体" w:cs="宋体"/>
          <w:b/>
          <w:bCs/>
          <w:sz w:val="21"/>
          <w:szCs w:val="21"/>
        </w:rPr>
        <w:t>（1） 使用寿命及其确定依据、估计情况、摊销方法或复核程序</w:t>
      </w:r>
      <w:bookmarkEnd w:id="197"/>
    </w:p>
    <w:p w14:paraId="34874B53">
      <w:pPr>
        <w:pStyle w:val="2"/>
        <w:keepNext w:val="0"/>
        <w:keepLines w:val="0"/>
        <w:widowControl/>
        <w:suppressLineNumbers w:val="0"/>
        <w:spacing w:before="155" w:beforeAutospacing="0" w:after="0" w:afterAutospacing="0"/>
        <w:ind w:left="0" w:right="0" w:firstLine="420"/>
        <w:rPr>
          <w:rFonts w:hint="default" w:ascii="Times New Roman" w:hAnsi="Times New Roman" w:cs="Times New Roman"/>
          <w:sz w:val="21"/>
          <w:szCs w:val="21"/>
        </w:rPr>
      </w:pPr>
      <w:r>
        <w:rPr>
          <w:rFonts w:hint="eastAsia" w:ascii="宋体" w:hAnsi="宋体" w:eastAsia="宋体" w:cs="宋体"/>
          <w:sz w:val="21"/>
          <w:szCs w:val="21"/>
        </w:rPr>
        <w:t>无形资产是指本公司拥有或者控制的没有实物形态的可辨认非货币性资产，包括土地使用权、药品生产技术、办公软件。</w:t>
      </w:r>
    </w:p>
    <w:p w14:paraId="5BC7291A">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1.无形资产的初始计量</w:t>
      </w:r>
    </w:p>
    <w:p w14:paraId="37F2F89F">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6E1D703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14:paraId="3A5DC88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债务重组取得债务人用以抵债的无形资产，以该无形资产的公允价值为基础确定其入账价值，并将重组债务的账面价值与该用以抵债的无形资产公允价值之间的差额，计入当期损益。</w:t>
      </w:r>
    </w:p>
    <w:p w14:paraId="6E4C67C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14:paraId="194EEC1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以同一控制下的企业吸收合并方式取得的无形资产按被合并方的账面价值确定其入账价值；以非同一控制下的企业吸收合并方式取得的无形资产按公允价值确定其入账价值。内部自行开发的无形资产，其成本包括：开发该无形资产时耗用的材料、劳务成本、注</w:t>
      </w:r>
    </w:p>
    <w:p w14:paraId="29E6880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册费、在开发过程中使用的其他专利权和特许权的摊销以及满足资本化条件的利息费用，以及为使该无形资产达到预定用途前所发生的其他直接费用。</w:t>
      </w:r>
    </w:p>
    <w:p w14:paraId="4DACBCB9">
      <w:pPr>
        <w:pStyle w:val="2"/>
        <w:keepNext w:val="0"/>
        <w:keepLines w:val="0"/>
        <w:widowControl/>
        <w:suppressLineNumbers w:val="0"/>
        <w:spacing w:before="154"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2.无形资产的后续计量</w:t>
      </w:r>
    </w:p>
    <w:p w14:paraId="328492F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本公司在取得无形资产时分析判断其使用寿命，划分为使用寿命有限和使用寿命不确定的无形资产。</w:t>
      </w:r>
    </w:p>
    <w:p w14:paraId="5082DDB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对于使用寿命有限的无形资产，在为企业带来经济利益的期限内按直线法摊销。使用寿命有限的无形资产预计寿命及依据如下：</w:t>
      </w:r>
    </w:p>
    <w:p w14:paraId="01044A98">
      <w:pPr>
        <w:pStyle w:val="2"/>
        <w:keepNext w:val="0"/>
        <w:keepLines w:val="0"/>
        <w:widowControl/>
        <w:suppressLineNumbers w:val="0"/>
      </w:pPr>
      <w:r>
        <w:rPr>
          <w:rFonts w:hint="eastAsia" w:ascii="宋体" w:hAnsi="宋体" w:eastAsia="宋体" w:cs="宋体"/>
          <w:sz w:val="18"/>
          <w:szCs w:val="18"/>
        </w:rPr>
        <w:t> </w:t>
      </w:r>
    </w:p>
    <w:tbl>
      <w:tblPr>
        <w:tblStyle w:val="3"/>
        <w:tblW w:w="8248"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2294"/>
        <w:gridCol w:w="3260"/>
        <w:gridCol w:w="2694"/>
      </w:tblGrid>
      <w:tr w14:paraId="6974DF9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2294" w:type="dxa"/>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vAlign w:val="top"/>
          </w:tcPr>
          <w:p w14:paraId="5A874C69">
            <w:pPr>
              <w:pStyle w:val="2"/>
              <w:keepNext w:val="0"/>
              <w:keepLines w:val="0"/>
              <w:widowControl/>
              <w:suppressLineNumbers w:val="0"/>
              <w:spacing w:before="61"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项目</w:t>
            </w:r>
          </w:p>
        </w:tc>
        <w:tc>
          <w:tcPr>
            <w:tcW w:w="3260"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top"/>
          </w:tcPr>
          <w:p w14:paraId="77E4698C">
            <w:pPr>
              <w:pStyle w:val="2"/>
              <w:keepNext w:val="0"/>
              <w:keepLines w:val="0"/>
              <w:widowControl/>
              <w:suppressLineNumbers w:val="0"/>
              <w:spacing w:before="61" w:beforeAutospacing="0" w:after="0" w:afterAutospacing="0"/>
              <w:ind w:left="0" w:right="257"/>
              <w:jc w:val="center"/>
              <w:rPr>
                <w:rFonts w:hint="default" w:ascii="Times New Roman" w:hAnsi="Times New Roman" w:cs="Times New Roman"/>
                <w:sz w:val="21"/>
                <w:szCs w:val="21"/>
              </w:rPr>
            </w:pPr>
            <w:r>
              <w:rPr>
                <w:rFonts w:hint="eastAsia" w:ascii="宋体" w:hAnsi="宋体" w:eastAsia="宋体" w:cs="宋体"/>
                <w:sz w:val="18"/>
                <w:szCs w:val="18"/>
              </w:rPr>
              <w:t>预计使用寿命</w:t>
            </w:r>
          </w:p>
        </w:tc>
        <w:tc>
          <w:tcPr>
            <w:tcW w:w="2694"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top"/>
          </w:tcPr>
          <w:p w14:paraId="2FF361D4">
            <w:pPr>
              <w:pStyle w:val="2"/>
              <w:keepNext w:val="0"/>
              <w:keepLines w:val="0"/>
              <w:widowControl/>
              <w:suppressLineNumbers w:val="0"/>
              <w:spacing w:before="61" w:beforeAutospacing="0" w:after="0" w:afterAutospacing="0"/>
              <w:ind w:left="0" w:right="118"/>
              <w:jc w:val="center"/>
              <w:rPr>
                <w:rFonts w:hint="default" w:ascii="Times New Roman" w:hAnsi="Times New Roman" w:cs="Times New Roman"/>
                <w:sz w:val="21"/>
                <w:szCs w:val="21"/>
              </w:rPr>
            </w:pPr>
            <w:r>
              <w:rPr>
                <w:rFonts w:hint="eastAsia" w:ascii="宋体" w:hAnsi="宋体" w:eastAsia="宋体" w:cs="宋体"/>
                <w:sz w:val="18"/>
                <w:szCs w:val="18"/>
              </w:rPr>
              <w:t>依据</w:t>
            </w:r>
          </w:p>
        </w:tc>
      </w:tr>
      <w:tr w14:paraId="5B6E6CE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2294"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14:paraId="380B86DA">
            <w:pPr>
              <w:pStyle w:val="2"/>
              <w:keepNext w:val="0"/>
              <w:keepLines w:val="0"/>
              <w:widowControl/>
              <w:suppressLineNumbers w:val="0"/>
              <w:spacing w:before="62"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土地使用权</w:t>
            </w:r>
          </w:p>
        </w:tc>
        <w:tc>
          <w:tcPr>
            <w:tcW w:w="326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46D8EF7D">
            <w:pPr>
              <w:pStyle w:val="2"/>
              <w:keepNext w:val="0"/>
              <w:keepLines w:val="0"/>
              <w:widowControl/>
              <w:suppressLineNumbers w:val="0"/>
              <w:spacing w:before="62" w:beforeAutospacing="0" w:after="0" w:afterAutospacing="0"/>
              <w:ind w:left="0" w:right="345"/>
              <w:jc w:val="both"/>
              <w:rPr>
                <w:rFonts w:hint="default" w:ascii="Times New Roman" w:hAnsi="Times New Roman" w:cs="Times New Roman"/>
                <w:sz w:val="21"/>
                <w:szCs w:val="21"/>
              </w:rPr>
            </w:pPr>
            <w:r>
              <w:rPr>
                <w:rFonts w:hint="eastAsia" w:ascii="宋体" w:hAnsi="宋体" w:eastAsia="宋体" w:cs="宋体"/>
                <w:sz w:val="18"/>
                <w:szCs w:val="18"/>
              </w:rPr>
              <w:t>按土地出让年限或尚可使用年限</w:t>
            </w:r>
          </w:p>
        </w:tc>
        <w:tc>
          <w:tcPr>
            <w:tcW w:w="2694"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13D5F5CA">
            <w:pPr>
              <w:pStyle w:val="2"/>
              <w:keepNext w:val="0"/>
              <w:keepLines w:val="0"/>
              <w:widowControl/>
              <w:suppressLineNumbers w:val="0"/>
              <w:spacing w:before="62" w:beforeAutospacing="0" w:after="0" w:afterAutospacing="0"/>
              <w:ind w:left="0" w:right="118"/>
              <w:jc w:val="right"/>
              <w:rPr>
                <w:rFonts w:hint="default" w:ascii="Times New Roman" w:hAnsi="Times New Roman" w:cs="Times New Roman"/>
                <w:sz w:val="21"/>
                <w:szCs w:val="21"/>
              </w:rPr>
            </w:pPr>
            <w:r>
              <w:rPr>
                <w:rFonts w:hint="eastAsia" w:ascii="宋体" w:hAnsi="宋体" w:eastAsia="宋体" w:cs="宋体"/>
                <w:sz w:val="18"/>
                <w:szCs w:val="18"/>
              </w:rPr>
              <w:t>土地证使用年限</w:t>
            </w:r>
          </w:p>
        </w:tc>
      </w:tr>
      <w:tr w14:paraId="6C6D88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2294"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14:paraId="63572151">
            <w:pPr>
              <w:pStyle w:val="2"/>
              <w:keepNext w:val="0"/>
              <w:keepLines w:val="0"/>
              <w:widowControl/>
              <w:suppressLineNumbers w:val="0"/>
              <w:spacing w:before="62"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药品生产技术</w:t>
            </w:r>
          </w:p>
        </w:tc>
        <w:tc>
          <w:tcPr>
            <w:tcW w:w="326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3C981A04">
            <w:pPr>
              <w:pStyle w:val="2"/>
              <w:keepNext w:val="0"/>
              <w:keepLines w:val="0"/>
              <w:widowControl/>
              <w:suppressLineNumbers w:val="0"/>
              <w:spacing w:before="62" w:beforeAutospacing="0" w:after="0" w:afterAutospacing="0"/>
              <w:ind w:left="0" w:right="345"/>
              <w:jc w:val="both"/>
              <w:rPr>
                <w:rFonts w:hint="default" w:ascii="Times New Roman" w:hAnsi="Times New Roman" w:cs="Times New Roman"/>
                <w:sz w:val="21"/>
                <w:szCs w:val="21"/>
              </w:rPr>
            </w:pPr>
            <w:r>
              <w:rPr>
                <w:rFonts w:hint="eastAsia" w:ascii="宋体" w:hAnsi="宋体" w:eastAsia="宋体" w:cs="宋体"/>
                <w:sz w:val="18"/>
                <w:szCs w:val="18"/>
              </w:rPr>
              <w:t>自取得药品生产批件起</w:t>
            </w:r>
            <w:r>
              <w:rPr>
                <w:rFonts w:ascii="Calibri" w:hAnsi="Calibri" w:cs="Calibri"/>
                <w:sz w:val="18"/>
                <w:szCs w:val="18"/>
              </w:rPr>
              <w:t>5</w:t>
            </w:r>
            <w:r>
              <w:rPr>
                <w:rFonts w:hint="eastAsia" w:ascii="宋体" w:hAnsi="宋体" w:eastAsia="宋体" w:cs="宋体"/>
                <w:sz w:val="18"/>
                <w:szCs w:val="18"/>
              </w:rPr>
              <w:t>年或</w:t>
            </w:r>
            <w:r>
              <w:rPr>
                <w:rFonts w:hint="default" w:ascii="Calibri" w:hAnsi="Calibri" w:cs="Calibri"/>
                <w:sz w:val="18"/>
                <w:szCs w:val="18"/>
              </w:rPr>
              <w:t>10</w:t>
            </w:r>
            <w:r>
              <w:rPr>
                <w:rFonts w:hint="eastAsia" w:ascii="宋体" w:hAnsi="宋体" w:eastAsia="宋体" w:cs="宋体"/>
                <w:sz w:val="18"/>
                <w:szCs w:val="18"/>
              </w:rPr>
              <w:t>年内摊销</w:t>
            </w:r>
          </w:p>
        </w:tc>
        <w:tc>
          <w:tcPr>
            <w:tcW w:w="2694"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42E66A3D">
            <w:pPr>
              <w:pStyle w:val="2"/>
              <w:keepNext w:val="0"/>
              <w:keepLines w:val="0"/>
              <w:widowControl/>
              <w:suppressLineNumbers w:val="0"/>
              <w:spacing w:before="62" w:beforeAutospacing="0" w:after="0" w:afterAutospacing="0"/>
              <w:ind w:left="0" w:right="118"/>
              <w:jc w:val="right"/>
              <w:rPr>
                <w:rFonts w:hint="default" w:ascii="Times New Roman" w:hAnsi="Times New Roman" w:cs="Times New Roman"/>
                <w:sz w:val="21"/>
                <w:szCs w:val="21"/>
              </w:rPr>
            </w:pPr>
            <w:r>
              <w:rPr>
                <w:rFonts w:hint="eastAsia" w:ascii="宋体" w:hAnsi="宋体" w:eastAsia="宋体" w:cs="宋体"/>
                <w:sz w:val="18"/>
                <w:szCs w:val="18"/>
              </w:rPr>
              <w:t>行业惯例</w:t>
            </w:r>
          </w:p>
        </w:tc>
      </w:tr>
      <w:tr w14:paraId="10AF4B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2294"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14:paraId="3F5F0D7F">
            <w:pPr>
              <w:pStyle w:val="2"/>
              <w:keepNext w:val="0"/>
              <w:keepLines w:val="0"/>
              <w:widowControl/>
              <w:suppressLineNumbers w:val="0"/>
              <w:spacing w:before="62"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办公软件</w:t>
            </w:r>
          </w:p>
        </w:tc>
        <w:tc>
          <w:tcPr>
            <w:tcW w:w="326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5A1F37A1">
            <w:pPr>
              <w:pStyle w:val="2"/>
              <w:keepNext w:val="0"/>
              <w:keepLines w:val="0"/>
              <w:widowControl/>
              <w:suppressLineNumbers w:val="0"/>
              <w:spacing w:before="62" w:beforeAutospacing="0" w:after="0" w:afterAutospacing="0"/>
              <w:ind w:left="0" w:right="345"/>
              <w:jc w:val="both"/>
              <w:rPr>
                <w:rFonts w:hint="default" w:ascii="Times New Roman" w:hAnsi="Times New Roman" w:cs="Times New Roman"/>
                <w:sz w:val="21"/>
                <w:szCs w:val="21"/>
              </w:rPr>
            </w:pPr>
            <w:r>
              <w:rPr>
                <w:rFonts w:hint="default" w:ascii="Calibri" w:hAnsi="Calibri" w:cs="Calibri"/>
                <w:sz w:val="18"/>
                <w:szCs w:val="18"/>
              </w:rPr>
              <w:t>5</w:t>
            </w:r>
            <w:r>
              <w:rPr>
                <w:rFonts w:hint="eastAsia" w:ascii="宋体" w:hAnsi="宋体" w:eastAsia="宋体" w:cs="宋体"/>
                <w:sz w:val="18"/>
                <w:szCs w:val="18"/>
              </w:rPr>
              <w:t>年</w:t>
            </w:r>
          </w:p>
        </w:tc>
        <w:tc>
          <w:tcPr>
            <w:tcW w:w="2694"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08EF1CA7">
            <w:pPr>
              <w:pStyle w:val="2"/>
              <w:keepNext w:val="0"/>
              <w:keepLines w:val="0"/>
              <w:widowControl/>
              <w:suppressLineNumbers w:val="0"/>
              <w:spacing w:before="62" w:beforeAutospacing="0" w:after="0" w:afterAutospacing="0"/>
              <w:ind w:left="0" w:right="118"/>
              <w:jc w:val="right"/>
              <w:rPr>
                <w:rFonts w:hint="default" w:ascii="Times New Roman" w:hAnsi="Times New Roman" w:cs="Times New Roman"/>
                <w:sz w:val="21"/>
                <w:szCs w:val="21"/>
              </w:rPr>
            </w:pPr>
            <w:r>
              <w:rPr>
                <w:rFonts w:hint="eastAsia" w:ascii="宋体" w:hAnsi="宋体" w:eastAsia="宋体" w:cs="宋体"/>
                <w:sz w:val="18"/>
                <w:szCs w:val="18"/>
              </w:rPr>
              <w:t>行业惯例</w:t>
            </w:r>
          </w:p>
        </w:tc>
      </w:tr>
      <w:tr w14:paraId="556E65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2294"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14:paraId="0105E82E">
            <w:pPr>
              <w:pStyle w:val="2"/>
              <w:keepNext w:val="0"/>
              <w:keepLines w:val="0"/>
              <w:widowControl/>
              <w:suppressLineNumbers w:val="0"/>
              <w:spacing w:before="62"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商标权</w:t>
            </w:r>
          </w:p>
        </w:tc>
        <w:tc>
          <w:tcPr>
            <w:tcW w:w="326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0622C2BF">
            <w:pPr>
              <w:pStyle w:val="2"/>
              <w:keepNext w:val="0"/>
              <w:keepLines w:val="0"/>
              <w:widowControl/>
              <w:suppressLineNumbers w:val="0"/>
              <w:spacing w:before="62" w:beforeAutospacing="0" w:after="0" w:afterAutospacing="0"/>
              <w:ind w:left="0" w:right="345"/>
              <w:jc w:val="both"/>
              <w:rPr>
                <w:rFonts w:hint="default" w:ascii="Times New Roman" w:hAnsi="Times New Roman" w:cs="Times New Roman"/>
                <w:sz w:val="21"/>
                <w:szCs w:val="21"/>
              </w:rPr>
            </w:pPr>
            <w:r>
              <w:rPr>
                <w:rFonts w:hint="eastAsia" w:ascii="宋体" w:hAnsi="宋体" w:eastAsia="宋体" w:cs="宋体"/>
                <w:sz w:val="18"/>
                <w:szCs w:val="18"/>
              </w:rPr>
              <w:t>商标有效期</w:t>
            </w:r>
          </w:p>
        </w:tc>
        <w:tc>
          <w:tcPr>
            <w:tcW w:w="2694"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068DF5FB">
            <w:pPr>
              <w:pStyle w:val="2"/>
              <w:keepNext w:val="0"/>
              <w:keepLines w:val="0"/>
              <w:widowControl/>
              <w:suppressLineNumbers w:val="0"/>
              <w:spacing w:before="62" w:beforeAutospacing="0" w:after="0" w:afterAutospacing="0"/>
              <w:ind w:left="0" w:right="118"/>
              <w:jc w:val="right"/>
              <w:rPr>
                <w:rFonts w:hint="default" w:ascii="Times New Roman" w:hAnsi="Times New Roman" w:cs="Times New Roman"/>
                <w:sz w:val="21"/>
                <w:szCs w:val="21"/>
              </w:rPr>
            </w:pPr>
            <w:r>
              <w:rPr>
                <w:rFonts w:hint="eastAsia" w:ascii="宋体" w:hAnsi="宋体" w:eastAsia="宋体" w:cs="宋体"/>
                <w:sz w:val="18"/>
                <w:szCs w:val="18"/>
              </w:rPr>
              <w:t>法律规定</w:t>
            </w:r>
          </w:p>
        </w:tc>
      </w:tr>
      <w:tr w14:paraId="039652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2294"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14:paraId="242420BB">
            <w:pPr>
              <w:pStyle w:val="2"/>
              <w:keepNext w:val="0"/>
              <w:keepLines w:val="0"/>
              <w:widowControl/>
              <w:suppressLineNumbers w:val="0"/>
              <w:spacing w:before="62"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特许权</w:t>
            </w:r>
          </w:p>
        </w:tc>
        <w:tc>
          <w:tcPr>
            <w:tcW w:w="326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1F782203">
            <w:pPr>
              <w:pStyle w:val="2"/>
              <w:keepNext w:val="0"/>
              <w:keepLines w:val="0"/>
              <w:widowControl/>
              <w:suppressLineNumbers w:val="0"/>
              <w:spacing w:before="62" w:beforeAutospacing="0" w:after="0" w:afterAutospacing="0"/>
              <w:ind w:left="0" w:right="345"/>
              <w:jc w:val="both"/>
              <w:rPr>
                <w:rFonts w:hint="default" w:ascii="Times New Roman" w:hAnsi="Times New Roman" w:cs="Times New Roman"/>
                <w:sz w:val="21"/>
                <w:szCs w:val="21"/>
              </w:rPr>
            </w:pPr>
            <w:r>
              <w:rPr>
                <w:rFonts w:hint="eastAsia" w:ascii="宋体" w:hAnsi="宋体" w:eastAsia="宋体" w:cs="宋体"/>
                <w:sz w:val="18"/>
                <w:szCs w:val="18"/>
              </w:rPr>
              <w:t>许可年限</w:t>
            </w:r>
          </w:p>
        </w:tc>
        <w:tc>
          <w:tcPr>
            <w:tcW w:w="2694"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20BA2D56">
            <w:pPr>
              <w:pStyle w:val="2"/>
              <w:keepNext w:val="0"/>
              <w:keepLines w:val="0"/>
              <w:widowControl/>
              <w:suppressLineNumbers w:val="0"/>
              <w:spacing w:before="62" w:beforeAutospacing="0" w:after="0" w:afterAutospacing="0"/>
              <w:ind w:left="0" w:right="118"/>
              <w:jc w:val="right"/>
              <w:rPr>
                <w:rFonts w:hint="default" w:ascii="Times New Roman" w:hAnsi="Times New Roman" w:cs="Times New Roman"/>
                <w:sz w:val="21"/>
                <w:szCs w:val="21"/>
              </w:rPr>
            </w:pPr>
            <w:r>
              <w:rPr>
                <w:rFonts w:hint="eastAsia" w:ascii="宋体" w:hAnsi="宋体" w:eastAsia="宋体" w:cs="宋体"/>
                <w:sz w:val="18"/>
                <w:szCs w:val="18"/>
              </w:rPr>
              <w:t>法律规定</w:t>
            </w:r>
          </w:p>
        </w:tc>
      </w:tr>
    </w:tbl>
    <w:p w14:paraId="6EE5B95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每期末，对使用寿命有限的无形资产的使用寿命及摊销方法进行复核，如与原先估计数存在差异的，进行相应的调整。</w:t>
      </w:r>
    </w:p>
    <w:p w14:paraId="13BDF696">
      <w:pPr>
        <w:keepNext/>
        <w:keepLines/>
        <w:spacing w:before="300" w:after="300" w:line="280" w:lineRule="exact"/>
        <w:jc w:val="left"/>
        <w:outlineLvl w:val="3"/>
        <w:rPr>
          <w:rFonts w:ascii="宋体" w:hAnsi="宋体" w:eastAsia="宋体" w:cs="宋体"/>
          <w:b/>
          <w:bCs/>
          <w:sz w:val="21"/>
          <w:szCs w:val="21"/>
        </w:rPr>
      </w:pPr>
      <w:bookmarkStart w:id="198" w:name="_Toc989085"/>
      <w:r>
        <w:rPr>
          <w:rFonts w:ascii="宋体" w:hAnsi="宋体" w:eastAsia="宋体" w:cs="宋体"/>
          <w:b/>
          <w:bCs/>
          <w:sz w:val="21"/>
          <w:szCs w:val="21"/>
        </w:rPr>
        <w:t>（2） 研发支出的归集范围及相关会计处理方法</w:t>
      </w:r>
      <w:bookmarkEnd w:id="198"/>
    </w:p>
    <w:p w14:paraId="0A9A6AA6">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3"/>
          <w:sz w:val="21"/>
          <w:szCs w:val="21"/>
        </w:rPr>
        <w:t>分公司内部研究开发项目的研究阶段和开发阶段具体标准</w:t>
      </w:r>
    </w:p>
    <w:p w14:paraId="25314778">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7DAC932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研究阶段：为获取并理解新的科学或技术知识等而进行的独创性的有计划调查、研究活动的阶段。</w:t>
      </w:r>
    </w:p>
    <w:p w14:paraId="34F5F4E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开发阶段：在进行商业性生产或使用前，将研究成果或其他知识应用于某项计划或设计，以生产出新的或具有实质性改进的材料、装置、产品等活动的阶段。</w:t>
      </w:r>
    </w:p>
    <w:p w14:paraId="60ADEA9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内部研究开发项目研究阶段的支出，在发生时计入当期损益。</w:t>
      </w:r>
    </w:p>
    <w:p w14:paraId="57F8596D">
      <w:pPr>
        <w:pStyle w:val="2"/>
        <w:keepNext w:val="0"/>
        <w:keepLines w:val="0"/>
        <w:widowControl/>
        <w:suppressLineNumbers w:val="0"/>
        <w:spacing w:before="0"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2"/>
          <w:sz w:val="21"/>
          <w:szCs w:val="21"/>
        </w:rPr>
        <w:t>1.开发阶段支出符合资本化的具体标准</w:t>
      </w:r>
    </w:p>
    <w:p w14:paraId="3932A39A">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203C858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内部研究开发项目开发阶段的支出，同时满足下列条件时确认为无形资产：</w:t>
      </w:r>
    </w:p>
    <w:p w14:paraId="4DC69A2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完成该无形资产以使其能够使用或出售在技术上具有可行性；</w:t>
      </w:r>
    </w:p>
    <w:p w14:paraId="4403284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具有完成该无形资产并使用或出售的意图；</w:t>
      </w:r>
    </w:p>
    <w:p w14:paraId="13260EC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无形资产产生经济利益的方式，包括能够证明运用该无形资产生产的产品存在市场或无形资产自身存在市场，无形资产将在内部使用的，能够证明其有用性；</w:t>
      </w:r>
    </w:p>
    <w:p w14:paraId="0B17237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有足够的技术、财务资源和其他资源支持，以完成该无形资产的开发，并有能力使用或出售该无形资产；</w:t>
      </w:r>
    </w:p>
    <w:p w14:paraId="7E2132F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归属于该无形资产开发阶段的支出能够可靠地计量。公司按照下列方法确定内部研究开发支出的资本化时点：</w:t>
      </w:r>
    </w:p>
    <w:p w14:paraId="09A9550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新化学药品资本化时间点</w:t>
      </w:r>
    </w:p>
    <w:p w14:paraId="7F52F40F">
      <w:pPr>
        <w:pStyle w:val="2"/>
        <w:keepNext w:val="0"/>
        <w:keepLines w:val="0"/>
        <w:widowControl/>
        <w:suppressLineNumbers w:val="0"/>
        <w:spacing w:before="1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7"/>
          <w:szCs w:val="7"/>
        </w:rPr>
        <w:t> </w:t>
      </w:r>
    </w:p>
    <w:tbl>
      <w:tblPr>
        <w:tblStyle w:val="3"/>
        <w:tblW w:w="8328"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846"/>
        <w:gridCol w:w="6482"/>
      </w:tblGrid>
      <w:tr w14:paraId="41CF552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1846" w:type="dxa"/>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vAlign w:val="top"/>
          </w:tcPr>
          <w:p w14:paraId="530FC8BF">
            <w:pPr>
              <w:pStyle w:val="2"/>
              <w:keepNext w:val="0"/>
              <w:keepLines w:val="0"/>
              <w:widowControl/>
              <w:suppressLineNumbers w:val="0"/>
              <w:spacing w:before="62"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化药类别</w:t>
            </w:r>
          </w:p>
        </w:tc>
        <w:tc>
          <w:tcPr>
            <w:tcW w:w="6482"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top"/>
          </w:tcPr>
          <w:p w14:paraId="51F801A4">
            <w:pPr>
              <w:pStyle w:val="2"/>
              <w:keepNext w:val="0"/>
              <w:keepLines w:val="0"/>
              <w:widowControl/>
              <w:suppressLineNumbers w:val="0"/>
              <w:spacing w:before="62" w:beforeAutospacing="0" w:after="0" w:afterAutospacing="0"/>
              <w:ind w:left="0" w:right="2351"/>
              <w:jc w:val="center"/>
              <w:rPr>
                <w:rFonts w:hint="default" w:ascii="Times New Roman" w:hAnsi="Times New Roman" w:cs="Times New Roman"/>
                <w:sz w:val="21"/>
                <w:szCs w:val="21"/>
              </w:rPr>
            </w:pPr>
            <w:r>
              <w:rPr>
                <w:rFonts w:hint="eastAsia" w:ascii="宋体" w:hAnsi="宋体" w:eastAsia="宋体" w:cs="宋体"/>
                <w:sz w:val="18"/>
                <w:szCs w:val="18"/>
              </w:rPr>
              <w:t>研发费用资本化政策</w:t>
            </w:r>
          </w:p>
        </w:tc>
      </w:tr>
      <w:tr w14:paraId="384F30C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79" w:hRule="atLeast"/>
        </w:trPr>
        <w:tc>
          <w:tcPr>
            <w:tcW w:w="1846"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top"/>
          </w:tcPr>
          <w:p w14:paraId="0129059E">
            <w:pPr>
              <w:pStyle w:val="2"/>
              <w:keepNext w:val="0"/>
              <w:keepLines w:val="0"/>
              <w:widowControl/>
              <w:suppressLineNumbers w:val="0"/>
              <w:spacing w:before="131"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化药一类</w:t>
            </w:r>
          </w:p>
        </w:tc>
        <w:tc>
          <w:tcPr>
            <w:tcW w:w="6482"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top"/>
          </w:tcPr>
          <w:p w14:paraId="6A773EA8">
            <w:pPr>
              <w:pStyle w:val="2"/>
              <w:keepNext w:val="0"/>
              <w:keepLines w:val="0"/>
              <w:widowControl/>
              <w:suppressLineNumbers w:val="0"/>
              <w:spacing w:before="2" w:beforeAutospacing="0" w:after="0" w:afterAutospacing="0" w:line="240" w:lineRule="atLeast"/>
              <w:ind w:left="0" w:right="66"/>
              <w:rPr>
                <w:rFonts w:hint="default" w:ascii="Times New Roman" w:hAnsi="Times New Roman" w:cs="Times New Roman"/>
                <w:sz w:val="21"/>
                <w:szCs w:val="21"/>
              </w:rPr>
            </w:pPr>
            <w:r>
              <w:rPr>
                <w:rFonts w:hint="eastAsia" w:ascii="宋体" w:hAnsi="宋体" w:eastAsia="宋体" w:cs="宋体"/>
                <w:sz w:val="18"/>
                <w:szCs w:val="18"/>
              </w:rPr>
              <w:t>正常申报的在进入</w:t>
            </w:r>
            <w:r>
              <w:rPr>
                <w:rFonts w:ascii="Arial Narrow" w:hAnsi="Arial Narrow" w:eastAsia="Arial Narrow" w:cs="Arial Narrow"/>
                <w:sz w:val="18"/>
                <w:szCs w:val="18"/>
              </w:rPr>
              <w:t>III</w:t>
            </w:r>
            <w:r>
              <w:rPr>
                <w:rFonts w:hint="eastAsia" w:ascii="宋体" w:hAnsi="宋体" w:eastAsia="宋体" w:cs="宋体"/>
                <w:sz w:val="18"/>
                <w:szCs w:val="18"/>
              </w:rPr>
              <w:t>期临床至取得生产批件之间的费用资本化，</w:t>
            </w:r>
            <w:r>
              <w:rPr>
                <w:rFonts w:hint="default" w:ascii="Arial Narrow" w:hAnsi="Arial Narrow" w:eastAsia="Arial Narrow" w:cs="Arial Narrow"/>
                <w:sz w:val="18"/>
                <w:szCs w:val="18"/>
              </w:rPr>
              <w:t>II/III</w:t>
            </w:r>
            <w:r>
              <w:rPr>
                <w:rFonts w:hint="eastAsia" w:ascii="宋体" w:hAnsi="宋体" w:eastAsia="宋体" w:cs="宋体"/>
                <w:sz w:val="18"/>
                <w:szCs w:val="18"/>
              </w:rPr>
              <w:t>期临床联合申报的以达成实质性</w:t>
            </w:r>
            <w:r>
              <w:rPr>
                <w:rFonts w:hint="default" w:ascii="Arial Narrow" w:hAnsi="Arial Narrow" w:eastAsia="Arial Narrow" w:cs="Arial Narrow"/>
                <w:sz w:val="18"/>
                <w:szCs w:val="18"/>
              </w:rPr>
              <w:t>II</w:t>
            </w:r>
            <w:r>
              <w:rPr>
                <w:rFonts w:hint="eastAsia" w:ascii="宋体" w:hAnsi="宋体" w:eastAsia="宋体" w:cs="宋体"/>
                <w:sz w:val="18"/>
                <w:szCs w:val="18"/>
              </w:rPr>
              <w:t>期临床研究目的后至取得生产批件之间的费用资本化</w:t>
            </w:r>
          </w:p>
        </w:tc>
      </w:tr>
      <w:tr w14:paraId="16E6C3C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77" w:hRule="atLeast"/>
        </w:trPr>
        <w:tc>
          <w:tcPr>
            <w:tcW w:w="1846"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top"/>
          </w:tcPr>
          <w:p w14:paraId="4FB922BD">
            <w:pPr>
              <w:pStyle w:val="2"/>
              <w:keepNext w:val="0"/>
              <w:keepLines w:val="0"/>
              <w:widowControl/>
              <w:suppressLineNumbers w:val="0"/>
              <w:spacing w:before="129"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化药二类</w:t>
            </w:r>
          </w:p>
        </w:tc>
        <w:tc>
          <w:tcPr>
            <w:tcW w:w="6482"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top"/>
          </w:tcPr>
          <w:p w14:paraId="671DE94C">
            <w:pPr>
              <w:pStyle w:val="2"/>
              <w:keepNext w:val="0"/>
              <w:keepLines w:val="0"/>
              <w:widowControl/>
              <w:suppressLineNumbers w:val="0"/>
              <w:spacing w:before="0" w:beforeAutospacing="0" w:after="0" w:afterAutospacing="0" w:line="240" w:lineRule="atLeast"/>
              <w:ind w:left="0" w:right="66"/>
              <w:rPr>
                <w:rFonts w:hint="default" w:ascii="Times New Roman" w:hAnsi="Times New Roman" w:cs="Times New Roman"/>
                <w:sz w:val="21"/>
                <w:szCs w:val="21"/>
              </w:rPr>
            </w:pPr>
            <w:r>
              <w:rPr>
                <w:rFonts w:hint="eastAsia" w:ascii="宋体" w:hAnsi="宋体" w:eastAsia="宋体" w:cs="宋体"/>
                <w:sz w:val="18"/>
                <w:szCs w:val="18"/>
              </w:rPr>
              <w:t>正常申报的在进入</w:t>
            </w:r>
            <w:r>
              <w:rPr>
                <w:rFonts w:hint="default" w:ascii="Arial Narrow" w:hAnsi="Arial Narrow" w:eastAsia="Arial Narrow" w:cs="Arial Narrow"/>
                <w:sz w:val="18"/>
                <w:szCs w:val="18"/>
              </w:rPr>
              <w:t>III</w:t>
            </w:r>
            <w:r>
              <w:rPr>
                <w:rFonts w:hint="eastAsia" w:ascii="宋体" w:hAnsi="宋体" w:eastAsia="宋体" w:cs="宋体"/>
                <w:sz w:val="18"/>
                <w:szCs w:val="18"/>
              </w:rPr>
              <w:t>期临床至取得生产批件之间的费用资本化，</w:t>
            </w:r>
            <w:r>
              <w:rPr>
                <w:rFonts w:hint="default" w:ascii="Arial Narrow" w:hAnsi="Arial Narrow" w:eastAsia="Arial Narrow" w:cs="Arial Narrow"/>
                <w:sz w:val="18"/>
                <w:szCs w:val="18"/>
              </w:rPr>
              <w:t>II/III</w:t>
            </w:r>
            <w:r>
              <w:rPr>
                <w:rFonts w:hint="eastAsia" w:ascii="宋体" w:hAnsi="宋体" w:eastAsia="宋体" w:cs="宋体"/>
                <w:sz w:val="18"/>
                <w:szCs w:val="18"/>
              </w:rPr>
              <w:t>期临床联合申报的以达成实质性</w:t>
            </w:r>
            <w:r>
              <w:rPr>
                <w:rFonts w:hint="default" w:ascii="Arial Narrow" w:hAnsi="Arial Narrow" w:eastAsia="Arial Narrow" w:cs="Arial Narrow"/>
                <w:sz w:val="18"/>
                <w:szCs w:val="18"/>
              </w:rPr>
              <w:t>II</w:t>
            </w:r>
            <w:r>
              <w:rPr>
                <w:rFonts w:hint="eastAsia" w:ascii="宋体" w:hAnsi="宋体" w:eastAsia="宋体" w:cs="宋体"/>
                <w:sz w:val="18"/>
                <w:szCs w:val="18"/>
              </w:rPr>
              <w:t>期临床研究目的后至取得生产批件之间的费用资本化</w:t>
            </w:r>
          </w:p>
        </w:tc>
      </w:tr>
      <w:tr w14:paraId="773354C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37" w:hRule="atLeast"/>
        </w:trPr>
        <w:tc>
          <w:tcPr>
            <w:tcW w:w="1846"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top"/>
          </w:tcPr>
          <w:p w14:paraId="6930F99D">
            <w:pPr>
              <w:pStyle w:val="2"/>
              <w:keepNext w:val="0"/>
              <w:keepLines w:val="0"/>
              <w:widowControl/>
              <w:suppressLineNumbers w:val="0"/>
              <w:spacing w:before="59"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化药三类</w:t>
            </w:r>
          </w:p>
        </w:tc>
        <w:tc>
          <w:tcPr>
            <w:tcW w:w="6482"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top"/>
          </w:tcPr>
          <w:p w14:paraId="267ABE60">
            <w:pPr>
              <w:pStyle w:val="2"/>
              <w:keepNext w:val="0"/>
              <w:keepLines w:val="0"/>
              <w:widowControl/>
              <w:suppressLineNumbers w:val="0"/>
              <w:spacing w:before="59"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获得人体生物等效性临床备案至取得生产批件之间的费用资本化</w:t>
            </w:r>
          </w:p>
        </w:tc>
      </w:tr>
      <w:tr w14:paraId="0AFBEF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1846"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top"/>
          </w:tcPr>
          <w:p w14:paraId="50CE2723">
            <w:pPr>
              <w:pStyle w:val="2"/>
              <w:keepNext w:val="0"/>
              <w:keepLines w:val="0"/>
              <w:widowControl/>
              <w:suppressLineNumbers w:val="0"/>
              <w:spacing w:before="62"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化药四类</w:t>
            </w:r>
          </w:p>
        </w:tc>
        <w:tc>
          <w:tcPr>
            <w:tcW w:w="6482"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top"/>
          </w:tcPr>
          <w:p w14:paraId="096496F7">
            <w:pPr>
              <w:pStyle w:val="2"/>
              <w:keepNext w:val="0"/>
              <w:keepLines w:val="0"/>
              <w:widowControl/>
              <w:suppressLineNumbers w:val="0"/>
              <w:spacing w:before="62"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获得人体生物等效性临床备案至取得生产批件之间的费用资本化</w:t>
            </w:r>
          </w:p>
        </w:tc>
      </w:tr>
      <w:tr w14:paraId="1D8108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1846"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top"/>
          </w:tcPr>
          <w:p w14:paraId="0E11049A">
            <w:pPr>
              <w:pStyle w:val="2"/>
              <w:keepNext w:val="0"/>
              <w:keepLines w:val="0"/>
              <w:widowControl/>
              <w:suppressLineNumbers w:val="0"/>
              <w:spacing w:before="62"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化药五类</w:t>
            </w:r>
          </w:p>
        </w:tc>
        <w:tc>
          <w:tcPr>
            <w:tcW w:w="6482"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top"/>
          </w:tcPr>
          <w:p w14:paraId="426E5D03">
            <w:pPr>
              <w:pStyle w:val="2"/>
              <w:keepNext w:val="0"/>
              <w:keepLines w:val="0"/>
              <w:widowControl/>
              <w:suppressLineNumbers w:val="0"/>
              <w:spacing w:before="62"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取得临床批件至取得生产批件之间的费用资本化</w:t>
            </w:r>
          </w:p>
        </w:tc>
      </w:tr>
    </w:tbl>
    <w:p w14:paraId="51F130D0">
      <w:pPr>
        <w:pStyle w:val="2"/>
        <w:keepNext w:val="0"/>
        <w:keepLines w:val="0"/>
        <w:widowControl/>
        <w:suppressLineNumbers w:val="0"/>
        <w:spacing w:before="12"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9"/>
          <w:szCs w:val="19"/>
        </w:rPr>
        <w:t> </w:t>
      </w:r>
    </w:p>
    <w:p w14:paraId="47AA599C">
      <w:pPr>
        <w:pStyle w:val="2"/>
        <w:keepNext w:val="0"/>
        <w:keepLines w:val="0"/>
        <w:widowControl/>
        <w:suppressLineNumbers w:val="0"/>
        <w:spacing w:before="0" w:beforeAutospacing="1" w:after="0" w:afterAutospacing="1" w:line="360" w:lineRule="auto"/>
        <w:ind w:left="0" w:right="0" w:firstLine="408"/>
        <w:jc w:val="both"/>
      </w:pPr>
      <w:r>
        <w:rPr>
          <w:rFonts w:hint="eastAsia" w:ascii="宋体" w:hAnsi="宋体" w:eastAsia="宋体" w:cs="宋体"/>
          <w:spacing w:val="-3"/>
          <w:sz w:val="21"/>
          <w:szCs w:val="21"/>
        </w:rPr>
        <w:t>一</w:t>
      </w:r>
      <w:r>
        <w:rPr>
          <w:rFonts w:hint="eastAsia" w:ascii="宋体" w:hAnsi="宋体" w:eastAsia="宋体" w:cs="宋体"/>
          <w:sz w:val="21"/>
          <w:szCs w:val="21"/>
        </w:rPr>
        <w:t>致性评价资本化时点为项目立项审批起至通过一致性评价之间的费用资本化。</w:t>
      </w:r>
    </w:p>
    <w:p w14:paraId="7A8C427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 </w:t>
      </w:r>
    </w:p>
    <w:p w14:paraId="4EBB7D4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中药资本化时间点</w:t>
      </w:r>
    </w:p>
    <w:p w14:paraId="5D90BF0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根据国家食品药品监督管理总局于2020年9月27日发布的“《中药注册分类及申报资料要求》（2020年第68号）”，公司根据各类药品的特点及研发注册流程，确定各类药品的开发阶段资本化时点分别为：</w:t>
      </w:r>
    </w:p>
    <w:p w14:paraId="799B818C">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20"/>
          <w:szCs w:val="20"/>
        </w:rPr>
        <w:t> </w:t>
      </w:r>
    </w:p>
    <w:tbl>
      <w:tblPr>
        <w:tblStyle w:val="3"/>
        <w:tblW w:w="8328"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2578"/>
        <w:gridCol w:w="5750"/>
      </w:tblGrid>
      <w:tr w14:paraId="1199389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2578" w:type="dxa"/>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vAlign w:val="top"/>
          </w:tcPr>
          <w:p w14:paraId="1FA846CD">
            <w:pPr>
              <w:pStyle w:val="2"/>
              <w:keepNext w:val="0"/>
              <w:keepLines w:val="0"/>
              <w:widowControl/>
              <w:suppressLineNumbers w:val="0"/>
              <w:spacing w:before="62"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化药类别</w:t>
            </w:r>
          </w:p>
        </w:tc>
        <w:tc>
          <w:tcPr>
            <w:tcW w:w="5750"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top"/>
          </w:tcPr>
          <w:p w14:paraId="080B96E7">
            <w:pPr>
              <w:pStyle w:val="2"/>
              <w:keepNext w:val="0"/>
              <w:keepLines w:val="0"/>
              <w:widowControl/>
              <w:suppressLineNumbers w:val="0"/>
              <w:spacing w:before="62" w:beforeAutospacing="0" w:after="0" w:afterAutospacing="0"/>
              <w:ind w:left="0" w:right="2351"/>
              <w:jc w:val="center"/>
              <w:rPr>
                <w:rFonts w:hint="default" w:ascii="Times New Roman" w:hAnsi="Times New Roman" w:cs="Times New Roman"/>
                <w:sz w:val="21"/>
                <w:szCs w:val="21"/>
              </w:rPr>
            </w:pPr>
            <w:r>
              <w:rPr>
                <w:rFonts w:hint="eastAsia" w:ascii="宋体" w:hAnsi="宋体" w:eastAsia="宋体" w:cs="宋体"/>
                <w:sz w:val="18"/>
                <w:szCs w:val="18"/>
              </w:rPr>
              <w:t>研发费用资本化政策</w:t>
            </w:r>
          </w:p>
        </w:tc>
      </w:tr>
      <w:tr w14:paraId="4B4CF2A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79" w:hRule="atLeast"/>
        </w:trPr>
        <w:tc>
          <w:tcPr>
            <w:tcW w:w="2578"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14:paraId="2076377F">
            <w:pPr>
              <w:pStyle w:val="2"/>
              <w:keepNext w:val="0"/>
              <w:keepLines w:val="0"/>
              <w:widowControl/>
              <w:suppressLineNumbers w:val="0"/>
              <w:spacing w:before="131"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中药创新药</w:t>
            </w:r>
          </w:p>
        </w:tc>
        <w:tc>
          <w:tcPr>
            <w:tcW w:w="575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369AE45E">
            <w:pPr>
              <w:pStyle w:val="2"/>
              <w:keepNext w:val="0"/>
              <w:keepLines w:val="0"/>
              <w:widowControl/>
              <w:suppressLineNumbers w:val="0"/>
              <w:spacing w:before="2" w:beforeAutospacing="0" w:after="0" w:afterAutospacing="0" w:line="240" w:lineRule="atLeast"/>
              <w:ind w:left="0" w:right="66"/>
              <w:jc w:val="both"/>
              <w:rPr>
                <w:rFonts w:hint="default" w:ascii="Times New Roman" w:hAnsi="Times New Roman" w:cs="Times New Roman"/>
                <w:sz w:val="21"/>
                <w:szCs w:val="21"/>
              </w:rPr>
            </w:pPr>
            <w:r>
              <w:rPr>
                <w:rFonts w:hint="eastAsia" w:ascii="宋体" w:hAnsi="宋体" w:eastAsia="宋体" w:cs="宋体"/>
                <w:sz w:val="18"/>
                <w:szCs w:val="18"/>
              </w:rPr>
              <w:t>进入</w:t>
            </w:r>
            <w:r>
              <w:rPr>
                <w:rFonts w:ascii="Calibri" w:hAnsi="Calibri" w:cs="Calibri"/>
                <w:sz w:val="18"/>
                <w:szCs w:val="18"/>
              </w:rPr>
              <w:t>III</w:t>
            </w:r>
            <w:r>
              <w:rPr>
                <w:rFonts w:hint="eastAsia" w:ascii="宋体" w:hAnsi="宋体" w:eastAsia="宋体" w:cs="宋体"/>
                <w:sz w:val="18"/>
                <w:szCs w:val="18"/>
              </w:rPr>
              <w:t>期临床至取得生产批件之间的费用资本化</w:t>
            </w:r>
          </w:p>
        </w:tc>
      </w:tr>
      <w:tr w14:paraId="3868F6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77" w:hRule="atLeast"/>
        </w:trPr>
        <w:tc>
          <w:tcPr>
            <w:tcW w:w="2578"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14:paraId="56995DE3">
            <w:pPr>
              <w:pStyle w:val="2"/>
              <w:keepNext w:val="0"/>
              <w:keepLines w:val="0"/>
              <w:widowControl/>
              <w:suppressLineNumbers w:val="0"/>
              <w:spacing w:before="129"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中药改良型新药</w:t>
            </w:r>
          </w:p>
        </w:tc>
        <w:tc>
          <w:tcPr>
            <w:tcW w:w="575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0CFE65D0">
            <w:pPr>
              <w:pStyle w:val="2"/>
              <w:keepNext w:val="0"/>
              <w:keepLines w:val="0"/>
              <w:widowControl/>
              <w:suppressLineNumbers w:val="0"/>
              <w:spacing w:before="0" w:beforeAutospacing="0" w:after="0" w:afterAutospacing="0" w:line="240" w:lineRule="atLeast"/>
              <w:ind w:left="0" w:right="66"/>
              <w:jc w:val="both"/>
              <w:rPr>
                <w:rFonts w:hint="default" w:ascii="Times New Roman" w:hAnsi="Times New Roman" w:cs="Times New Roman"/>
                <w:sz w:val="21"/>
                <w:szCs w:val="21"/>
              </w:rPr>
            </w:pPr>
            <w:r>
              <w:rPr>
                <w:rFonts w:hint="eastAsia" w:ascii="宋体" w:hAnsi="宋体" w:eastAsia="宋体" w:cs="宋体"/>
                <w:sz w:val="18"/>
                <w:szCs w:val="18"/>
              </w:rPr>
              <w:t>进入</w:t>
            </w:r>
            <w:r>
              <w:rPr>
                <w:rFonts w:hint="default" w:ascii="Calibri" w:hAnsi="Calibri" w:cs="Calibri"/>
                <w:sz w:val="18"/>
                <w:szCs w:val="18"/>
              </w:rPr>
              <w:t>III</w:t>
            </w:r>
            <w:r>
              <w:rPr>
                <w:rFonts w:hint="eastAsia" w:ascii="宋体" w:hAnsi="宋体" w:eastAsia="宋体" w:cs="宋体"/>
                <w:sz w:val="18"/>
                <w:szCs w:val="18"/>
              </w:rPr>
              <w:t>期临床至取得生产批件之间的费用资本化</w:t>
            </w:r>
          </w:p>
        </w:tc>
      </w:tr>
      <w:tr w14:paraId="48C03B8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37" w:hRule="atLeast"/>
        </w:trPr>
        <w:tc>
          <w:tcPr>
            <w:tcW w:w="2578"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14:paraId="68AFAC79">
            <w:pPr>
              <w:pStyle w:val="2"/>
              <w:keepNext w:val="0"/>
              <w:keepLines w:val="0"/>
              <w:widowControl/>
              <w:suppressLineNumbers w:val="0"/>
              <w:spacing w:before="59"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古代经典名方中药复方制剂</w:t>
            </w:r>
          </w:p>
        </w:tc>
        <w:tc>
          <w:tcPr>
            <w:tcW w:w="575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14:paraId="5EFB0D67">
            <w:pPr>
              <w:pStyle w:val="2"/>
              <w:keepNext w:val="0"/>
              <w:keepLines w:val="0"/>
              <w:widowControl/>
              <w:suppressLineNumbers w:val="0"/>
              <w:spacing w:before="59"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获得临床批件至取得生产批件之间的费用资本化</w:t>
            </w:r>
          </w:p>
        </w:tc>
      </w:tr>
    </w:tbl>
    <w:p w14:paraId="36528CB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不满足上述条件的开发阶段的支出，于发生时计入当期损益。以前期间已计入损益的开发支出不在以后期间重新确认为资产。已资本化的开发阶段的支出在资产负债表上列示为开发支出，自该项目达到预定用途之日起转为无形资产。</w:t>
      </w:r>
    </w:p>
    <w:p w14:paraId="54592584">
      <w:pPr>
        <w:keepNext/>
        <w:keepLines/>
        <w:spacing w:before="300" w:after="300" w:line="280" w:lineRule="exact"/>
        <w:jc w:val="left"/>
        <w:outlineLvl w:val="2"/>
        <w:rPr>
          <w:rFonts w:ascii="宋体" w:hAnsi="宋体" w:eastAsia="宋体" w:cs="宋体"/>
          <w:b/>
          <w:bCs/>
          <w:sz w:val="21"/>
          <w:szCs w:val="21"/>
        </w:rPr>
      </w:pPr>
      <w:bookmarkStart w:id="199" w:name="_Toc989086"/>
      <w:r>
        <w:rPr>
          <w:rFonts w:ascii="宋体" w:hAnsi="宋体" w:eastAsia="宋体" w:cs="宋体"/>
          <w:b/>
          <w:bCs/>
          <w:sz w:val="21"/>
          <w:szCs w:val="21"/>
        </w:rPr>
        <w:t>30、长期资产减值</w:t>
      </w:r>
      <w:bookmarkEnd w:id="199"/>
    </w:p>
    <w:p w14:paraId="1724716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在每一个资产负债表日检查长期资产是否存在可能发生减值的迹象。如果长期资产存在减值迹象，则以单项资产为基础估计其可收回金额；难以对单项资产的可收回金额进行估计的，以该资产所属的资产组为基础确定资产组的可收回金额。</w:t>
      </w:r>
    </w:p>
    <w:p w14:paraId="5495234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资产可收回金额的估计，根据其公允价值减去处置费用后的净额与资产预计未来现金流量的现值两者之间较高者确定。</w:t>
      </w:r>
    </w:p>
    <w:p w14:paraId="45ACFF9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可收回金额的计量结果表明，长期资产的可收回金额低于其账面价值的，将长期资产的账面价值减记至可收回金额，减记的金额确认为资产减值损失，计入当期损益，同时计提相应的资产减值准备。资产减值损失一经确认，在以后会计期间不得转回。</w:t>
      </w:r>
    </w:p>
    <w:p w14:paraId="76B879F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资产减值损失确认后，减值资产的折旧或者摊销费用在未来期间作相应调整，以使该资产在剩余使用寿命内，系统地分摊调整后的资产账面价值（扣除预计净残值）。</w:t>
      </w:r>
    </w:p>
    <w:p w14:paraId="70566A7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因企业合并所形成的商誉和使用寿命不确定的无形资产，无论是否存在减值迹象，每年都进行减值测试。</w:t>
      </w:r>
    </w:p>
    <w:p w14:paraId="2D55E8A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对商誉进行减值测试时，将商誉的账面价值分摊至预期从企业合并的协同效应中受益的资产组或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p>
    <w:p w14:paraId="659B86E5">
      <w:pPr>
        <w:keepNext/>
        <w:keepLines/>
        <w:spacing w:before="300" w:after="300" w:line="280" w:lineRule="exact"/>
        <w:jc w:val="left"/>
        <w:outlineLvl w:val="2"/>
        <w:rPr>
          <w:rFonts w:ascii="宋体" w:hAnsi="宋体" w:eastAsia="宋体" w:cs="宋体"/>
          <w:b/>
          <w:bCs/>
          <w:sz w:val="21"/>
          <w:szCs w:val="21"/>
        </w:rPr>
      </w:pPr>
      <w:bookmarkStart w:id="200" w:name="_Toc989087"/>
      <w:r>
        <w:rPr>
          <w:rFonts w:ascii="宋体" w:hAnsi="宋体" w:eastAsia="宋体" w:cs="宋体"/>
          <w:b/>
          <w:bCs/>
          <w:sz w:val="21"/>
          <w:szCs w:val="21"/>
        </w:rPr>
        <w:t>31、长期待摊费用</w:t>
      </w:r>
      <w:bookmarkEnd w:id="200"/>
    </w:p>
    <w:p w14:paraId="4E9F383E">
      <w:pPr>
        <w:pStyle w:val="2"/>
        <w:keepNext w:val="0"/>
        <w:keepLines w:val="0"/>
        <w:widowControl/>
        <w:suppressLineNumbers w:val="0"/>
        <w:spacing w:before="0"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1.摊销方法</w:t>
      </w:r>
    </w:p>
    <w:p w14:paraId="58A7044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长期待摊费用，是指本公司已经发生但应由本期和以后各期负担的分摊期限在1年以上的各项费用。长期待摊费用在受益期内按直线法分期摊销。</w:t>
      </w:r>
    </w:p>
    <w:p w14:paraId="69FD47B4">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2.摊销年限</w:t>
      </w:r>
    </w:p>
    <w:p w14:paraId="23641684">
      <w:pPr>
        <w:pStyle w:val="2"/>
        <w:keepNext w:val="0"/>
        <w:keepLines w:val="0"/>
        <w:widowControl/>
        <w:suppressLineNumbers w:val="0"/>
        <w:spacing w:before="10"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7"/>
          <w:szCs w:val="7"/>
        </w:rPr>
        <w:t> </w:t>
      </w:r>
    </w:p>
    <w:tbl>
      <w:tblPr>
        <w:tblStyle w:val="3"/>
        <w:tblW w:w="832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2785"/>
        <w:gridCol w:w="2773"/>
        <w:gridCol w:w="2771"/>
      </w:tblGrid>
      <w:tr w14:paraId="5A75D9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2785" w:type="dxa"/>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vAlign w:val="top"/>
          </w:tcPr>
          <w:p w14:paraId="38EC8491">
            <w:pPr>
              <w:pStyle w:val="2"/>
              <w:keepNext w:val="0"/>
              <w:keepLines w:val="0"/>
              <w:widowControl/>
              <w:suppressLineNumbers w:val="0"/>
              <w:spacing w:before="62" w:beforeAutospacing="0" w:after="0" w:afterAutospacing="0"/>
              <w:ind w:left="0" w:right="1076"/>
              <w:jc w:val="center"/>
              <w:rPr>
                <w:rFonts w:hint="default" w:ascii="Times New Roman" w:hAnsi="Times New Roman" w:cs="Times New Roman"/>
                <w:sz w:val="21"/>
                <w:szCs w:val="21"/>
              </w:rPr>
            </w:pPr>
            <w:r>
              <w:rPr>
                <w:rFonts w:hint="eastAsia" w:ascii="宋体" w:hAnsi="宋体" w:eastAsia="宋体" w:cs="宋体"/>
                <w:sz w:val="18"/>
                <w:szCs w:val="18"/>
              </w:rPr>
              <w:t>类别</w:t>
            </w:r>
          </w:p>
        </w:tc>
        <w:tc>
          <w:tcPr>
            <w:tcW w:w="2773"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top"/>
          </w:tcPr>
          <w:p w14:paraId="3BAB0267">
            <w:pPr>
              <w:pStyle w:val="2"/>
              <w:keepNext w:val="0"/>
              <w:keepLines w:val="0"/>
              <w:widowControl/>
              <w:suppressLineNumbers w:val="0"/>
              <w:spacing w:before="62"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摊销年限</w:t>
            </w:r>
          </w:p>
        </w:tc>
        <w:tc>
          <w:tcPr>
            <w:tcW w:w="2771"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top"/>
          </w:tcPr>
          <w:p w14:paraId="774F9A52">
            <w:pPr>
              <w:pStyle w:val="2"/>
              <w:keepNext w:val="0"/>
              <w:keepLines w:val="0"/>
              <w:widowControl/>
              <w:suppressLineNumbers w:val="0"/>
              <w:spacing w:before="62" w:beforeAutospacing="0" w:after="0" w:afterAutospacing="0"/>
              <w:ind w:left="0" w:right="950"/>
              <w:jc w:val="center"/>
              <w:rPr>
                <w:rFonts w:hint="default" w:ascii="Times New Roman" w:hAnsi="Times New Roman" w:cs="Times New Roman"/>
                <w:sz w:val="21"/>
                <w:szCs w:val="21"/>
              </w:rPr>
            </w:pPr>
            <w:r>
              <w:rPr>
                <w:rFonts w:hint="eastAsia" w:ascii="宋体" w:hAnsi="宋体" w:eastAsia="宋体" w:cs="宋体"/>
                <w:sz w:val="18"/>
                <w:szCs w:val="18"/>
              </w:rPr>
              <w:t>备注</w:t>
            </w:r>
          </w:p>
        </w:tc>
      </w:tr>
      <w:tr w14:paraId="2A4ACED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40" w:hRule="atLeast"/>
        </w:trPr>
        <w:tc>
          <w:tcPr>
            <w:tcW w:w="278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top"/>
          </w:tcPr>
          <w:p w14:paraId="6E0CB930">
            <w:pPr>
              <w:pStyle w:val="2"/>
              <w:keepNext w:val="0"/>
              <w:keepLines w:val="0"/>
              <w:widowControl/>
              <w:suppressLineNumbers w:val="0"/>
              <w:spacing w:before="62"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自有房屋装修费</w:t>
            </w:r>
          </w:p>
        </w:tc>
        <w:tc>
          <w:tcPr>
            <w:tcW w:w="2773"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top"/>
          </w:tcPr>
          <w:p w14:paraId="5D48A115">
            <w:pPr>
              <w:pStyle w:val="2"/>
              <w:keepNext w:val="0"/>
              <w:keepLines w:val="0"/>
              <w:widowControl/>
              <w:suppressLineNumbers w:val="0"/>
              <w:spacing w:before="62" w:beforeAutospacing="0" w:after="0" w:afterAutospacing="0"/>
              <w:ind w:left="0" w:right="0"/>
              <w:rPr>
                <w:rFonts w:hint="default" w:ascii="Times New Roman" w:hAnsi="Times New Roman" w:cs="Times New Roman"/>
                <w:sz w:val="21"/>
                <w:szCs w:val="21"/>
              </w:rPr>
            </w:pPr>
            <w:r>
              <w:rPr>
                <w:rFonts w:ascii="Arial Narrow" w:hAnsi="Arial Narrow" w:eastAsia="Arial Narrow" w:cs="Arial Narrow"/>
                <w:sz w:val="18"/>
                <w:szCs w:val="18"/>
              </w:rPr>
              <w:t>10</w:t>
            </w:r>
            <w:r>
              <w:rPr>
                <w:rFonts w:hint="eastAsia" w:ascii="宋体" w:hAnsi="宋体" w:eastAsia="宋体" w:cs="宋体"/>
                <w:sz w:val="18"/>
                <w:szCs w:val="18"/>
              </w:rPr>
              <w:t>年</w:t>
            </w:r>
          </w:p>
        </w:tc>
        <w:tc>
          <w:tcPr>
            <w:tcW w:w="2771"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top"/>
          </w:tcPr>
          <w:p w14:paraId="51E3CC77">
            <w:pPr>
              <w:pStyle w:val="2"/>
              <w:keepNext w:val="0"/>
              <w:keepLines w:val="0"/>
              <w:widowControl/>
              <w:suppressLineNumbers w:val="0"/>
              <w:spacing w:before="62"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预计使用年限</w:t>
            </w:r>
          </w:p>
        </w:tc>
      </w:tr>
      <w:tr w14:paraId="6680C33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trPr>
        <w:tc>
          <w:tcPr>
            <w:tcW w:w="278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top"/>
          </w:tcPr>
          <w:p w14:paraId="090771BC">
            <w:pPr>
              <w:pStyle w:val="2"/>
              <w:keepNext w:val="0"/>
              <w:keepLines w:val="0"/>
              <w:widowControl/>
              <w:suppressLineNumbers w:val="0"/>
              <w:spacing w:before="62"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租赁房屋装修费</w:t>
            </w:r>
          </w:p>
        </w:tc>
        <w:tc>
          <w:tcPr>
            <w:tcW w:w="2773"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top"/>
          </w:tcPr>
          <w:p w14:paraId="3B2BEDB3">
            <w:pPr>
              <w:pStyle w:val="2"/>
              <w:keepNext w:val="0"/>
              <w:keepLines w:val="0"/>
              <w:widowControl/>
              <w:suppressLineNumbers w:val="0"/>
              <w:spacing w:before="62"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租期与</w:t>
            </w:r>
            <w:r>
              <w:rPr>
                <w:rFonts w:hint="default" w:ascii="Arial Narrow" w:hAnsi="Arial Narrow" w:eastAsia="Arial Narrow" w:cs="Arial Narrow"/>
                <w:sz w:val="18"/>
                <w:szCs w:val="18"/>
              </w:rPr>
              <w:t>5</w:t>
            </w:r>
            <w:r>
              <w:rPr>
                <w:rFonts w:hint="eastAsia" w:ascii="宋体" w:hAnsi="宋体" w:eastAsia="宋体" w:cs="宋体"/>
                <w:sz w:val="18"/>
                <w:szCs w:val="18"/>
              </w:rPr>
              <w:t>年孰短</w:t>
            </w:r>
          </w:p>
        </w:tc>
        <w:tc>
          <w:tcPr>
            <w:tcW w:w="2771"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top"/>
          </w:tcPr>
          <w:p w14:paraId="5E05B39A">
            <w:pPr>
              <w:pStyle w:val="2"/>
              <w:keepNext w:val="0"/>
              <w:keepLines w:val="0"/>
              <w:widowControl/>
              <w:suppressLineNumbers w:val="0"/>
              <w:spacing w:before="62"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预计使用年限</w:t>
            </w:r>
          </w:p>
        </w:tc>
      </w:tr>
    </w:tbl>
    <w:p w14:paraId="7F3513D6">
      <w:pPr>
        <w:keepNext/>
        <w:keepLines/>
        <w:spacing w:before="300" w:after="300" w:line="280" w:lineRule="exact"/>
        <w:jc w:val="left"/>
        <w:outlineLvl w:val="2"/>
        <w:rPr>
          <w:rFonts w:ascii="宋体" w:hAnsi="宋体" w:eastAsia="宋体" w:cs="宋体"/>
          <w:b/>
          <w:bCs/>
          <w:sz w:val="21"/>
          <w:szCs w:val="21"/>
        </w:rPr>
      </w:pPr>
      <w:bookmarkStart w:id="201" w:name="_Toc989088"/>
      <w:r>
        <w:rPr>
          <w:rFonts w:ascii="宋体" w:hAnsi="宋体" w:eastAsia="宋体" w:cs="宋体"/>
          <w:b/>
          <w:bCs/>
          <w:sz w:val="21"/>
          <w:szCs w:val="21"/>
        </w:rPr>
        <w:t>32、合同负债</w:t>
      </w:r>
      <w:bookmarkEnd w:id="201"/>
    </w:p>
    <w:p w14:paraId="352C4F2E">
      <w:pPr>
        <w:pStyle w:val="2"/>
        <w:keepNext w:val="0"/>
        <w:keepLines w:val="0"/>
        <w:widowControl/>
        <w:suppressLineNumbers w:val="0"/>
        <w:spacing w:before="6" w:beforeAutospacing="0" w:after="0" w:afterAutospacing="0"/>
        <w:ind w:left="0" w:right="0"/>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2C45ADA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本公司将已收或应收客户对价而应向客户转让商品的义务部分确认为合同负债。</w:t>
      </w:r>
    </w:p>
    <w:p w14:paraId="157006F9">
      <w:pPr>
        <w:keepNext/>
        <w:keepLines/>
        <w:spacing w:before="300" w:after="300" w:line="280" w:lineRule="exact"/>
        <w:jc w:val="left"/>
        <w:outlineLvl w:val="2"/>
        <w:rPr>
          <w:rFonts w:ascii="宋体" w:hAnsi="宋体" w:eastAsia="宋体" w:cs="宋体"/>
          <w:b/>
          <w:bCs/>
          <w:sz w:val="21"/>
          <w:szCs w:val="21"/>
        </w:rPr>
      </w:pPr>
      <w:bookmarkStart w:id="202" w:name="_Toc989089"/>
      <w:r>
        <w:rPr>
          <w:rFonts w:ascii="宋体" w:hAnsi="宋体" w:eastAsia="宋体" w:cs="宋体"/>
          <w:b/>
          <w:bCs/>
          <w:sz w:val="21"/>
          <w:szCs w:val="21"/>
        </w:rPr>
        <w:t>33、职工薪酬</w:t>
      </w:r>
      <w:bookmarkEnd w:id="202"/>
    </w:p>
    <w:p w14:paraId="69B4F33A">
      <w:pPr>
        <w:keepNext/>
        <w:keepLines/>
        <w:spacing w:before="300" w:after="300" w:line="280" w:lineRule="exact"/>
        <w:jc w:val="left"/>
        <w:outlineLvl w:val="3"/>
        <w:rPr>
          <w:rFonts w:ascii="宋体" w:hAnsi="宋体" w:eastAsia="宋体" w:cs="宋体"/>
          <w:b/>
          <w:bCs/>
          <w:sz w:val="21"/>
          <w:szCs w:val="21"/>
        </w:rPr>
      </w:pPr>
      <w:bookmarkStart w:id="203" w:name="_Toc989090"/>
      <w:r>
        <w:rPr>
          <w:rFonts w:ascii="宋体" w:hAnsi="宋体" w:eastAsia="宋体" w:cs="宋体"/>
          <w:b/>
          <w:bCs/>
          <w:sz w:val="21"/>
          <w:szCs w:val="21"/>
        </w:rPr>
        <w:t>（1） 短期薪酬的会计处理方法</w:t>
      </w:r>
      <w:bookmarkEnd w:id="203"/>
    </w:p>
    <w:p w14:paraId="756D247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短期薪酬是指本公司在职工提供相关服务的年度报告期间结束后十二个月内需要全部予以支付的职工薪酬，离职后福利和辞退福利除外。本公司在职工提供服务的会计期间，将应付的短期薪酬确认为负债，并根据职工提供服务的受益对象计入相关资产成本和费用。</w:t>
      </w:r>
    </w:p>
    <w:p w14:paraId="1D3B1FC9">
      <w:pPr>
        <w:keepNext/>
        <w:keepLines/>
        <w:spacing w:before="300" w:after="300" w:line="280" w:lineRule="exact"/>
        <w:jc w:val="left"/>
        <w:outlineLvl w:val="3"/>
        <w:rPr>
          <w:rFonts w:ascii="宋体" w:hAnsi="宋体" w:eastAsia="宋体" w:cs="宋体"/>
          <w:b/>
          <w:bCs/>
          <w:sz w:val="21"/>
          <w:szCs w:val="21"/>
        </w:rPr>
      </w:pPr>
      <w:bookmarkStart w:id="204" w:name="_Toc989091"/>
      <w:r>
        <w:rPr>
          <w:rFonts w:ascii="宋体" w:hAnsi="宋体" w:eastAsia="宋体" w:cs="宋体"/>
          <w:b/>
          <w:bCs/>
          <w:sz w:val="21"/>
          <w:szCs w:val="21"/>
        </w:rPr>
        <w:t>（2） 离职后福利的会计处理方法</w:t>
      </w:r>
      <w:bookmarkEnd w:id="204"/>
    </w:p>
    <w:p w14:paraId="021FE7B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离职后福利是指本公司为获得职工提供的服务而在职工退休或与企业解除劳动关系后，提供的各种形式的报酬和福利，短期薪酬和辞退福利除外。</w:t>
      </w:r>
    </w:p>
    <w:p w14:paraId="680E993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本公司的离职后福利计划分类为设定提存计划和设定受益计划。</w:t>
      </w:r>
    </w:p>
    <w:p w14:paraId="5E43E52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离职后福利设定提存计划主要为参加由各地劳动及社会保障机构组织实施的社会基本养老保险、失业保险等。在职工为本公司提供服务的会计期间，将根据设定提存计划计算的应缴存金额确认为负债，并计入当期损益或相关资产成本。</w:t>
      </w:r>
    </w:p>
    <w:p w14:paraId="0872993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本公司按照国家规定的标准定期缴付上述款项后，不再有其他的支付义务。</w:t>
      </w:r>
    </w:p>
    <w:p w14:paraId="7BA1DCE0">
      <w:pPr>
        <w:keepNext/>
        <w:keepLines/>
        <w:spacing w:before="300" w:after="300" w:line="280" w:lineRule="exact"/>
        <w:jc w:val="left"/>
        <w:outlineLvl w:val="3"/>
        <w:rPr>
          <w:rFonts w:ascii="宋体" w:hAnsi="宋体" w:eastAsia="宋体" w:cs="宋体"/>
          <w:b/>
          <w:bCs/>
          <w:sz w:val="21"/>
          <w:szCs w:val="21"/>
        </w:rPr>
      </w:pPr>
      <w:bookmarkStart w:id="205" w:name="_Toc989092"/>
      <w:r>
        <w:rPr>
          <w:rFonts w:ascii="宋体" w:hAnsi="宋体" w:eastAsia="宋体" w:cs="宋体"/>
          <w:b/>
          <w:bCs/>
          <w:sz w:val="21"/>
          <w:szCs w:val="21"/>
        </w:rPr>
        <w:t>（3） 辞退福利的会计处理方法</w:t>
      </w:r>
      <w:bookmarkEnd w:id="205"/>
    </w:p>
    <w:p w14:paraId="14C49090">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0E01CA8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辞退福利是指本公司在职工劳动合同到期之前解除与职工的劳动关系，或者为鼓励职工自愿接受裁减而给予职工的补偿，在本公司不能单方面撤回解除劳动关系计划或裁减建议时和确认与涉及支付辞退福利的重组相关的成本费用时两者孰早日，确认因解除与职工的劳动关系给予补偿而产生的负债，同时计入当期损益。</w:t>
      </w:r>
    </w:p>
    <w:p w14:paraId="218C448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向接受内部退休安排的职工提供内退福利。内退福利是指，向未达到国家规定的退休年龄、经本公司管理层批准自愿退出工作岗位的职工支付的工资及为其缴纳的社会保险费等。本公司自内部退休安排开始之日起至职工达到正常退休年龄止，向内退职工支付内部退养福利。对于内退福利，本公司比照辞退福利进行会计处理，在符合辞退福利相关确认条件时，将自职工停止提供服务日至正常退休日期间拟支付的内退职工工资和缴纳的社会保险费等，确认为负债，一次性</w:t>
      </w:r>
      <w:r>
        <w:rPr>
          <w:rFonts w:hint="eastAsia" w:ascii="宋体" w:hAnsi="宋体" w:eastAsia="宋体" w:cs="宋体"/>
          <w:spacing w:val="-13"/>
          <w:sz w:val="21"/>
          <w:szCs w:val="21"/>
        </w:rPr>
        <w:t>计入当期损益。内退福利的精算假设变化及福利标准调整引起的</w:t>
      </w:r>
      <w:r>
        <w:rPr>
          <w:rFonts w:hint="eastAsia" w:ascii="宋体" w:hAnsi="宋体" w:eastAsia="宋体" w:cs="宋体"/>
          <w:spacing w:val="-6"/>
          <w:sz w:val="21"/>
          <w:szCs w:val="21"/>
        </w:rPr>
        <w:t>差异于发生时计入当期损益。</w:t>
      </w:r>
    </w:p>
    <w:p w14:paraId="7390FF3A">
      <w:pPr>
        <w:keepNext/>
        <w:keepLines/>
        <w:spacing w:before="300" w:after="300" w:line="280" w:lineRule="exact"/>
        <w:jc w:val="left"/>
        <w:outlineLvl w:val="3"/>
        <w:rPr>
          <w:rFonts w:ascii="宋体" w:hAnsi="宋体" w:eastAsia="宋体" w:cs="宋体"/>
          <w:b/>
          <w:bCs/>
          <w:sz w:val="21"/>
          <w:szCs w:val="21"/>
        </w:rPr>
      </w:pPr>
      <w:bookmarkStart w:id="206" w:name="_Toc989093"/>
      <w:r>
        <w:rPr>
          <w:rFonts w:ascii="宋体" w:hAnsi="宋体" w:eastAsia="宋体" w:cs="宋体"/>
          <w:b/>
          <w:bCs/>
          <w:sz w:val="21"/>
          <w:szCs w:val="21"/>
        </w:rPr>
        <w:t>（4） 其他长期职工福利的会计处理方法</w:t>
      </w:r>
      <w:bookmarkEnd w:id="206"/>
    </w:p>
    <w:p w14:paraId="35E998CB">
      <w:pPr>
        <w:keepNext/>
        <w:keepLines/>
        <w:spacing w:before="300" w:after="300" w:line="280" w:lineRule="exact"/>
        <w:jc w:val="left"/>
        <w:outlineLvl w:val="2"/>
        <w:rPr>
          <w:rFonts w:ascii="宋体" w:hAnsi="宋体" w:eastAsia="宋体" w:cs="宋体"/>
          <w:b/>
          <w:bCs/>
          <w:sz w:val="21"/>
          <w:szCs w:val="21"/>
        </w:rPr>
      </w:pPr>
      <w:bookmarkStart w:id="207" w:name="_Toc989094"/>
      <w:r>
        <w:rPr>
          <w:rFonts w:ascii="宋体" w:hAnsi="宋体" w:eastAsia="宋体" w:cs="宋体"/>
          <w:b/>
          <w:bCs/>
          <w:sz w:val="21"/>
          <w:szCs w:val="21"/>
        </w:rPr>
        <w:t>34、预计负债</w:t>
      </w:r>
      <w:bookmarkEnd w:id="207"/>
    </w:p>
    <w:p w14:paraId="493EFCD3">
      <w:pPr>
        <w:pStyle w:val="2"/>
        <w:keepNext w:val="0"/>
        <w:keepLines w:val="0"/>
        <w:widowControl/>
        <w:suppressLineNumbers w:val="0"/>
        <w:spacing w:before="0"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1.预计负债的确认标准</w:t>
      </w:r>
    </w:p>
    <w:p w14:paraId="1035E10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当与或有事项相关的义务是本公司承担的现时义务，且履行该义务很可能导致经济利益流出，以及该义务的金额能够可靠地计量，则确认为预计负债。</w:t>
      </w:r>
    </w:p>
    <w:p w14:paraId="64B32FA5">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2.预计负债的计量方法</w:t>
      </w:r>
    </w:p>
    <w:p w14:paraId="7ACA01AC">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38DC532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本公司预计负债按履行相关现时义务所需的支出的最佳估计数进行初始计量。</w:t>
      </w:r>
    </w:p>
    <w:p w14:paraId="6EF4ACE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本公司在确定最佳估计数时，综合考虑与或有事项有关的风险、不确定性和货币时间价值等因素。对于货币时间价值影响重大的，通过对相关未来现金流出进行折现后确定最佳估计数。</w:t>
      </w:r>
    </w:p>
    <w:p w14:paraId="37567FD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最佳估计数分别以下情况处理：</w:t>
      </w:r>
    </w:p>
    <w:p w14:paraId="35812CC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所需支出存在一个连续范围（或区间），且该范围内各种结果发生的可能性相同的，则最佳估计数按照该范围的中间值即上下限金额的平均数确定。</w:t>
      </w:r>
    </w:p>
    <w:p w14:paraId="469C8FF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所需支出不存在一个连续范围（或区间），或虽然存在一个连续范围但该范围内各种结果发生的可能性不相同的，如或有事项涉及单个项目的，则最佳估计数按照最可能发生金额确定；如或有事项涉及多个项目的，则最佳估计数按各种可能结果及相关概率计算确定。本公司清偿预计负债所需支出全部或部分预期由第三方补偿的，补偿金额在基本确定能</w:t>
      </w:r>
    </w:p>
    <w:p w14:paraId="4F45D424">
      <w:pPr>
        <w:pStyle w:val="2"/>
        <w:keepNext w:val="0"/>
        <w:keepLines w:val="0"/>
        <w:widowControl/>
        <w:suppressLineNumbers w:val="0"/>
        <w:spacing w:before="0" w:beforeAutospacing="0" w:after="0" w:afterAutospacing="0" w:line="269" w:lineRule="atLeast"/>
        <w:ind w:left="0" w:right="0"/>
        <w:rPr>
          <w:rFonts w:hint="default" w:ascii="Times New Roman" w:hAnsi="Times New Roman" w:cs="Times New Roman"/>
          <w:sz w:val="21"/>
          <w:szCs w:val="21"/>
        </w:rPr>
      </w:pPr>
      <w:r>
        <w:rPr>
          <w:rFonts w:hint="eastAsia" w:ascii="宋体" w:hAnsi="宋体" w:eastAsia="宋体" w:cs="宋体"/>
          <w:sz w:val="21"/>
          <w:szCs w:val="21"/>
        </w:rPr>
        <w:t>够收到时，作为资产单独确认，确认的补偿金额不超过预计负债的账面价值。</w:t>
      </w:r>
    </w:p>
    <w:p w14:paraId="65FFBF02">
      <w:pPr>
        <w:keepNext/>
        <w:keepLines/>
        <w:spacing w:before="300" w:after="300" w:line="280" w:lineRule="exact"/>
        <w:jc w:val="left"/>
        <w:outlineLvl w:val="2"/>
        <w:rPr>
          <w:rFonts w:ascii="宋体" w:hAnsi="宋体" w:eastAsia="宋体" w:cs="宋体"/>
          <w:b/>
          <w:bCs/>
          <w:sz w:val="21"/>
          <w:szCs w:val="21"/>
        </w:rPr>
      </w:pPr>
      <w:bookmarkStart w:id="208" w:name="_Toc989095"/>
      <w:r>
        <w:rPr>
          <w:rFonts w:ascii="宋体" w:hAnsi="宋体" w:eastAsia="宋体" w:cs="宋体"/>
          <w:b/>
          <w:bCs/>
          <w:sz w:val="21"/>
          <w:szCs w:val="21"/>
        </w:rPr>
        <w:t>35、股份支付</w:t>
      </w:r>
      <w:bookmarkEnd w:id="208"/>
    </w:p>
    <w:p w14:paraId="21CD2272">
      <w:pPr>
        <w:pStyle w:val="2"/>
        <w:keepNext w:val="0"/>
        <w:keepLines w:val="0"/>
        <w:widowControl/>
        <w:suppressLineNumbers w:val="0"/>
        <w:spacing w:before="8"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27"/>
          <w:szCs w:val="27"/>
        </w:rPr>
        <w:t> </w:t>
      </w:r>
    </w:p>
    <w:p w14:paraId="0278CEEF">
      <w:pPr>
        <w:pStyle w:val="2"/>
        <w:keepNext w:val="0"/>
        <w:keepLines w:val="0"/>
        <w:widowControl/>
        <w:suppressLineNumbers w:val="0"/>
        <w:spacing w:before="1"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1.股份支付的种类</w:t>
      </w:r>
    </w:p>
    <w:p w14:paraId="0A0B10D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 </w:t>
      </w:r>
    </w:p>
    <w:p w14:paraId="7747833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本公司的股份支付分为以权益结算的股份支付和以现金结算的股份支付。</w:t>
      </w:r>
    </w:p>
    <w:p w14:paraId="74991ECA">
      <w:pPr>
        <w:pStyle w:val="2"/>
        <w:keepNext w:val="0"/>
        <w:keepLines w:val="0"/>
        <w:widowControl/>
        <w:suppressLineNumbers w:val="0"/>
        <w:spacing w:before="0"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2"/>
          <w:sz w:val="21"/>
          <w:szCs w:val="21"/>
        </w:rPr>
        <w:t>2.权益工具公允价值的确定方法</w:t>
      </w:r>
    </w:p>
    <w:p w14:paraId="1DA799D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 </w:t>
      </w:r>
    </w:p>
    <w:p w14:paraId="2525B1B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对于授予的存在活跃市场的期权等权益工具，按照活跃市场中的报价确定其公允价值。对于授予的不存在活跃市场的期权等权益工具，采用期权定价模型等确定其公允价值，选用的期权定价模型考虑以下因素：（1）期权的行权价格；（2）期权的有效期；（3）标的股</w:t>
      </w:r>
    </w:p>
    <w:p w14:paraId="60C6841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份的现行价格；（4）股价预计波动率；（5）股份的预计股利；（6）期权有效期内的无风险利率。</w:t>
      </w:r>
    </w:p>
    <w:p w14:paraId="2ED2DA5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确定权益工具授予日的公允价值时，考虑股份支付协议规定的可行权条件中的市场条件和非可行权条件的影响。股份支付存在非可行权条件的，只要职工或其他方满足了所有可行权条件中的非市场条件（如服务期限等），即确认已得到服务相对应的成本费用。</w:t>
      </w:r>
    </w:p>
    <w:p w14:paraId="7FAF6AFA">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2"/>
          <w:sz w:val="21"/>
          <w:szCs w:val="21"/>
        </w:rPr>
        <w:t>3.确定可行权权益工具最佳估计的依据</w:t>
      </w:r>
    </w:p>
    <w:p w14:paraId="53685442">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3B9FA07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等待期内每个资产负债表日，根据最新取得的可行权职工人数变动等后续信息作出最佳估计，修正预计可行权的权益工具数量。在可行权日，最终预计可行权权益工具的数量与实际可行权数量一致。</w:t>
      </w:r>
    </w:p>
    <w:p w14:paraId="02C4688E">
      <w:pPr>
        <w:pStyle w:val="2"/>
        <w:keepNext w:val="0"/>
        <w:keepLines w:val="0"/>
        <w:widowControl/>
        <w:suppressLineNumbers w:val="0"/>
        <w:spacing w:before="155"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4.会计处理方法</w:t>
      </w:r>
    </w:p>
    <w:p w14:paraId="67FDB9F9">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50237CD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权益结算和现金结算股份支付的会计处理</w:t>
      </w:r>
    </w:p>
    <w:p w14:paraId="1777F5D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 </w:t>
      </w:r>
    </w:p>
    <w:p w14:paraId="4AE2CB0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以权益结算的股份支付，按授予职工权益工具的公允价值计量。授予后立即可行权的，在授予日按照权益工具的公允价值计入相关成本或费用，相应增加资本公积。在完成等待期内的服务或达到规定业绩条件才可行权的，在等待期内的每个资产负债表日，以对可行权权益工具数量的最佳估计为基础，按照权益工具授予日的公允价值，将当期取得的服务计入相关成本或费用和资本公积。在可行权日之后不再对已确认的相关成本或费用和所有者权益总额进行调整。</w:t>
      </w:r>
    </w:p>
    <w:p w14:paraId="276F3D1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以现金结算的股份支付，按照本公司承担的以股份或其他权益工具为基础计算确定的负债的公允价值计量。授予后立即可行权的，在授予日以本公司承担负债的公允价值计入相关成本或费用，相应增加负债。在完成等待期内的服务或达到规定业绩条件以后才可行权的以现金结算的股份支付，在等待期内的每个资产负债表日，以对可行权情况的最佳估计为基础，按照本公司承担负债的公允价值金额，将当期取得的服务计入成本或费用和相应的负债。在相关负债结算前的每个资产负债表日以及结算日，对负债的公允价值重新计量，其变动计入当期损益。</w:t>
      </w:r>
    </w:p>
    <w:p w14:paraId="296EC46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股份支付取消的会计处理</w:t>
      </w:r>
    </w:p>
    <w:p w14:paraId="2AAD37E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若在等待期内取消了授予的权益工具，本公司对取消所授予的权益性工具作为加速行权处理，将剩余等待期内应确认的金额立即计入当期损益，同时确认资本公积。职工或其他方</w:t>
      </w:r>
      <w:r>
        <w:rPr>
          <w:rFonts w:hint="eastAsia" w:ascii="宋体" w:hAnsi="宋体" w:eastAsia="宋体" w:cs="宋体"/>
          <w:spacing w:val="-7"/>
          <w:sz w:val="21"/>
          <w:szCs w:val="21"/>
        </w:rPr>
        <w:t>能够选择满足非可行权条件但在等待期内未满足的，本公司将其作为授予权益工具的取消处</w:t>
      </w:r>
      <w:r>
        <w:rPr>
          <w:rFonts w:hint="eastAsia" w:ascii="宋体" w:hAnsi="宋体" w:eastAsia="宋体" w:cs="宋体"/>
          <w:spacing w:val="-5"/>
          <w:sz w:val="21"/>
          <w:szCs w:val="21"/>
        </w:rPr>
        <w:t>理。</w:t>
      </w:r>
    </w:p>
    <w:p w14:paraId="632B8915">
      <w:pPr>
        <w:keepNext/>
        <w:keepLines/>
        <w:spacing w:before="300" w:after="300" w:line="280" w:lineRule="exact"/>
        <w:jc w:val="left"/>
        <w:outlineLvl w:val="2"/>
        <w:rPr>
          <w:rFonts w:ascii="宋体" w:hAnsi="宋体" w:eastAsia="宋体" w:cs="宋体"/>
          <w:b/>
          <w:bCs/>
          <w:sz w:val="21"/>
          <w:szCs w:val="21"/>
        </w:rPr>
      </w:pPr>
      <w:bookmarkStart w:id="209" w:name="_Toc989096"/>
      <w:r>
        <w:rPr>
          <w:rFonts w:ascii="宋体" w:hAnsi="宋体" w:eastAsia="宋体" w:cs="宋体"/>
          <w:b/>
          <w:bCs/>
          <w:sz w:val="21"/>
          <w:szCs w:val="21"/>
        </w:rPr>
        <w:t>36、优先股、永续债等其他金融工具</w:t>
      </w:r>
      <w:bookmarkEnd w:id="209"/>
    </w:p>
    <w:p w14:paraId="0E9D3B9F">
      <w:pPr>
        <w:keepNext/>
        <w:keepLines/>
        <w:spacing w:before="300" w:after="300" w:line="280" w:lineRule="exact"/>
        <w:jc w:val="left"/>
        <w:outlineLvl w:val="2"/>
        <w:rPr>
          <w:rFonts w:ascii="宋体" w:hAnsi="宋体" w:eastAsia="宋体" w:cs="宋体"/>
          <w:b/>
          <w:bCs/>
          <w:sz w:val="21"/>
          <w:szCs w:val="21"/>
        </w:rPr>
      </w:pPr>
      <w:bookmarkStart w:id="210" w:name="_Toc989097"/>
      <w:r>
        <w:rPr>
          <w:rFonts w:ascii="宋体" w:hAnsi="宋体" w:eastAsia="宋体" w:cs="宋体"/>
          <w:b/>
          <w:bCs/>
          <w:sz w:val="21"/>
          <w:szCs w:val="21"/>
        </w:rPr>
        <w:t>37、收入</w:t>
      </w:r>
      <w:bookmarkEnd w:id="210"/>
    </w:p>
    <w:p w14:paraId="01034DFC">
      <w:pPr>
        <w:spacing w:before="100" w:after="100" w:line="240" w:lineRule="exact"/>
        <w:jc w:val="left"/>
        <w:rPr>
          <w:rFonts w:ascii="宋体" w:hAnsi="宋体" w:eastAsia="宋体" w:cs="宋体"/>
          <w:sz w:val="18"/>
          <w:szCs w:val="18"/>
        </w:rPr>
      </w:pPr>
      <w:r>
        <w:rPr>
          <w:rFonts w:ascii="宋体" w:hAnsi="宋体" w:eastAsia="宋体" w:cs="宋体"/>
          <w:sz w:val="18"/>
          <w:szCs w:val="18"/>
        </w:rPr>
        <w:t>按照业务类型披露收入确认和计量所采用的会计政策</w:t>
      </w:r>
    </w:p>
    <w:p w14:paraId="0B17A69C">
      <w:pPr>
        <w:pStyle w:val="2"/>
        <w:keepNext w:val="0"/>
        <w:keepLines w:val="0"/>
        <w:widowControl/>
        <w:suppressLineNumbers w:val="0"/>
        <w:spacing w:before="9"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27"/>
          <w:szCs w:val="27"/>
        </w:rPr>
        <w:t> </w:t>
      </w:r>
    </w:p>
    <w:p w14:paraId="0329901D">
      <w:pPr>
        <w:pStyle w:val="2"/>
        <w:keepNext w:val="0"/>
        <w:keepLines w:val="0"/>
        <w:widowControl/>
        <w:suppressLineNumbers w:val="0"/>
        <w:spacing w:before="0"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1.收入确认的一般原则</w:t>
      </w:r>
    </w:p>
    <w:p w14:paraId="70360A6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 </w:t>
      </w:r>
    </w:p>
    <w:p w14:paraId="0A13D8A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在履行了合同中的履约义务，即在客户取得相关商品或服务控制权时，按照分摊至该项履约义务的交易价格确认收入。履约义务，是指合同中本公司向客户转让可明确区分商品或服务的承诺。取得相关商品控制权，是指能够主导该商品的使用并从中获得几乎全部的经济利益。</w:t>
      </w:r>
    </w:p>
    <w:p w14:paraId="623EFC2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在合同开始日即对合同进行评估，识别该合同所包含的各单项履约义务，并确定各单项履约义务是在某一时段内履行，还是某一时点履行。满足下列条件之一的，属于在某一时间段内履行的履约义务，本公司按照履约进度，在一段时间内确认收入：(1)客户在本公司履约的同时即取得并消耗本公司履约所带来的经济利益；(2)客户能够控制本公司履约过程中在建的商品；(3)本公司履约过程中所产出的商品具有不可替代用途，且本公司在整个合同期间内有权就累计至今已完成的履约部分收取款项。否则，本公司在客户取得相关商品或服务控制权的时点确认收入。</w:t>
      </w:r>
    </w:p>
    <w:p w14:paraId="01E8DD3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对于在某一时段内履行的履约义务，本公司根据商品和劳务的性质，采用产出法确定恰当的履约进度。产出法是根据已转移给客户的商品对于客户的价值确定履约进度。当履约进度不能合理确定时，已经发生的成本预计能够得到补偿的，本公司按照已经发生的成本金额确认收入，直到履约进度能够合理确定为止。</w:t>
      </w:r>
    </w:p>
    <w:p w14:paraId="62D185A7">
      <w:pPr>
        <w:pStyle w:val="2"/>
        <w:keepNext w:val="0"/>
        <w:keepLines w:val="0"/>
        <w:widowControl/>
        <w:suppressLineNumbers w:val="0"/>
        <w:spacing w:before="155"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2.收入确认的具体方法</w:t>
      </w:r>
    </w:p>
    <w:p w14:paraId="4B632DA2">
      <w:pPr>
        <w:pStyle w:val="2"/>
        <w:keepNext w:val="0"/>
        <w:keepLines w:val="0"/>
        <w:widowControl/>
        <w:suppressLineNumbers w:val="0"/>
        <w:spacing w:before="6"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6110251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公司生产和销售医药制品，依据公司自身的经营模式和结算方式，公司医药制品销售业务属于在某一时点履行的履约义务，在客户签收、已收取价款或取得收款权利且相关的经济利益很可能流入时确认收入。</w:t>
      </w:r>
    </w:p>
    <w:p w14:paraId="477A635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公司提供药物工艺研发等技术服务，如原料药、制剂工艺的开发及质量研究，按照业务区分不同收入确认，具体为：</w:t>
      </w:r>
    </w:p>
    <w:p w14:paraId="09F0FD7F">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①一次性交付技术服务成果的项目</w:t>
      </w:r>
    </w:p>
    <w:p w14:paraId="26C623B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对于研发周期较短(研发周期短于三个月)或不能拆分出形象进度节点的技术服务项目，在项目完成后向客户交付研发成果（化合物或试验报告），并取得客户确认/签收后，一次性确认收入。</w:t>
      </w:r>
    </w:p>
    <w:p w14:paraId="66012E3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②按里程碑交付成果的技术服务项目</w:t>
      </w:r>
    </w:p>
    <w:p w14:paraId="151228E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对于金额较大且研发周期较长的技术服务项目，在项目达到某一里程碑时，于资产负债表日按照提供劳务收入总额乘以履约进度扣除以前会计期间累计已确认提供劳务收入后的金额，确认当期提供劳务的收入。</w:t>
      </w:r>
    </w:p>
    <w:p w14:paraId="5D76E379">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3.特定交易的收入处理原则</w:t>
      </w:r>
    </w:p>
    <w:p w14:paraId="240B8B8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附有客户额外购买选择权的销售合同</w:t>
      </w:r>
    </w:p>
    <w:p w14:paraId="0639A71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公司评估该选择权是否向客户提供了一项重大权利。提供重大权利的，则作为单项履约义务，将交易价格分摊至该履约义务，在客户未来行使购买选择权取得相关商品控制权时，或者该选择权失效时，确认相应的收入。客户额外购买选择权的单独售价无法直接观察的，则综合考虑客户行使和不行使该选择权所能获得的折扣的差异、客户行使该选择权的可能性等全部相关信息后，予以合理估计。</w:t>
      </w:r>
    </w:p>
    <w:p w14:paraId="36C3E0DB">
      <w:pPr>
        <w:spacing w:before="100" w:after="100" w:line="240" w:lineRule="exact"/>
        <w:jc w:val="left"/>
        <w:rPr>
          <w:rFonts w:ascii="宋体" w:hAnsi="宋体" w:eastAsia="宋体" w:cs="宋体"/>
          <w:sz w:val="18"/>
          <w:szCs w:val="18"/>
        </w:rPr>
      </w:pPr>
      <w:r>
        <w:rPr>
          <w:rFonts w:ascii="宋体" w:hAnsi="宋体" w:eastAsia="宋体" w:cs="宋体"/>
          <w:sz w:val="18"/>
          <w:szCs w:val="18"/>
        </w:rPr>
        <w:t>同类业务采用不同经营模式涉及不同收入确认方式及计量方法的情况</w:t>
      </w:r>
    </w:p>
    <w:p w14:paraId="62D06EF8">
      <w:pPr>
        <w:keepNext/>
        <w:keepLines/>
        <w:spacing w:before="300" w:after="300" w:line="280" w:lineRule="exact"/>
        <w:jc w:val="left"/>
        <w:outlineLvl w:val="2"/>
        <w:rPr>
          <w:rFonts w:ascii="宋体" w:hAnsi="宋体" w:eastAsia="宋体" w:cs="宋体"/>
          <w:b/>
          <w:bCs/>
          <w:sz w:val="21"/>
          <w:szCs w:val="21"/>
        </w:rPr>
      </w:pPr>
      <w:bookmarkStart w:id="211" w:name="_Toc989098"/>
      <w:r>
        <w:rPr>
          <w:rFonts w:ascii="宋体" w:hAnsi="宋体" w:eastAsia="宋体" w:cs="宋体"/>
          <w:b/>
          <w:bCs/>
          <w:sz w:val="21"/>
          <w:szCs w:val="21"/>
        </w:rPr>
        <w:t>38、合同成本</w:t>
      </w:r>
      <w:bookmarkEnd w:id="211"/>
    </w:p>
    <w:p w14:paraId="70BBBFA4">
      <w:pPr>
        <w:pStyle w:val="2"/>
        <w:keepNext w:val="0"/>
        <w:keepLines w:val="0"/>
        <w:widowControl/>
        <w:suppressLineNumbers w:val="0"/>
        <w:spacing w:before="0"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1.合同履约成本</w:t>
      </w:r>
    </w:p>
    <w:p w14:paraId="6B464238">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39D78D7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本公司对于为履行合同发生的成本，不属于除收入准则外的其他企业会计准则范围且同时满足下列条件的作为合同履约成本确认为一项资产：</w:t>
      </w:r>
    </w:p>
    <w:p w14:paraId="4844B45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（1）该成本与一份当前或预期取得的合同直接相关，包括直接人工、直接材料、制造费用（或类似费用）、明确由客户承担的成本以及仅因该合同而发生的其他成本；</w:t>
      </w:r>
    </w:p>
    <w:p w14:paraId="16DADC8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（2）该成本增加了企业未来用于履行履约义务的资源；</w:t>
      </w:r>
    </w:p>
    <w:p w14:paraId="1025B99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（3）该成本预期能够收回。</w:t>
      </w:r>
    </w:p>
    <w:p w14:paraId="668448F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该资产根据其初始确认时摊销期限是否超过一个正常营业周期在存货或其他非流动资产中列报。</w:t>
      </w:r>
    </w:p>
    <w:p w14:paraId="48E8CCC4">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2.合同取得成本</w:t>
      </w:r>
    </w:p>
    <w:p w14:paraId="4C8F3061">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75AAB9F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本公司为取得合同发生的增量成本预期能够收回的，作为合同取得成本确认为一项资产。增量成本是指本公司不取得合同就不会发生的成本，如销售佣金等。对于摊销期限不超过一年的，在发生时计入当期损益。</w:t>
      </w:r>
    </w:p>
    <w:p w14:paraId="60ABCCFD">
      <w:pPr>
        <w:pStyle w:val="2"/>
        <w:keepNext w:val="0"/>
        <w:keepLines w:val="0"/>
        <w:widowControl/>
        <w:suppressLineNumbers w:val="0"/>
        <w:spacing w:before="71"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3.合同成本摊销</w:t>
      </w:r>
    </w:p>
    <w:p w14:paraId="768066D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上述与合同成本有关的资产，采用与该资产相关的商品或服务收入确认相同的基础，在履约义务履行的时点或按照履约义务的履约进度进行摊销，计入当期损益。</w:t>
      </w:r>
    </w:p>
    <w:p w14:paraId="15654A9F">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1"/>
          <w:sz w:val="21"/>
          <w:szCs w:val="21"/>
        </w:rPr>
        <w:t>4.合同成本减值</w:t>
      </w:r>
    </w:p>
    <w:p w14:paraId="02B0154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上述与合同成本有关的资产，账面价值高于本公司因转让与该资产相关的商品预期能够取得剩余对价与为转让该相关商品估计将要发生的成本的差额的，超出部分应当计提减值准备，并确认为资产减值损失。</w:t>
      </w:r>
    </w:p>
    <w:p w14:paraId="096D12F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计提减值准备后，如果以前期间减值的因素发生变化，使得上述两项差额高于该资产账面价值的，转回原已计提的资产减值准备，并计入当期损益，但转回后的资产账面价值不超过假定不计提减值准备情况下该资产在转回日的账面价值。</w:t>
      </w:r>
    </w:p>
    <w:p w14:paraId="24FA9458">
      <w:pPr>
        <w:keepNext/>
        <w:keepLines/>
        <w:spacing w:before="300" w:after="300" w:line="280" w:lineRule="exact"/>
        <w:jc w:val="left"/>
        <w:outlineLvl w:val="2"/>
        <w:rPr>
          <w:rFonts w:ascii="宋体" w:hAnsi="宋体" w:eastAsia="宋体" w:cs="宋体"/>
          <w:b/>
          <w:bCs/>
          <w:sz w:val="21"/>
          <w:szCs w:val="21"/>
        </w:rPr>
      </w:pPr>
      <w:bookmarkStart w:id="212" w:name="_Toc989099"/>
      <w:r>
        <w:rPr>
          <w:rFonts w:ascii="宋体" w:hAnsi="宋体" w:eastAsia="宋体" w:cs="宋体"/>
          <w:b/>
          <w:bCs/>
          <w:sz w:val="21"/>
          <w:szCs w:val="21"/>
        </w:rPr>
        <w:t>39、政府补助</w:t>
      </w:r>
      <w:bookmarkEnd w:id="212"/>
    </w:p>
    <w:p w14:paraId="3675D518">
      <w:pPr>
        <w:pStyle w:val="2"/>
        <w:keepNext w:val="0"/>
        <w:keepLines w:val="0"/>
        <w:widowControl/>
        <w:suppressLineNumbers w:val="0"/>
        <w:spacing w:before="1"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1.类型</w:t>
      </w:r>
    </w:p>
    <w:p w14:paraId="6E1E219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政府补助，是本公司从政府无偿取得的货币性资产与非货币性资产。政府补助分为与资产相关的政府补助和与收益相关的政府补助。</w:t>
      </w:r>
    </w:p>
    <w:p w14:paraId="18C0761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根据相关政府文件规定的补助对象，将政府补助划分为与资产相关的政府补助和与收益相关的政府补助。与资产相关的政府补助，是指本公司取得的、用于购建或以其他方式形成长期资产的政府补助。与收益相关的政府补助，是指除与资产相关的政府补助之外的政府补助。</w:t>
      </w:r>
    </w:p>
    <w:p w14:paraId="2924D00A">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2.政府补助的确认</w:t>
      </w:r>
    </w:p>
    <w:p w14:paraId="5FBA07E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对期末有证据表明公司能够符合财政扶持政策规定的相关条件且预计能够收到财政扶持资金的，按应收金额确认政府补助。除此之外，政府补助均在实际收到时确认。</w:t>
      </w:r>
    </w:p>
    <w:p w14:paraId="4C213C0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政府补助为货币性资产的，按照收到或应收的金额计量。政府补助为非货币性资产的，按照公允价值计量；公允价值不能够可靠取得的，按照名义金额（人民币1元）计量。按照名义金额计量的政府补助，直接计入当期损益。</w:t>
      </w:r>
    </w:p>
    <w:p w14:paraId="08E6A3FB">
      <w:pPr>
        <w:pStyle w:val="2"/>
        <w:keepNext w:val="0"/>
        <w:keepLines w:val="0"/>
        <w:widowControl/>
        <w:suppressLineNumbers w:val="0"/>
        <w:spacing w:before="155"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z w:val="21"/>
          <w:szCs w:val="21"/>
        </w:rPr>
        <w:t>3.会计处理方法</w:t>
      </w:r>
    </w:p>
    <w:p w14:paraId="6DAFD47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本公司根据经济业务的实质，确定某一类政府补助业务应当采用总额法还是净额法进行会计处理。通常情况下，本公司对于同类或类似政府补助业务只选用一种方法，且对该业务一贯地运用该方法。</w:t>
      </w:r>
    </w:p>
    <w:tbl>
      <w:tblPr>
        <w:tblStyle w:val="3"/>
        <w:tblW w:w="876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4380"/>
        <w:gridCol w:w="4380"/>
      </w:tblGrid>
      <w:tr w14:paraId="1BE48FA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38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14:paraId="052E214A">
            <w:pPr>
              <w:pStyle w:val="2"/>
              <w:keepNext w:val="0"/>
              <w:keepLines w:val="0"/>
              <w:widowControl/>
              <w:suppressLineNumbers w:val="0"/>
              <w:spacing w:before="71" w:beforeAutospacing="0" w:after="0" w:afterAutospacing="0" w:line="415" w:lineRule="auto"/>
              <w:ind w:left="0" w:right="309"/>
              <w:jc w:val="center"/>
              <w:rPr>
                <w:rFonts w:hint="default" w:ascii="Times New Roman" w:hAnsi="Times New Roman" w:cs="Times New Roman"/>
                <w:sz w:val="21"/>
                <w:szCs w:val="21"/>
              </w:rPr>
            </w:pPr>
            <w:r>
              <w:rPr>
                <w:rFonts w:hint="eastAsia" w:ascii="宋体" w:hAnsi="宋体" w:eastAsia="宋体" w:cs="宋体"/>
                <w:sz w:val="18"/>
                <w:szCs w:val="18"/>
              </w:rPr>
              <w:t>项目</w:t>
            </w:r>
          </w:p>
        </w:tc>
        <w:tc>
          <w:tcPr>
            <w:tcW w:w="438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14:paraId="28E8E4C4">
            <w:pPr>
              <w:pStyle w:val="2"/>
              <w:keepNext w:val="0"/>
              <w:keepLines w:val="0"/>
              <w:widowControl/>
              <w:suppressLineNumbers w:val="0"/>
              <w:spacing w:before="71" w:beforeAutospacing="0" w:after="0" w:afterAutospacing="0" w:line="415" w:lineRule="auto"/>
              <w:ind w:left="0" w:right="309"/>
              <w:jc w:val="center"/>
              <w:rPr>
                <w:rFonts w:hint="default" w:ascii="Times New Roman" w:hAnsi="Times New Roman" w:cs="Times New Roman"/>
                <w:sz w:val="21"/>
                <w:szCs w:val="21"/>
              </w:rPr>
            </w:pPr>
            <w:r>
              <w:rPr>
                <w:rFonts w:hint="eastAsia" w:ascii="宋体" w:hAnsi="宋体" w:eastAsia="宋体" w:cs="宋体"/>
                <w:sz w:val="18"/>
                <w:szCs w:val="18"/>
              </w:rPr>
              <w:t>核算内容</w:t>
            </w:r>
          </w:p>
        </w:tc>
      </w:tr>
      <w:tr w14:paraId="65B22EB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38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14:paraId="3CEA5BF1">
            <w:pPr>
              <w:pStyle w:val="2"/>
              <w:keepNext w:val="0"/>
              <w:keepLines w:val="0"/>
              <w:widowControl/>
              <w:suppressLineNumbers w:val="0"/>
              <w:spacing w:before="71" w:beforeAutospacing="0" w:after="0" w:afterAutospacing="0" w:line="415" w:lineRule="auto"/>
              <w:ind w:left="0" w:right="309"/>
              <w:rPr>
                <w:rFonts w:hint="default" w:ascii="Times New Roman" w:hAnsi="Times New Roman" w:cs="Times New Roman"/>
                <w:sz w:val="21"/>
                <w:szCs w:val="21"/>
              </w:rPr>
            </w:pPr>
            <w:r>
              <w:rPr>
                <w:rFonts w:hint="eastAsia" w:ascii="宋体" w:hAnsi="宋体" w:eastAsia="宋体" w:cs="宋体"/>
                <w:sz w:val="18"/>
                <w:szCs w:val="18"/>
              </w:rPr>
              <w:t>采用总额法核算的政府补助类别</w:t>
            </w:r>
          </w:p>
        </w:tc>
        <w:tc>
          <w:tcPr>
            <w:tcW w:w="438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14:paraId="6A57B30B">
            <w:pPr>
              <w:pStyle w:val="2"/>
              <w:keepNext w:val="0"/>
              <w:keepLines w:val="0"/>
              <w:widowControl/>
              <w:suppressLineNumbers w:val="0"/>
              <w:spacing w:before="71" w:beforeAutospacing="0" w:after="0" w:afterAutospacing="0" w:line="415" w:lineRule="auto"/>
              <w:ind w:left="0" w:right="309"/>
              <w:rPr>
                <w:rFonts w:hint="default" w:ascii="Times New Roman" w:hAnsi="Times New Roman" w:cs="Times New Roman"/>
                <w:sz w:val="21"/>
                <w:szCs w:val="21"/>
              </w:rPr>
            </w:pPr>
            <w:r>
              <w:rPr>
                <w:rFonts w:hint="eastAsia" w:ascii="宋体" w:hAnsi="宋体" w:eastAsia="宋体" w:cs="宋体"/>
                <w:sz w:val="18"/>
                <w:szCs w:val="18"/>
              </w:rPr>
              <w:t>与资产相关和与收益相关</w:t>
            </w:r>
          </w:p>
        </w:tc>
      </w:tr>
      <w:tr w14:paraId="6C3A19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38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14:paraId="019AE90B">
            <w:pPr>
              <w:pStyle w:val="2"/>
              <w:keepNext w:val="0"/>
              <w:keepLines w:val="0"/>
              <w:widowControl/>
              <w:suppressLineNumbers w:val="0"/>
              <w:spacing w:before="71" w:beforeAutospacing="0" w:after="0" w:afterAutospacing="0" w:line="415" w:lineRule="auto"/>
              <w:ind w:left="0" w:right="309"/>
              <w:rPr>
                <w:rFonts w:hint="default" w:ascii="Times New Roman" w:hAnsi="Times New Roman" w:cs="Times New Roman"/>
                <w:sz w:val="21"/>
                <w:szCs w:val="21"/>
              </w:rPr>
            </w:pPr>
            <w:r>
              <w:rPr>
                <w:rFonts w:hint="eastAsia" w:ascii="宋体" w:hAnsi="宋体" w:eastAsia="宋体" w:cs="宋体"/>
                <w:sz w:val="18"/>
                <w:szCs w:val="18"/>
              </w:rPr>
              <w:t>采用净额法核算的政府补助类别</w:t>
            </w:r>
          </w:p>
        </w:tc>
        <w:tc>
          <w:tcPr>
            <w:tcW w:w="438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14:paraId="79CD6988">
            <w:pPr>
              <w:pStyle w:val="2"/>
              <w:keepNext w:val="0"/>
              <w:keepLines w:val="0"/>
              <w:widowControl/>
              <w:suppressLineNumbers w:val="0"/>
              <w:spacing w:before="71" w:beforeAutospacing="0" w:after="0" w:afterAutospacing="0" w:line="415" w:lineRule="auto"/>
              <w:ind w:left="0" w:right="309"/>
              <w:rPr>
                <w:rFonts w:hint="default" w:ascii="Times New Roman" w:hAnsi="Times New Roman" w:cs="Times New Roman"/>
                <w:sz w:val="21"/>
                <w:szCs w:val="21"/>
              </w:rPr>
            </w:pPr>
            <w:r>
              <w:rPr>
                <w:rFonts w:hint="eastAsia" w:ascii="宋体" w:hAnsi="宋体" w:eastAsia="宋体" w:cs="宋体"/>
                <w:sz w:val="18"/>
                <w:szCs w:val="18"/>
              </w:rPr>
              <w:t>无</w:t>
            </w:r>
          </w:p>
        </w:tc>
      </w:tr>
    </w:tbl>
    <w:p w14:paraId="2B62AEC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与资产相关的政府补助，应当冲减相关资产的账面价值或确认为递延收益。与资产相关的政府补助确认为递延收益的，在所建造或购买资产使用寿命内按照合理、系统的方法分期计入损益。</w:t>
      </w:r>
    </w:p>
    <w:p w14:paraId="576BB9E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与收益相关的政府补助，用于补偿企业以后期间的相关费用或损失的，确认为递延收益，在确认相关费用或损失的期间计入当期损益或冲减相关成本；用于补偿企业已发生的相关费用或损失的，取得时直接计入当期损益或冲减相关成本。</w:t>
      </w:r>
    </w:p>
    <w:p w14:paraId="489D209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与企业日常活动相关的政府补助计入其他收益或冲减相关成本费用；与企业日常活动无关的政府补助计入营业外收支。</w:t>
      </w:r>
    </w:p>
    <w:p w14:paraId="201F85C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收到与政策性优惠贷款贴息相关的政府补助冲减相关借款费用；取得贷款银行提供的政策性优惠利率贷款的，以实际收到的借款金额作为借款的入账价值，按照借款本金和该政策性优惠利率计算相关借款费用。</w:t>
      </w:r>
    </w:p>
    <w:p w14:paraId="688397A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已确认的政府补助需要返还时，初始确认时冲减相关资产账面价值的，调整资产账面价值；存在相关递延收益余额的，冲减相关递延收益账面余额，超出部分计入当期损益；不存在相关递延收益的，直接计入当期损益。</w:t>
      </w:r>
    </w:p>
    <w:p w14:paraId="2FC7740E">
      <w:pPr>
        <w:keepNext/>
        <w:keepLines/>
        <w:spacing w:before="300" w:after="300" w:line="280" w:lineRule="exact"/>
        <w:jc w:val="left"/>
        <w:outlineLvl w:val="2"/>
        <w:rPr>
          <w:rFonts w:ascii="宋体" w:hAnsi="宋体" w:eastAsia="宋体" w:cs="宋体"/>
          <w:b/>
          <w:bCs/>
          <w:sz w:val="21"/>
          <w:szCs w:val="21"/>
        </w:rPr>
      </w:pPr>
      <w:bookmarkStart w:id="213" w:name="_Toc989100"/>
      <w:r>
        <w:rPr>
          <w:rFonts w:ascii="宋体" w:hAnsi="宋体" w:eastAsia="宋体" w:cs="宋体"/>
          <w:b/>
          <w:bCs/>
          <w:sz w:val="21"/>
          <w:szCs w:val="21"/>
        </w:rPr>
        <w:t>40、递延所得税资产/递延所得税负债</w:t>
      </w:r>
      <w:bookmarkEnd w:id="213"/>
    </w:p>
    <w:p w14:paraId="10F7B92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递延所得税资产和递延所得税负债根据资产和负债的计税基础与其账面价值的差额(暂时性差异)计算确认。于资产负债表日，递延所得税资产和递延所得税负债，按照预期收回该资产或清偿该负债期间的适用税率计量。</w:t>
      </w:r>
    </w:p>
    <w:p w14:paraId="6016E760">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2"/>
          <w:sz w:val="21"/>
          <w:szCs w:val="21"/>
        </w:rPr>
        <w:t>1.确认递延所得税资产的依据</w:t>
      </w:r>
    </w:p>
    <w:p w14:paraId="5772136A">
      <w:pPr>
        <w:pStyle w:val="2"/>
        <w:keepNext w:val="0"/>
        <w:keepLines w:val="0"/>
        <w:widowControl/>
        <w:suppressLineNumbers w:val="0"/>
        <w:spacing w:before="6"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0C1419C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以很可能取得用来抵扣可抵扣暂时性差异、能够结转以后年度的可抵扣亏损和税款抵减的应纳税所得额为限，确认由可抵扣暂时性差异产生的递延所得税资产。但是，同时具有下列特征的交易中因资产或负债的初始确认所产生的递延所得税资产不予确认：（1）该交易不是企业合并；（2）交易发生时既不影响会计利润也不影响应纳税所得额或可抵扣亏损。</w:t>
      </w:r>
    </w:p>
    <w:p w14:paraId="5CFB003E">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对于与联营企业投资相关的可抵扣暂时性差异，同时满足下列条件的，确认相应的递延所得税资产：暂时性差异在可预见的未来很可能转回，且未来很可能获得用来抵扣可抵扣暂时性差异的应纳税所得额。</w:t>
      </w:r>
    </w:p>
    <w:p w14:paraId="07DE23D4">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2"/>
          <w:sz w:val="21"/>
          <w:szCs w:val="21"/>
        </w:rPr>
        <w:t>2.确认递延所得税负债的依据</w:t>
      </w:r>
    </w:p>
    <w:p w14:paraId="4E0A8E06">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4F30BAC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公司将当期与以前期间应交未交的应纳税暂时性差异确认为递延所得税负债。但不包括：</w:t>
      </w:r>
    </w:p>
    <w:p w14:paraId="3E90095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（1）商誉的初始确认所形成的暂时性差异；</w:t>
      </w:r>
    </w:p>
    <w:p w14:paraId="02ADBDA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（2）非企业合并形成的交易或事项，且该交易或事项发生时既不影响会计利润，也不影响应纳税所得额（或可抵扣亏损）所形成的暂时性差异；</w:t>
      </w:r>
    </w:p>
    <w:p w14:paraId="3892355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（3）对于与子公司、联营企业投资相关的应纳税暂时性差异，该暂时性差异转回的时间能够控制并且该暂时性差异在可预见的未来很可能不会转回。</w:t>
      </w:r>
    </w:p>
    <w:p w14:paraId="7CE745C5">
      <w:pPr>
        <w:pStyle w:val="2"/>
        <w:keepNext w:val="0"/>
        <w:keepLines w:val="0"/>
        <w:widowControl/>
        <w:suppressLineNumbers w:val="0"/>
        <w:spacing w:before="156"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3"/>
          <w:sz w:val="21"/>
          <w:szCs w:val="21"/>
        </w:rPr>
        <w:t>3.同时满足下列条件时，将递延所得税资产及递延所得税负债以抵销后的净额列示</w:t>
      </w:r>
    </w:p>
    <w:p w14:paraId="20CD6F6F">
      <w:pPr>
        <w:pStyle w:val="2"/>
        <w:keepNext w:val="0"/>
        <w:keepLines w:val="0"/>
        <w:widowControl/>
        <w:suppressLineNumbers w:val="0"/>
        <w:spacing w:before="7" w:beforeAutospacing="0" w:after="0" w:afterAutospacing="0"/>
        <w:ind w:left="0" w:right="0"/>
        <w:rPr>
          <w:rFonts w:hint="default" w:ascii="Times New Roman" w:hAnsi="Times New Roman" w:cs="Times New Roman"/>
          <w:sz w:val="21"/>
          <w:szCs w:val="21"/>
        </w:rPr>
      </w:pPr>
      <w:r>
        <w:rPr>
          <w:rStyle w:val="6"/>
          <w:rFonts w:hint="eastAsia" w:ascii="宋体" w:hAnsi="宋体" w:eastAsia="宋体" w:cs="宋体"/>
          <w:b/>
          <w:bCs/>
          <w:sz w:val="15"/>
          <w:szCs w:val="15"/>
        </w:rPr>
        <w:t> </w:t>
      </w:r>
    </w:p>
    <w:p w14:paraId="4B90763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（1）企业拥有以净额结算当期所得税资产及当期所得税负债的法定权利；</w:t>
      </w:r>
    </w:p>
    <w:p w14:paraId="1AD31262">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递延所得税资产和递延所得税负债是与同一税收征管部门对同一纳税主体征收的所得税相关或者对不同的纳税主体相关，但在未来每一具有重要性的递延所得税资产和递延所得税负债转回的期间内，涉及的纳税主体体意图以净额结算当期所得税资产及当期所得税负债或是同时取得资产、清偿债务。</w:t>
      </w:r>
    </w:p>
    <w:p w14:paraId="02C02FF5">
      <w:pPr>
        <w:keepNext/>
        <w:keepLines/>
        <w:spacing w:before="300" w:after="300" w:line="280" w:lineRule="exact"/>
        <w:jc w:val="left"/>
        <w:outlineLvl w:val="2"/>
        <w:rPr>
          <w:rFonts w:ascii="宋体" w:hAnsi="宋体" w:eastAsia="宋体" w:cs="宋体"/>
          <w:b/>
          <w:bCs/>
          <w:sz w:val="21"/>
          <w:szCs w:val="21"/>
        </w:rPr>
      </w:pPr>
      <w:bookmarkStart w:id="214" w:name="_Toc989101"/>
      <w:r>
        <w:rPr>
          <w:rFonts w:ascii="宋体" w:hAnsi="宋体" w:eastAsia="宋体" w:cs="宋体"/>
          <w:b/>
          <w:bCs/>
          <w:sz w:val="21"/>
          <w:szCs w:val="21"/>
        </w:rPr>
        <w:t>41、租赁</w:t>
      </w:r>
      <w:bookmarkEnd w:id="214"/>
    </w:p>
    <w:p w14:paraId="4D3A647D">
      <w:pPr>
        <w:keepNext/>
        <w:keepLines/>
        <w:spacing w:before="300" w:after="300" w:line="280" w:lineRule="exact"/>
        <w:jc w:val="left"/>
        <w:outlineLvl w:val="3"/>
        <w:rPr>
          <w:rFonts w:ascii="宋体" w:hAnsi="宋体" w:eastAsia="宋体" w:cs="宋体"/>
          <w:b/>
          <w:bCs/>
          <w:sz w:val="21"/>
          <w:szCs w:val="21"/>
        </w:rPr>
      </w:pPr>
      <w:bookmarkStart w:id="215" w:name="_Toc989102"/>
      <w:r>
        <w:rPr>
          <w:rFonts w:ascii="宋体" w:hAnsi="宋体" w:eastAsia="宋体" w:cs="宋体"/>
          <w:b/>
          <w:bCs/>
          <w:sz w:val="21"/>
          <w:szCs w:val="21"/>
        </w:rPr>
        <w:t>（1） 作为承租方租赁的会计处理方法</w:t>
      </w:r>
      <w:bookmarkEnd w:id="215"/>
    </w:p>
    <w:p w14:paraId="51AC07A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在合同开始日，本公司评估合同是否为租赁或者包含租赁。如果合同中一方让渡了在一定期间内控制一项或多项已识别资产使用的权利以换取对价，则该合同为租赁或者包含租赁。</w:t>
      </w:r>
    </w:p>
    <w:p w14:paraId="04F0926F">
      <w:pPr>
        <w:pStyle w:val="2"/>
        <w:keepNext w:val="0"/>
        <w:keepLines w:val="0"/>
        <w:widowControl/>
        <w:suppressLineNumbers w:val="0"/>
        <w:spacing w:before="0" w:beforeAutospacing="1" w:after="0" w:afterAutospacing="1" w:line="360" w:lineRule="auto"/>
        <w:ind w:left="0" w:right="0" w:firstLine="420"/>
        <w:jc w:val="both"/>
      </w:pPr>
      <w:r>
        <w:rPr>
          <w:rStyle w:val="6"/>
          <w:rFonts w:hint="eastAsia" w:ascii="宋体" w:hAnsi="宋体" w:eastAsia="宋体" w:cs="宋体"/>
          <w:b/>
          <w:bCs/>
          <w:sz w:val="21"/>
          <w:szCs w:val="21"/>
        </w:rPr>
        <w:t>1.租赁合同的分拆</w:t>
      </w:r>
    </w:p>
    <w:p w14:paraId="0B686F3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当合同中同时包含多项单独租赁的，本公司将合同予以分拆，并分别各项单独租赁进行会计处理。当合同中同时包含租赁和非租赁部分的，本公司将租赁和非租赁部分进行分拆，租赁部分按照租赁准则进行会计处理，非租赁部分应当按照其他适用的企业会计准则进行会计处理。</w:t>
      </w:r>
    </w:p>
    <w:p w14:paraId="0C3A9948">
      <w:pPr>
        <w:pStyle w:val="2"/>
        <w:keepNext w:val="0"/>
        <w:keepLines w:val="0"/>
        <w:widowControl/>
        <w:suppressLineNumbers w:val="0"/>
        <w:spacing w:before="156" w:beforeAutospacing="0" w:after="0" w:afterAutospacing="0" w:line="360" w:lineRule="auto"/>
        <w:ind w:left="420" w:right="0"/>
        <w:jc w:val="both"/>
        <w:rPr>
          <w:rFonts w:hint="default" w:ascii="Times New Roman" w:hAnsi="Times New Roman" w:cs="Times New Roman"/>
          <w:sz w:val="21"/>
          <w:szCs w:val="21"/>
        </w:rPr>
      </w:pPr>
      <w:r>
        <w:rPr>
          <w:rStyle w:val="6"/>
          <w:rFonts w:hint="eastAsia" w:ascii="宋体" w:hAnsi="宋体" w:eastAsia="宋体" w:cs="宋体"/>
          <w:b/>
          <w:bCs/>
          <w:sz w:val="21"/>
          <w:szCs w:val="21"/>
        </w:rPr>
        <w:t>2.租赁合同的合并</w:t>
      </w:r>
      <w:r>
        <w:rPr>
          <w:rFonts w:hint="eastAsia" w:ascii="宋体" w:hAnsi="宋体" w:eastAsia="宋体" w:cs="宋体"/>
          <w:sz w:val="21"/>
          <w:szCs w:val="21"/>
        </w:rPr>
        <w:t>本公司与同一交易方或其关联方在同一时间或相近时间订立的两份或多份包含租赁的合同符合下列条件之一时，合并为一份合同进行会计处理：</w:t>
      </w:r>
    </w:p>
    <w:p w14:paraId="0D005BC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（1）该两份或多份合同基于总体商业目的而订立并构成一揽子交易，若不作为整体考虑则无法理解其总体商业目的。</w:t>
      </w:r>
    </w:p>
    <w:p w14:paraId="1A1A443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（2）该两份或多份合同中的某份合同的对价金额取决于其他合同的定价或履行情况。</w:t>
      </w:r>
    </w:p>
    <w:p w14:paraId="03F88DEC">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（3）该两份或多份合同让渡的资产使用权合起来构成一项单独租赁。</w:t>
      </w:r>
    </w:p>
    <w:p w14:paraId="1B372FEC">
      <w:pPr>
        <w:pStyle w:val="2"/>
        <w:keepNext w:val="0"/>
        <w:keepLines w:val="0"/>
        <w:widowControl/>
        <w:suppressLineNumbers w:val="0"/>
        <w:spacing w:before="0" w:beforeAutospacing="0" w:after="0" w:afterAutospacing="0"/>
        <w:ind w:left="559" w:right="0"/>
        <w:rPr>
          <w:rFonts w:hint="default" w:ascii="Times New Roman" w:hAnsi="Times New Roman" w:cs="Times New Roman"/>
          <w:sz w:val="21"/>
          <w:szCs w:val="21"/>
        </w:rPr>
      </w:pPr>
      <w:r>
        <w:rPr>
          <w:rStyle w:val="6"/>
          <w:rFonts w:hint="eastAsia" w:ascii="宋体" w:hAnsi="宋体" w:eastAsia="宋体" w:cs="宋体"/>
          <w:b/>
          <w:bCs/>
          <w:spacing w:val="-2"/>
          <w:sz w:val="21"/>
          <w:szCs w:val="21"/>
        </w:rPr>
        <w:t>3.本公司作为承租人的会计处理</w:t>
      </w:r>
    </w:p>
    <w:p w14:paraId="0F18AED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在租赁期开始日，除应用简化处理的短期租赁和低价值资产租赁外，本公司对租赁确认使用权资产和租赁负债。</w:t>
      </w:r>
    </w:p>
    <w:p w14:paraId="2333837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短期租赁是指不包含购买选择权且租赁期不超过12个月的租赁。低价值资产租赁是指单项租赁资产为全新资产时价值较低的租赁。</w:t>
      </w:r>
    </w:p>
    <w:p w14:paraId="43C0E4A6">
      <w:pPr>
        <w:keepNext/>
        <w:keepLines/>
        <w:spacing w:before="300" w:after="300" w:line="280" w:lineRule="exact"/>
        <w:jc w:val="left"/>
        <w:outlineLvl w:val="3"/>
        <w:rPr>
          <w:rFonts w:ascii="宋体" w:hAnsi="宋体" w:eastAsia="宋体" w:cs="宋体"/>
          <w:b/>
          <w:bCs/>
          <w:sz w:val="21"/>
          <w:szCs w:val="21"/>
        </w:rPr>
      </w:pPr>
      <w:bookmarkStart w:id="216" w:name="_Toc989103"/>
      <w:r>
        <w:rPr>
          <w:rFonts w:ascii="宋体" w:hAnsi="宋体" w:eastAsia="宋体" w:cs="宋体"/>
          <w:b/>
          <w:bCs/>
          <w:sz w:val="21"/>
          <w:szCs w:val="21"/>
        </w:rPr>
        <w:t>（2） 作为出租方租赁的会计处理方法</w:t>
      </w:r>
      <w:bookmarkEnd w:id="216"/>
    </w:p>
    <w:p w14:paraId="7852317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（1）租赁的分类</w:t>
      </w:r>
    </w:p>
    <w:p w14:paraId="1F3D9EE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在租赁开始日将租赁分为融资租赁和经营租赁。融资租赁是指实质上转移了与租赁资产所有权有关的几乎全部风险和报酬的租赁，其所有权最终可能转移，也可能不转移。经营租赁是指除融资租赁以外的其他租赁。</w:t>
      </w:r>
    </w:p>
    <w:p w14:paraId="0388EF4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一项租赁存在下列一种或多种情形的，本公司通常分类为融资租赁：</w:t>
      </w:r>
    </w:p>
    <w:p w14:paraId="527EB2D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1）在租赁期届满时，租赁资产的所有权转移给承租人。</w:t>
      </w:r>
    </w:p>
    <w:p w14:paraId="1E98EA6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2）承租人有购买租赁资产的选择权，所订立的购买价款与预计行使选择权时租赁资产的公允价值相比足够低，因而在租赁开始日就可以合理确定承租人将行使该选择权。</w:t>
      </w:r>
    </w:p>
    <w:p w14:paraId="60BA27D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3）资产的所有权虽然不转移，但租赁期占租赁资产使用寿命的大部分。</w:t>
      </w:r>
    </w:p>
    <w:p w14:paraId="39F27F70">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4）在租赁开始日，租赁收款额的现值几乎相当于租赁资产的公允价值。</w:t>
      </w:r>
    </w:p>
    <w:p w14:paraId="5544F33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5）租赁资产性质特殊，如果不作较大改造，只有承租人才能使用。</w:t>
      </w:r>
    </w:p>
    <w:p w14:paraId="09010F0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一项租赁存在下列一项或多项迹象的，本公司也可能分类为融资租赁：</w:t>
      </w:r>
    </w:p>
    <w:p w14:paraId="13485089">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1）若承租人撤销租赁，撤销租赁对出租人造成的损失由承租人承担。</w:t>
      </w:r>
    </w:p>
    <w:p w14:paraId="546013A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2）资产余值的公允价值波动所产生的利得或损失归属于承租人。</w:t>
      </w:r>
    </w:p>
    <w:p w14:paraId="148D1A8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3）承租人有能力以远低于市场水平的租金继续租赁至下一期间。</w:t>
      </w:r>
    </w:p>
    <w:p w14:paraId="1FF949F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（2）对融资租赁的会计处理</w:t>
      </w:r>
    </w:p>
    <w:p w14:paraId="4169FE2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在租赁期开始日，本公司对融资租赁确认应收融资租赁款，并终止确认融资租赁资产。应收融资租赁款初始计量时，以未担保余值和租赁期开始日尚未收到的租赁收款额按照</w:t>
      </w:r>
    </w:p>
    <w:p w14:paraId="7F43172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租赁内含利率折现的现值之和作为应收融资租赁款的入账价值。租赁收款额包括：</w:t>
      </w:r>
    </w:p>
    <w:p w14:paraId="120B613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1）扣除租赁激励相关金额后的固定付款额及实质固定付款额；</w:t>
      </w:r>
    </w:p>
    <w:p w14:paraId="2348DFC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2）取决于指数或比率的可变租赁付款额；</w:t>
      </w:r>
    </w:p>
    <w:p w14:paraId="3636BC46">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3）合理确定承租人将行使购买选择权的情况下，租赁收款额包括购买选择权的行权价格；</w:t>
      </w:r>
    </w:p>
    <w:p w14:paraId="2902EEBD">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4）租赁期反映出承租人将行使终止租赁选择权的情况下，租赁收款额包括承租人行使终止租赁选择权需支付的款项；</w:t>
      </w:r>
    </w:p>
    <w:p w14:paraId="6F3B9AE1">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5）由承租人、与承租人有关的一方以及有经济能力履行担保义务的独立第三方向出租人提供的担保余值。</w:t>
      </w:r>
    </w:p>
    <w:p w14:paraId="2F4DE9F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本公司按照固定的租赁内含利率计算并确认租赁期内各个期间的利息收入，所取得的未纳入租赁投资净额计量的可变租赁付款额在实际发生时计入当期损益。</w:t>
      </w:r>
    </w:p>
    <w:p w14:paraId="4923E925">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（3）对经营租赁的会计处理</w:t>
      </w:r>
    </w:p>
    <w:p w14:paraId="1F8957A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本公司在租赁期内各个期间采用直线法或其他系统合理的方法，将经营租赁的租赁收款额确认为租金收入；发生的与经营租赁有关的初始直接费用资本化，在租赁期内按照与租金收入确认相同的基础进行分摊，分期计入当期损益；取得的与经营租赁有关的未计入租赁收款额的可变租赁付款额，在实际发生时计入当期损益。</w:t>
      </w:r>
    </w:p>
    <w:p w14:paraId="0817F56F">
      <w:pPr>
        <w:keepNext/>
        <w:keepLines/>
        <w:spacing w:before="300" w:after="300" w:line="280" w:lineRule="exact"/>
        <w:jc w:val="left"/>
        <w:outlineLvl w:val="2"/>
        <w:rPr>
          <w:rFonts w:ascii="宋体" w:hAnsi="宋体" w:eastAsia="宋体" w:cs="宋体"/>
          <w:b/>
          <w:bCs/>
          <w:sz w:val="21"/>
          <w:szCs w:val="21"/>
        </w:rPr>
      </w:pPr>
      <w:bookmarkStart w:id="217" w:name="_Toc989104"/>
      <w:r>
        <w:rPr>
          <w:rFonts w:ascii="宋体" w:hAnsi="宋体" w:eastAsia="宋体" w:cs="宋体"/>
          <w:b/>
          <w:bCs/>
          <w:sz w:val="21"/>
          <w:szCs w:val="21"/>
        </w:rPr>
        <w:t>42、其他重要的会计政策和会计估计</w:t>
      </w:r>
      <w:bookmarkEnd w:id="217"/>
    </w:p>
    <w:p w14:paraId="66A144B2">
      <w:pPr>
        <w:keepNext/>
        <w:keepLines/>
        <w:spacing w:before="300" w:after="300" w:line="280" w:lineRule="exact"/>
        <w:jc w:val="left"/>
        <w:outlineLvl w:val="2"/>
        <w:rPr>
          <w:rFonts w:ascii="宋体" w:hAnsi="宋体" w:eastAsia="宋体" w:cs="宋体"/>
          <w:b/>
          <w:bCs/>
          <w:sz w:val="21"/>
          <w:szCs w:val="21"/>
        </w:rPr>
      </w:pPr>
      <w:bookmarkStart w:id="218" w:name="_Toc989105"/>
      <w:r>
        <w:rPr>
          <w:rFonts w:ascii="宋体" w:hAnsi="宋体" w:eastAsia="宋体" w:cs="宋体"/>
          <w:b/>
          <w:bCs/>
          <w:sz w:val="21"/>
          <w:szCs w:val="21"/>
        </w:rPr>
        <w:t>43、重要会计政策和会计估计变更</w:t>
      </w:r>
      <w:bookmarkEnd w:id="218"/>
    </w:p>
    <w:p w14:paraId="21887AF6">
      <w:pPr>
        <w:keepNext/>
        <w:keepLines/>
        <w:spacing w:before="300" w:after="300" w:line="280" w:lineRule="exact"/>
        <w:jc w:val="left"/>
        <w:outlineLvl w:val="3"/>
        <w:rPr>
          <w:rFonts w:ascii="宋体" w:hAnsi="宋体" w:eastAsia="宋体" w:cs="宋体"/>
          <w:b/>
          <w:bCs/>
          <w:sz w:val="18"/>
          <w:szCs w:val="18"/>
        </w:rPr>
      </w:pPr>
      <w:bookmarkStart w:id="219" w:name="_Toc989106"/>
      <w:r>
        <w:rPr>
          <w:rFonts w:ascii="宋体" w:hAnsi="宋体" w:eastAsia="宋体" w:cs="宋体"/>
          <w:b/>
          <w:bCs/>
          <w:sz w:val="18"/>
          <w:szCs w:val="18"/>
        </w:rPr>
        <w:t>（1） 重要会计政策变更</w:t>
      </w:r>
      <w:bookmarkEnd w:id="219"/>
    </w:p>
    <w:p w14:paraId="1D377E31">
      <w:pPr>
        <w:spacing w:before="40" w:after="4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566F0631">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86D1B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ED9FFB4">
            <w:pPr>
              <w:spacing w:before="40" w:after="40" w:line="240" w:lineRule="exact"/>
              <w:jc w:val="center"/>
              <w:rPr>
                <w:rFonts w:ascii="宋体" w:hAnsi="宋体" w:eastAsia="宋体" w:cs="宋体"/>
                <w:sz w:val="18"/>
                <w:szCs w:val="18"/>
              </w:rPr>
            </w:pPr>
            <w:r>
              <w:rPr>
                <w:rFonts w:ascii="宋体" w:hAnsi="宋体" w:eastAsia="宋体" w:cs="宋体"/>
                <w:sz w:val="18"/>
                <w:szCs w:val="18"/>
              </w:rPr>
              <w:t>会计政策变更的内容和原因</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88D425E">
            <w:pPr>
              <w:spacing w:before="40" w:after="40" w:line="240" w:lineRule="exact"/>
              <w:jc w:val="center"/>
              <w:rPr>
                <w:rFonts w:ascii="宋体" w:hAnsi="宋体" w:eastAsia="宋体" w:cs="宋体"/>
                <w:sz w:val="18"/>
                <w:szCs w:val="18"/>
              </w:rPr>
            </w:pPr>
            <w:r>
              <w:rPr>
                <w:rFonts w:ascii="宋体" w:hAnsi="宋体" w:eastAsia="宋体" w:cs="宋体"/>
                <w:sz w:val="18"/>
                <w:szCs w:val="18"/>
              </w:rPr>
              <w:t>受重要影响的报表项目名称</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B04165E">
            <w:pPr>
              <w:spacing w:before="40" w:after="40" w:line="240" w:lineRule="exact"/>
              <w:jc w:val="center"/>
              <w:rPr>
                <w:rFonts w:ascii="宋体" w:hAnsi="宋体" w:eastAsia="宋体" w:cs="宋体"/>
                <w:sz w:val="18"/>
                <w:szCs w:val="18"/>
              </w:rPr>
            </w:pPr>
            <w:r>
              <w:rPr>
                <w:rFonts w:ascii="宋体" w:hAnsi="宋体" w:eastAsia="宋体" w:cs="宋体"/>
                <w:sz w:val="18"/>
                <w:szCs w:val="18"/>
              </w:rPr>
              <w:t>影响金额</w:t>
            </w:r>
          </w:p>
        </w:tc>
      </w:tr>
    </w:tbl>
    <w:p w14:paraId="2CB2F9DC">
      <w:pPr>
        <w:spacing w:before="100" w:after="100" w:line="0" w:lineRule="exact"/>
        <w:jc w:val="left"/>
      </w:pPr>
    </w:p>
    <w:tbl>
      <w:tblPr>
        <w:tblStyle w:val="3"/>
        <w:tblW w:w="940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4820"/>
        <w:gridCol w:w="4580"/>
      </w:tblGrid>
      <w:tr w14:paraId="6FA37BE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80" w:hRule="atLeast"/>
        </w:trPr>
        <w:tc>
          <w:tcPr>
            <w:tcW w:w="482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498537A0">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sz w:val="18"/>
                <w:szCs w:val="18"/>
              </w:rPr>
              <w:t xml:space="preserve">会计政策变更的内容和原因 </w:t>
            </w:r>
          </w:p>
        </w:tc>
        <w:tc>
          <w:tcPr>
            <w:tcW w:w="458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991B958">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sz w:val="18"/>
                <w:szCs w:val="18"/>
              </w:rPr>
              <w:t>审批程序</w:t>
            </w:r>
          </w:p>
        </w:tc>
      </w:tr>
      <w:tr w14:paraId="0BF4D9F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00" w:hRule="atLeast"/>
        </w:trPr>
        <w:tc>
          <w:tcPr>
            <w:tcW w:w="482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6F23214C">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ascii="Arial" w:hAnsi="Arial" w:cs="Arial"/>
                <w:color w:val="000000"/>
                <w:sz w:val="18"/>
                <w:szCs w:val="18"/>
              </w:rPr>
              <w:t xml:space="preserve">2023 </w:t>
            </w:r>
            <w:r>
              <w:rPr>
                <w:rFonts w:hint="eastAsia" w:ascii="宋体" w:hAnsi="宋体" w:eastAsia="宋体" w:cs="宋体"/>
                <w:color w:val="000000"/>
                <w:sz w:val="18"/>
                <w:szCs w:val="18"/>
              </w:rPr>
              <w:t>年</w:t>
            </w:r>
            <w:r>
              <w:rPr>
                <w:rFonts w:hint="default" w:ascii="Arial" w:hAnsi="Arial" w:cs="Arial"/>
                <w:color w:val="000000"/>
                <w:sz w:val="18"/>
                <w:szCs w:val="18"/>
              </w:rPr>
              <w:t>10</w:t>
            </w:r>
            <w:r>
              <w:rPr>
                <w:rFonts w:hint="eastAsia" w:ascii="宋体" w:hAnsi="宋体" w:eastAsia="宋体" w:cs="宋体"/>
                <w:color w:val="000000"/>
                <w:sz w:val="18"/>
                <w:szCs w:val="18"/>
              </w:rPr>
              <w:t>月</w:t>
            </w:r>
            <w:r>
              <w:rPr>
                <w:rFonts w:hint="default" w:ascii="Arial" w:hAnsi="Arial" w:cs="Arial"/>
                <w:color w:val="000000"/>
                <w:sz w:val="18"/>
                <w:szCs w:val="18"/>
              </w:rPr>
              <w:t>25</w:t>
            </w:r>
            <w:r>
              <w:rPr>
                <w:rFonts w:hint="eastAsia" w:ascii="宋体" w:hAnsi="宋体" w:eastAsia="宋体" w:cs="宋体"/>
                <w:color w:val="000000"/>
                <w:sz w:val="18"/>
                <w:szCs w:val="18"/>
              </w:rPr>
              <w:t xml:space="preserve">日，财政部发布了《企业会计准则解释第 </w:t>
            </w:r>
            <w:r>
              <w:rPr>
                <w:rFonts w:hint="default" w:ascii="Arial" w:hAnsi="Arial" w:cs="Arial"/>
                <w:color w:val="000000"/>
                <w:sz w:val="18"/>
                <w:szCs w:val="18"/>
              </w:rPr>
              <w:t xml:space="preserve">17 </w:t>
            </w:r>
            <w:r>
              <w:rPr>
                <w:rFonts w:hint="eastAsia" w:ascii="宋体" w:hAnsi="宋体" w:eastAsia="宋体" w:cs="宋体"/>
                <w:color w:val="000000"/>
                <w:sz w:val="18"/>
                <w:szCs w:val="18"/>
              </w:rPr>
              <w:t xml:space="preserve">号》（财会〔 </w:t>
            </w:r>
            <w:r>
              <w:rPr>
                <w:rFonts w:hint="default" w:ascii="Arial" w:hAnsi="Arial" w:cs="Arial"/>
                <w:color w:val="000000"/>
                <w:sz w:val="18"/>
                <w:szCs w:val="18"/>
              </w:rPr>
              <w:t>2023</w:t>
            </w:r>
            <w:r>
              <w:rPr>
                <w:rFonts w:hint="eastAsia" w:ascii="宋体" w:hAnsi="宋体" w:eastAsia="宋体" w:cs="宋体"/>
                <w:color w:val="000000"/>
                <w:sz w:val="18"/>
                <w:szCs w:val="18"/>
              </w:rPr>
              <w:t>〕</w:t>
            </w:r>
            <w:r>
              <w:rPr>
                <w:rFonts w:hint="default" w:ascii="Arial" w:hAnsi="Arial" w:cs="Arial"/>
                <w:color w:val="000000"/>
                <w:sz w:val="18"/>
                <w:szCs w:val="18"/>
              </w:rPr>
              <w:t>21</w:t>
            </w:r>
            <w:r>
              <w:rPr>
                <w:rFonts w:hint="eastAsia" w:ascii="宋体" w:hAnsi="宋体" w:eastAsia="宋体" w:cs="宋体"/>
                <w:color w:val="000000"/>
                <w:sz w:val="18"/>
                <w:szCs w:val="18"/>
              </w:rPr>
              <w:t xml:space="preserve">号，以下简称“解释 </w:t>
            </w:r>
            <w:r>
              <w:rPr>
                <w:rFonts w:hint="default" w:ascii="Arial" w:hAnsi="Arial" w:cs="Arial"/>
                <w:color w:val="000000"/>
                <w:sz w:val="18"/>
                <w:szCs w:val="18"/>
              </w:rPr>
              <w:t xml:space="preserve">17 </w:t>
            </w:r>
            <w:r>
              <w:rPr>
                <w:rFonts w:hint="eastAsia" w:ascii="宋体" w:hAnsi="宋体" w:eastAsia="宋体" w:cs="宋体"/>
                <w:color w:val="000000"/>
                <w:sz w:val="18"/>
                <w:szCs w:val="18"/>
              </w:rPr>
              <w:t>号”），规定了“关于流动负债与非流动负债的划分”、“关于供应商融资安排的披露”及“关于售后租回交易的会计处理”的内容，自</w:t>
            </w:r>
            <w:r>
              <w:rPr>
                <w:rFonts w:hint="default" w:ascii="Arial" w:hAnsi="Arial" w:cs="Arial"/>
                <w:color w:val="000000"/>
                <w:sz w:val="18"/>
                <w:szCs w:val="18"/>
              </w:rPr>
              <w:t>2024</w:t>
            </w:r>
            <w:r>
              <w:rPr>
                <w:rFonts w:hint="eastAsia" w:ascii="宋体" w:hAnsi="宋体" w:eastAsia="宋体" w:cs="宋体"/>
                <w:color w:val="000000"/>
                <w:sz w:val="18"/>
                <w:szCs w:val="18"/>
              </w:rPr>
              <w:t>年</w:t>
            </w:r>
            <w:r>
              <w:rPr>
                <w:rFonts w:hint="default" w:ascii="Arial" w:hAnsi="Arial" w:cs="Arial"/>
                <w:color w:val="000000"/>
                <w:sz w:val="18"/>
                <w:szCs w:val="18"/>
              </w:rPr>
              <w:t>1</w:t>
            </w:r>
            <w:r>
              <w:rPr>
                <w:rFonts w:hint="eastAsia" w:ascii="宋体" w:hAnsi="宋体" w:eastAsia="宋体" w:cs="宋体"/>
                <w:color w:val="000000"/>
                <w:sz w:val="18"/>
                <w:szCs w:val="18"/>
              </w:rPr>
              <w:t>月</w:t>
            </w:r>
            <w:r>
              <w:rPr>
                <w:rFonts w:hint="default" w:ascii="Arial" w:hAnsi="Arial" w:cs="Arial"/>
                <w:color w:val="000000"/>
                <w:sz w:val="18"/>
                <w:szCs w:val="18"/>
              </w:rPr>
              <w:t>1</w:t>
            </w:r>
            <w:r>
              <w:rPr>
                <w:rFonts w:hint="eastAsia" w:ascii="宋体" w:hAnsi="宋体" w:eastAsia="宋体" w:cs="宋体"/>
                <w:color w:val="000000"/>
                <w:sz w:val="18"/>
                <w:szCs w:val="18"/>
              </w:rPr>
              <w:t>日起施行。</w:t>
            </w:r>
          </w:p>
        </w:tc>
        <w:tc>
          <w:tcPr>
            <w:tcW w:w="4580" w:type="dxa"/>
            <w:tcBorders>
              <w:top w:val="nil"/>
              <w:left w:val="nil"/>
              <w:bottom w:val="single" w:color="auto" w:sz="8" w:space="0"/>
              <w:right w:val="single" w:color="auto" w:sz="8" w:space="0"/>
            </w:tcBorders>
            <w:shd w:val="clear" w:color="auto" w:fill="auto"/>
            <w:tcMar>
              <w:left w:w="108" w:type="dxa"/>
              <w:right w:w="108" w:type="dxa"/>
            </w:tcMar>
            <w:vAlign w:val="center"/>
          </w:tcPr>
          <w:p w14:paraId="3AA51B1B">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color w:val="000000"/>
                <w:sz w:val="18"/>
                <w:szCs w:val="18"/>
              </w:rPr>
              <w:t xml:space="preserve">根据《企业会计准则解释第 </w:t>
            </w:r>
            <w:r>
              <w:rPr>
                <w:rFonts w:hint="default" w:ascii="Arial" w:hAnsi="Arial" w:cs="Arial"/>
                <w:color w:val="000000"/>
                <w:sz w:val="18"/>
                <w:szCs w:val="18"/>
              </w:rPr>
              <w:t xml:space="preserve">17 </w:t>
            </w:r>
            <w:r>
              <w:rPr>
                <w:rFonts w:hint="eastAsia" w:ascii="宋体" w:hAnsi="宋体" w:eastAsia="宋体" w:cs="宋体"/>
                <w:color w:val="000000"/>
                <w:sz w:val="18"/>
                <w:szCs w:val="18"/>
              </w:rPr>
              <w:t>号》的相关要求，</w:t>
            </w:r>
            <w:r>
              <w:rPr>
                <w:rFonts w:hint="eastAsia" w:ascii="宋体" w:hAnsi="宋体" w:eastAsia="宋体" w:cs="宋体"/>
                <w:color w:val="000000"/>
                <w:sz w:val="18"/>
                <w:szCs w:val="18"/>
              </w:rPr>
              <w:br w:type="textWrapping"/>
            </w:r>
            <w:r>
              <w:rPr>
                <w:rFonts w:hint="eastAsia" w:ascii="宋体" w:hAnsi="宋体" w:eastAsia="宋体" w:cs="宋体"/>
                <w:color w:val="000000"/>
                <w:sz w:val="18"/>
                <w:szCs w:val="18"/>
              </w:rPr>
              <w:t>公司将对原会计政策进行相应变更，并自规定之</w:t>
            </w:r>
            <w:r>
              <w:rPr>
                <w:rFonts w:hint="eastAsia" w:ascii="宋体" w:hAnsi="宋体" w:eastAsia="宋体" w:cs="宋体"/>
                <w:color w:val="000000"/>
                <w:sz w:val="18"/>
                <w:szCs w:val="18"/>
              </w:rPr>
              <w:br w:type="textWrapping"/>
            </w:r>
            <w:r>
              <w:rPr>
                <w:rFonts w:hint="eastAsia" w:ascii="宋体" w:hAnsi="宋体" w:eastAsia="宋体" w:cs="宋体"/>
                <w:color w:val="000000"/>
                <w:sz w:val="18"/>
                <w:szCs w:val="18"/>
              </w:rPr>
              <w:t>日起执行变更后的会计政策。本次会计政策变更</w:t>
            </w:r>
            <w:r>
              <w:rPr>
                <w:rFonts w:hint="eastAsia" w:ascii="宋体" w:hAnsi="宋体" w:eastAsia="宋体" w:cs="宋体"/>
                <w:color w:val="000000"/>
                <w:sz w:val="18"/>
                <w:szCs w:val="18"/>
              </w:rPr>
              <w:br w:type="textWrapping"/>
            </w:r>
            <w:r>
              <w:rPr>
                <w:rFonts w:hint="eastAsia" w:ascii="宋体" w:hAnsi="宋体" w:eastAsia="宋体" w:cs="宋体"/>
                <w:color w:val="000000"/>
                <w:sz w:val="18"/>
                <w:szCs w:val="18"/>
              </w:rPr>
              <w:t>是根据国家统一的会计制度要求进行的变更，无</w:t>
            </w:r>
            <w:r>
              <w:rPr>
                <w:rFonts w:hint="eastAsia" w:ascii="宋体" w:hAnsi="宋体" w:eastAsia="宋体" w:cs="宋体"/>
                <w:color w:val="000000"/>
                <w:sz w:val="18"/>
                <w:szCs w:val="18"/>
              </w:rPr>
              <w:br w:type="textWrapping"/>
            </w:r>
            <w:r>
              <w:rPr>
                <w:rFonts w:hint="eastAsia" w:ascii="宋体" w:hAnsi="宋体" w:eastAsia="宋体" w:cs="宋体"/>
                <w:color w:val="000000"/>
                <w:sz w:val="18"/>
                <w:szCs w:val="18"/>
              </w:rPr>
              <w:t>需提交公司董事会和股东大会审议。</w:t>
            </w:r>
          </w:p>
        </w:tc>
      </w:tr>
      <w:tr w14:paraId="792B38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80" w:hRule="atLeast"/>
        </w:trPr>
        <w:tc>
          <w:tcPr>
            <w:tcW w:w="482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559EE4D9">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Arial" w:hAnsi="Arial" w:cs="Arial"/>
                <w:color w:val="000000"/>
                <w:sz w:val="18"/>
                <w:szCs w:val="18"/>
              </w:rPr>
              <w:t xml:space="preserve">2024 </w:t>
            </w:r>
            <w:r>
              <w:rPr>
                <w:rFonts w:hint="eastAsia" w:ascii="宋体" w:hAnsi="宋体" w:eastAsia="宋体" w:cs="宋体"/>
                <w:color w:val="000000"/>
                <w:sz w:val="18"/>
                <w:szCs w:val="18"/>
              </w:rPr>
              <w:t>年</w:t>
            </w:r>
            <w:r>
              <w:rPr>
                <w:rFonts w:hint="default" w:ascii="Arial" w:hAnsi="Arial" w:cs="Arial"/>
                <w:color w:val="000000"/>
                <w:sz w:val="18"/>
                <w:szCs w:val="18"/>
              </w:rPr>
              <w:t>12</w:t>
            </w:r>
            <w:r>
              <w:rPr>
                <w:rFonts w:hint="eastAsia" w:ascii="宋体" w:hAnsi="宋体" w:eastAsia="宋体" w:cs="宋体"/>
                <w:color w:val="000000"/>
                <w:sz w:val="18"/>
                <w:szCs w:val="18"/>
              </w:rPr>
              <w:t>月</w:t>
            </w:r>
            <w:r>
              <w:rPr>
                <w:rFonts w:hint="default" w:ascii="Arial" w:hAnsi="Arial" w:cs="Arial"/>
                <w:color w:val="000000"/>
                <w:sz w:val="18"/>
                <w:szCs w:val="18"/>
              </w:rPr>
              <w:t>31</w:t>
            </w:r>
            <w:r>
              <w:rPr>
                <w:rFonts w:hint="eastAsia" w:ascii="宋体" w:hAnsi="宋体" w:eastAsia="宋体" w:cs="宋体"/>
                <w:color w:val="000000"/>
                <w:sz w:val="18"/>
                <w:szCs w:val="18"/>
              </w:rPr>
              <w:t xml:space="preserve">日，财政部发布了《企业会计准则解释第 </w:t>
            </w:r>
            <w:r>
              <w:rPr>
                <w:rFonts w:hint="default" w:ascii="Arial" w:hAnsi="Arial" w:cs="Arial"/>
                <w:color w:val="000000"/>
                <w:sz w:val="18"/>
                <w:szCs w:val="18"/>
              </w:rPr>
              <w:t xml:space="preserve">18 </w:t>
            </w:r>
            <w:r>
              <w:rPr>
                <w:rFonts w:hint="eastAsia" w:ascii="宋体" w:hAnsi="宋体" w:eastAsia="宋体" w:cs="宋体"/>
                <w:color w:val="000000"/>
                <w:sz w:val="18"/>
                <w:szCs w:val="18"/>
              </w:rPr>
              <w:t xml:space="preserve">号》（财会〔 </w:t>
            </w:r>
            <w:r>
              <w:rPr>
                <w:rFonts w:hint="default" w:ascii="Arial" w:hAnsi="Arial" w:cs="Arial"/>
                <w:color w:val="000000"/>
                <w:sz w:val="18"/>
                <w:szCs w:val="18"/>
              </w:rPr>
              <w:t>2024</w:t>
            </w:r>
            <w:r>
              <w:rPr>
                <w:rFonts w:hint="eastAsia" w:ascii="宋体" w:hAnsi="宋体" w:eastAsia="宋体" w:cs="宋体"/>
                <w:color w:val="000000"/>
                <w:sz w:val="18"/>
                <w:szCs w:val="18"/>
              </w:rPr>
              <w:t xml:space="preserve">〕 </w:t>
            </w:r>
            <w:r>
              <w:rPr>
                <w:rFonts w:hint="default" w:ascii="Arial" w:hAnsi="Arial" w:cs="Arial"/>
                <w:color w:val="000000"/>
                <w:sz w:val="18"/>
                <w:szCs w:val="18"/>
              </w:rPr>
              <w:t xml:space="preserve">24 </w:t>
            </w:r>
            <w:r>
              <w:rPr>
                <w:rFonts w:hint="eastAsia" w:ascii="宋体" w:hAnsi="宋体" w:eastAsia="宋体" w:cs="宋体"/>
                <w:color w:val="000000"/>
                <w:sz w:val="18"/>
                <w:szCs w:val="18"/>
              </w:rPr>
              <w:t xml:space="preserve">号，以下简称“解释 </w:t>
            </w:r>
            <w:r>
              <w:rPr>
                <w:rFonts w:hint="default" w:ascii="Arial" w:hAnsi="Arial" w:cs="Arial"/>
                <w:color w:val="000000"/>
                <w:sz w:val="18"/>
                <w:szCs w:val="18"/>
              </w:rPr>
              <w:t xml:space="preserve">18 </w:t>
            </w:r>
            <w:r>
              <w:rPr>
                <w:rFonts w:hint="eastAsia" w:ascii="宋体" w:hAnsi="宋体" w:eastAsia="宋体" w:cs="宋体"/>
                <w:color w:val="000000"/>
                <w:sz w:val="18"/>
                <w:szCs w:val="18"/>
              </w:rPr>
              <w:t>号”），规定了“关于浮动收费法下作为基础项目持有的投资性房地产的后续计量”、“关于不属于单项履约义务的保证类质量保证的会计处理”的内容，自</w:t>
            </w:r>
            <w:r>
              <w:rPr>
                <w:rFonts w:hint="default" w:ascii="Arial" w:hAnsi="Arial" w:cs="Arial"/>
                <w:color w:val="000000"/>
                <w:sz w:val="18"/>
                <w:szCs w:val="18"/>
              </w:rPr>
              <w:t>2024</w:t>
            </w:r>
            <w:r>
              <w:rPr>
                <w:rFonts w:hint="eastAsia" w:ascii="宋体" w:hAnsi="宋体" w:eastAsia="宋体" w:cs="宋体"/>
                <w:color w:val="000000"/>
                <w:sz w:val="18"/>
                <w:szCs w:val="18"/>
              </w:rPr>
              <w:t>年</w:t>
            </w:r>
            <w:r>
              <w:rPr>
                <w:rFonts w:hint="default" w:ascii="Arial" w:hAnsi="Arial" w:cs="Arial"/>
                <w:color w:val="000000"/>
                <w:sz w:val="18"/>
                <w:szCs w:val="18"/>
              </w:rPr>
              <w:t>12</w:t>
            </w:r>
            <w:r>
              <w:rPr>
                <w:rFonts w:hint="eastAsia" w:ascii="宋体" w:hAnsi="宋体" w:eastAsia="宋体" w:cs="宋体"/>
                <w:color w:val="000000"/>
                <w:sz w:val="18"/>
                <w:szCs w:val="18"/>
              </w:rPr>
              <w:t>月</w:t>
            </w:r>
            <w:r>
              <w:rPr>
                <w:rFonts w:hint="default" w:ascii="Arial" w:hAnsi="Arial" w:cs="Arial"/>
                <w:color w:val="000000"/>
                <w:sz w:val="18"/>
                <w:szCs w:val="18"/>
              </w:rPr>
              <w:t>31</w:t>
            </w:r>
            <w:r>
              <w:rPr>
                <w:rFonts w:hint="eastAsia" w:ascii="宋体" w:hAnsi="宋体" w:eastAsia="宋体" w:cs="宋体"/>
                <w:color w:val="000000"/>
                <w:sz w:val="18"/>
                <w:szCs w:val="18"/>
              </w:rPr>
              <w:t>日起施行。 允许企业自发布年度提前执行，公司自</w:t>
            </w:r>
            <w:r>
              <w:rPr>
                <w:rFonts w:hint="default" w:ascii="Arial" w:hAnsi="Arial" w:cs="Arial"/>
                <w:color w:val="000000"/>
                <w:sz w:val="18"/>
                <w:szCs w:val="18"/>
              </w:rPr>
              <w:t>2024</w:t>
            </w:r>
            <w:r>
              <w:rPr>
                <w:rFonts w:hint="eastAsia" w:ascii="宋体" w:hAnsi="宋体" w:eastAsia="宋体" w:cs="宋体"/>
                <w:color w:val="000000"/>
                <w:sz w:val="18"/>
                <w:szCs w:val="18"/>
              </w:rPr>
              <w:t>年</w:t>
            </w:r>
            <w:r>
              <w:rPr>
                <w:rFonts w:hint="default" w:ascii="Arial" w:hAnsi="Arial" w:cs="Arial"/>
                <w:color w:val="000000"/>
                <w:sz w:val="18"/>
                <w:szCs w:val="18"/>
              </w:rPr>
              <w:t>1</w:t>
            </w:r>
            <w:r>
              <w:rPr>
                <w:rFonts w:hint="eastAsia" w:ascii="宋体" w:hAnsi="宋体" w:eastAsia="宋体" w:cs="宋体"/>
                <w:color w:val="000000"/>
                <w:sz w:val="18"/>
                <w:szCs w:val="18"/>
              </w:rPr>
              <w:t>月</w:t>
            </w:r>
            <w:r>
              <w:rPr>
                <w:rFonts w:hint="default" w:ascii="Arial" w:hAnsi="Arial" w:cs="Arial"/>
                <w:color w:val="000000"/>
                <w:sz w:val="18"/>
                <w:szCs w:val="18"/>
              </w:rPr>
              <w:t>1</w:t>
            </w:r>
            <w:r>
              <w:rPr>
                <w:rFonts w:hint="eastAsia" w:ascii="宋体" w:hAnsi="宋体" w:eastAsia="宋体" w:cs="宋体"/>
                <w:color w:val="000000"/>
                <w:sz w:val="18"/>
                <w:szCs w:val="18"/>
              </w:rPr>
              <w:t>日开始执行。</w:t>
            </w:r>
          </w:p>
        </w:tc>
        <w:tc>
          <w:tcPr>
            <w:tcW w:w="4580" w:type="dxa"/>
            <w:tcBorders>
              <w:top w:val="nil"/>
              <w:left w:val="nil"/>
              <w:bottom w:val="single" w:color="auto" w:sz="8" w:space="0"/>
              <w:right w:val="single" w:color="auto" w:sz="8" w:space="0"/>
            </w:tcBorders>
            <w:shd w:val="clear" w:color="auto" w:fill="auto"/>
            <w:tcMar>
              <w:left w:w="108" w:type="dxa"/>
              <w:right w:w="108" w:type="dxa"/>
            </w:tcMar>
            <w:vAlign w:val="center"/>
          </w:tcPr>
          <w:p w14:paraId="33450EC5">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color w:val="000000"/>
                <w:sz w:val="18"/>
                <w:szCs w:val="18"/>
              </w:rPr>
              <w:t xml:space="preserve">根据《企业会计准则解释第 </w:t>
            </w:r>
            <w:r>
              <w:rPr>
                <w:rFonts w:hint="default" w:ascii="Arial" w:hAnsi="Arial" w:cs="Arial"/>
                <w:color w:val="000000"/>
                <w:sz w:val="18"/>
                <w:szCs w:val="18"/>
              </w:rPr>
              <w:t xml:space="preserve">18 </w:t>
            </w:r>
            <w:r>
              <w:rPr>
                <w:rFonts w:hint="eastAsia" w:ascii="宋体" w:hAnsi="宋体" w:eastAsia="宋体" w:cs="宋体"/>
                <w:color w:val="000000"/>
                <w:sz w:val="18"/>
                <w:szCs w:val="18"/>
              </w:rPr>
              <w:t>号》的相关要求，</w:t>
            </w:r>
            <w:r>
              <w:rPr>
                <w:rFonts w:hint="eastAsia" w:ascii="宋体" w:hAnsi="宋体" w:eastAsia="宋体" w:cs="宋体"/>
                <w:color w:val="000000"/>
                <w:sz w:val="18"/>
                <w:szCs w:val="18"/>
              </w:rPr>
              <w:br w:type="textWrapping"/>
            </w:r>
            <w:r>
              <w:rPr>
                <w:rFonts w:hint="eastAsia" w:ascii="宋体" w:hAnsi="宋体" w:eastAsia="宋体" w:cs="宋体"/>
                <w:color w:val="000000"/>
                <w:sz w:val="18"/>
                <w:szCs w:val="18"/>
              </w:rPr>
              <w:t>公司将对原会计政策进行相应变更，并自规定之</w:t>
            </w:r>
            <w:r>
              <w:rPr>
                <w:rFonts w:hint="eastAsia" w:ascii="宋体" w:hAnsi="宋体" w:eastAsia="宋体" w:cs="宋体"/>
                <w:color w:val="000000"/>
                <w:sz w:val="18"/>
                <w:szCs w:val="18"/>
              </w:rPr>
              <w:br w:type="textWrapping"/>
            </w:r>
            <w:r>
              <w:rPr>
                <w:rFonts w:hint="eastAsia" w:ascii="宋体" w:hAnsi="宋体" w:eastAsia="宋体" w:cs="宋体"/>
                <w:color w:val="000000"/>
                <w:sz w:val="18"/>
                <w:szCs w:val="18"/>
              </w:rPr>
              <w:t>日起执行变更后的会计政策。本次会计政策变更</w:t>
            </w:r>
            <w:r>
              <w:rPr>
                <w:rFonts w:hint="eastAsia" w:ascii="宋体" w:hAnsi="宋体" w:eastAsia="宋体" w:cs="宋体"/>
                <w:color w:val="000000"/>
                <w:sz w:val="18"/>
                <w:szCs w:val="18"/>
              </w:rPr>
              <w:br w:type="textWrapping"/>
            </w:r>
            <w:r>
              <w:rPr>
                <w:rFonts w:hint="eastAsia" w:ascii="宋体" w:hAnsi="宋体" w:eastAsia="宋体" w:cs="宋体"/>
                <w:color w:val="000000"/>
                <w:sz w:val="18"/>
                <w:szCs w:val="18"/>
              </w:rPr>
              <w:t>是根据国家统一的会计制度要求进行的变更，无</w:t>
            </w:r>
            <w:r>
              <w:rPr>
                <w:rFonts w:hint="eastAsia" w:ascii="宋体" w:hAnsi="宋体" w:eastAsia="宋体" w:cs="宋体"/>
                <w:color w:val="000000"/>
                <w:sz w:val="18"/>
                <w:szCs w:val="18"/>
              </w:rPr>
              <w:br w:type="textWrapping"/>
            </w:r>
            <w:r>
              <w:rPr>
                <w:rFonts w:hint="eastAsia" w:ascii="宋体" w:hAnsi="宋体" w:eastAsia="宋体" w:cs="宋体"/>
                <w:color w:val="000000"/>
                <w:sz w:val="18"/>
                <w:szCs w:val="18"/>
              </w:rPr>
              <w:t>需提交公司董事会和股东大会审议。</w:t>
            </w:r>
          </w:p>
        </w:tc>
      </w:tr>
    </w:tbl>
    <w:p w14:paraId="450DE4B5">
      <w:pPr>
        <w:pStyle w:val="2"/>
        <w:keepNext w:val="0"/>
        <w:keepLines w:val="0"/>
        <w:widowControl/>
        <w:suppressLineNumbers w:val="0"/>
        <w:spacing w:before="0" w:beforeAutospacing="0" w:after="0" w:afterAutospacing="0" w:line="360" w:lineRule="auto"/>
        <w:ind w:left="1260" w:right="0"/>
        <w:jc w:val="both"/>
        <w:rPr>
          <w:rFonts w:hint="eastAsia" w:ascii="宋体" w:hAnsi="宋体" w:eastAsia="宋体" w:cs="宋体"/>
          <w:sz w:val="21"/>
          <w:szCs w:val="21"/>
        </w:rPr>
      </w:pPr>
      <w:r>
        <w:rPr>
          <w:rFonts w:hint="eastAsia" w:ascii="宋体" w:hAnsi="宋体" w:eastAsia="宋体" w:cs="宋体"/>
          <w:sz w:val="21"/>
          <w:szCs w:val="21"/>
        </w:rPr>
        <w:t>备注：执行企业会计准则解释第 17号及企业会计准则解释第 18号对本公司无影响。</w:t>
      </w:r>
    </w:p>
    <w:p w14:paraId="117B29F7">
      <w:pPr>
        <w:keepNext/>
        <w:keepLines/>
        <w:spacing w:before="300" w:after="300" w:line="280" w:lineRule="exact"/>
        <w:jc w:val="left"/>
        <w:outlineLvl w:val="3"/>
        <w:rPr>
          <w:rFonts w:ascii="宋体" w:hAnsi="宋体" w:eastAsia="宋体" w:cs="宋体"/>
          <w:b/>
          <w:bCs/>
          <w:sz w:val="18"/>
          <w:szCs w:val="18"/>
        </w:rPr>
      </w:pPr>
      <w:bookmarkStart w:id="220" w:name="_Toc989107"/>
      <w:r>
        <w:rPr>
          <w:rFonts w:ascii="宋体" w:hAnsi="宋体" w:eastAsia="宋体" w:cs="宋体"/>
          <w:b/>
          <w:bCs/>
          <w:sz w:val="18"/>
          <w:szCs w:val="18"/>
        </w:rPr>
        <w:t>（2） 重要会计估计变更</w:t>
      </w:r>
      <w:bookmarkEnd w:id="220"/>
    </w:p>
    <w:p w14:paraId="1EB35DA2">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9DD8541">
      <w:pPr>
        <w:keepNext/>
        <w:keepLines/>
        <w:spacing w:before="300" w:after="300" w:line="280" w:lineRule="exact"/>
        <w:jc w:val="left"/>
        <w:outlineLvl w:val="3"/>
        <w:rPr>
          <w:rFonts w:ascii="宋体" w:hAnsi="宋体" w:eastAsia="宋体" w:cs="宋体"/>
          <w:b/>
          <w:bCs/>
          <w:sz w:val="18"/>
          <w:szCs w:val="18"/>
        </w:rPr>
      </w:pPr>
      <w:bookmarkStart w:id="221" w:name="_Toc989108"/>
      <w:r>
        <w:rPr>
          <w:rFonts w:ascii="宋体" w:hAnsi="宋体" w:eastAsia="宋体" w:cs="宋体"/>
          <w:b/>
          <w:bCs/>
          <w:sz w:val="18"/>
          <w:szCs w:val="18"/>
        </w:rPr>
        <w:t>（3） 2024年起首次执行新会计准则调整首次执行当年年初财务报表相关项目情况</w:t>
      </w:r>
      <w:bookmarkEnd w:id="221"/>
    </w:p>
    <w:p w14:paraId="5E1DA166">
      <w:pPr>
        <w:spacing w:before="0" w:after="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573A5F2">
      <w:pPr>
        <w:keepNext/>
        <w:keepLines/>
        <w:spacing w:before="300" w:after="300" w:line="280" w:lineRule="exact"/>
        <w:jc w:val="left"/>
        <w:outlineLvl w:val="2"/>
        <w:rPr>
          <w:rFonts w:ascii="宋体" w:hAnsi="宋体" w:eastAsia="宋体" w:cs="宋体"/>
          <w:b/>
          <w:bCs/>
          <w:sz w:val="21"/>
          <w:szCs w:val="21"/>
        </w:rPr>
      </w:pPr>
      <w:bookmarkStart w:id="222" w:name="_Toc989109"/>
      <w:r>
        <w:rPr>
          <w:rFonts w:ascii="宋体" w:hAnsi="宋体" w:eastAsia="宋体" w:cs="宋体"/>
          <w:b/>
          <w:bCs/>
          <w:sz w:val="21"/>
          <w:szCs w:val="21"/>
        </w:rPr>
        <w:t>44、其他</w:t>
      </w:r>
      <w:bookmarkEnd w:id="222"/>
    </w:p>
    <w:p w14:paraId="3C797D8A">
      <w:pPr>
        <w:keepNext/>
        <w:keepLines/>
        <w:spacing w:before="300" w:after="300" w:line="320" w:lineRule="exact"/>
        <w:jc w:val="left"/>
        <w:outlineLvl w:val="1"/>
        <w:rPr>
          <w:rFonts w:ascii="宋体" w:hAnsi="宋体" w:eastAsia="宋体" w:cs="宋体"/>
          <w:b/>
          <w:bCs/>
          <w:sz w:val="24"/>
          <w:szCs w:val="24"/>
        </w:rPr>
      </w:pPr>
      <w:bookmarkStart w:id="223" w:name="_Toc989110"/>
      <w:r>
        <w:rPr>
          <w:rFonts w:ascii="宋体" w:hAnsi="宋体" w:eastAsia="宋体" w:cs="宋体"/>
          <w:b/>
          <w:bCs/>
          <w:sz w:val="24"/>
          <w:szCs w:val="24"/>
        </w:rPr>
        <w:t>六、税项</w:t>
      </w:r>
      <w:bookmarkEnd w:id="223"/>
    </w:p>
    <w:p w14:paraId="6065011A">
      <w:pPr>
        <w:keepNext/>
        <w:keepLines/>
        <w:spacing w:before="300" w:after="300" w:line="280" w:lineRule="exact"/>
        <w:jc w:val="left"/>
        <w:outlineLvl w:val="2"/>
        <w:rPr>
          <w:rFonts w:ascii="宋体" w:hAnsi="宋体" w:eastAsia="宋体" w:cs="宋体"/>
          <w:b/>
          <w:bCs/>
          <w:sz w:val="21"/>
          <w:szCs w:val="21"/>
        </w:rPr>
      </w:pPr>
      <w:bookmarkStart w:id="224" w:name="_Toc989111"/>
      <w:r>
        <w:rPr>
          <w:rFonts w:ascii="宋体" w:hAnsi="宋体" w:eastAsia="宋体" w:cs="宋体"/>
          <w:b/>
          <w:bCs/>
          <w:sz w:val="21"/>
          <w:szCs w:val="21"/>
        </w:rPr>
        <w:t>1、主要税种及税率</w:t>
      </w:r>
      <w:bookmarkEnd w:id="224"/>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7D4F04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D4A3546">
            <w:pPr>
              <w:spacing w:before="40" w:after="40" w:line="240" w:lineRule="exact"/>
              <w:jc w:val="center"/>
              <w:rPr>
                <w:rFonts w:ascii="宋体" w:hAnsi="宋体" w:eastAsia="宋体" w:cs="宋体"/>
                <w:sz w:val="18"/>
                <w:szCs w:val="18"/>
              </w:rPr>
            </w:pPr>
            <w:r>
              <w:rPr>
                <w:rFonts w:ascii="宋体" w:hAnsi="宋体" w:eastAsia="宋体" w:cs="宋体"/>
                <w:sz w:val="18"/>
                <w:szCs w:val="18"/>
              </w:rPr>
              <w:t>税种</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D53B015">
            <w:pPr>
              <w:spacing w:before="40" w:after="40" w:line="240" w:lineRule="exact"/>
              <w:jc w:val="center"/>
              <w:rPr>
                <w:rFonts w:ascii="宋体" w:hAnsi="宋体" w:eastAsia="宋体" w:cs="宋体"/>
                <w:sz w:val="18"/>
                <w:szCs w:val="18"/>
              </w:rPr>
            </w:pPr>
            <w:r>
              <w:rPr>
                <w:rFonts w:ascii="宋体" w:hAnsi="宋体" w:eastAsia="宋体" w:cs="宋体"/>
                <w:sz w:val="18"/>
                <w:szCs w:val="18"/>
              </w:rPr>
              <w:t>计税依据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8A5F942">
            <w:pPr>
              <w:spacing w:before="40" w:after="40" w:line="240" w:lineRule="exact"/>
              <w:jc w:val="center"/>
              <w:rPr>
                <w:rFonts w:ascii="宋体" w:hAnsi="宋体" w:eastAsia="宋体" w:cs="宋体"/>
                <w:sz w:val="18"/>
                <w:szCs w:val="18"/>
              </w:rPr>
            </w:pPr>
            <w:r>
              <w:rPr>
                <w:rFonts w:ascii="宋体" w:hAnsi="宋体" w:eastAsia="宋体" w:cs="宋体"/>
                <w:sz w:val="18"/>
                <w:szCs w:val="18"/>
              </w:rPr>
              <w:t>税率</w:t>
            </w:r>
          </w:p>
        </w:tc>
      </w:tr>
      <w:tr w14:paraId="49409F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B027ED6">
            <w:pPr>
              <w:spacing w:before="40" w:after="40" w:line="240" w:lineRule="exact"/>
              <w:jc w:val="left"/>
              <w:rPr>
                <w:rFonts w:ascii="宋体" w:hAnsi="宋体" w:eastAsia="宋体" w:cs="宋体"/>
                <w:sz w:val="18"/>
                <w:szCs w:val="18"/>
              </w:rPr>
            </w:pPr>
            <w:r>
              <w:rPr>
                <w:rFonts w:ascii="宋体" w:hAnsi="宋体" w:eastAsia="宋体" w:cs="宋体"/>
                <w:sz w:val="18"/>
                <w:szCs w:val="18"/>
              </w:rPr>
              <w:t>增值税</w:t>
            </w:r>
          </w:p>
        </w:tc>
        <w:tc>
          <w:tcPr>
            <w:tcW w:w="3213" w:type="dxa"/>
            <w:tcBorders>
              <w:top w:val="single" w:color="auto" w:sz="2" w:space="0"/>
              <w:left w:val="single" w:color="auto" w:sz="2" w:space="0"/>
              <w:bottom w:val="single" w:color="auto" w:sz="2" w:space="0"/>
              <w:right w:val="single" w:color="auto" w:sz="2" w:space="0"/>
            </w:tcBorders>
            <w:vAlign w:val="center"/>
          </w:tcPr>
          <w:p w14:paraId="173912B5">
            <w:pPr>
              <w:spacing w:before="0" w:after="0" w:line="240" w:lineRule="exact"/>
              <w:jc w:val="left"/>
              <w:rPr>
                <w:rFonts w:ascii="宋体" w:hAnsi="宋体" w:eastAsia="宋体" w:cs="宋体"/>
                <w:sz w:val="18"/>
                <w:szCs w:val="18"/>
              </w:rPr>
            </w:pPr>
            <w:r>
              <w:rPr>
                <w:rFonts w:ascii="宋体" w:hAnsi="宋体" w:eastAsia="宋体" w:cs="宋体"/>
                <w:sz w:val="18"/>
                <w:szCs w:val="18"/>
              </w:rPr>
              <w:t>销售货物过程中产生的增值额</w:t>
            </w:r>
          </w:p>
        </w:tc>
        <w:tc>
          <w:tcPr>
            <w:tcW w:w="3213" w:type="dxa"/>
            <w:tcBorders>
              <w:top w:val="single" w:color="auto" w:sz="2" w:space="0"/>
              <w:left w:val="single" w:color="auto" w:sz="2" w:space="0"/>
              <w:bottom w:val="single" w:color="auto" w:sz="2" w:space="0"/>
              <w:right w:val="single" w:color="auto" w:sz="2" w:space="0"/>
            </w:tcBorders>
            <w:vAlign w:val="center"/>
          </w:tcPr>
          <w:p w14:paraId="7FF05DF7">
            <w:pPr>
              <w:spacing w:before="0" w:after="0" w:line="240" w:lineRule="exact"/>
              <w:jc w:val="left"/>
              <w:rPr>
                <w:rFonts w:ascii="宋体" w:hAnsi="宋体" w:eastAsia="宋体" w:cs="宋体"/>
                <w:sz w:val="18"/>
                <w:szCs w:val="18"/>
              </w:rPr>
            </w:pPr>
            <w:r>
              <w:rPr>
                <w:rFonts w:ascii="宋体" w:hAnsi="宋体" w:eastAsia="宋体" w:cs="宋体"/>
                <w:sz w:val="18"/>
                <w:szCs w:val="18"/>
              </w:rPr>
              <w:t>13%、9%、6%、5%、3%</w:t>
            </w:r>
          </w:p>
        </w:tc>
      </w:tr>
      <w:tr w14:paraId="12FD9D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1028EB9">
            <w:pPr>
              <w:spacing w:before="40" w:after="40" w:line="240" w:lineRule="exact"/>
              <w:jc w:val="left"/>
              <w:rPr>
                <w:rFonts w:ascii="宋体" w:hAnsi="宋体" w:eastAsia="宋体" w:cs="宋体"/>
                <w:sz w:val="18"/>
                <w:szCs w:val="18"/>
              </w:rPr>
            </w:pPr>
            <w:r>
              <w:rPr>
                <w:rFonts w:ascii="宋体" w:hAnsi="宋体" w:eastAsia="宋体" w:cs="宋体"/>
                <w:sz w:val="18"/>
                <w:szCs w:val="18"/>
              </w:rPr>
              <w:t>城市维护建设税</w:t>
            </w:r>
          </w:p>
        </w:tc>
        <w:tc>
          <w:tcPr>
            <w:tcW w:w="3213" w:type="dxa"/>
            <w:tcBorders>
              <w:top w:val="single" w:color="auto" w:sz="2" w:space="0"/>
              <w:left w:val="single" w:color="auto" w:sz="2" w:space="0"/>
              <w:bottom w:val="single" w:color="auto" w:sz="2" w:space="0"/>
              <w:right w:val="single" w:color="auto" w:sz="2" w:space="0"/>
            </w:tcBorders>
            <w:vAlign w:val="center"/>
          </w:tcPr>
          <w:p w14:paraId="3030A568">
            <w:pPr>
              <w:spacing w:before="0" w:after="0" w:line="240" w:lineRule="exact"/>
              <w:jc w:val="left"/>
              <w:rPr>
                <w:rFonts w:ascii="宋体" w:hAnsi="宋体" w:eastAsia="宋体" w:cs="宋体"/>
                <w:sz w:val="18"/>
                <w:szCs w:val="18"/>
              </w:rPr>
            </w:pPr>
            <w:r>
              <w:rPr>
                <w:rFonts w:ascii="宋体" w:hAnsi="宋体" w:eastAsia="宋体" w:cs="宋体"/>
                <w:sz w:val="18"/>
                <w:szCs w:val="18"/>
              </w:rPr>
              <w:t>实缴流转税税额</w:t>
            </w:r>
          </w:p>
        </w:tc>
        <w:tc>
          <w:tcPr>
            <w:tcW w:w="3213" w:type="dxa"/>
            <w:tcBorders>
              <w:top w:val="single" w:color="auto" w:sz="2" w:space="0"/>
              <w:left w:val="single" w:color="auto" w:sz="2" w:space="0"/>
              <w:bottom w:val="single" w:color="auto" w:sz="2" w:space="0"/>
              <w:right w:val="single" w:color="auto" w:sz="2" w:space="0"/>
            </w:tcBorders>
            <w:vAlign w:val="center"/>
          </w:tcPr>
          <w:p w14:paraId="21EDD873">
            <w:pPr>
              <w:spacing w:before="0" w:after="0" w:line="240" w:lineRule="exact"/>
              <w:jc w:val="left"/>
              <w:rPr>
                <w:rFonts w:ascii="宋体" w:hAnsi="宋体" w:eastAsia="宋体" w:cs="宋体"/>
                <w:sz w:val="18"/>
                <w:szCs w:val="18"/>
              </w:rPr>
            </w:pPr>
            <w:r>
              <w:rPr>
                <w:rFonts w:ascii="宋体" w:hAnsi="宋体" w:eastAsia="宋体" w:cs="宋体"/>
                <w:sz w:val="18"/>
                <w:szCs w:val="18"/>
              </w:rPr>
              <w:t>7%、5%、1%</w:t>
            </w:r>
          </w:p>
        </w:tc>
      </w:tr>
      <w:tr w14:paraId="3A2926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B391CFC">
            <w:pPr>
              <w:spacing w:before="40" w:after="40" w:line="240" w:lineRule="exact"/>
              <w:jc w:val="left"/>
              <w:rPr>
                <w:rFonts w:ascii="宋体" w:hAnsi="宋体" w:eastAsia="宋体" w:cs="宋体"/>
                <w:sz w:val="18"/>
                <w:szCs w:val="18"/>
              </w:rPr>
            </w:pPr>
            <w:r>
              <w:rPr>
                <w:rFonts w:ascii="宋体" w:hAnsi="宋体" w:eastAsia="宋体" w:cs="宋体"/>
                <w:sz w:val="18"/>
                <w:szCs w:val="18"/>
              </w:rPr>
              <w:t>企业所得税</w:t>
            </w:r>
          </w:p>
        </w:tc>
        <w:tc>
          <w:tcPr>
            <w:tcW w:w="3213" w:type="dxa"/>
            <w:tcBorders>
              <w:top w:val="single" w:color="auto" w:sz="2" w:space="0"/>
              <w:left w:val="single" w:color="auto" w:sz="2" w:space="0"/>
              <w:bottom w:val="single" w:color="auto" w:sz="2" w:space="0"/>
              <w:right w:val="single" w:color="auto" w:sz="2" w:space="0"/>
            </w:tcBorders>
            <w:vAlign w:val="center"/>
          </w:tcPr>
          <w:p w14:paraId="701AF355">
            <w:pPr>
              <w:spacing w:before="0" w:after="0" w:line="240" w:lineRule="exact"/>
              <w:jc w:val="left"/>
              <w:rPr>
                <w:rFonts w:ascii="宋体" w:hAnsi="宋体" w:eastAsia="宋体" w:cs="宋体"/>
                <w:sz w:val="18"/>
                <w:szCs w:val="18"/>
              </w:rPr>
            </w:pPr>
            <w:r>
              <w:rPr>
                <w:rFonts w:ascii="宋体" w:hAnsi="宋体" w:eastAsia="宋体" w:cs="宋体"/>
                <w:sz w:val="18"/>
                <w:szCs w:val="18"/>
              </w:rPr>
              <w:t>应纳税所得额</w:t>
            </w:r>
          </w:p>
        </w:tc>
        <w:tc>
          <w:tcPr>
            <w:tcW w:w="3213" w:type="dxa"/>
            <w:tcBorders>
              <w:top w:val="single" w:color="auto" w:sz="2" w:space="0"/>
              <w:left w:val="single" w:color="auto" w:sz="2" w:space="0"/>
              <w:bottom w:val="single" w:color="auto" w:sz="2" w:space="0"/>
              <w:right w:val="single" w:color="auto" w:sz="2" w:space="0"/>
            </w:tcBorders>
            <w:vAlign w:val="center"/>
          </w:tcPr>
          <w:p w14:paraId="418A8A19">
            <w:pPr>
              <w:spacing w:before="0" w:after="0" w:line="240" w:lineRule="exact"/>
              <w:jc w:val="left"/>
              <w:rPr>
                <w:rFonts w:ascii="宋体" w:hAnsi="宋体" w:eastAsia="宋体" w:cs="宋体"/>
                <w:sz w:val="18"/>
                <w:szCs w:val="18"/>
              </w:rPr>
            </w:pPr>
            <w:r>
              <w:rPr>
                <w:rFonts w:ascii="宋体" w:hAnsi="宋体" w:eastAsia="宋体" w:cs="宋体"/>
                <w:sz w:val="18"/>
                <w:szCs w:val="18"/>
              </w:rPr>
              <w:t>25%、20%、15%</w:t>
            </w:r>
          </w:p>
        </w:tc>
      </w:tr>
      <w:tr w14:paraId="20D701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0AD6DCC">
            <w:pPr>
              <w:spacing w:before="0" w:after="0" w:line="240" w:lineRule="exact"/>
              <w:jc w:val="left"/>
              <w:rPr>
                <w:rFonts w:ascii="宋体" w:hAnsi="宋体" w:eastAsia="宋体" w:cs="宋体"/>
                <w:sz w:val="18"/>
                <w:szCs w:val="18"/>
              </w:rPr>
            </w:pPr>
            <w:r>
              <w:rPr>
                <w:rFonts w:ascii="宋体" w:hAnsi="宋体" w:eastAsia="宋体" w:cs="宋体"/>
                <w:sz w:val="18"/>
                <w:szCs w:val="18"/>
              </w:rPr>
              <w:t>房产税</w:t>
            </w:r>
          </w:p>
        </w:tc>
        <w:tc>
          <w:tcPr>
            <w:tcW w:w="3213" w:type="dxa"/>
            <w:tcBorders>
              <w:top w:val="single" w:color="auto" w:sz="2" w:space="0"/>
              <w:left w:val="single" w:color="auto" w:sz="2" w:space="0"/>
              <w:bottom w:val="single" w:color="auto" w:sz="2" w:space="0"/>
              <w:right w:val="single" w:color="auto" w:sz="2" w:space="0"/>
            </w:tcBorders>
            <w:vAlign w:val="center"/>
          </w:tcPr>
          <w:p w14:paraId="32AA82E1">
            <w:pPr>
              <w:spacing w:before="0" w:after="0" w:line="240" w:lineRule="exact"/>
              <w:jc w:val="left"/>
              <w:rPr>
                <w:rFonts w:ascii="宋体" w:hAnsi="宋体" w:eastAsia="宋体" w:cs="宋体"/>
                <w:sz w:val="18"/>
                <w:szCs w:val="18"/>
              </w:rPr>
            </w:pPr>
            <w:r>
              <w:rPr>
                <w:rFonts w:ascii="宋体" w:hAnsi="宋体" w:eastAsia="宋体" w:cs="宋体"/>
                <w:sz w:val="18"/>
                <w:szCs w:val="18"/>
              </w:rPr>
              <w:t>按照房产原值的70%（或租金收入）为纳税基准</w:t>
            </w:r>
          </w:p>
        </w:tc>
        <w:tc>
          <w:tcPr>
            <w:tcW w:w="3213" w:type="dxa"/>
            <w:tcBorders>
              <w:top w:val="single" w:color="auto" w:sz="2" w:space="0"/>
              <w:left w:val="single" w:color="auto" w:sz="2" w:space="0"/>
              <w:bottom w:val="single" w:color="auto" w:sz="2" w:space="0"/>
              <w:right w:val="single" w:color="auto" w:sz="2" w:space="0"/>
            </w:tcBorders>
            <w:vAlign w:val="center"/>
          </w:tcPr>
          <w:p w14:paraId="33F5CF87">
            <w:pPr>
              <w:spacing w:before="0" w:after="0" w:line="240" w:lineRule="exact"/>
              <w:jc w:val="left"/>
              <w:rPr>
                <w:rFonts w:ascii="宋体" w:hAnsi="宋体" w:eastAsia="宋体" w:cs="宋体"/>
                <w:sz w:val="18"/>
                <w:szCs w:val="18"/>
              </w:rPr>
            </w:pPr>
            <w:r>
              <w:rPr>
                <w:rFonts w:ascii="宋体" w:hAnsi="宋体" w:eastAsia="宋体" w:cs="宋体"/>
                <w:sz w:val="18"/>
                <w:szCs w:val="18"/>
              </w:rPr>
              <w:t>12%或1.2%</w:t>
            </w:r>
          </w:p>
        </w:tc>
      </w:tr>
      <w:tr w14:paraId="2E4013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5008AE9">
            <w:pPr>
              <w:spacing w:before="0" w:after="0" w:line="240" w:lineRule="exact"/>
              <w:jc w:val="left"/>
              <w:rPr>
                <w:rFonts w:ascii="宋体" w:hAnsi="宋体" w:eastAsia="宋体" w:cs="宋体"/>
                <w:sz w:val="18"/>
                <w:szCs w:val="18"/>
              </w:rPr>
            </w:pPr>
            <w:r>
              <w:rPr>
                <w:rFonts w:ascii="宋体" w:hAnsi="宋体" w:eastAsia="宋体" w:cs="宋体"/>
                <w:sz w:val="18"/>
                <w:szCs w:val="18"/>
              </w:rPr>
              <w:t>教育费附加</w:t>
            </w:r>
          </w:p>
        </w:tc>
        <w:tc>
          <w:tcPr>
            <w:tcW w:w="3213" w:type="dxa"/>
            <w:tcBorders>
              <w:top w:val="single" w:color="auto" w:sz="2" w:space="0"/>
              <w:left w:val="single" w:color="auto" w:sz="2" w:space="0"/>
              <w:bottom w:val="single" w:color="auto" w:sz="2" w:space="0"/>
              <w:right w:val="single" w:color="auto" w:sz="2" w:space="0"/>
            </w:tcBorders>
            <w:vAlign w:val="center"/>
          </w:tcPr>
          <w:p w14:paraId="35527DC4">
            <w:pPr>
              <w:spacing w:before="0" w:after="0" w:line="240" w:lineRule="exact"/>
              <w:jc w:val="left"/>
              <w:rPr>
                <w:rFonts w:ascii="宋体" w:hAnsi="宋体" w:eastAsia="宋体" w:cs="宋体"/>
                <w:sz w:val="18"/>
                <w:szCs w:val="18"/>
              </w:rPr>
            </w:pPr>
            <w:r>
              <w:rPr>
                <w:rFonts w:ascii="宋体" w:hAnsi="宋体" w:eastAsia="宋体" w:cs="宋体"/>
                <w:sz w:val="18"/>
                <w:szCs w:val="18"/>
              </w:rPr>
              <w:t>应交增值税</w:t>
            </w:r>
          </w:p>
        </w:tc>
        <w:tc>
          <w:tcPr>
            <w:tcW w:w="3213" w:type="dxa"/>
            <w:tcBorders>
              <w:top w:val="single" w:color="auto" w:sz="2" w:space="0"/>
              <w:left w:val="single" w:color="auto" w:sz="2" w:space="0"/>
              <w:bottom w:val="single" w:color="auto" w:sz="2" w:space="0"/>
              <w:right w:val="single" w:color="auto" w:sz="2" w:space="0"/>
            </w:tcBorders>
            <w:vAlign w:val="center"/>
          </w:tcPr>
          <w:p w14:paraId="3EEC38AA">
            <w:pPr>
              <w:spacing w:before="0" w:after="0" w:line="240" w:lineRule="exact"/>
              <w:jc w:val="left"/>
              <w:rPr>
                <w:rFonts w:ascii="宋体" w:hAnsi="宋体" w:eastAsia="宋体" w:cs="宋体"/>
                <w:sz w:val="18"/>
                <w:szCs w:val="18"/>
              </w:rPr>
            </w:pPr>
            <w:r>
              <w:rPr>
                <w:rFonts w:ascii="宋体" w:hAnsi="宋体" w:eastAsia="宋体" w:cs="宋体"/>
                <w:sz w:val="18"/>
                <w:szCs w:val="18"/>
              </w:rPr>
              <w:t>3%</w:t>
            </w:r>
          </w:p>
        </w:tc>
      </w:tr>
      <w:tr w14:paraId="703964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5BD88DD">
            <w:pPr>
              <w:spacing w:before="0" w:after="0" w:line="240" w:lineRule="exact"/>
              <w:jc w:val="left"/>
              <w:rPr>
                <w:rFonts w:ascii="宋体" w:hAnsi="宋体" w:eastAsia="宋体" w:cs="宋体"/>
                <w:sz w:val="18"/>
                <w:szCs w:val="18"/>
              </w:rPr>
            </w:pPr>
            <w:r>
              <w:rPr>
                <w:rFonts w:ascii="宋体" w:hAnsi="宋体" w:eastAsia="宋体" w:cs="宋体"/>
                <w:sz w:val="18"/>
                <w:szCs w:val="18"/>
              </w:rPr>
              <w:t>地方教育费附加</w:t>
            </w:r>
          </w:p>
        </w:tc>
        <w:tc>
          <w:tcPr>
            <w:tcW w:w="3213" w:type="dxa"/>
            <w:tcBorders>
              <w:top w:val="single" w:color="auto" w:sz="2" w:space="0"/>
              <w:left w:val="single" w:color="auto" w:sz="2" w:space="0"/>
              <w:bottom w:val="single" w:color="auto" w:sz="2" w:space="0"/>
              <w:right w:val="single" w:color="auto" w:sz="2" w:space="0"/>
            </w:tcBorders>
            <w:vAlign w:val="center"/>
          </w:tcPr>
          <w:p w14:paraId="16F5F5A1">
            <w:pPr>
              <w:spacing w:before="0" w:after="0" w:line="240" w:lineRule="exact"/>
              <w:jc w:val="left"/>
              <w:rPr>
                <w:rFonts w:ascii="宋体" w:hAnsi="宋体" w:eastAsia="宋体" w:cs="宋体"/>
                <w:sz w:val="18"/>
                <w:szCs w:val="18"/>
              </w:rPr>
            </w:pPr>
            <w:r>
              <w:rPr>
                <w:rFonts w:ascii="宋体" w:hAnsi="宋体" w:eastAsia="宋体" w:cs="宋体"/>
                <w:sz w:val="18"/>
                <w:szCs w:val="18"/>
              </w:rPr>
              <w:t>应交增值税</w:t>
            </w:r>
          </w:p>
        </w:tc>
        <w:tc>
          <w:tcPr>
            <w:tcW w:w="3213" w:type="dxa"/>
            <w:tcBorders>
              <w:top w:val="single" w:color="auto" w:sz="2" w:space="0"/>
              <w:left w:val="single" w:color="auto" w:sz="2" w:space="0"/>
              <w:bottom w:val="single" w:color="auto" w:sz="2" w:space="0"/>
              <w:right w:val="single" w:color="auto" w:sz="2" w:space="0"/>
            </w:tcBorders>
            <w:vAlign w:val="center"/>
          </w:tcPr>
          <w:p w14:paraId="35893201">
            <w:pPr>
              <w:spacing w:before="0" w:after="0" w:line="240" w:lineRule="exact"/>
              <w:jc w:val="left"/>
              <w:rPr>
                <w:rFonts w:ascii="宋体" w:hAnsi="宋体" w:eastAsia="宋体" w:cs="宋体"/>
                <w:sz w:val="18"/>
                <w:szCs w:val="18"/>
              </w:rPr>
            </w:pPr>
            <w:r>
              <w:rPr>
                <w:rFonts w:ascii="宋体" w:hAnsi="宋体" w:eastAsia="宋体" w:cs="宋体"/>
                <w:sz w:val="18"/>
                <w:szCs w:val="18"/>
              </w:rPr>
              <w:t>2%</w:t>
            </w:r>
          </w:p>
        </w:tc>
      </w:tr>
    </w:tbl>
    <w:p w14:paraId="5F5880DC">
      <w:pPr>
        <w:spacing w:before="40" w:after="40" w:line="240" w:lineRule="exact"/>
        <w:jc w:val="left"/>
        <w:rPr>
          <w:rFonts w:ascii="宋体" w:hAnsi="宋体" w:eastAsia="宋体" w:cs="宋体"/>
          <w:sz w:val="18"/>
          <w:szCs w:val="18"/>
        </w:rPr>
      </w:pPr>
      <w:r>
        <w:rPr>
          <w:rFonts w:ascii="宋体" w:hAnsi="宋体" w:eastAsia="宋体" w:cs="宋体"/>
          <w:sz w:val="18"/>
          <w:szCs w:val="18"/>
        </w:rPr>
        <w:t>存在不同企业所得税税率纳税主体的，披露情况说明</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3771E2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C4EF2C8">
            <w:pPr>
              <w:spacing w:before="40" w:after="40" w:line="240" w:lineRule="exact"/>
              <w:jc w:val="center"/>
              <w:rPr>
                <w:rFonts w:ascii="宋体" w:hAnsi="宋体" w:eastAsia="宋体" w:cs="宋体"/>
                <w:sz w:val="18"/>
                <w:szCs w:val="18"/>
              </w:rPr>
            </w:pPr>
            <w:r>
              <w:rPr>
                <w:rFonts w:ascii="宋体" w:hAnsi="宋体" w:eastAsia="宋体" w:cs="宋体"/>
                <w:sz w:val="18"/>
                <w:szCs w:val="18"/>
              </w:rPr>
              <w:t>纳税主体名称</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B4A11C6">
            <w:pPr>
              <w:spacing w:before="40" w:after="40" w:line="240" w:lineRule="exact"/>
              <w:jc w:val="center"/>
              <w:rPr>
                <w:rFonts w:ascii="宋体" w:hAnsi="宋体" w:eastAsia="宋体" w:cs="宋体"/>
                <w:sz w:val="18"/>
                <w:szCs w:val="18"/>
              </w:rPr>
            </w:pPr>
            <w:r>
              <w:rPr>
                <w:rFonts w:ascii="宋体" w:hAnsi="宋体" w:eastAsia="宋体" w:cs="宋体"/>
                <w:sz w:val="18"/>
                <w:szCs w:val="18"/>
              </w:rPr>
              <w:t>所得税税率</w:t>
            </w:r>
          </w:p>
        </w:tc>
      </w:tr>
      <w:tr w14:paraId="5B5700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229A6C76">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福建广生堂药业股份有限公司</w:t>
            </w:r>
          </w:p>
        </w:tc>
        <w:tc>
          <w:tcPr>
            <w:tcW w:w="4820" w:type="dxa"/>
            <w:tcBorders>
              <w:top w:val="single" w:color="auto" w:sz="2" w:space="0"/>
              <w:left w:val="single" w:color="auto" w:sz="2" w:space="0"/>
              <w:bottom w:val="single" w:color="auto" w:sz="2" w:space="0"/>
              <w:right w:val="single" w:color="auto" w:sz="2" w:space="0"/>
            </w:tcBorders>
            <w:vAlign w:val="center"/>
          </w:tcPr>
          <w:p w14:paraId="771103B4">
            <w:pPr>
              <w:spacing w:before="0" w:after="0" w:line="240" w:lineRule="exact"/>
              <w:jc w:val="left"/>
              <w:rPr>
                <w:rFonts w:ascii="宋体" w:hAnsi="宋体" w:eastAsia="宋体" w:cs="宋体"/>
                <w:sz w:val="18"/>
                <w:szCs w:val="18"/>
              </w:rPr>
            </w:pPr>
            <w:r>
              <w:rPr>
                <w:rFonts w:ascii="宋体" w:hAnsi="宋体" w:eastAsia="宋体" w:cs="宋体"/>
                <w:sz w:val="18"/>
                <w:szCs w:val="18"/>
              </w:rPr>
              <w:t>15%</w:t>
            </w:r>
          </w:p>
        </w:tc>
      </w:tr>
      <w:tr w14:paraId="426338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03769025">
            <w:pPr>
              <w:spacing w:before="0" w:after="0" w:line="240" w:lineRule="exact"/>
              <w:jc w:val="left"/>
              <w:rPr>
                <w:rFonts w:ascii="宋体" w:hAnsi="宋体" w:eastAsia="宋体" w:cs="宋体"/>
                <w:sz w:val="18"/>
                <w:szCs w:val="18"/>
              </w:rPr>
            </w:pPr>
            <w:r>
              <w:rPr>
                <w:rFonts w:ascii="宋体" w:hAnsi="宋体" w:eastAsia="宋体" w:cs="宋体"/>
                <w:sz w:val="18"/>
                <w:szCs w:val="18"/>
              </w:rPr>
              <w:t>其他子公司</w:t>
            </w:r>
          </w:p>
        </w:tc>
        <w:tc>
          <w:tcPr>
            <w:tcW w:w="4820" w:type="dxa"/>
            <w:tcBorders>
              <w:top w:val="single" w:color="auto" w:sz="2" w:space="0"/>
              <w:left w:val="single" w:color="auto" w:sz="2" w:space="0"/>
              <w:bottom w:val="single" w:color="auto" w:sz="2" w:space="0"/>
              <w:right w:val="single" w:color="auto" w:sz="2" w:space="0"/>
            </w:tcBorders>
            <w:vAlign w:val="center"/>
          </w:tcPr>
          <w:p w14:paraId="6AEE39D5">
            <w:pPr>
              <w:spacing w:before="0" w:after="0" w:line="240" w:lineRule="exact"/>
              <w:jc w:val="left"/>
              <w:rPr>
                <w:rFonts w:ascii="宋体" w:hAnsi="宋体" w:eastAsia="宋体" w:cs="宋体"/>
                <w:sz w:val="18"/>
                <w:szCs w:val="18"/>
              </w:rPr>
            </w:pPr>
            <w:r>
              <w:rPr>
                <w:rFonts w:ascii="宋体" w:hAnsi="宋体" w:eastAsia="宋体" w:cs="宋体"/>
                <w:sz w:val="18"/>
                <w:szCs w:val="18"/>
              </w:rPr>
              <w:t>25%、20%</w:t>
            </w:r>
          </w:p>
        </w:tc>
      </w:tr>
    </w:tbl>
    <w:p w14:paraId="7A87F743">
      <w:pPr>
        <w:keepNext/>
        <w:keepLines/>
        <w:spacing w:before="300" w:after="300" w:line="280" w:lineRule="exact"/>
        <w:jc w:val="left"/>
        <w:outlineLvl w:val="2"/>
        <w:rPr>
          <w:rFonts w:ascii="宋体" w:hAnsi="宋体" w:eastAsia="宋体" w:cs="宋体"/>
          <w:b/>
          <w:bCs/>
          <w:sz w:val="21"/>
          <w:szCs w:val="21"/>
        </w:rPr>
      </w:pPr>
      <w:bookmarkStart w:id="225" w:name="_Toc989112"/>
      <w:r>
        <w:rPr>
          <w:rFonts w:ascii="宋体" w:hAnsi="宋体" w:eastAsia="宋体" w:cs="宋体"/>
          <w:b/>
          <w:bCs/>
          <w:sz w:val="21"/>
          <w:szCs w:val="21"/>
        </w:rPr>
        <w:t>2、税收优惠</w:t>
      </w:r>
      <w:bookmarkEnd w:id="225"/>
    </w:p>
    <w:p w14:paraId="32833FA8">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1.根据全国高新技术企业认定管理工作领导小组办公室于2024年12月30日发布的《对福建省认定机构2024年认定报备的第二批高新技术企业进行备案的公告》，公司已被列入《福建省认定机构2024年认定报备的第二批高新技术企业备案名单》，高新技术企业证书编号：GR202435002012，2024年至2026年度公司执行15%的企业所得税税率。</w:t>
      </w:r>
    </w:p>
    <w:p w14:paraId="71239134">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2.根据《财政部 税务总局关于进一步支持小微企业和个体工商户发展有关税费政策的公告》（财政部 税务总局公告2023年第12号）规定，至2027年12月31日，对小型微利企业减按25%计算应纳税所得额，按20%的税率缴纳企业所得税政策。</w:t>
      </w:r>
    </w:p>
    <w:p w14:paraId="33D487CA">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3.根据《财政部 税务总局关于进一步完善税前加计扣除政策的公告》（2021年第13号）规定，自2021年1月1日起，公司及及合并报表范围内的其他公司开展研发活动中实际发生的研发费用，未形成无形资产计入当期损益的，在按规定据实扣除的基础上，再按照实际发生额的100%在税前加计扣除；形成无形资产的，自2021年1月1日起，按照无形资产成本的200%在税前摊销。</w:t>
      </w:r>
    </w:p>
    <w:p w14:paraId="399F6FE3">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4.根据《财政部 税务总局关于设备器具扣除有关企业所得税政策的通知》（财税〔2018〕54号）、《财政部 税务总局关于延长部分税收优惠政策执行期限的公告》（财政部 税务总局公告2021年第6号）、《财政部 税务总局关于设备、器具扣除有关企业所得税政策的公告》（财政部 税务总局公告2023年第37号）等相关规定，公司及及合并报表范围内的其他公司在相应期间内对符合条件的固定资产一次性计入当期成本费用在计算应纳税所得额时扣除。</w:t>
      </w:r>
    </w:p>
    <w:p w14:paraId="1251F987">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5.《财政部税务总局关于进一步加大增值税期末留抵退税政策实施力度的公告》（财政部税务总局公告2022年第14号）、《财政部税务总局关于进一步持续加快增值税期末留抵退税政策实施进度的公告》（财政部税务总局公告2022年第19号），公司及及合并报表范围内的其他公司依据相关政策规定向主管税务机关申请退还存量留抵税额。</w:t>
      </w:r>
    </w:p>
    <w:p w14:paraId="2E3E885B">
      <w:pPr>
        <w:pStyle w:val="2"/>
        <w:keepNext w:val="0"/>
        <w:keepLines w:val="0"/>
        <w:widowControl/>
        <w:suppressLineNumbers w:val="0"/>
        <w:spacing w:before="0" w:beforeAutospacing="1" w:after="0" w:afterAutospacing="1" w:line="360" w:lineRule="auto"/>
        <w:ind w:left="0" w:right="0" w:firstLine="420"/>
        <w:jc w:val="both"/>
      </w:pPr>
      <w:r>
        <w:rPr>
          <w:rFonts w:hint="eastAsia" w:ascii="宋体" w:hAnsi="宋体" w:eastAsia="宋体" w:cs="宋体"/>
          <w:sz w:val="21"/>
          <w:szCs w:val="21"/>
        </w:rPr>
        <w:t>6.《财政部税务总局关于进一步实施小微企业“六税两费”减免政策的公告》（财政部税务总局公告2022年第10号），公司及合并报表范围内的其他公司满足增值税小规模纳税人、小型微利企业条件的，根据相关政策在2022年1月1日至2024年12月31日，资源税、城市维护建设税、房产税、城镇土地使用税、印花税（不含证券交易印花税）、耕地占用税和教育费附加、地方教育附加减按50%缴纳。</w:t>
      </w:r>
    </w:p>
    <w:p w14:paraId="24266BD4">
      <w:pPr>
        <w:keepNext/>
        <w:keepLines/>
        <w:spacing w:before="300" w:after="300" w:line="280" w:lineRule="exact"/>
        <w:jc w:val="left"/>
        <w:outlineLvl w:val="2"/>
        <w:rPr>
          <w:rFonts w:ascii="宋体" w:hAnsi="宋体" w:eastAsia="宋体" w:cs="宋体"/>
          <w:b/>
          <w:bCs/>
          <w:sz w:val="21"/>
          <w:szCs w:val="21"/>
        </w:rPr>
      </w:pPr>
      <w:bookmarkStart w:id="226" w:name="_Toc989113"/>
      <w:r>
        <w:rPr>
          <w:rFonts w:ascii="宋体" w:hAnsi="宋体" w:eastAsia="宋体" w:cs="宋体"/>
          <w:b/>
          <w:bCs/>
          <w:sz w:val="21"/>
          <w:szCs w:val="21"/>
        </w:rPr>
        <w:t>3、其他</w:t>
      </w:r>
      <w:bookmarkEnd w:id="226"/>
    </w:p>
    <w:p w14:paraId="23F54DDA">
      <w:pPr>
        <w:keepNext/>
        <w:keepLines/>
        <w:spacing w:before="300" w:after="300" w:line="320" w:lineRule="exact"/>
        <w:jc w:val="left"/>
        <w:outlineLvl w:val="1"/>
        <w:rPr>
          <w:rFonts w:ascii="宋体" w:hAnsi="宋体" w:eastAsia="宋体" w:cs="宋体"/>
          <w:b/>
          <w:bCs/>
          <w:sz w:val="24"/>
          <w:szCs w:val="24"/>
        </w:rPr>
      </w:pPr>
      <w:bookmarkStart w:id="227" w:name="_Toc989114"/>
      <w:r>
        <w:rPr>
          <w:rFonts w:ascii="宋体" w:hAnsi="宋体" w:eastAsia="宋体" w:cs="宋体"/>
          <w:b/>
          <w:bCs/>
          <w:sz w:val="24"/>
          <w:szCs w:val="24"/>
        </w:rPr>
        <w:t>七、合并财务报表项目注释</w:t>
      </w:r>
      <w:bookmarkEnd w:id="227"/>
    </w:p>
    <w:p w14:paraId="72DC4A3C">
      <w:pPr>
        <w:keepNext/>
        <w:keepLines/>
        <w:spacing w:before="300" w:after="300" w:line="280" w:lineRule="exact"/>
        <w:jc w:val="left"/>
        <w:outlineLvl w:val="2"/>
        <w:rPr>
          <w:rFonts w:ascii="宋体" w:hAnsi="宋体" w:eastAsia="宋体" w:cs="宋体"/>
          <w:b/>
          <w:bCs/>
          <w:sz w:val="21"/>
          <w:szCs w:val="21"/>
        </w:rPr>
      </w:pPr>
      <w:bookmarkStart w:id="228" w:name="_Toc989115"/>
      <w:r>
        <w:rPr>
          <w:rFonts w:ascii="宋体" w:hAnsi="宋体" w:eastAsia="宋体" w:cs="宋体"/>
          <w:b/>
          <w:bCs/>
          <w:sz w:val="21"/>
          <w:szCs w:val="21"/>
        </w:rPr>
        <w:t>1、货币资金</w:t>
      </w:r>
      <w:bookmarkEnd w:id="228"/>
    </w:p>
    <w:p w14:paraId="301771E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79A9E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4C1E21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10BE21">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AFD4E0C">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0B0A2D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CBECBFB">
            <w:pPr>
              <w:spacing w:before="40" w:after="40" w:line="240" w:lineRule="exact"/>
              <w:jc w:val="left"/>
              <w:rPr>
                <w:rFonts w:ascii="宋体" w:hAnsi="宋体" w:eastAsia="宋体" w:cs="宋体"/>
                <w:sz w:val="18"/>
                <w:szCs w:val="18"/>
              </w:rPr>
            </w:pPr>
            <w:r>
              <w:rPr>
                <w:rFonts w:ascii="宋体" w:hAnsi="宋体" w:eastAsia="宋体" w:cs="宋体"/>
                <w:sz w:val="18"/>
                <w:szCs w:val="18"/>
              </w:rPr>
              <w:t>银行存款</w:t>
            </w:r>
          </w:p>
        </w:tc>
        <w:tc>
          <w:tcPr>
            <w:tcW w:w="3213" w:type="dxa"/>
            <w:tcBorders>
              <w:top w:val="single" w:color="auto" w:sz="2" w:space="0"/>
              <w:left w:val="single" w:color="auto" w:sz="2" w:space="0"/>
              <w:bottom w:val="single" w:color="auto" w:sz="2" w:space="0"/>
              <w:right w:val="single" w:color="auto" w:sz="2" w:space="0"/>
            </w:tcBorders>
            <w:vAlign w:val="center"/>
          </w:tcPr>
          <w:p w14:paraId="2308933D">
            <w:pPr>
              <w:spacing w:before="0" w:after="0" w:line="240" w:lineRule="exact"/>
              <w:jc w:val="right"/>
              <w:rPr>
                <w:rFonts w:ascii="宋体" w:hAnsi="宋体" w:eastAsia="宋体" w:cs="宋体"/>
                <w:sz w:val="18"/>
                <w:szCs w:val="18"/>
              </w:rPr>
            </w:pPr>
            <w:r>
              <w:rPr>
                <w:rFonts w:ascii="宋体" w:hAnsi="宋体" w:eastAsia="宋体" w:cs="宋体"/>
                <w:sz w:val="18"/>
                <w:szCs w:val="18"/>
              </w:rPr>
              <w:t>143,754,066.36</w:t>
            </w:r>
          </w:p>
        </w:tc>
        <w:tc>
          <w:tcPr>
            <w:tcW w:w="3213" w:type="dxa"/>
            <w:tcBorders>
              <w:top w:val="single" w:color="auto" w:sz="2" w:space="0"/>
              <w:left w:val="single" w:color="auto" w:sz="2" w:space="0"/>
              <w:bottom w:val="single" w:color="auto" w:sz="2" w:space="0"/>
              <w:right w:val="single" w:color="auto" w:sz="2" w:space="0"/>
            </w:tcBorders>
            <w:vAlign w:val="center"/>
          </w:tcPr>
          <w:p w14:paraId="6D3C8F25">
            <w:pPr>
              <w:spacing w:before="0" w:after="0" w:line="240" w:lineRule="exact"/>
              <w:jc w:val="right"/>
              <w:rPr>
                <w:rFonts w:ascii="宋体" w:hAnsi="宋体" w:eastAsia="宋体" w:cs="宋体"/>
                <w:sz w:val="18"/>
                <w:szCs w:val="18"/>
              </w:rPr>
            </w:pPr>
            <w:r>
              <w:rPr>
                <w:rFonts w:ascii="宋体" w:hAnsi="宋体" w:eastAsia="宋体" w:cs="宋体"/>
                <w:sz w:val="18"/>
                <w:szCs w:val="18"/>
              </w:rPr>
              <w:t>202,580,792.87</w:t>
            </w:r>
          </w:p>
        </w:tc>
      </w:tr>
      <w:tr w14:paraId="7602F1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A81FDE9">
            <w:pPr>
              <w:spacing w:before="40" w:after="40" w:line="240" w:lineRule="exact"/>
              <w:jc w:val="left"/>
              <w:rPr>
                <w:rFonts w:ascii="宋体" w:hAnsi="宋体" w:eastAsia="宋体" w:cs="宋体"/>
                <w:sz w:val="18"/>
                <w:szCs w:val="18"/>
              </w:rPr>
            </w:pPr>
            <w:r>
              <w:rPr>
                <w:rFonts w:ascii="宋体" w:hAnsi="宋体" w:eastAsia="宋体" w:cs="宋体"/>
                <w:sz w:val="18"/>
                <w:szCs w:val="18"/>
              </w:rPr>
              <w:t>其他货币资金</w:t>
            </w:r>
          </w:p>
        </w:tc>
        <w:tc>
          <w:tcPr>
            <w:tcW w:w="3213" w:type="dxa"/>
            <w:tcBorders>
              <w:top w:val="single" w:color="auto" w:sz="2" w:space="0"/>
              <w:left w:val="single" w:color="auto" w:sz="2" w:space="0"/>
              <w:bottom w:val="single" w:color="auto" w:sz="2" w:space="0"/>
              <w:right w:val="single" w:color="auto" w:sz="2" w:space="0"/>
            </w:tcBorders>
            <w:vAlign w:val="center"/>
          </w:tcPr>
          <w:p w14:paraId="36A2CAB6">
            <w:pPr>
              <w:spacing w:before="0" w:after="0" w:line="240" w:lineRule="exact"/>
              <w:jc w:val="right"/>
              <w:rPr>
                <w:rFonts w:ascii="宋体" w:hAnsi="宋体" w:eastAsia="宋体" w:cs="宋体"/>
                <w:sz w:val="18"/>
                <w:szCs w:val="18"/>
              </w:rPr>
            </w:pPr>
            <w:r>
              <w:rPr>
                <w:rFonts w:ascii="宋体" w:hAnsi="宋体" w:eastAsia="宋体" w:cs="宋体"/>
                <w:sz w:val="18"/>
                <w:szCs w:val="18"/>
              </w:rPr>
              <w:t>200,000.00</w:t>
            </w:r>
          </w:p>
        </w:tc>
        <w:tc>
          <w:tcPr>
            <w:tcW w:w="3213" w:type="dxa"/>
            <w:tcBorders>
              <w:top w:val="single" w:color="auto" w:sz="2" w:space="0"/>
              <w:left w:val="single" w:color="auto" w:sz="2" w:space="0"/>
              <w:bottom w:val="single" w:color="auto" w:sz="2" w:space="0"/>
              <w:right w:val="single" w:color="auto" w:sz="2" w:space="0"/>
            </w:tcBorders>
            <w:vAlign w:val="center"/>
          </w:tcPr>
          <w:p w14:paraId="45EC13A1">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r>
      <w:tr w14:paraId="2F55C4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C5E234F">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334A83F0">
            <w:pPr>
              <w:spacing w:before="0" w:after="0" w:line="240" w:lineRule="exact"/>
              <w:jc w:val="right"/>
              <w:rPr>
                <w:rFonts w:ascii="宋体" w:hAnsi="宋体" w:eastAsia="宋体" w:cs="宋体"/>
                <w:sz w:val="18"/>
                <w:szCs w:val="18"/>
              </w:rPr>
            </w:pPr>
            <w:r>
              <w:rPr>
                <w:rFonts w:ascii="宋体" w:hAnsi="宋体" w:eastAsia="宋体" w:cs="宋体"/>
                <w:sz w:val="18"/>
                <w:szCs w:val="18"/>
              </w:rPr>
              <w:t>143,954,066.36</w:t>
            </w:r>
          </w:p>
        </w:tc>
        <w:tc>
          <w:tcPr>
            <w:tcW w:w="3213" w:type="dxa"/>
            <w:tcBorders>
              <w:top w:val="single" w:color="auto" w:sz="2" w:space="0"/>
              <w:left w:val="single" w:color="auto" w:sz="2" w:space="0"/>
              <w:bottom w:val="single" w:color="auto" w:sz="2" w:space="0"/>
              <w:right w:val="single" w:color="auto" w:sz="2" w:space="0"/>
            </w:tcBorders>
            <w:vAlign w:val="center"/>
          </w:tcPr>
          <w:p w14:paraId="2700FC3D">
            <w:pPr>
              <w:spacing w:before="0" w:after="0" w:line="240" w:lineRule="exact"/>
              <w:jc w:val="right"/>
              <w:rPr>
                <w:rFonts w:ascii="宋体" w:hAnsi="宋体" w:eastAsia="宋体" w:cs="宋体"/>
                <w:sz w:val="18"/>
                <w:szCs w:val="18"/>
              </w:rPr>
            </w:pPr>
            <w:r>
              <w:rPr>
                <w:rFonts w:ascii="宋体" w:hAnsi="宋体" w:eastAsia="宋体" w:cs="宋体"/>
                <w:sz w:val="18"/>
                <w:szCs w:val="18"/>
              </w:rPr>
              <w:t>202,830,792.87</w:t>
            </w:r>
          </w:p>
        </w:tc>
      </w:tr>
    </w:tbl>
    <w:p w14:paraId="01E40A24">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6B45881">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截止2024年12月31日，</w:t>
      </w:r>
      <w:r>
        <w:rPr>
          <w:rFonts w:hint="eastAsia" w:ascii="宋体" w:hAnsi="宋体" w:eastAsia="宋体" w:cs="宋体"/>
          <w:color w:val="00B0F0"/>
          <w:sz w:val="21"/>
          <w:szCs w:val="21"/>
        </w:rPr>
        <w:t>其中受限制的货币资金明细如下：</w:t>
      </w:r>
    </w:p>
    <w:tbl>
      <w:tblPr>
        <w:tblStyle w:val="3"/>
        <w:tblW w:w="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652"/>
        <w:gridCol w:w="2438"/>
        <w:gridCol w:w="2438"/>
      </w:tblGrid>
      <w:tr w14:paraId="532D520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blHeader/>
        </w:trPr>
        <w:tc>
          <w:tcPr>
            <w:tcW w:w="3652"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1188F34B">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B0F0"/>
                <w:sz w:val="18"/>
                <w:szCs w:val="18"/>
              </w:rPr>
              <w:t>项目</w:t>
            </w:r>
          </w:p>
        </w:tc>
        <w:tc>
          <w:tcPr>
            <w:tcW w:w="243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66DED62">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B0F0"/>
                <w:sz w:val="18"/>
                <w:szCs w:val="18"/>
              </w:rPr>
              <w:t>期末余额</w:t>
            </w:r>
          </w:p>
        </w:tc>
        <w:tc>
          <w:tcPr>
            <w:tcW w:w="243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056988B">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B0F0"/>
                <w:sz w:val="18"/>
                <w:szCs w:val="18"/>
              </w:rPr>
              <w:t>期初余额</w:t>
            </w:r>
          </w:p>
        </w:tc>
      </w:tr>
      <w:tr w14:paraId="297908A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365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30F6BBCB">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其他保证金</w:t>
            </w:r>
          </w:p>
        </w:tc>
        <w:tc>
          <w:tcPr>
            <w:tcW w:w="2438" w:type="dxa"/>
            <w:tcBorders>
              <w:top w:val="nil"/>
              <w:left w:val="nil"/>
              <w:bottom w:val="single" w:color="auto" w:sz="8" w:space="0"/>
              <w:right w:val="single" w:color="auto" w:sz="8" w:space="0"/>
            </w:tcBorders>
            <w:shd w:val="clear" w:color="auto" w:fill="auto"/>
            <w:tcMar>
              <w:left w:w="108" w:type="dxa"/>
              <w:right w:w="108" w:type="dxa"/>
            </w:tcMar>
            <w:vAlign w:val="center"/>
          </w:tcPr>
          <w:p w14:paraId="44ED093B">
            <w:pPr>
              <w:pStyle w:val="2"/>
              <w:keepNext w:val="0"/>
              <w:keepLines w:val="0"/>
              <w:widowControl/>
              <w:suppressLineNumbers w:val="0"/>
              <w:spacing w:before="0" w:beforeAutospacing="0" w:after="0" w:afterAutospacing="0" w:line="240" w:lineRule="auto"/>
              <w:ind w:left="0" w:right="61"/>
              <w:jc w:val="right"/>
              <w:rPr>
                <w:rFonts w:hint="eastAsia" w:ascii="宋体" w:hAnsi="宋体" w:eastAsia="宋体" w:cs="宋体"/>
                <w:sz w:val="21"/>
                <w:szCs w:val="21"/>
              </w:rPr>
            </w:pPr>
            <w:r>
              <w:rPr>
                <w:rFonts w:hint="eastAsia" w:ascii="宋体" w:hAnsi="宋体" w:eastAsia="宋体" w:cs="宋体"/>
                <w:sz w:val="18"/>
                <w:szCs w:val="18"/>
              </w:rPr>
              <w:t xml:space="preserve"> 200,000.00 </w:t>
            </w:r>
          </w:p>
        </w:tc>
        <w:tc>
          <w:tcPr>
            <w:tcW w:w="2438" w:type="dxa"/>
            <w:tcBorders>
              <w:top w:val="nil"/>
              <w:left w:val="nil"/>
              <w:bottom w:val="single" w:color="auto" w:sz="8" w:space="0"/>
              <w:right w:val="single" w:color="auto" w:sz="8" w:space="0"/>
            </w:tcBorders>
            <w:shd w:val="clear" w:color="auto" w:fill="auto"/>
            <w:tcMar>
              <w:left w:w="108" w:type="dxa"/>
              <w:right w:w="108" w:type="dxa"/>
            </w:tcMar>
            <w:vAlign w:val="center"/>
          </w:tcPr>
          <w:p w14:paraId="352C30DB">
            <w:pPr>
              <w:pStyle w:val="2"/>
              <w:keepNext w:val="0"/>
              <w:keepLines w:val="0"/>
              <w:widowControl/>
              <w:suppressLineNumbers w:val="0"/>
              <w:spacing w:before="0" w:beforeAutospacing="0" w:after="0" w:afterAutospacing="0" w:line="240" w:lineRule="auto"/>
              <w:ind w:left="0" w:right="61"/>
              <w:jc w:val="right"/>
              <w:rPr>
                <w:rFonts w:hint="eastAsia" w:ascii="宋体" w:hAnsi="宋体" w:eastAsia="宋体" w:cs="宋体"/>
                <w:sz w:val="21"/>
                <w:szCs w:val="21"/>
              </w:rPr>
            </w:pPr>
            <w:r>
              <w:rPr>
                <w:rFonts w:hint="eastAsia" w:ascii="宋体" w:hAnsi="宋体" w:eastAsia="宋体" w:cs="宋体"/>
                <w:sz w:val="18"/>
                <w:szCs w:val="18"/>
              </w:rPr>
              <w:t>250,000.00</w:t>
            </w:r>
          </w:p>
        </w:tc>
      </w:tr>
      <w:tr w14:paraId="18C5024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365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34B2E0D8">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冻结的银行存款</w:t>
            </w:r>
          </w:p>
        </w:tc>
        <w:tc>
          <w:tcPr>
            <w:tcW w:w="2438" w:type="dxa"/>
            <w:tcBorders>
              <w:top w:val="nil"/>
              <w:left w:val="nil"/>
              <w:bottom w:val="single" w:color="auto" w:sz="8" w:space="0"/>
              <w:right w:val="single" w:color="auto" w:sz="8" w:space="0"/>
            </w:tcBorders>
            <w:shd w:val="clear" w:color="auto" w:fill="auto"/>
            <w:tcMar>
              <w:left w:w="108" w:type="dxa"/>
              <w:right w:w="108" w:type="dxa"/>
            </w:tcMar>
            <w:vAlign w:val="center"/>
          </w:tcPr>
          <w:p w14:paraId="42717DEC">
            <w:pPr>
              <w:pStyle w:val="2"/>
              <w:keepNext w:val="0"/>
              <w:keepLines w:val="0"/>
              <w:widowControl/>
              <w:suppressLineNumbers w:val="0"/>
              <w:spacing w:before="0" w:beforeAutospacing="0" w:after="0" w:afterAutospacing="0" w:line="240" w:lineRule="auto"/>
              <w:ind w:left="0" w:right="61"/>
              <w:jc w:val="right"/>
              <w:rPr>
                <w:rFonts w:hint="eastAsia" w:ascii="宋体" w:hAnsi="宋体" w:eastAsia="宋体" w:cs="宋体"/>
                <w:sz w:val="21"/>
                <w:szCs w:val="21"/>
              </w:rPr>
            </w:pPr>
            <w:r>
              <w:rPr>
                <w:rFonts w:hint="eastAsia" w:ascii="宋体" w:hAnsi="宋体" w:eastAsia="宋体" w:cs="宋体"/>
                <w:sz w:val="18"/>
                <w:szCs w:val="18"/>
              </w:rPr>
              <w:t xml:space="preserve"> 795,608.55 </w:t>
            </w:r>
          </w:p>
        </w:tc>
        <w:tc>
          <w:tcPr>
            <w:tcW w:w="2438" w:type="dxa"/>
            <w:tcBorders>
              <w:top w:val="nil"/>
              <w:left w:val="nil"/>
              <w:bottom w:val="single" w:color="auto" w:sz="8" w:space="0"/>
              <w:right w:val="single" w:color="auto" w:sz="8" w:space="0"/>
            </w:tcBorders>
            <w:shd w:val="clear" w:color="auto" w:fill="auto"/>
            <w:tcMar>
              <w:left w:w="108" w:type="dxa"/>
              <w:right w:w="108" w:type="dxa"/>
            </w:tcMar>
            <w:vAlign w:val="center"/>
          </w:tcPr>
          <w:p w14:paraId="1C898E3E">
            <w:pPr>
              <w:pStyle w:val="2"/>
              <w:keepNext w:val="0"/>
              <w:keepLines w:val="0"/>
              <w:widowControl/>
              <w:suppressLineNumbers w:val="0"/>
              <w:spacing w:before="0" w:beforeAutospacing="0" w:after="0" w:afterAutospacing="0" w:line="240" w:lineRule="auto"/>
              <w:ind w:left="0" w:right="61"/>
              <w:jc w:val="right"/>
              <w:rPr>
                <w:rFonts w:hint="eastAsia" w:ascii="宋体" w:hAnsi="宋体" w:eastAsia="宋体" w:cs="宋体"/>
                <w:sz w:val="21"/>
                <w:szCs w:val="21"/>
              </w:rPr>
            </w:pPr>
            <w:r>
              <w:rPr>
                <w:rFonts w:hint="eastAsia" w:ascii="宋体" w:hAnsi="宋体" w:eastAsia="宋体" w:cs="宋体"/>
                <w:sz w:val="18"/>
                <w:szCs w:val="18"/>
              </w:rPr>
              <w:t> </w:t>
            </w:r>
          </w:p>
        </w:tc>
      </w:tr>
      <w:tr w14:paraId="75D34E4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365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275DAC97">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sz w:val="18"/>
                <w:szCs w:val="18"/>
              </w:rPr>
              <w:t>合计</w:t>
            </w:r>
          </w:p>
        </w:tc>
        <w:tc>
          <w:tcPr>
            <w:tcW w:w="2438" w:type="dxa"/>
            <w:tcBorders>
              <w:top w:val="nil"/>
              <w:left w:val="nil"/>
              <w:bottom w:val="single" w:color="auto" w:sz="8" w:space="0"/>
              <w:right w:val="single" w:color="auto" w:sz="8" w:space="0"/>
            </w:tcBorders>
            <w:shd w:val="clear" w:color="auto" w:fill="auto"/>
            <w:tcMar>
              <w:left w:w="108" w:type="dxa"/>
              <w:right w:w="108" w:type="dxa"/>
            </w:tcMar>
            <w:vAlign w:val="center"/>
          </w:tcPr>
          <w:p w14:paraId="315513F8">
            <w:pPr>
              <w:pStyle w:val="2"/>
              <w:keepNext w:val="0"/>
              <w:keepLines w:val="0"/>
              <w:widowControl/>
              <w:suppressLineNumbers w:val="0"/>
              <w:spacing w:before="0" w:beforeAutospacing="0" w:after="0" w:afterAutospacing="0" w:line="240" w:lineRule="auto"/>
              <w:ind w:left="0" w:right="61"/>
              <w:jc w:val="right"/>
              <w:rPr>
                <w:rFonts w:hint="eastAsia" w:ascii="宋体" w:hAnsi="宋体" w:eastAsia="宋体" w:cs="宋体"/>
                <w:sz w:val="21"/>
                <w:szCs w:val="21"/>
              </w:rPr>
            </w:pPr>
            <w:r>
              <w:rPr>
                <w:rFonts w:hint="eastAsia" w:ascii="宋体" w:hAnsi="宋体" w:eastAsia="宋体" w:cs="宋体"/>
                <w:sz w:val="18"/>
                <w:szCs w:val="18"/>
              </w:rPr>
              <w:t>995,608.55</w:t>
            </w:r>
          </w:p>
        </w:tc>
        <w:tc>
          <w:tcPr>
            <w:tcW w:w="2438" w:type="dxa"/>
            <w:tcBorders>
              <w:top w:val="nil"/>
              <w:left w:val="nil"/>
              <w:bottom w:val="single" w:color="auto" w:sz="8" w:space="0"/>
              <w:right w:val="single" w:color="auto" w:sz="8" w:space="0"/>
            </w:tcBorders>
            <w:shd w:val="clear" w:color="auto" w:fill="auto"/>
            <w:tcMar>
              <w:left w:w="108" w:type="dxa"/>
              <w:right w:w="108" w:type="dxa"/>
            </w:tcMar>
            <w:vAlign w:val="center"/>
          </w:tcPr>
          <w:p w14:paraId="5CD8728F">
            <w:pPr>
              <w:pStyle w:val="2"/>
              <w:keepNext w:val="0"/>
              <w:keepLines w:val="0"/>
              <w:widowControl/>
              <w:suppressLineNumbers w:val="0"/>
              <w:spacing w:before="0" w:beforeAutospacing="0" w:after="0" w:afterAutospacing="0" w:line="240" w:lineRule="auto"/>
              <w:ind w:left="0" w:right="61"/>
              <w:jc w:val="right"/>
              <w:rPr>
                <w:rFonts w:hint="eastAsia" w:ascii="宋体" w:hAnsi="宋体" w:eastAsia="宋体" w:cs="宋体"/>
                <w:sz w:val="21"/>
                <w:szCs w:val="21"/>
              </w:rPr>
            </w:pPr>
            <w:r>
              <w:rPr>
                <w:rFonts w:hint="eastAsia" w:ascii="宋体" w:hAnsi="宋体" w:eastAsia="宋体" w:cs="宋体"/>
                <w:sz w:val="18"/>
                <w:szCs w:val="18"/>
              </w:rPr>
              <w:t>250,000.00</w:t>
            </w:r>
          </w:p>
        </w:tc>
      </w:tr>
    </w:tbl>
    <w:p w14:paraId="3ACF787A">
      <w:pPr>
        <w:keepNext/>
        <w:keepLines/>
        <w:spacing w:before="300" w:after="300" w:line="280" w:lineRule="exact"/>
        <w:jc w:val="left"/>
        <w:outlineLvl w:val="2"/>
        <w:rPr>
          <w:rFonts w:ascii="宋体" w:hAnsi="宋体" w:eastAsia="宋体" w:cs="宋体"/>
          <w:b/>
          <w:bCs/>
          <w:sz w:val="21"/>
          <w:szCs w:val="21"/>
        </w:rPr>
      </w:pPr>
      <w:bookmarkStart w:id="229" w:name="_Toc989116"/>
      <w:r>
        <w:rPr>
          <w:rFonts w:ascii="宋体" w:hAnsi="宋体" w:eastAsia="宋体" w:cs="宋体"/>
          <w:b/>
          <w:bCs/>
          <w:sz w:val="21"/>
          <w:szCs w:val="21"/>
        </w:rPr>
        <w:t>2、交易性金融资产</w:t>
      </w:r>
      <w:bookmarkEnd w:id="229"/>
    </w:p>
    <w:p w14:paraId="10FAF6A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BC453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C973BC3">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06C00A">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C7F8497">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5DBF7C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5D5B9A">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82AD309"/>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FB87DBE"/>
        </w:tc>
      </w:tr>
      <w:tr w14:paraId="3A9F3F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DD14B0D">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4FC1316"/>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A9FC8B5"/>
        </w:tc>
      </w:tr>
    </w:tbl>
    <w:p w14:paraId="1A83E488">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1BDB8CC">
      <w:pPr>
        <w:keepNext/>
        <w:keepLines/>
        <w:spacing w:before="300" w:after="300" w:line="280" w:lineRule="exact"/>
        <w:jc w:val="left"/>
        <w:outlineLvl w:val="2"/>
        <w:rPr>
          <w:rFonts w:ascii="宋体" w:hAnsi="宋体" w:eastAsia="宋体" w:cs="宋体"/>
          <w:b/>
          <w:bCs/>
          <w:sz w:val="21"/>
          <w:szCs w:val="21"/>
        </w:rPr>
      </w:pPr>
      <w:bookmarkStart w:id="230" w:name="_Toc989117"/>
      <w:r>
        <w:rPr>
          <w:rFonts w:ascii="宋体" w:hAnsi="宋体" w:eastAsia="宋体" w:cs="宋体"/>
          <w:b/>
          <w:bCs/>
          <w:sz w:val="21"/>
          <w:szCs w:val="21"/>
        </w:rPr>
        <w:t>3、衍生金融资产</w:t>
      </w:r>
      <w:bookmarkEnd w:id="230"/>
    </w:p>
    <w:p w14:paraId="66FDC3B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02150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B57E30D">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9732AF">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AEC2B7F">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62B5B9CD">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E396FD5">
      <w:pPr>
        <w:keepNext/>
        <w:keepLines/>
        <w:spacing w:before="300" w:after="300" w:line="280" w:lineRule="exact"/>
        <w:jc w:val="left"/>
        <w:outlineLvl w:val="2"/>
        <w:rPr>
          <w:rFonts w:ascii="宋体" w:hAnsi="宋体" w:eastAsia="宋体" w:cs="宋体"/>
          <w:b/>
          <w:bCs/>
          <w:sz w:val="21"/>
          <w:szCs w:val="21"/>
        </w:rPr>
      </w:pPr>
      <w:bookmarkStart w:id="231" w:name="_Toc989118"/>
      <w:r>
        <w:rPr>
          <w:rFonts w:ascii="宋体" w:hAnsi="宋体" w:eastAsia="宋体" w:cs="宋体"/>
          <w:b/>
          <w:bCs/>
          <w:sz w:val="21"/>
          <w:szCs w:val="21"/>
        </w:rPr>
        <w:t>4、应收票据</w:t>
      </w:r>
      <w:bookmarkEnd w:id="231"/>
    </w:p>
    <w:p w14:paraId="3D7A49F0">
      <w:pPr>
        <w:keepNext/>
        <w:keepLines/>
        <w:spacing w:before="300" w:after="300" w:line="280" w:lineRule="exact"/>
        <w:jc w:val="left"/>
        <w:outlineLvl w:val="3"/>
        <w:rPr>
          <w:rFonts w:ascii="宋体" w:hAnsi="宋体" w:eastAsia="宋体" w:cs="宋体"/>
          <w:b/>
          <w:bCs/>
          <w:sz w:val="21"/>
          <w:szCs w:val="21"/>
        </w:rPr>
      </w:pPr>
      <w:bookmarkStart w:id="232" w:name="_Toc989119"/>
      <w:r>
        <w:rPr>
          <w:rFonts w:ascii="宋体" w:hAnsi="宋体" w:eastAsia="宋体" w:cs="宋体"/>
          <w:b/>
          <w:bCs/>
          <w:sz w:val="21"/>
          <w:szCs w:val="21"/>
        </w:rPr>
        <w:t>（1） 应收票据分类列示</w:t>
      </w:r>
      <w:bookmarkEnd w:id="232"/>
    </w:p>
    <w:p w14:paraId="46F2125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FB94F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A169FF4">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5EC7E73">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DE27FC2">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78DF1980">
      <w:pPr>
        <w:keepNext/>
        <w:keepLines/>
        <w:spacing w:before="300" w:after="300" w:line="280" w:lineRule="exact"/>
        <w:jc w:val="left"/>
        <w:outlineLvl w:val="3"/>
        <w:rPr>
          <w:rFonts w:ascii="宋体" w:hAnsi="宋体" w:eastAsia="宋体" w:cs="宋体"/>
          <w:b/>
          <w:bCs/>
          <w:sz w:val="21"/>
          <w:szCs w:val="21"/>
        </w:rPr>
      </w:pPr>
      <w:bookmarkStart w:id="233" w:name="_Toc989120"/>
      <w:r>
        <w:rPr>
          <w:rFonts w:ascii="宋体" w:hAnsi="宋体" w:eastAsia="宋体" w:cs="宋体"/>
          <w:b/>
          <w:bCs/>
          <w:sz w:val="21"/>
          <w:szCs w:val="21"/>
        </w:rPr>
        <w:t>（2） 按坏账计提方法分类披露</w:t>
      </w:r>
      <w:bookmarkEnd w:id="233"/>
    </w:p>
    <w:p w14:paraId="3EB6023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76"/>
        <w:gridCol w:w="876"/>
        <w:gridCol w:w="876"/>
        <w:gridCol w:w="876"/>
        <w:gridCol w:w="876"/>
        <w:gridCol w:w="876"/>
        <w:gridCol w:w="876"/>
        <w:gridCol w:w="876"/>
        <w:gridCol w:w="876"/>
      </w:tblGrid>
      <w:tr w14:paraId="3B61D9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59A824E">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6A6B5455">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1ADF83FA">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2D93B8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50C2DE9"/>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55E2E6F">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9B8AB5E">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01B2862">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3648656">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3379379C">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6CF9865">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53A6FD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D89BAAA"/>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5104837">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D246835">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83B1DDB">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FE6480E">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6146E83"/>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98E6EBB">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CF5F526">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D5FD084">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068B01F">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B29E63A"/>
        </w:tc>
      </w:tr>
      <w:tr w14:paraId="005DE8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3A0507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DD134E7"/>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19D2C64"/>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019BE0A"/>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CB964A7"/>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5764460"/>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9B46096"/>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75501B8"/>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987DF6A"/>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E26BA31"/>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E53A079"/>
        </w:tc>
      </w:tr>
      <w:tr w14:paraId="4F37E1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51DF37A">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BE1370C"/>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56C8F73"/>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A914A45"/>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5EC791F"/>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45BCD1A"/>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8A359D0"/>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DD5F297"/>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8B6D0F7"/>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2B0F282"/>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6F5EDF1"/>
        </w:tc>
      </w:tr>
    </w:tbl>
    <w:p w14:paraId="036AF9B4">
      <w:pPr>
        <w:spacing w:before="100" w:after="100" w:line="240" w:lineRule="exact"/>
        <w:jc w:val="left"/>
        <w:rPr>
          <w:rFonts w:ascii="宋体" w:hAnsi="宋体" w:eastAsia="宋体" w:cs="宋体"/>
          <w:sz w:val="18"/>
          <w:szCs w:val="18"/>
        </w:rPr>
      </w:pPr>
      <w:r>
        <w:rPr>
          <w:rFonts w:ascii="宋体" w:hAnsi="宋体" w:eastAsia="宋体" w:cs="宋体"/>
          <w:sz w:val="18"/>
          <w:szCs w:val="18"/>
        </w:rPr>
        <w:t>如是按照预期信用损失一般模型计提应收票据坏账准备：</w:t>
      </w:r>
    </w:p>
    <w:p w14:paraId="4327DE9A">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A94C7AB">
      <w:pPr>
        <w:keepNext/>
        <w:keepLines/>
        <w:spacing w:before="300" w:after="300" w:line="280" w:lineRule="exact"/>
        <w:jc w:val="left"/>
        <w:outlineLvl w:val="3"/>
        <w:rPr>
          <w:rFonts w:ascii="宋体" w:hAnsi="宋体" w:eastAsia="宋体" w:cs="宋体"/>
          <w:b/>
          <w:bCs/>
          <w:sz w:val="21"/>
          <w:szCs w:val="21"/>
        </w:rPr>
      </w:pPr>
      <w:bookmarkStart w:id="234" w:name="_Toc989121"/>
      <w:r>
        <w:rPr>
          <w:rFonts w:ascii="宋体" w:hAnsi="宋体" w:eastAsia="宋体" w:cs="宋体"/>
          <w:b/>
          <w:bCs/>
          <w:sz w:val="21"/>
          <w:szCs w:val="21"/>
        </w:rPr>
        <w:t>（3） 本期计提、收回或转回的坏账准备情况</w:t>
      </w:r>
      <w:bookmarkEnd w:id="234"/>
    </w:p>
    <w:p w14:paraId="1F29DBA2">
      <w:pPr>
        <w:spacing w:before="0" w:after="0" w:line="240" w:lineRule="exact"/>
        <w:jc w:val="left"/>
        <w:rPr>
          <w:rFonts w:ascii="宋体" w:hAnsi="宋体" w:eastAsia="宋体" w:cs="宋体"/>
          <w:sz w:val="18"/>
          <w:szCs w:val="18"/>
        </w:rPr>
      </w:pPr>
      <w:r>
        <w:rPr>
          <w:rFonts w:ascii="宋体" w:hAnsi="宋体" w:eastAsia="宋体" w:cs="宋体"/>
          <w:sz w:val="18"/>
          <w:szCs w:val="18"/>
        </w:rPr>
        <w:t>本期计提坏账准备情况：</w:t>
      </w:r>
    </w:p>
    <w:p w14:paraId="44EB41DE">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741190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E533D9E">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4E50E4F">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3FE7B6C9">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9A28C2F">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14EA3C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9EB7EA7"/>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FAD0E97"/>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02BFA3F">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EFF328C">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FEFE056">
            <w:pPr>
              <w:spacing w:before="40" w:after="40" w:line="240" w:lineRule="exact"/>
              <w:jc w:val="center"/>
              <w:rPr>
                <w:rFonts w:ascii="宋体" w:hAnsi="宋体" w:eastAsia="宋体" w:cs="宋体"/>
                <w:sz w:val="18"/>
                <w:szCs w:val="18"/>
              </w:rPr>
            </w:pPr>
            <w:r>
              <w:rPr>
                <w:rFonts w:ascii="宋体" w:hAnsi="宋体" w:eastAsia="宋体" w:cs="宋体"/>
                <w:sz w:val="18"/>
                <w:szCs w:val="18"/>
              </w:rPr>
              <w:t>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3D56311">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C59E132"/>
        </w:tc>
      </w:tr>
    </w:tbl>
    <w:p w14:paraId="761A9959">
      <w:pPr>
        <w:spacing w:before="100" w:after="100" w:line="240" w:lineRule="exact"/>
        <w:jc w:val="left"/>
        <w:rPr>
          <w:rFonts w:ascii="宋体" w:hAnsi="宋体" w:eastAsia="宋体" w:cs="宋体"/>
          <w:sz w:val="18"/>
          <w:szCs w:val="18"/>
        </w:rPr>
      </w:pPr>
      <w:r>
        <w:rPr>
          <w:rFonts w:ascii="宋体" w:hAnsi="宋体" w:eastAsia="宋体" w:cs="宋体"/>
          <w:sz w:val="18"/>
          <w:szCs w:val="18"/>
        </w:rPr>
        <w:t>其中本期坏账准备收回或转回金额重要的：</w:t>
      </w:r>
    </w:p>
    <w:p w14:paraId="4E872957">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F9F2842">
      <w:pPr>
        <w:keepNext/>
        <w:keepLines/>
        <w:spacing w:before="300" w:after="300" w:line="280" w:lineRule="exact"/>
        <w:jc w:val="left"/>
        <w:outlineLvl w:val="3"/>
        <w:rPr>
          <w:rFonts w:ascii="宋体" w:hAnsi="宋体" w:eastAsia="宋体" w:cs="宋体"/>
          <w:b/>
          <w:bCs/>
          <w:sz w:val="21"/>
          <w:szCs w:val="21"/>
        </w:rPr>
      </w:pPr>
      <w:bookmarkStart w:id="235" w:name="_Toc989122"/>
      <w:r>
        <w:rPr>
          <w:rFonts w:ascii="宋体" w:hAnsi="宋体" w:eastAsia="宋体" w:cs="宋体"/>
          <w:b/>
          <w:bCs/>
          <w:sz w:val="21"/>
          <w:szCs w:val="21"/>
        </w:rPr>
        <w:t>（4） 期末公司已质押的应收票据</w:t>
      </w:r>
      <w:bookmarkEnd w:id="235"/>
    </w:p>
    <w:p w14:paraId="567BC4D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3B4377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24CAB9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91338A2">
            <w:pPr>
              <w:spacing w:before="40" w:after="40" w:line="240" w:lineRule="exact"/>
              <w:jc w:val="center"/>
              <w:rPr>
                <w:rFonts w:ascii="宋体" w:hAnsi="宋体" w:eastAsia="宋体" w:cs="宋体"/>
                <w:sz w:val="18"/>
                <w:szCs w:val="18"/>
              </w:rPr>
            </w:pPr>
            <w:r>
              <w:rPr>
                <w:rFonts w:ascii="宋体" w:hAnsi="宋体" w:eastAsia="宋体" w:cs="宋体"/>
                <w:sz w:val="18"/>
                <w:szCs w:val="18"/>
              </w:rPr>
              <w:t>期末已质押金额</w:t>
            </w:r>
          </w:p>
        </w:tc>
      </w:tr>
    </w:tbl>
    <w:p w14:paraId="46D7569C">
      <w:pPr>
        <w:keepNext/>
        <w:keepLines/>
        <w:spacing w:before="300" w:after="300" w:line="280" w:lineRule="exact"/>
        <w:jc w:val="left"/>
        <w:outlineLvl w:val="3"/>
        <w:rPr>
          <w:rFonts w:ascii="宋体" w:hAnsi="宋体" w:eastAsia="宋体" w:cs="宋体"/>
          <w:b/>
          <w:bCs/>
          <w:sz w:val="21"/>
          <w:szCs w:val="21"/>
        </w:rPr>
      </w:pPr>
      <w:bookmarkStart w:id="236" w:name="_Toc989123"/>
      <w:r>
        <w:rPr>
          <w:rFonts w:ascii="宋体" w:hAnsi="宋体" w:eastAsia="宋体" w:cs="宋体"/>
          <w:b/>
          <w:bCs/>
          <w:sz w:val="21"/>
          <w:szCs w:val="21"/>
        </w:rPr>
        <w:t>（5） 期末公司已背书或贴现且在资产负债表日尚未到期的应收票据</w:t>
      </w:r>
      <w:bookmarkEnd w:id="236"/>
    </w:p>
    <w:p w14:paraId="03FAB3B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16422D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CD92794">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61622F9">
            <w:pPr>
              <w:spacing w:before="40" w:after="40" w:line="240" w:lineRule="exact"/>
              <w:jc w:val="center"/>
              <w:rPr>
                <w:rFonts w:ascii="宋体" w:hAnsi="宋体" w:eastAsia="宋体" w:cs="宋体"/>
                <w:sz w:val="18"/>
                <w:szCs w:val="18"/>
              </w:rPr>
            </w:pPr>
            <w:r>
              <w:rPr>
                <w:rFonts w:ascii="宋体" w:hAnsi="宋体" w:eastAsia="宋体" w:cs="宋体"/>
                <w:sz w:val="18"/>
                <w:szCs w:val="18"/>
              </w:rPr>
              <w:t>期末终止确认金额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4B65622">
            <w:pPr>
              <w:spacing w:before="40" w:after="40" w:line="240" w:lineRule="exact"/>
              <w:jc w:val="center"/>
              <w:rPr>
                <w:rFonts w:ascii="宋体" w:hAnsi="宋体" w:eastAsia="宋体" w:cs="宋体"/>
                <w:sz w:val="18"/>
                <w:szCs w:val="18"/>
              </w:rPr>
            </w:pPr>
            <w:r>
              <w:rPr>
                <w:rFonts w:ascii="宋体" w:hAnsi="宋体" w:eastAsia="宋体" w:cs="宋体"/>
                <w:sz w:val="18"/>
                <w:szCs w:val="18"/>
              </w:rPr>
              <w:t>期末未终止确认金额</w:t>
            </w:r>
          </w:p>
        </w:tc>
      </w:tr>
    </w:tbl>
    <w:p w14:paraId="17625EA8">
      <w:pPr>
        <w:keepNext/>
        <w:keepLines/>
        <w:spacing w:before="300" w:after="300" w:line="280" w:lineRule="exact"/>
        <w:jc w:val="left"/>
        <w:outlineLvl w:val="3"/>
        <w:rPr>
          <w:rFonts w:ascii="宋体" w:hAnsi="宋体" w:eastAsia="宋体" w:cs="宋体"/>
          <w:b/>
          <w:bCs/>
          <w:sz w:val="21"/>
          <w:szCs w:val="21"/>
        </w:rPr>
      </w:pPr>
      <w:bookmarkStart w:id="237" w:name="_Toc989124"/>
      <w:r>
        <w:rPr>
          <w:rFonts w:ascii="宋体" w:hAnsi="宋体" w:eastAsia="宋体" w:cs="宋体"/>
          <w:b/>
          <w:bCs/>
          <w:sz w:val="21"/>
          <w:szCs w:val="21"/>
        </w:rPr>
        <w:t>（6） 本期实际核销的应收票据情况</w:t>
      </w:r>
      <w:bookmarkEnd w:id="237"/>
    </w:p>
    <w:p w14:paraId="18FD3CB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3CF69B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1647CE6">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5873C43">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365C77DE">
      <w:pPr>
        <w:spacing w:before="100" w:after="100" w:line="240" w:lineRule="exact"/>
        <w:jc w:val="left"/>
        <w:rPr>
          <w:rFonts w:ascii="宋体" w:hAnsi="宋体" w:eastAsia="宋体" w:cs="宋体"/>
          <w:sz w:val="18"/>
          <w:szCs w:val="18"/>
        </w:rPr>
      </w:pPr>
      <w:r>
        <w:rPr>
          <w:rFonts w:ascii="宋体" w:hAnsi="宋体" w:eastAsia="宋体" w:cs="宋体"/>
          <w:sz w:val="18"/>
          <w:szCs w:val="18"/>
        </w:rPr>
        <w:t>其中重要的应收票据核销情况：</w:t>
      </w:r>
    </w:p>
    <w:p w14:paraId="4F0B09E5">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2B4526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20DBED9">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6CD09BA">
            <w:pPr>
              <w:spacing w:before="40" w:after="40" w:line="240" w:lineRule="exact"/>
              <w:jc w:val="center"/>
              <w:rPr>
                <w:rFonts w:ascii="宋体" w:hAnsi="宋体" w:eastAsia="宋体" w:cs="宋体"/>
                <w:sz w:val="18"/>
                <w:szCs w:val="18"/>
              </w:rPr>
            </w:pPr>
            <w:r>
              <w:rPr>
                <w:rFonts w:ascii="宋体" w:hAnsi="宋体" w:eastAsia="宋体" w:cs="宋体"/>
                <w:sz w:val="18"/>
                <w:szCs w:val="18"/>
              </w:rPr>
              <w:t>应收票据性质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C4FC088">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7E4A604">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10B3549">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4F030EA">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5A7EC437">
      <w:pPr>
        <w:spacing w:before="100" w:after="100" w:line="240" w:lineRule="exact"/>
        <w:jc w:val="left"/>
        <w:rPr>
          <w:rFonts w:ascii="宋体" w:hAnsi="宋体" w:eastAsia="宋体" w:cs="宋体"/>
          <w:sz w:val="18"/>
          <w:szCs w:val="18"/>
        </w:rPr>
      </w:pPr>
      <w:r>
        <w:rPr>
          <w:rFonts w:ascii="宋体" w:hAnsi="宋体" w:eastAsia="宋体" w:cs="宋体"/>
          <w:sz w:val="18"/>
          <w:szCs w:val="18"/>
        </w:rPr>
        <w:t>应收票据核销说明：</w:t>
      </w:r>
    </w:p>
    <w:p w14:paraId="1112C037">
      <w:pPr>
        <w:keepNext/>
        <w:keepLines/>
        <w:spacing w:before="300" w:after="300" w:line="280" w:lineRule="exact"/>
        <w:jc w:val="left"/>
        <w:outlineLvl w:val="2"/>
        <w:rPr>
          <w:rFonts w:ascii="宋体" w:hAnsi="宋体" w:eastAsia="宋体" w:cs="宋体"/>
          <w:b/>
          <w:bCs/>
          <w:sz w:val="21"/>
          <w:szCs w:val="21"/>
        </w:rPr>
      </w:pPr>
      <w:bookmarkStart w:id="238" w:name="_Toc989125"/>
      <w:r>
        <w:rPr>
          <w:rFonts w:ascii="宋体" w:hAnsi="宋体" w:eastAsia="宋体" w:cs="宋体"/>
          <w:b/>
          <w:bCs/>
          <w:sz w:val="21"/>
          <w:szCs w:val="21"/>
        </w:rPr>
        <w:t>5、应收账款</w:t>
      </w:r>
      <w:bookmarkEnd w:id="238"/>
    </w:p>
    <w:p w14:paraId="5CFA720E">
      <w:pPr>
        <w:keepNext/>
        <w:keepLines/>
        <w:spacing w:before="300" w:after="300" w:line="280" w:lineRule="exact"/>
        <w:jc w:val="left"/>
        <w:outlineLvl w:val="3"/>
        <w:rPr>
          <w:rFonts w:ascii="宋体" w:hAnsi="宋体" w:eastAsia="宋体" w:cs="宋体"/>
          <w:b/>
          <w:bCs/>
          <w:sz w:val="21"/>
          <w:szCs w:val="21"/>
        </w:rPr>
      </w:pPr>
      <w:bookmarkStart w:id="239" w:name="_Toc989126"/>
      <w:r>
        <w:rPr>
          <w:rFonts w:ascii="宋体" w:hAnsi="宋体" w:eastAsia="宋体" w:cs="宋体"/>
          <w:b/>
          <w:bCs/>
          <w:sz w:val="21"/>
          <w:szCs w:val="21"/>
        </w:rPr>
        <w:t>（1） 按账龄披露</w:t>
      </w:r>
      <w:bookmarkEnd w:id="239"/>
    </w:p>
    <w:p w14:paraId="655398CF">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91627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9FDEBF0">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A1DACEA">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72520CF">
            <w:pPr>
              <w:spacing w:before="40" w:after="40" w:line="240" w:lineRule="exact"/>
              <w:jc w:val="center"/>
              <w:rPr>
                <w:rFonts w:ascii="宋体" w:hAnsi="宋体" w:eastAsia="宋体" w:cs="宋体"/>
                <w:sz w:val="18"/>
                <w:szCs w:val="18"/>
              </w:rPr>
            </w:pPr>
            <w:r>
              <w:rPr>
                <w:rFonts w:ascii="宋体" w:hAnsi="宋体" w:eastAsia="宋体" w:cs="宋体"/>
                <w:sz w:val="18"/>
                <w:szCs w:val="18"/>
              </w:rPr>
              <w:t>期初账面余额</w:t>
            </w:r>
          </w:p>
        </w:tc>
      </w:tr>
      <w:tr w14:paraId="7ABB06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59D3D7E">
            <w:pPr>
              <w:spacing w:before="40" w:after="40" w:line="240" w:lineRule="exact"/>
              <w:jc w:val="left"/>
              <w:rPr>
                <w:rFonts w:ascii="宋体" w:hAnsi="宋体" w:eastAsia="宋体" w:cs="宋体"/>
                <w:sz w:val="18"/>
                <w:szCs w:val="18"/>
              </w:rPr>
            </w:pPr>
            <w:r>
              <w:rPr>
                <w:rFonts w:ascii="宋体" w:hAnsi="宋体" w:eastAsia="宋体" w:cs="宋体"/>
                <w:sz w:val="18"/>
                <w:szCs w:val="18"/>
              </w:rPr>
              <w:t>1年以内（含1年）</w:t>
            </w:r>
          </w:p>
        </w:tc>
        <w:tc>
          <w:tcPr>
            <w:tcW w:w="3213" w:type="dxa"/>
            <w:tcBorders>
              <w:top w:val="single" w:color="auto" w:sz="2" w:space="0"/>
              <w:left w:val="single" w:color="auto" w:sz="2" w:space="0"/>
              <w:bottom w:val="single" w:color="auto" w:sz="2" w:space="0"/>
              <w:right w:val="single" w:color="auto" w:sz="2" w:space="0"/>
            </w:tcBorders>
            <w:vAlign w:val="center"/>
          </w:tcPr>
          <w:p w14:paraId="53532615">
            <w:pPr>
              <w:spacing w:before="0" w:after="0" w:line="240" w:lineRule="exact"/>
              <w:jc w:val="right"/>
              <w:rPr>
                <w:rFonts w:ascii="宋体" w:hAnsi="宋体" w:eastAsia="宋体" w:cs="宋体"/>
                <w:sz w:val="18"/>
                <w:szCs w:val="18"/>
              </w:rPr>
            </w:pPr>
            <w:r>
              <w:rPr>
                <w:rFonts w:ascii="宋体" w:hAnsi="宋体" w:eastAsia="宋体" w:cs="宋体"/>
                <w:sz w:val="18"/>
                <w:szCs w:val="18"/>
              </w:rPr>
              <w:t>70,567,468.60</w:t>
            </w:r>
          </w:p>
        </w:tc>
        <w:tc>
          <w:tcPr>
            <w:tcW w:w="3213" w:type="dxa"/>
            <w:tcBorders>
              <w:top w:val="single" w:color="auto" w:sz="2" w:space="0"/>
              <w:left w:val="single" w:color="auto" w:sz="2" w:space="0"/>
              <w:bottom w:val="single" w:color="auto" w:sz="2" w:space="0"/>
              <w:right w:val="single" w:color="auto" w:sz="2" w:space="0"/>
            </w:tcBorders>
            <w:vAlign w:val="center"/>
          </w:tcPr>
          <w:p w14:paraId="668B13F6">
            <w:pPr>
              <w:spacing w:before="0" w:after="0" w:line="240" w:lineRule="exact"/>
              <w:jc w:val="right"/>
              <w:rPr>
                <w:rFonts w:ascii="宋体" w:hAnsi="宋体" w:eastAsia="宋体" w:cs="宋体"/>
                <w:sz w:val="18"/>
                <w:szCs w:val="18"/>
              </w:rPr>
            </w:pPr>
            <w:r>
              <w:rPr>
                <w:rFonts w:ascii="宋体" w:hAnsi="宋体" w:eastAsia="宋体" w:cs="宋体"/>
                <w:sz w:val="18"/>
                <w:szCs w:val="18"/>
              </w:rPr>
              <w:t>69,431,485.33</w:t>
            </w:r>
          </w:p>
        </w:tc>
      </w:tr>
      <w:tr w14:paraId="3CB2DA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38FBC88">
            <w:pPr>
              <w:spacing w:before="40" w:after="40" w:line="240" w:lineRule="exact"/>
              <w:jc w:val="left"/>
              <w:rPr>
                <w:rFonts w:ascii="宋体" w:hAnsi="宋体" w:eastAsia="宋体" w:cs="宋体"/>
                <w:sz w:val="18"/>
                <w:szCs w:val="18"/>
              </w:rPr>
            </w:pPr>
            <w:r>
              <w:rPr>
                <w:rFonts w:ascii="宋体" w:hAnsi="宋体" w:eastAsia="宋体" w:cs="宋体"/>
                <w:sz w:val="18"/>
                <w:szCs w:val="18"/>
              </w:rPr>
              <w:t>1至2年</w:t>
            </w:r>
          </w:p>
        </w:tc>
        <w:tc>
          <w:tcPr>
            <w:tcW w:w="3213" w:type="dxa"/>
            <w:tcBorders>
              <w:top w:val="single" w:color="auto" w:sz="2" w:space="0"/>
              <w:left w:val="single" w:color="auto" w:sz="2" w:space="0"/>
              <w:bottom w:val="single" w:color="auto" w:sz="2" w:space="0"/>
              <w:right w:val="single" w:color="auto" w:sz="2" w:space="0"/>
            </w:tcBorders>
            <w:vAlign w:val="center"/>
          </w:tcPr>
          <w:p w14:paraId="37E76854">
            <w:pPr>
              <w:spacing w:before="0" w:after="0" w:line="240" w:lineRule="exact"/>
              <w:jc w:val="right"/>
              <w:rPr>
                <w:rFonts w:ascii="宋体" w:hAnsi="宋体" w:eastAsia="宋体" w:cs="宋体"/>
                <w:sz w:val="18"/>
                <w:szCs w:val="18"/>
              </w:rPr>
            </w:pPr>
            <w:r>
              <w:rPr>
                <w:rFonts w:ascii="宋体" w:hAnsi="宋体" w:eastAsia="宋体" w:cs="宋体"/>
                <w:sz w:val="18"/>
                <w:szCs w:val="18"/>
              </w:rPr>
              <w:t>650,838.71</w:t>
            </w:r>
          </w:p>
        </w:tc>
        <w:tc>
          <w:tcPr>
            <w:tcW w:w="3213" w:type="dxa"/>
            <w:tcBorders>
              <w:top w:val="single" w:color="auto" w:sz="2" w:space="0"/>
              <w:left w:val="single" w:color="auto" w:sz="2" w:space="0"/>
              <w:bottom w:val="single" w:color="auto" w:sz="2" w:space="0"/>
              <w:right w:val="single" w:color="auto" w:sz="2" w:space="0"/>
            </w:tcBorders>
            <w:vAlign w:val="center"/>
          </w:tcPr>
          <w:p w14:paraId="1F9711FA">
            <w:pPr>
              <w:spacing w:before="0" w:after="0" w:line="240" w:lineRule="exact"/>
              <w:jc w:val="right"/>
              <w:rPr>
                <w:rFonts w:ascii="宋体" w:hAnsi="宋体" w:eastAsia="宋体" w:cs="宋体"/>
                <w:sz w:val="18"/>
                <w:szCs w:val="18"/>
              </w:rPr>
            </w:pPr>
            <w:r>
              <w:rPr>
                <w:rFonts w:ascii="宋体" w:hAnsi="宋体" w:eastAsia="宋体" w:cs="宋体"/>
                <w:sz w:val="18"/>
                <w:szCs w:val="18"/>
              </w:rPr>
              <w:t>1,109,281.91</w:t>
            </w:r>
          </w:p>
        </w:tc>
      </w:tr>
      <w:tr w14:paraId="6BFA43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CA66670">
            <w:pPr>
              <w:spacing w:before="40" w:after="40" w:line="240" w:lineRule="exact"/>
              <w:jc w:val="left"/>
              <w:rPr>
                <w:rFonts w:ascii="宋体" w:hAnsi="宋体" w:eastAsia="宋体" w:cs="宋体"/>
                <w:sz w:val="18"/>
                <w:szCs w:val="18"/>
              </w:rPr>
            </w:pPr>
            <w:r>
              <w:rPr>
                <w:rFonts w:ascii="宋体" w:hAnsi="宋体" w:eastAsia="宋体" w:cs="宋体"/>
                <w:sz w:val="18"/>
                <w:szCs w:val="18"/>
              </w:rPr>
              <w:t>2至3年</w:t>
            </w:r>
          </w:p>
        </w:tc>
        <w:tc>
          <w:tcPr>
            <w:tcW w:w="3213" w:type="dxa"/>
            <w:tcBorders>
              <w:top w:val="single" w:color="auto" w:sz="2" w:space="0"/>
              <w:left w:val="single" w:color="auto" w:sz="2" w:space="0"/>
              <w:bottom w:val="single" w:color="auto" w:sz="2" w:space="0"/>
              <w:right w:val="single" w:color="auto" w:sz="2" w:space="0"/>
            </w:tcBorders>
            <w:vAlign w:val="center"/>
          </w:tcPr>
          <w:p w14:paraId="332F426D">
            <w:pPr>
              <w:spacing w:before="0" w:after="0" w:line="240" w:lineRule="exact"/>
              <w:jc w:val="right"/>
              <w:rPr>
                <w:rFonts w:ascii="宋体" w:hAnsi="宋体" w:eastAsia="宋体" w:cs="宋体"/>
                <w:sz w:val="18"/>
                <w:szCs w:val="18"/>
              </w:rPr>
            </w:pPr>
            <w:r>
              <w:rPr>
                <w:rFonts w:ascii="宋体" w:hAnsi="宋体" w:eastAsia="宋体" w:cs="宋体"/>
                <w:sz w:val="18"/>
                <w:szCs w:val="18"/>
              </w:rPr>
              <w:t>721,542.34</w:t>
            </w:r>
          </w:p>
        </w:tc>
        <w:tc>
          <w:tcPr>
            <w:tcW w:w="3213" w:type="dxa"/>
            <w:tcBorders>
              <w:top w:val="single" w:color="auto" w:sz="2" w:space="0"/>
              <w:left w:val="single" w:color="auto" w:sz="2" w:space="0"/>
              <w:bottom w:val="single" w:color="auto" w:sz="2" w:space="0"/>
              <w:right w:val="single" w:color="auto" w:sz="2" w:space="0"/>
            </w:tcBorders>
            <w:vAlign w:val="center"/>
          </w:tcPr>
          <w:p w14:paraId="36330EAB">
            <w:pPr>
              <w:spacing w:before="0" w:after="0" w:line="240" w:lineRule="exact"/>
              <w:jc w:val="right"/>
              <w:rPr>
                <w:rFonts w:ascii="宋体" w:hAnsi="宋体" w:eastAsia="宋体" w:cs="宋体"/>
                <w:sz w:val="18"/>
                <w:szCs w:val="18"/>
              </w:rPr>
            </w:pPr>
            <w:r>
              <w:rPr>
                <w:rFonts w:ascii="宋体" w:hAnsi="宋体" w:eastAsia="宋体" w:cs="宋体"/>
                <w:sz w:val="18"/>
                <w:szCs w:val="18"/>
              </w:rPr>
              <w:t>1,128,019.06</w:t>
            </w:r>
          </w:p>
        </w:tc>
      </w:tr>
      <w:tr w14:paraId="5E9333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4C11333">
            <w:pPr>
              <w:spacing w:before="40" w:after="40" w:line="240" w:lineRule="exact"/>
              <w:jc w:val="left"/>
              <w:rPr>
                <w:rFonts w:ascii="宋体" w:hAnsi="宋体" w:eastAsia="宋体" w:cs="宋体"/>
                <w:sz w:val="18"/>
                <w:szCs w:val="18"/>
              </w:rPr>
            </w:pPr>
            <w:r>
              <w:rPr>
                <w:rFonts w:ascii="宋体" w:hAnsi="宋体" w:eastAsia="宋体" w:cs="宋体"/>
                <w:sz w:val="18"/>
                <w:szCs w:val="18"/>
              </w:rPr>
              <w:t>3年以上</w:t>
            </w:r>
          </w:p>
        </w:tc>
        <w:tc>
          <w:tcPr>
            <w:tcW w:w="3213" w:type="dxa"/>
            <w:tcBorders>
              <w:top w:val="single" w:color="auto" w:sz="2" w:space="0"/>
              <w:left w:val="single" w:color="auto" w:sz="2" w:space="0"/>
              <w:bottom w:val="single" w:color="auto" w:sz="2" w:space="0"/>
              <w:right w:val="single" w:color="auto" w:sz="2" w:space="0"/>
            </w:tcBorders>
            <w:vAlign w:val="center"/>
          </w:tcPr>
          <w:p w14:paraId="150BCB7D">
            <w:pPr>
              <w:spacing w:before="0" w:after="0" w:line="240" w:lineRule="exact"/>
              <w:jc w:val="right"/>
              <w:rPr>
                <w:rFonts w:ascii="宋体" w:hAnsi="宋体" w:eastAsia="宋体" w:cs="宋体"/>
                <w:sz w:val="18"/>
                <w:szCs w:val="18"/>
              </w:rPr>
            </w:pPr>
            <w:r>
              <w:rPr>
                <w:rFonts w:ascii="宋体" w:hAnsi="宋体" w:eastAsia="宋体" w:cs="宋体"/>
                <w:sz w:val="18"/>
                <w:szCs w:val="18"/>
              </w:rPr>
              <w:t>2,318,719.02</w:t>
            </w:r>
          </w:p>
        </w:tc>
        <w:tc>
          <w:tcPr>
            <w:tcW w:w="3213" w:type="dxa"/>
            <w:tcBorders>
              <w:top w:val="single" w:color="auto" w:sz="2" w:space="0"/>
              <w:left w:val="single" w:color="auto" w:sz="2" w:space="0"/>
              <w:bottom w:val="single" w:color="auto" w:sz="2" w:space="0"/>
              <w:right w:val="single" w:color="auto" w:sz="2" w:space="0"/>
            </w:tcBorders>
            <w:vAlign w:val="center"/>
          </w:tcPr>
          <w:p w14:paraId="6C54DB7B">
            <w:pPr>
              <w:spacing w:before="0" w:after="0" w:line="240" w:lineRule="exact"/>
              <w:jc w:val="right"/>
              <w:rPr>
                <w:rFonts w:ascii="宋体" w:hAnsi="宋体" w:eastAsia="宋体" w:cs="宋体"/>
                <w:sz w:val="18"/>
                <w:szCs w:val="18"/>
              </w:rPr>
            </w:pPr>
            <w:r>
              <w:rPr>
                <w:rFonts w:ascii="宋体" w:hAnsi="宋体" w:eastAsia="宋体" w:cs="宋体"/>
                <w:sz w:val="18"/>
                <w:szCs w:val="18"/>
              </w:rPr>
              <w:t>1,747,086.30</w:t>
            </w:r>
          </w:p>
        </w:tc>
      </w:tr>
      <w:tr w14:paraId="69C254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F3B3FBB">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3至4年</w:t>
            </w:r>
          </w:p>
        </w:tc>
        <w:tc>
          <w:tcPr>
            <w:tcW w:w="3213" w:type="dxa"/>
            <w:tcBorders>
              <w:top w:val="single" w:color="auto" w:sz="2" w:space="0"/>
              <w:left w:val="single" w:color="auto" w:sz="2" w:space="0"/>
              <w:bottom w:val="single" w:color="auto" w:sz="2" w:space="0"/>
              <w:right w:val="single" w:color="auto" w:sz="2" w:space="0"/>
            </w:tcBorders>
            <w:vAlign w:val="center"/>
          </w:tcPr>
          <w:p w14:paraId="04FFB144">
            <w:pPr>
              <w:spacing w:before="0" w:after="0" w:line="240" w:lineRule="exact"/>
              <w:jc w:val="right"/>
              <w:rPr>
                <w:rFonts w:ascii="宋体" w:hAnsi="宋体" w:eastAsia="宋体" w:cs="宋体"/>
                <w:sz w:val="18"/>
                <w:szCs w:val="18"/>
              </w:rPr>
            </w:pPr>
            <w:r>
              <w:rPr>
                <w:rFonts w:ascii="宋体" w:hAnsi="宋体" w:eastAsia="宋体" w:cs="宋体"/>
                <w:sz w:val="18"/>
                <w:szCs w:val="18"/>
              </w:rPr>
              <w:t>620,071.72</w:t>
            </w:r>
          </w:p>
        </w:tc>
        <w:tc>
          <w:tcPr>
            <w:tcW w:w="3213" w:type="dxa"/>
            <w:tcBorders>
              <w:top w:val="single" w:color="auto" w:sz="2" w:space="0"/>
              <w:left w:val="single" w:color="auto" w:sz="2" w:space="0"/>
              <w:bottom w:val="single" w:color="auto" w:sz="2" w:space="0"/>
              <w:right w:val="single" w:color="auto" w:sz="2" w:space="0"/>
            </w:tcBorders>
            <w:vAlign w:val="center"/>
          </w:tcPr>
          <w:p w14:paraId="1D2B2E6D">
            <w:pPr>
              <w:spacing w:before="0" w:after="0" w:line="240" w:lineRule="exact"/>
              <w:jc w:val="right"/>
              <w:rPr>
                <w:rFonts w:ascii="宋体" w:hAnsi="宋体" w:eastAsia="宋体" w:cs="宋体"/>
                <w:sz w:val="18"/>
                <w:szCs w:val="18"/>
              </w:rPr>
            </w:pPr>
            <w:r>
              <w:rPr>
                <w:rFonts w:ascii="宋体" w:hAnsi="宋体" w:eastAsia="宋体" w:cs="宋体"/>
                <w:sz w:val="18"/>
                <w:szCs w:val="18"/>
              </w:rPr>
              <w:t>249,253.87</w:t>
            </w:r>
          </w:p>
        </w:tc>
      </w:tr>
      <w:tr w14:paraId="598FFC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CFAE8C5">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4至5年</w:t>
            </w:r>
          </w:p>
        </w:tc>
        <w:tc>
          <w:tcPr>
            <w:tcW w:w="3213" w:type="dxa"/>
            <w:tcBorders>
              <w:top w:val="single" w:color="auto" w:sz="2" w:space="0"/>
              <w:left w:val="single" w:color="auto" w:sz="2" w:space="0"/>
              <w:bottom w:val="single" w:color="auto" w:sz="2" w:space="0"/>
              <w:right w:val="single" w:color="auto" w:sz="2" w:space="0"/>
            </w:tcBorders>
            <w:vAlign w:val="center"/>
          </w:tcPr>
          <w:p w14:paraId="4E969D19">
            <w:pPr>
              <w:spacing w:before="0" w:after="0" w:line="240" w:lineRule="exact"/>
              <w:jc w:val="right"/>
              <w:rPr>
                <w:rFonts w:ascii="宋体" w:hAnsi="宋体" w:eastAsia="宋体" w:cs="宋体"/>
                <w:sz w:val="18"/>
                <w:szCs w:val="18"/>
              </w:rPr>
            </w:pPr>
            <w:r>
              <w:rPr>
                <w:rFonts w:ascii="宋体" w:hAnsi="宋体" w:eastAsia="宋体" w:cs="宋体"/>
                <w:sz w:val="18"/>
                <w:szCs w:val="18"/>
              </w:rPr>
              <w:t>232,931.57</w:t>
            </w:r>
          </w:p>
        </w:tc>
        <w:tc>
          <w:tcPr>
            <w:tcW w:w="3213" w:type="dxa"/>
            <w:tcBorders>
              <w:top w:val="single" w:color="auto" w:sz="2" w:space="0"/>
              <w:left w:val="single" w:color="auto" w:sz="2" w:space="0"/>
              <w:bottom w:val="single" w:color="auto" w:sz="2" w:space="0"/>
              <w:right w:val="single" w:color="auto" w:sz="2" w:space="0"/>
            </w:tcBorders>
            <w:vAlign w:val="center"/>
          </w:tcPr>
          <w:p w14:paraId="547D43A3">
            <w:pPr>
              <w:spacing w:before="0" w:after="0" w:line="240" w:lineRule="exact"/>
              <w:jc w:val="right"/>
              <w:rPr>
                <w:rFonts w:ascii="宋体" w:hAnsi="宋体" w:eastAsia="宋体" w:cs="宋体"/>
                <w:sz w:val="18"/>
                <w:szCs w:val="18"/>
              </w:rPr>
            </w:pPr>
            <w:r>
              <w:rPr>
                <w:rFonts w:ascii="宋体" w:hAnsi="宋体" w:eastAsia="宋体" w:cs="宋体"/>
                <w:sz w:val="18"/>
                <w:szCs w:val="18"/>
              </w:rPr>
              <w:t>664,145.89</w:t>
            </w:r>
          </w:p>
        </w:tc>
      </w:tr>
      <w:tr w14:paraId="501504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AB6C03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5年以上</w:t>
            </w:r>
          </w:p>
        </w:tc>
        <w:tc>
          <w:tcPr>
            <w:tcW w:w="3213" w:type="dxa"/>
            <w:tcBorders>
              <w:top w:val="single" w:color="auto" w:sz="2" w:space="0"/>
              <w:left w:val="single" w:color="auto" w:sz="2" w:space="0"/>
              <w:bottom w:val="single" w:color="auto" w:sz="2" w:space="0"/>
              <w:right w:val="single" w:color="auto" w:sz="2" w:space="0"/>
            </w:tcBorders>
            <w:vAlign w:val="center"/>
          </w:tcPr>
          <w:p w14:paraId="593A347F">
            <w:pPr>
              <w:spacing w:before="0" w:after="0" w:line="240" w:lineRule="exact"/>
              <w:jc w:val="right"/>
              <w:rPr>
                <w:rFonts w:ascii="宋体" w:hAnsi="宋体" w:eastAsia="宋体" w:cs="宋体"/>
                <w:sz w:val="18"/>
                <w:szCs w:val="18"/>
              </w:rPr>
            </w:pPr>
            <w:r>
              <w:rPr>
                <w:rFonts w:ascii="宋体" w:hAnsi="宋体" w:eastAsia="宋体" w:cs="宋体"/>
                <w:sz w:val="18"/>
                <w:szCs w:val="18"/>
              </w:rPr>
              <w:t>1,465,715.73</w:t>
            </w:r>
          </w:p>
        </w:tc>
        <w:tc>
          <w:tcPr>
            <w:tcW w:w="3213" w:type="dxa"/>
            <w:tcBorders>
              <w:top w:val="single" w:color="auto" w:sz="2" w:space="0"/>
              <w:left w:val="single" w:color="auto" w:sz="2" w:space="0"/>
              <w:bottom w:val="single" w:color="auto" w:sz="2" w:space="0"/>
              <w:right w:val="single" w:color="auto" w:sz="2" w:space="0"/>
            </w:tcBorders>
            <w:vAlign w:val="center"/>
          </w:tcPr>
          <w:p w14:paraId="1F52E0D8">
            <w:pPr>
              <w:spacing w:before="0" w:after="0" w:line="240" w:lineRule="exact"/>
              <w:jc w:val="right"/>
              <w:rPr>
                <w:rFonts w:ascii="宋体" w:hAnsi="宋体" w:eastAsia="宋体" w:cs="宋体"/>
                <w:sz w:val="18"/>
                <w:szCs w:val="18"/>
              </w:rPr>
            </w:pPr>
            <w:r>
              <w:rPr>
                <w:rFonts w:ascii="宋体" w:hAnsi="宋体" w:eastAsia="宋体" w:cs="宋体"/>
                <w:sz w:val="18"/>
                <w:szCs w:val="18"/>
              </w:rPr>
              <w:t>833,686.54</w:t>
            </w:r>
          </w:p>
        </w:tc>
      </w:tr>
      <w:tr w14:paraId="1184AF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89FDF49">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39765EE2">
            <w:pPr>
              <w:spacing w:before="0" w:after="0" w:line="240" w:lineRule="exact"/>
              <w:jc w:val="right"/>
              <w:rPr>
                <w:rFonts w:ascii="宋体" w:hAnsi="宋体" w:eastAsia="宋体" w:cs="宋体"/>
                <w:sz w:val="18"/>
                <w:szCs w:val="18"/>
              </w:rPr>
            </w:pPr>
            <w:r>
              <w:rPr>
                <w:rFonts w:ascii="宋体" w:hAnsi="宋体" w:eastAsia="宋体" w:cs="宋体"/>
                <w:sz w:val="18"/>
                <w:szCs w:val="18"/>
              </w:rPr>
              <w:t>74,258,568.67</w:t>
            </w:r>
          </w:p>
        </w:tc>
        <w:tc>
          <w:tcPr>
            <w:tcW w:w="3213" w:type="dxa"/>
            <w:tcBorders>
              <w:top w:val="single" w:color="auto" w:sz="2" w:space="0"/>
              <w:left w:val="single" w:color="auto" w:sz="2" w:space="0"/>
              <w:bottom w:val="single" w:color="auto" w:sz="2" w:space="0"/>
              <w:right w:val="single" w:color="auto" w:sz="2" w:space="0"/>
            </w:tcBorders>
            <w:vAlign w:val="center"/>
          </w:tcPr>
          <w:p w14:paraId="364DC508">
            <w:pPr>
              <w:spacing w:before="0" w:after="0" w:line="240" w:lineRule="exact"/>
              <w:jc w:val="right"/>
              <w:rPr>
                <w:rFonts w:ascii="宋体" w:hAnsi="宋体" w:eastAsia="宋体" w:cs="宋体"/>
                <w:sz w:val="18"/>
                <w:szCs w:val="18"/>
              </w:rPr>
            </w:pPr>
            <w:r>
              <w:rPr>
                <w:rFonts w:ascii="宋体" w:hAnsi="宋体" w:eastAsia="宋体" w:cs="宋体"/>
                <w:sz w:val="18"/>
                <w:szCs w:val="18"/>
              </w:rPr>
              <w:t>73,415,872.60</w:t>
            </w:r>
          </w:p>
        </w:tc>
      </w:tr>
    </w:tbl>
    <w:p w14:paraId="7C064540">
      <w:pPr>
        <w:keepNext/>
        <w:keepLines/>
        <w:spacing w:before="300" w:after="300" w:line="280" w:lineRule="exact"/>
        <w:jc w:val="left"/>
        <w:outlineLvl w:val="3"/>
        <w:rPr>
          <w:rFonts w:ascii="宋体" w:hAnsi="宋体" w:eastAsia="宋体" w:cs="宋体"/>
          <w:b/>
          <w:bCs/>
          <w:sz w:val="21"/>
          <w:szCs w:val="21"/>
        </w:rPr>
      </w:pPr>
      <w:bookmarkStart w:id="240" w:name="_Toc989127"/>
      <w:r>
        <w:rPr>
          <w:rFonts w:ascii="宋体" w:hAnsi="宋体" w:eastAsia="宋体" w:cs="宋体"/>
          <w:b/>
          <w:bCs/>
          <w:sz w:val="21"/>
          <w:szCs w:val="21"/>
        </w:rPr>
        <w:t>（2） 按坏账计提方法分类披露</w:t>
      </w:r>
      <w:bookmarkEnd w:id="240"/>
    </w:p>
    <w:p w14:paraId="057116D0">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76"/>
        <w:gridCol w:w="876"/>
        <w:gridCol w:w="876"/>
        <w:gridCol w:w="876"/>
        <w:gridCol w:w="876"/>
        <w:gridCol w:w="876"/>
        <w:gridCol w:w="876"/>
        <w:gridCol w:w="876"/>
        <w:gridCol w:w="876"/>
      </w:tblGrid>
      <w:tr w14:paraId="2981D6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C78381E">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000897AC">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2C3B09C6">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773B0F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0C9A660"/>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73B0AB9">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9504AD5">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3FD4DBF">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4FC10060">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E00B0E3">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700E18F">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68823B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07394DA"/>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F054E12">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AF57AF3">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37B90EB">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D839260">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B99923A"/>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CC05B0F">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B9BDA2D">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DAEF914">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55DC743">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B1E69F9"/>
        </w:tc>
      </w:tr>
      <w:tr w14:paraId="727539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DA5DCEE">
            <w:pPr>
              <w:spacing w:before="40" w:after="40" w:line="240" w:lineRule="exact"/>
              <w:jc w:val="left"/>
              <w:rPr>
                <w:rFonts w:ascii="宋体" w:hAnsi="宋体" w:eastAsia="宋体" w:cs="宋体"/>
                <w:sz w:val="18"/>
                <w:szCs w:val="18"/>
              </w:rPr>
            </w:pPr>
            <w:r>
              <w:rPr>
                <w:rFonts w:ascii="宋体" w:hAnsi="宋体" w:eastAsia="宋体" w:cs="宋体"/>
                <w:sz w:val="18"/>
                <w:szCs w:val="18"/>
              </w:rPr>
              <w:t>按单项计提坏账准备的应收账款</w:t>
            </w:r>
          </w:p>
        </w:tc>
        <w:tc>
          <w:tcPr>
            <w:tcW w:w="876" w:type="dxa"/>
            <w:tcBorders>
              <w:top w:val="single" w:color="auto" w:sz="2" w:space="0"/>
              <w:left w:val="single" w:color="auto" w:sz="2" w:space="0"/>
              <w:bottom w:val="single" w:color="auto" w:sz="2" w:space="0"/>
              <w:right w:val="single" w:color="auto" w:sz="2" w:space="0"/>
            </w:tcBorders>
            <w:vAlign w:val="center"/>
          </w:tcPr>
          <w:p w14:paraId="037C724D">
            <w:pPr>
              <w:spacing w:before="0" w:after="0" w:line="240" w:lineRule="exact"/>
              <w:jc w:val="right"/>
              <w:rPr>
                <w:rFonts w:ascii="宋体" w:hAnsi="宋体" w:eastAsia="宋体" w:cs="宋体"/>
                <w:sz w:val="18"/>
                <w:szCs w:val="18"/>
              </w:rPr>
            </w:pPr>
            <w:r>
              <w:rPr>
                <w:rFonts w:ascii="宋体" w:hAnsi="宋体" w:eastAsia="宋体" w:cs="宋体"/>
                <w:sz w:val="18"/>
                <w:szCs w:val="18"/>
              </w:rPr>
              <w:t>634,929.07</w:t>
            </w:r>
          </w:p>
        </w:tc>
        <w:tc>
          <w:tcPr>
            <w:tcW w:w="876" w:type="dxa"/>
            <w:tcBorders>
              <w:top w:val="single" w:color="auto" w:sz="2" w:space="0"/>
              <w:left w:val="single" w:color="auto" w:sz="2" w:space="0"/>
              <w:bottom w:val="single" w:color="auto" w:sz="2" w:space="0"/>
              <w:right w:val="single" w:color="auto" w:sz="2" w:space="0"/>
            </w:tcBorders>
            <w:vAlign w:val="center"/>
          </w:tcPr>
          <w:p w14:paraId="1FEC361C">
            <w:pPr>
              <w:spacing w:before="0" w:after="0" w:line="240" w:lineRule="exact"/>
              <w:jc w:val="right"/>
              <w:rPr>
                <w:rFonts w:ascii="宋体" w:hAnsi="宋体" w:eastAsia="宋体" w:cs="宋体"/>
                <w:sz w:val="18"/>
                <w:szCs w:val="18"/>
              </w:rPr>
            </w:pPr>
            <w:r>
              <w:rPr>
                <w:rFonts w:ascii="宋体" w:hAnsi="宋体" w:eastAsia="宋体" w:cs="宋体"/>
                <w:sz w:val="18"/>
                <w:szCs w:val="18"/>
              </w:rPr>
              <w:t>0.86%</w:t>
            </w:r>
          </w:p>
        </w:tc>
        <w:tc>
          <w:tcPr>
            <w:tcW w:w="876" w:type="dxa"/>
            <w:tcBorders>
              <w:top w:val="single" w:color="auto" w:sz="2" w:space="0"/>
              <w:left w:val="single" w:color="auto" w:sz="2" w:space="0"/>
              <w:bottom w:val="single" w:color="auto" w:sz="2" w:space="0"/>
              <w:right w:val="single" w:color="auto" w:sz="2" w:space="0"/>
            </w:tcBorders>
            <w:vAlign w:val="center"/>
          </w:tcPr>
          <w:p w14:paraId="5C831DAA">
            <w:pPr>
              <w:spacing w:before="0" w:after="0" w:line="240" w:lineRule="exact"/>
              <w:jc w:val="right"/>
              <w:rPr>
                <w:rFonts w:ascii="宋体" w:hAnsi="宋体" w:eastAsia="宋体" w:cs="宋体"/>
                <w:sz w:val="18"/>
                <w:szCs w:val="18"/>
              </w:rPr>
            </w:pPr>
            <w:r>
              <w:rPr>
                <w:rFonts w:ascii="宋体" w:hAnsi="宋体" w:eastAsia="宋体" w:cs="宋体"/>
                <w:sz w:val="18"/>
                <w:szCs w:val="18"/>
              </w:rPr>
              <w:t>634,929.07</w:t>
            </w:r>
          </w:p>
        </w:tc>
        <w:tc>
          <w:tcPr>
            <w:tcW w:w="876" w:type="dxa"/>
            <w:tcBorders>
              <w:top w:val="single" w:color="auto" w:sz="2" w:space="0"/>
              <w:left w:val="single" w:color="auto" w:sz="2" w:space="0"/>
              <w:bottom w:val="single" w:color="auto" w:sz="2" w:space="0"/>
              <w:right w:val="single" w:color="auto" w:sz="2" w:space="0"/>
            </w:tcBorders>
            <w:vAlign w:val="center"/>
          </w:tcPr>
          <w:p w14:paraId="6ED6D593">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16151720">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14CBC0FF">
            <w:pPr>
              <w:spacing w:before="0" w:after="0" w:line="240" w:lineRule="exact"/>
              <w:jc w:val="right"/>
              <w:rPr>
                <w:rFonts w:ascii="宋体" w:hAnsi="宋体" w:eastAsia="宋体" w:cs="宋体"/>
                <w:sz w:val="18"/>
                <w:szCs w:val="18"/>
              </w:rPr>
            </w:pPr>
            <w:r>
              <w:rPr>
                <w:rFonts w:ascii="宋体" w:hAnsi="宋体" w:eastAsia="宋体" w:cs="宋体"/>
                <w:sz w:val="18"/>
                <w:szCs w:val="18"/>
              </w:rPr>
              <w:t>669,929.07</w:t>
            </w:r>
          </w:p>
        </w:tc>
        <w:tc>
          <w:tcPr>
            <w:tcW w:w="876" w:type="dxa"/>
            <w:tcBorders>
              <w:top w:val="single" w:color="auto" w:sz="2" w:space="0"/>
              <w:left w:val="single" w:color="auto" w:sz="2" w:space="0"/>
              <w:bottom w:val="single" w:color="auto" w:sz="2" w:space="0"/>
              <w:right w:val="single" w:color="auto" w:sz="2" w:space="0"/>
            </w:tcBorders>
            <w:vAlign w:val="center"/>
          </w:tcPr>
          <w:p w14:paraId="4D4ED0D1">
            <w:pPr>
              <w:spacing w:before="0" w:after="0" w:line="240" w:lineRule="exact"/>
              <w:jc w:val="right"/>
              <w:rPr>
                <w:rFonts w:ascii="宋体" w:hAnsi="宋体" w:eastAsia="宋体" w:cs="宋体"/>
                <w:sz w:val="18"/>
                <w:szCs w:val="18"/>
              </w:rPr>
            </w:pPr>
            <w:r>
              <w:rPr>
                <w:rFonts w:ascii="宋体" w:hAnsi="宋体" w:eastAsia="宋体" w:cs="宋体"/>
                <w:sz w:val="18"/>
                <w:szCs w:val="18"/>
              </w:rPr>
              <w:t>0.91%</w:t>
            </w:r>
          </w:p>
        </w:tc>
        <w:tc>
          <w:tcPr>
            <w:tcW w:w="876" w:type="dxa"/>
            <w:tcBorders>
              <w:top w:val="single" w:color="auto" w:sz="2" w:space="0"/>
              <w:left w:val="single" w:color="auto" w:sz="2" w:space="0"/>
              <w:bottom w:val="single" w:color="auto" w:sz="2" w:space="0"/>
              <w:right w:val="single" w:color="auto" w:sz="2" w:space="0"/>
            </w:tcBorders>
            <w:vAlign w:val="center"/>
          </w:tcPr>
          <w:p w14:paraId="0B338837">
            <w:pPr>
              <w:spacing w:before="0" w:after="0" w:line="240" w:lineRule="exact"/>
              <w:jc w:val="right"/>
              <w:rPr>
                <w:rFonts w:ascii="宋体" w:hAnsi="宋体" w:eastAsia="宋体" w:cs="宋体"/>
                <w:sz w:val="18"/>
                <w:szCs w:val="18"/>
              </w:rPr>
            </w:pPr>
            <w:r>
              <w:rPr>
                <w:rFonts w:ascii="宋体" w:hAnsi="宋体" w:eastAsia="宋体" w:cs="宋体"/>
                <w:sz w:val="18"/>
                <w:szCs w:val="18"/>
              </w:rPr>
              <w:t>669,929.07</w:t>
            </w:r>
          </w:p>
        </w:tc>
        <w:tc>
          <w:tcPr>
            <w:tcW w:w="876" w:type="dxa"/>
            <w:tcBorders>
              <w:top w:val="single" w:color="auto" w:sz="2" w:space="0"/>
              <w:left w:val="single" w:color="auto" w:sz="2" w:space="0"/>
              <w:bottom w:val="single" w:color="auto" w:sz="2" w:space="0"/>
              <w:right w:val="single" w:color="auto" w:sz="2" w:space="0"/>
            </w:tcBorders>
            <w:vAlign w:val="center"/>
          </w:tcPr>
          <w:p w14:paraId="294E7E37">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1ADA16BB">
            <w:pPr>
              <w:spacing w:before="0" w:after="0" w:line="240" w:lineRule="exact"/>
              <w:jc w:val="right"/>
              <w:rPr>
                <w:rFonts w:ascii="宋体" w:hAnsi="宋体" w:eastAsia="宋体" w:cs="宋体"/>
                <w:sz w:val="18"/>
                <w:szCs w:val="18"/>
              </w:rPr>
            </w:pPr>
          </w:p>
        </w:tc>
      </w:tr>
      <w:tr w14:paraId="3E6348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D550A2F">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4967D7D"/>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6796606"/>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228749D"/>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162CF49"/>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BDF4C46"/>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7C4A9EF"/>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67A24B8"/>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1E210FB"/>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96F35BF"/>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BC3D372"/>
        </w:tc>
      </w:tr>
      <w:tr w14:paraId="3BC4F6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C4DAB4E">
            <w:pPr>
              <w:spacing w:before="40" w:after="40" w:line="240" w:lineRule="exact"/>
              <w:jc w:val="left"/>
              <w:rPr>
                <w:rFonts w:ascii="宋体" w:hAnsi="宋体" w:eastAsia="宋体" w:cs="宋体"/>
                <w:sz w:val="18"/>
                <w:szCs w:val="18"/>
              </w:rPr>
            </w:pPr>
            <w:r>
              <w:rPr>
                <w:rFonts w:ascii="宋体" w:hAnsi="宋体" w:eastAsia="宋体" w:cs="宋体"/>
                <w:sz w:val="18"/>
                <w:szCs w:val="18"/>
              </w:rPr>
              <w:t>按组合计提坏账准备的应收账款</w:t>
            </w:r>
          </w:p>
        </w:tc>
        <w:tc>
          <w:tcPr>
            <w:tcW w:w="876" w:type="dxa"/>
            <w:tcBorders>
              <w:top w:val="single" w:color="auto" w:sz="2" w:space="0"/>
              <w:left w:val="single" w:color="auto" w:sz="2" w:space="0"/>
              <w:bottom w:val="single" w:color="auto" w:sz="2" w:space="0"/>
              <w:right w:val="single" w:color="auto" w:sz="2" w:space="0"/>
            </w:tcBorders>
            <w:vAlign w:val="center"/>
          </w:tcPr>
          <w:p w14:paraId="44D6D4F8">
            <w:pPr>
              <w:spacing w:before="0" w:after="0" w:line="240" w:lineRule="exact"/>
              <w:jc w:val="right"/>
              <w:rPr>
                <w:rFonts w:ascii="宋体" w:hAnsi="宋体" w:eastAsia="宋体" w:cs="宋体"/>
                <w:sz w:val="18"/>
                <w:szCs w:val="18"/>
              </w:rPr>
            </w:pPr>
            <w:r>
              <w:rPr>
                <w:rFonts w:ascii="宋体" w:hAnsi="宋体" w:eastAsia="宋体" w:cs="宋体"/>
                <w:sz w:val="18"/>
                <w:szCs w:val="18"/>
              </w:rPr>
              <w:t>73,623,639.60</w:t>
            </w:r>
          </w:p>
        </w:tc>
        <w:tc>
          <w:tcPr>
            <w:tcW w:w="876" w:type="dxa"/>
            <w:tcBorders>
              <w:top w:val="single" w:color="auto" w:sz="2" w:space="0"/>
              <w:left w:val="single" w:color="auto" w:sz="2" w:space="0"/>
              <w:bottom w:val="single" w:color="auto" w:sz="2" w:space="0"/>
              <w:right w:val="single" w:color="auto" w:sz="2" w:space="0"/>
            </w:tcBorders>
            <w:vAlign w:val="center"/>
          </w:tcPr>
          <w:p w14:paraId="081709E1">
            <w:pPr>
              <w:spacing w:before="0" w:after="0" w:line="240" w:lineRule="exact"/>
              <w:jc w:val="right"/>
              <w:rPr>
                <w:rFonts w:ascii="宋体" w:hAnsi="宋体" w:eastAsia="宋体" w:cs="宋体"/>
                <w:sz w:val="18"/>
                <w:szCs w:val="18"/>
              </w:rPr>
            </w:pPr>
            <w:r>
              <w:rPr>
                <w:rFonts w:ascii="宋体" w:hAnsi="宋体" w:eastAsia="宋体" w:cs="宋体"/>
                <w:sz w:val="18"/>
                <w:szCs w:val="18"/>
              </w:rPr>
              <w:t>99.14%</w:t>
            </w:r>
          </w:p>
        </w:tc>
        <w:tc>
          <w:tcPr>
            <w:tcW w:w="876" w:type="dxa"/>
            <w:tcBorders>
              <w:top w:val="single" w:color="auto" w:sz="2" w:space="0"/>
              <w:left w:val="single" w:color="auto" w:sz="2" w:space="0"/>
              <w:bottom w:val="single" w:color="auto" w:sz="2" w:space="0"/>
              <w:right w:val="single" w:color="auto" w:sz="2" w:space="0"/>
            </w:tcBorders>
            <w:vAlign w:val="center"/>
          </w:tcPr>
          <w:p w14:paraId="77182E97">
            <w:pPr>
              <w:spacing w:before="0" w:after="0" w:line="240" w:lineRule="exact"/>
              <w:jc w:val="right"/>
              <w:rPr>
                <w:rFonts w:ascii="宋体" w:hAnsi="宋体" w:eastAsia="宋体" w:cs="宋体"/>
                <w:sz w:val="18"/>
                <w:szCs w:val="18"/>
              </w:rPr>
            </w:pPr>
            <w:r>
              <w:rPr>
                <w:rFonts w:ascii="宋体" w:hAnsi="宋体" w:eastAsia="宋体" w:cs="宋体"/>
                <w:sz w:val="18"/>
                <w:szCs w:val="18"/>
              </w:rPr>
              <w:t>5,488,161.42</w:t>
            </w:r>
          </w:p>
        </w:tc>
        <w:tc>
          <w:tcPr>
            <w:tcW w:w="876" w:type="dxa"/>
            <w:tcBorders>
              <w:top w:val="single" w:color="auto" w:sz="2" w:space="0"/>
              <w:left w:val="single" w:color="auto" w:sz="2" w:space="0"/>
              <w:bottom w:val="single" w:color="auto" w:sz="2" w:space="0"/>
              <w:right w:val="single" w:color="auto" w:sz="2" w:space="0"/>
            </w:tcBorders>
            <w:vAlign w:val="center"/>
          </w:tcPr>
          <w:p w14:paraId="7E647C02">
            <w:pPr>
              <w:spacing w:before="0" w:after="0" w:line="240" w:lineRule="exact"/>
              <w:jc w:val="right"/>
              <w:rPr>
                <w:rFonts w:ascii="宋体" w:hAnsi="宋体" w:eastAsia="宋体" w:cs="宋体"/>
                <w:sz w:val="18"/>
                <w:szCs w:val="18"/>
              </w:rPr>
            </w:pPr>
            <w:r>
              <w:rPr>
                <w:rFonts w:ascii="宋体" w:hAnsi="宋体" w:eastAsia="宋体" w:cs="宋体"/>
                <w:sz w:val="18"/>
                <w:szCs w:val="18"/>
              </w:rPr>
              <w:t>7.45%</w:t>
            </w:r>
          </w:p>
        </w:tc>
        <w:tc>
          <w:tcPr>
            <w:tcW w:w="876" w:type="dxa"/>
            <w:tcBorders>
              <w:top w:val="single" w:color="auto" w:sz="2" w:space="0"/>
              <w:left w:val="single" w:color="auto" w:sz="2" w:space="0"/>
              <w:bottom w:val="single" w:color="auto" w:sz="2" w:space="0"/>
              <w:right w:val="single" w:color="auto" w:sz="2" w:space="0"/>
            </w:tcBorders>
            <w:vAlign w:val="center"/>
          </w:tcPr>
          <w:p w14:paraId="06577132">
            <w:pPr>
              <w:spacing w:before="0" w:after="0" w:line="240" w:lineRule="exact"/>
              <w:jc w:val="right"/>
              <w:rPr>
                <w:rFonts w:ascii="宋体" w:hAnsi="宋体" w:eastAsia="宋体" w:cs="宋体"/>
                <w:sz w:val="18"/>
                <w:szCs w:val="18"/>
              </w:rPr>
            </w:pPr>
            <w:r>
              <w:rPr>
                <w:rFonts w:ascii="宋体" w:hAnsi="宋体" w:eastAsia="宋体" w:cs="宋体"/>
                <w:sz w:val="18"/>
                <w:szCs w:val="18"/>
              </w:rPr>
              <w:t>68,135,478.18</w:t>
            </w:r>
          </w:p>
        </w:tc>
        <w:tc>
          <w:tcPr>
            <w:tcW w:w="876" w:type="dxa"/>
            <w:tcBorders>
              <w:top w:val="single" w:color="auto" w:sz="2" w:space="0"/>
              <w:left w:val="single" w:color="auto" w:sz="2" w:space="0"/>
              <w:bottom w:val="single" w:color="auto" w:sz="2" w:space="0"/>
              <w:right w:val="single" w:color="auto" w:sz="2" w:space="0"/>
            </w:tcBorders>
            <w:vAlign w:val="center"/>
          </w:tcPr>
          <w:p w14:paraId="051D5F26">
            <w:pPr>
              <w:spacing w:before="0" w:after="0" w:line="240" w:lineRule="exact"/>
              <w:jc w:val="right"/>
              <w:rPr>
                <w:rFonts w:ascii="宋体" w:hAnsi="宋体" w:eastAsia="宋体" w:cs="宋体"/>
                <w:sz w:val="18"/>
                <w:szCs w:val="18"/>
              </w:rPr>
            </w:pPr>
            <w:r>
              <w:rPr>
                <w:rFonts w:ascii="宋体" w:hAnsi="宋体" w:eastAsia="宋体" w:cs="宋体"/>
                <w:sz w:val="18"/>
                <w:szCs w:val="18"/>
              </w:rPr>
              <w:t>72,745,943.53</w:t>
            </w:r>
          </w:p>
        </w:tc>
        <w:tc>
          <w:tcPr>
            <w:tcW w:w="876" w:type="dxa"/>
            <w:tcBorders>
              <w:top w:val="single" w:color="auto" w:sz="2" w:space="0"/>
              <w:left w:val="single" w:color="auto" w:sz="2" w:space="0"/>
              <w:bottom w:val="single" w:color="auto" w:sz="2" w:space="0"/>
              <w:right w:val="single" w:color="auto" w:sz="2" w:space="0"/>
            </w:tcBorders>
            <w:vAlign w:val="center"/>
          </w:tcPr>
          <w:p w14:paraId="5E46E7F0">
            <w:pPr>
              <w:spacing w:before="0" w:after="0" w:line="240" w:lineRule="exact"/>
              <w:jc w:val="right"/>
              <w:rPr>
                <w:rFonts w:ascii="宋体" w:hAnsi="宋体" w:eastAsia="宋体" w:cs="宋体"/>
                <w:sz w:val="18"/>
                <w:szCs w:val="18"/>
              </w:rPr>
            </w:pPr>
            <w:r>
              <w:rPr>
                <w:rFonts w:ascii="宋体" w:hAnsi="宋体" w:eastAsia="宋体" w:cs="宋体"/>
                <w:sz w:val="18"/>
                <w:szCs w:val="18"/>
              </w:rPr>
              <w:t>99.09%</w:t>
            </w:r>
          </w:p>
        </w:tc>
        <w:tc>
          <w:tcPr>
            <w:tcW w:w="876" w:type="dxa"/>
            <w:tcBorders>
              <w:top w:val="single" w:color="auto" w:sz="2" w:space="0"/>
              <w:left w:val="single" w:color="auto" w:sz="2" w:space="0"/>
              <w:bottom w:val="single" w:color="auto" w:sz="2" w:space="0"/>
              <w:right w:val="single" w:color="auto" w:sz="2" w:space="0"/>
            </w:tcBorders>
            <w:vAlign w:val="center"/>
          </w:tcPr>
          <w:p w14:paraId="0E2305DD">
            <w:pPr>
              <w:spacing w:before="0" w:after="0" w:line="240" w:lineRule="exact"/>
              <w:jc w:val="right"/>
              <w:rPr>
                <w:rFonts w:ascii="宋体" w:hAnsi="宋体" w:eastAsia="宋体" w:cs="宋体"/>
                <w:sz w:val="18"/>
                <w:szCs w:val="18"/>
              </w:rPr>
            </w:pPr>
            <w:r>
              <w:rPr>
                <w:rFonts w:ascii="宋体" w:hAnsi="宋体" w:eastAsia="宋体" w:cs="宋体"/>
                <w:sz w:val="18"/>
                <w:szCs w:val="18"/>
              </w:rPr>
              <w:t>5,202,729.50</w:t>
            </w:r>
          </w:p>
        </w:tc>
        <w:tc>
          <w:tcPr>
            <w:tcW w:w="876" w:type="dxa"/>
            <w:tcBorders>
              <w:top w:val="single" w:color="auto" w:sz="2" w:space="0"/>
              <w:left w:val="single" w:color="auto" w:sz="2" w:space="0"/>
              <w:bottom w:val="single" w:color="auto" w:sz="2" w:space="0"/>
              <w:right w:val="single" w:color="auto" w:sz="2" w:space="0"/>
            </w:tcBorders>
            <w:vAlign w:val="center"/>
          </w:tcPr>
          <w:p w14:paraId="7C0F3B66">
            <w:pPr>
              <w:spacing w:before="0" w:after="0" w:line="240" w:lineRule="exact"/>
              <w:jc w:val="right"/>
              <w:rPr>
                <w:rFonts w:ascii="宋体" w:hAnsi="宋体" w:eastAsia="宋体" w:cs="宋体"/>
                <w:sz w:val="18"/>
                <w:szCs w:val="18"/>
              </w:rPr>
            </w:pPr>
            <w:r>
              <w:rPr>
                <w:rFonts w:ascii="宋体" w:hAnsi="宋体" w:eastAsia="宋体" w:cs="宋体"/>
                <w:sz w:val="18"/>
                <w:szCs w:val="18"/>
              </w:rPr>
              <w:t>7.15%</w:t>
            </w:r>
          </w:p>
        </w:tc>
        <w:tc>
          <w:tcPr>
            <w:tcW w:w="876" w:type="dxa"/>
            <w:tcBorders>
              <w:top w:val="single" w:color="auto" w:sz="2" w:space="0"/>
              <w:left w:val="single" w:color="auto" w:sz="2" w:space="0"/>
              <w:bottom w:val="single" w:color="auto" w:sz="2" w:space="0"/>
              <w:right w:val="single" w:color="auto" w:sz="2" w:space="0"/>
            </w:tcBorders>
            <w:vAlign w:val="center"/>
          </w:tcPr>
          <w:p w14:paraId="6E5C4D38">
            <w:pPr>
              <w:spacing w:before="0" w:after="0" w:line="240" w:lineRule="exact"/>
              <w:jc w:val="right"/>
              <w:rPr>
                <w:rFonts w:ascii="宋体" w:hAnsi="宋体" w:eastAsia="宋体" w:cs="宋体"/>
                <w:sz w:val="18"/>
                <w:szCs w:val="18"/>
              </w:rPr>
            </w:pPr>
            <w:r>
              <w:rPr>
                <w:rFonts w:ascii="宋体" w:hAnsi="宋体" w:eastAsia="宋体" w:cs="宋体"/>
                <w:sz w:val="18"/>
                <w:szCs w:val="18"/>
              </w:rPr>
              <w:t>67,543,214.03</w:t>
            </w:r>
          </w:p>
        </w:tc>
      </w:tr>
      <w:tr w14:paraId="65558D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B784F2D">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8E19D68"/>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03084C5"/>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9308B55"/>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9D2A452"/>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DEB4A7D"/>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35D104A"/>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8EB03A6"/>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7461DEA"/>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583805A"/>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DF7C95F"/>
        </w:tc>
      </w:tr>
      <w:tr w14:paraId="3896B3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49EB18C8">
            <w:pPr>
              <w:spacing w:before="0" w:after="0" w:line="240" w:lineRule="exact"/>
              <w:jc w:val="left"/>
              <w:rPr>
                <w:rFonts w:ascii="宋体" w:hAnsi="宋体" w:eastAsia="宋体" w:cs="宋体"/>
                <w:sz w:val="18"/>
                <w:szCs w:val="18"/>
              </w:rPr>
            </w:pPr>
            <w:r>
              <w:rPr>
                <w:rFonts w:ascii="宋体" w:hAnsi="宋体" w:eastAsia="宋体" w:cs="宋体"/>
                <w:sz w:val="18"/>
                <w:szCs w:val="18"/>
              </w:rPr>
              <w:t>经销及外包推广模式应收款项组合</w:t>
            </w:r>
          </w:p>
        </w:tc>
        <w:tc>
          <w:tcPr>
            <w:tcW w:w="876" w:type="dxa"/>
            <w:tcBorders>
              <w:top w:val="single" w:color="auto" w:sz="2" w:space="0"/>
              <w:left w:val="single" w:color="auto" w:sz="2" w:space="0"/>
              <w:bottom w:val="single" w:color="auto" w:sz="2" w:space="0"/>
              <w:right w:val="single" w:color="auto" w:sz="2" w:space="0"/>
            </w:tcBorders>
            <w:vAlign w:val="center"/>
          </w:tcPr>
          <w:p w14:paraId="6CDBF4D8">
            <w:pPr>
              <w:spacing w:before="0" w:after="0" w:line="240" w:lineRule="exact"/>
              <w:jc w:val="right"/>
              <w:rPr>
                <w:rFonts w:ascii="宋体" w:hAnsi="宋体" w:eastAsia="宋体" w:cs="宋体"/>
                <w:sz w:val="18"/>
                <w:szCs w:val="18"/>
              </w:rPr>
            </w:pPr>
            <w:r>
              <w:rPr>
                <w:rFonts w:ascii="宋体" w:hAnsi="宋体" w:eastAsia="宋体" w:cs="宋体"/>
                <w:sz w:val="18"/>
                <w:szCs w:val="18"/>
              </w:rPr>
              <w:t>40,248,797.66</w:t>
            </w:r>
          </w:p>
        </w:tc>
        <w:tc>
          <w:tcPr>
            <w:tcW w:w="876" w:type="dxa"/>
            <w:tcBorders>
              <w:top w:val="single" w:color="auto" w:sz="2" w:space="0"/>
              <w:left w:val="single" w:color="auto" w:sz="2" w:space="0"/>
              <w:bottom w:val="single" w:color="auto" w:sz="2" w:space="0"/>
              <w:right w:val="single" w:color="auto" w:sz="2" w:space="0"/>
            </w:tcBorders>
            <w:vAlign w:val="center"/>
          </w:tcPr>
          <w:p w14:paraId="07A38BBA">
            <w:pPr>
              <w:spacing w:before="0" w:after="0" w:line="240" w:lineRule="exact"/>
              <w:jc w:val="right"/>
              <w:rPr>
                <w:rFonts w:ascii="宋体" w:hAnsi="宋体" w:eastAsia="宋体" w:cs="宋体"/>
                <w:sz w:val="18"/>
                <w:szCs w:val="18"/>
              </w:rPr>
            </w:pPr>
            <w:r>
              <w:rPr>
                <w:rFonts w:ascii="宋体" w:hAnsi="宋体" w:eastAsia="宋体" w:cs="宋体"/>
                <w:sz w:val="18"/>
                <w:szCs w:val="18"/>
              </w:rPr>
              <w:t>54.20%</w:t>
            </w:r>
          </w:p>
        </w:tc>
        <w:tc>
          <w:tcPr>
            <w:tcW w:w="876" w:type="dxa"/>
            <w:tcBorders>
              <w:top w:val="single" w:color="auto" w:sz="2" w:space="0"/>
              <w:left w:val="single" w:color="auto" w:sz="2" w:space="0"/>
              <w:bottom w:val="single" w:color="auto" w:sz="2" w:space="0"/>
              <w:right w:val="single" w:color="auto" w:sz="2" w:space="0"/>
            </w:tcBorders>
            <w:vAlign w:val="center"/>
          </w:tcPr>
          <w:p w14:paraId="66BDE3C6">
            <w:pPr>
              <w:spacing w:before="0" w:after="0" w:line="240" w:lineRule="exact"/>
              <w:jc w:val="right"/>
              <w:rPr>
                <w:rFonts w:ascii="宋体" w:hAnsi="宋体" w:eastAsia="宋体" w:cs="宋体"/>
                <w:sz w:val="18"/>
                <w:szCs w:val="18"/>
              </w:rPr>
            </w:pPr>
            <w:r>
              <w:rPr>
                <w:rFonts w:ascii="宋体" w:hAnsi="宋体" w:eastAsia="宋体" w:cs="宋体"/>
                <w:sz w:val="18"/>
                <w:szCs w:val="18"/>
              </w:rPr>
              <w:t>3,776,291.15</w:t>
            </w:r>
          </w:p>
        </w:tc>
        <w:tc>
          <w:tcPr>
            <w:tcW w:w="876" w:type="dxa"/>
            <w:tcBorders>
              <w:top w:val="single" w:color="auto" w:sz="2" w:space="0"/>
              <w:left w:val="single" w:color="auto" w:sz="2" w:space="0"/>
              <w:bottom w:val="single" w:color="auto" w:sz="2" w:space="0"/>
              <w:right w:val="single" w:color="auto" w:sz="2" w:space="0"/>
            </w:tcBorders>
            <w:vAlign w:val="center"/>
          </w:tcPr>
          <w:p w14:paraId="77F1BC90">
            <w:pPr>
              <w:spacing w:before="0" w:after="0" w:line="240" w:lineRule="exact"/>
              <w:jc w:val="right"/>
              <w:rPr>
                <w:rFonts w:ascii="宋体" w:hAnsi="宋体" w:eastAsia="宋体" w:cs="宋体"/>
                <w:sz w:val="18"/>
                <w:szCs w:val="18"/>
              </w:rPr>
            </w:pPr>
            <w:r>
              <w:rPr>
                <w:rFonts w:ascii="宋体" w:hAnsi="宋体" w:eastAsia="宋体" w:cs="宋体"/>
                <w:sz w:val="18"/>
                <w:szCs w:val="18"/>
              </w:rPr>
              <w:t>9.38%</w:t>
            </w:r>
          </w:p>
        </w:tc>
        <w:tc>
          <w:tcPr>
            <w:tcW w:w="876" w:type="dxa"/>
            <w:tcBorders>
              <w:top w:val="single" w:color="auto" w:sz="2" w:space="0"/>
              <w:left w:val="single" w:color="auto" w:sz="2" w:space="0"/>
              <w:bottom w:val="single" w:color="auto" w:sz="2" w:space="0"/>
              <w:right w:val="single" w:color="auto" w:sz="2" w:space="0"/>
            </w:tcBorders>
            <w:vAlign w:val="center"/>
          </w:tcPr>
          <w:p w14:paraId="141A678A">
            <w:pPr>
              <w:spacing w:before="0" w:after="0" w:line="240" w:lineRule="exact"/>
              <w:jc w:val="right"/>
              <w:rPr>
                <w:rFonts w:ascii="宋体" w:hAnsi="宋体" w:eastAsia="宋体" w:cs="宋体"/>
                <w:sz w:val="18"/>
                <w:szCs w:val="18"/>
              </w:rPr>
            </w:pPr>
            <w:r>
              <w:rPr>
                <w:rFonts w:ascii="宋体" w:hAnsi="宋体" w:eastAsia="宋体" w:cs="宋体"/>
                <w:sz w:val="18"/>
                <w:szCs w:val="18"/>
              </w:rPr>
              <w:t>36,472,506.51</w:t>
            </w:r>
          </w:p>
        </w:tc>
        <w:tc>
          <w:tcPr>
            <w:tcW w:w="876" w:type="dxa"/>
            <w:tcBorders>
              <w:top w:val="single" w:color="auto" w:sz="2" w:space="0"/>
              <w:left w:val="single" w:color="auto" w:sz="2" w:space="0"/>
              <w:bottom w:val="single" w:color="auto" w:sz="2" w:space="0"/>
              <w:right w:val="single" w:color="auto" w:sz="2" w:space="0"/>
            </w:tcBorders>
            <w:vAlign w:val="center"/>
          </w:tcPr>
          <w:p w14:paraId="052AADCD">
            <w:pPr>
              <w:spacing w:before="0" w:after="0" w:line="240" w:lineRule="exact"/>
              <w:jc w:val="right"/>
              <w:rPr>
                <w:rFonts w:ascii="宋体" w:hAnsi="宋体" w:eastAsia="宋体" w:cs="宋体"/>
                <w:sz w:val="18"/>
                <w:szCs w:val="18"/>
              </w:rPr>
            </w:pPr>
            <w:r>
              <w:rPr>
                <w:rFonts w:ascii="宋体" w:hAnsi="宋体" w:eastAsia="宋体" w:cs="宋体"/>
                <w:sz w:val="18"/>
                <w:szCs w:val="18"/>
              </w:rPr>
              <w:t>30,916,701.95</w:t>
            </w:r>
          </w:p>
        </w:tc>
        <w:tc>
          <w:tcPr>
            <w:tcW w:w="876" w:type="dxa"/>
            <w:tcBorders>
              <w:top w:val="single" w:color="auto" w:sz="2" w:space="0"/>
              <w:left w:val="single" w:color="auto" w:sz="2" w:space="0"/>
              <w:bottom w:val="single" w:color="auto" w:sz="2" w:space="0"/>
              <w:right w:val="single" w:color="auto" w:sz="2" w:space="0"/>
            </w:tcBorders>
            <w:vAlign w:val="center"/>
          </w:tcPr>
          <w:p w14:paraId="0F100AD9">
            <w:pPr>
              <w:spacing w:before="0" w:after="0" w:line="240" w:lineRule="exact"/>
              <w:jc w:val="right"/>
              <w:rPr>
                <w:rFonts w:ascii="宋体" w:hAnsi="宋体" w:eastAsia="宋体" w:cs="宋体"/>
                <w:sz w:val="18"/>
                <w:szCs w:val="18"/>
              </w:rPr>
            </w:pPr>
            <w:r>
              <w:rPr>
                <w:rFonts w:ascii="宋体" w:hAnsi="宋体" w:eastAsia="宋体" w:cs="宋体"/>
                <w:sz w:val="18"/>
                <w:szCs w:val="18"/>
              </w:rPr>
              <w:t>42.11%</w:t>
            </w:r>
          </w:p>
        </w:tc>
        <w:tc>
          <w:tcPr>
            <w:tcW w:w="876" w:type="dxa"/>
            <w:tcBorders>
              <w:top w:val="single" w:color="auto" w:sz="2" w:space="0"/>
              <w:left w:val="single" w:color="auto" w:sz="2" w:space="0"/>
              <w:bottom w:val="single" w:color="auto" w:sz="2" w:space="0"/>
              <w:right w:val="single" w:color="auto" w:sz="2" w:space="0"/>
            </w:tcBorders>
            <w:vAlign w:val="center"/>
          </w:tcPr>
          <w:p w14:paraId="44698855">
            <w:pPr>
              <w:spacing w:before="0" w:after="0" w:line="240" w:lineRule="exact"/>
              <w:jc w:val="right"/>
              <w:rPr>
                <w:rFonts w:ascii="宋体" w:hAnsi="宋体" w:eastAsia="宋体" w:cs="宋体"/>
                <w:sz w:val="18"/>
                <w:szCs w:val="18"/>
              </w:rPr>
            </w:pPr>
            <w:r>
              <w:rPr>
                <w:rFonts w:ascii="宋体" w:hAnsi="宋体" w:eastAsia="宋体" w:cs="宋体"/>
                <w:sz w:val="18"/>
                <w:szCs w:val="18"/>
              </w:rPr>
              <w:t>3,069,686.56</w:t>
            </w:r>
          </w:p>
        </w:tc>
        <w:tc>
          <w:tcPr>
            <w:tcW w:w="876" w:type="dxa"/>
            <w:tcBorders>
              <w:top w:val="single" w:color="auto" w:sz="2" w:space="0"/>
              <w:left w:val="single" w:color="auto" w:sz="2" w:space="0"/>
              <w:bottom w:val="single" w:color="auto" w:sz="2" w:space="0"/>
              <w:right w:val="single" w:color="auto" w:sz="2" w:space="0"/>
            </w:tcBorders>
            <w:vAlign w:val="center"/>
          </w:tcPr>
          <w:p w14:paraId="057ED929">
            <w:pPr>
              <w:spacing w:before="0" w:after="0" w:line="240" w:lineRule="exact"/>
              <w:jc w:val="right"/>
              <w:rPr>
                <w:rFonts w:ascii="宋体" w:hAnsi="宋体" w:eastAsia="宋体" w:cs="宋体"/>
                <w:sz w:val="18"/>
                <w:szCs w:val="18"/>
              </w:rPr>
            </w:pPr>
            <w:r>
              <w:rPr>
                <w:rFonts w:ascii="宋体" w:hAnsi="宋体" w:eastAsia="宋体" w:cs="宋体"/>
                <w:sz w:val="18"/>
                <w:szCs w:val="18"/>
              </w:rPr>
              <w:t>9.93%</w:t>
            </w:r>
          </w:p>
        </w:tc>
        <w:tc>
          <w:tcPr>
            <w:tcW w:w="876" w:type="dxa"/>
            <w:tcBorders>
              <w:top w:val="single" w:color="auto" w:sz="2" w:space="0"/>
              <w:left w:val="single" w:color="auto" w:sz="2" w:space="0"/>
              <w:bottom w:val="single" w:color="auto" w:sz="2" w:space="0"/>
              <w:right w:val="single" w:color="auto" w:sz="2" w:space="0"/>
            </w:tcBorders>
            <w:vAlign w:val="center"/>
          </w:tcPr>
          <w:p w14:paraId="104E43D3">
            <w:pPr>
              <w:spacing w:before="0" w:after="0" w:line="240" w:lineRule="exact"/>
              <w:jc w:val="right"/>
              <w:rPr>
                <w:rFonts w:ascii="宋体" w:hAnsi="宋体" w:eastAsia="宋体" w:cs="宋体"/>
                <w:sz w:val="18"/>
                <w:szCs w:val="18"/>
              </w:rPr>
            </w:pPr>
            <w:r>
              <w:rPr>
                <w:rFonts w:ascii="宋体" w:hAnsi="宋体" w:eastAsia="宋体" w:cs="宋体"/>
                <w:sz w:val="18"/>
                <w:szCs w:val="18"/>
              </w:rPr>
              <w:t>27,847,015.39</w:t>
            </w:r>
          </w:p>
        </w:tc>
      </w:tr>
      <w:tr w14:paraId="7375F1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7C79A1E0">
            <w:pPr>
              <w:spacing w:before="0" w:after="0" w:line="240" w:lineRule="exact"/>
              <w:jc w:val="left"/>
              <w:rPr>
                <w:rFonts w:ascii="宋体" w:hAnsi="宋体" w:eastAsia="宋体" w:cs="宋体"/>
                <w:sz w:val="18"/>
                <w:szCs w:val="18"/>
              </w:rPr>
            </w:pPr>
            <w:r>
              <w:rPr>
                <w:rFonts w:ascii="宋体" w:hAnsi="宋体" w:eastAsia="宋体" w:cs="宋体"/>
                <w:sz w:val="18"/>
                <w:szCs w:val="18"/>
              </w:rPr>
              <w:t>自主推广模式应收款项组合</w:t>
            </w:r>
          </w:p>
        </w:tc>
        <w:tc>
          <w:tcPr>
            <w:tcW w:w="876" w:type="dxa"/>
            <w:tcBorders>
              <w:top w:val="single" w:color="auto" w:sz="2" w:space="0"/>
              <w:left w:val="single" w:color="auto" w:sz="2" w:space="0"/>
              <w:bottom w:val="single" w:color="auto" w:sz="2" w:space="0"/>
              <w:right w:val="single" w:color="auto" w:sz="2" w:space="0"/>
            </w:tcBorders>
            <w:vAlign w:val="center"/>
          </w:tcPr>
          <w:p w14:paraId="170B2853">
            <w:pPr>
              <w:spacing w:before="0" w:after="0" w:line="240" w:lineRule="exact"/>
              <w:jc w:val="right"/>
              <w:rPr>
                <w:rFonts w:ascii="宋体" w:hAnsi="宋体" w:eastAsia="宋体" w:cs="宋体"/>
                <w:sz w:val="18"/>
                <w:szCs w:val="18"/>
              </w:rPr>
            </w:pPr>
            <w:r>
              <w:rPr>
                <w:rFonts w:ascii="宋体" w:hAnsi="宋体" w:eastAsia="宋体" w:cs="宋体"/>
                <w:sz w:val="18"/>
                <w:szCs w:val="18"/>
              </w:rPr>
              <w:t>29,986,760.87</w:t>
            </w:r>
          </w:p>
        </w:tc>
        <w:tc>
          <w:tcPr>
            <w:tcW w:w="876" w:type="dxa"/>
            <w:tcBorders>
              <w:top w:val="single" w:color="auto" w:sz="2" w:space="0"/>
              <w:left w:val="single" w:color="auto" w:sz="2" w:space="0"/>
              <w:bottom w:val="single" w:color="auto" w:sz="2" w:space="0"/>
              <w:right w:val="single" w:color="auto" w:sz="2" w:space="0"/>
            </w:tcBorders>
            <w:vAlign w:val="center"/>
          </w:tcPr>
          <w:p w14:paraId="4B5118DE">
            <w:pPr>
              <w:spacing w:before="0" w:after="0" w:line="240" w:lineRule="exact"/>
              <w:jc w:val="right"/>
              <w:rPr>
                <w:rFonts w:ascii="宋体" w:hAnsi="宋体" w:eastAsia="宋体" w:cs="宋体"/>
                <w:sz w:val="18"/>
                <w:szCs w:val="18"/>
              </w:rPr>
            </w:pPr>
            <w:r>
              <w:rPr>
                <w:rFonts w:ascii="宋体" w:hAnsi="宋体" w:eastAsia="宋体" w:cs="宋体"/>
                <w:sz w:val="18"/>
                <w:szCs w:val="18"/>
              </w:rPr>
              <w:t>40.38%</w:t>
            </w:r>
          </w:p>
        </w:tc>
        <w:tc>
          <w:tcPr>
            <w:tcW w:w="876" w:type="dxa"/>
            <w:tcBorders>
              <w:top w:val="single" w:color="auto" w:sz="2" w:space="0"/>
              <w:left w:val="single" w:color="auto" w:sz="2" w:space="0"/>
              <w:bottom w:val="single" w:color="auto" w:sz="2" w:space="0"/>
              <w:right w:val="single" w:color="auto" w:sz="2" w:space="0"/>
            </w:tcBorders>
            <w:vAlign w:val="center"/>
          </w:tcPr>
          <w:p w14:paraId="6AF9BBFC">
            <w:pPr>
              <w:spacing w:before="0" w:after="0" w:line="240" w:lineRule="exact"/>
              <w:jc w:val="right"/>
              <w:rPr>
                <w:rFonts w:ascii="宋体" w:hAnsi="宋体" w:eastAsia="宋体" w:cs="宋体"/>
                <w:sz w:val="18"/>
                <w:szCs w:val="18"/>
              </w:rPr>
            </w:pPr>
            <w:r>
              <w:rPr>
                <w:rFonts w:ascii="宋体" w:hAnsi="宋体" w:eastAsia="宋体" w:cs="宋体"/>
                <w:sz w:val="18"/>
                <w:szCs w:val="18"/>
              </w:rPr>
              <w:t>1,542,466.21</w:t>
            </w:r>
          </w:p>
        </w:tc>
        <w:tc>
          <w:tcPr>
            <w:tcW w:w="876" w:type="dxa"/>
            <w:tcBorders>
              <w:top w:val="single" w:color="auto" w:sz="2" w:space="0"/>
              <w:left w:val="single" w:color="auto" w:sz="2" w:space="0"/>
              <w:bottom w:val="single" w:color="auto" w:sz="2" w:space="0"/>
              <w:right w:val="single" w:color="auto" w:sz="2" w:space="0"/>
            </w:tcBorders>
            <w:vAlign w:val="center"/>
          </w:tcPr>
          <w:p w14:paraId="1625BB87">
            <w:pPr>
              <w:spacing w:before="0" w:after="0" w:line="240" w:lineRule="exact"/>
              <w:jc w:val="right"/>
              <w:rPr>
                <w:rFonts w:ascii="宋体" w:hAnsi="宋体" w:eastAsia="宋体" w:cs="宋体"/>
                <w:sz w:val="18"/>
                <w:szCs w:val="18"/>
              </w:rPr>
            </w:pPr>
            <w:r>
              <w:rPr>
                <w:rFonts w:ascii="宋体" w:hAnsi="宋体" w:eastAsia="宋体" w:cs="宋体"/>
                <w:sz w:val="18"/>
                <w:szCs w:val="18"/>
              </w:rPr>
              <w:t>5.14%</w:t>
            </w:r>
          </w:p>
        </w:tc>
        <w:tc>
          <w:tcPr>
            <w:tcW w:w="876" w:type="dxa"/>
            <w:tcBorders>
              <w:top w:val="single" w:color="auto" w:sz="2" w:space="0"/>
              <w:left w:val="single" w:color="auto" w:sz="2" w:space="0"/>
              <w:bottom w:val="single" w:color="auto" w:sz="2" w:space="0"/>
              <w:right w:val="single" w:color="auto" w:sz="2" w:space="0"/>
            </w:tcBorders>
            <w:vAlign w:val="center"/>
          </w:tcPr>
          <w:p w14:paraId="0FE626D4">
            <w:pPr>
              <w:spacing w:before="0" w:after="0" w:line="240" w:lineRule="exact"/>
              <w:jc w:val="right"/>
              <w:rPr>
                <w:rFonts w:ascii="宋体" w:hAnsi="宋体" w:eastAsia="宋体" w:cs="宋体"/>
                <w:sz w:val="18"/>
                <w:szCs w:val="18"/>
              </w:rPr>
            </w:pPr>
            <w:r>
              <w:rPr>
                <w:rFonts w:ascii="宋体" w:hAnsi="宋体" w:eastAsia="宋体" w:cs="宋体"/>
                <w:sz w:val="18"/>
                <w:szCs w:val="18"/>
              </w:rPr>
              <w:t>28,444,294.66</w:t>
            </w:r>
          </w:p>
        </w:tc>
        <w:tc>
          <w:tcPr>
            <w:tcW w:w="876" w:type="dxa"/>
            <w:tcBorders>
              <w:top w:val="single" w:color="auto" w:sz="2" w:space="0"/>
              <w:left w:val="single" w:color="auto" w:sz="2" w:space="0"/>
              <w:bottom w:val="single" w:color="auto" w:sz="2" w:space="0"/>
              <w:right w:val="single" w:color="auto" w:sz="2" w:space="0"/>
            </w:tcBorders>
            <w:vAlign w:val="center"/>
          </w:tcPr>
          <w:p w14:paraId="46E510E3">
            <w:pPr>
              <w:spacing w:before="0" w:after="0" w:line="240" w:lineRule="exact"/>
              <w:jc w:val="right"/>
              <w:rPr>
                <w:rFonts w:ascii="宋体" w:hAnsi="宋体" w:eastAsia="宋体" w:cs="宋体"/>
                <w:sz w:val="18"/>
                <w:szCs w:val="18"/>
              </w:rPr>
            </w:pPr>
            <w:r>
              <w:rPr>
                <w:rFonts w:ascii="宋体" w:hAnsi="宋体" w:eastAsia="宋体" w:cs="宋体"/>
                <w:sz w:val="18"/>
                <w:szCs w:val="18"/>
              </w:rPr>
              <w:t>40,289,181.37</w:t>
            </w:r>
          </w:p>
        </w:tc>
        <w:tc>
          <w:tcPr>
            <w:tcW w:w="876" w:type="dxa"/>
            <w:tcBorders>
              <w:top w:val="single" w:color="auto" w:sz="2" w:space="0"/>
              <w:left w:val="single" w:color="auto" w:sz="2" w:space="0"/>
              <w:bottom w:val="single" w:color="auto" w:sz="2" w:space="0"/>
              <w:right w:val="single" w:color="auto" w:sz="2" w:space="0"/>
            </w:tcBorders>
            <w:vAlign w:val="center"/>
          </w:tcPr>
          <w:p w14:paraId="18BC4F26">
            <w:pPr>
              <w:spacing w:before="0" w:after="0" w:line="240" w:lineRule="exact"/>
              <w:jc w:val="right"/>
              <w:rPr>
                <w:rFonts w:ascii="宋体" w:hAnsi="宋体" w:eastAsia="宋体" w:cs="宋体"/>
                <w:sz w:val="18"/>
                <w:szCs w:val="18"/>
              </w:rPr>
            </w:pPr>
            <w:r>
              <w:rPr>
                <w:rFonts w:ascii="宋体" w:hAnsi="宋体" w:eastAsia="宋体" w:cs="宋体"/>
                <w:sz w:val="18"/>
                <w:szCs w:val="18"/>
              </w:rPr>
              <w:t>54.88%</w:t>
            </w:r>
          </w:p>
        </w:tc>
        <w:tc>
          <w:tcPr>
            <w:tcW w:w="876" w:type="dxa"/>
            <w:tcBorders>
              <w:top w:val="single" w:color="auto" w:sz="2" w:space="0"/>
              <w:left w:val="single" w:color="auto" w:sz="2" w:space="0"/>
              <w:bottom w:val="single" w:color="auto" w:sz="2" w:space="0"/>
              <w:right w:val="single" w:color="auto" w:sz="2" w:space="0"/>
            </w:tcBorders>
            <w:vAlign w:val="center"/>
          </w:tcPr>
          <w:p w14:paraId="308FA37A">
            <w:pPr>
              <w:spacing w:before="0" w:after="0" w:line="240" w:lineRule="exact"/>
              <w:jc w:val="right"/>
              <w:rPr>
                <w:rFonts w:ascii="宋体" w:hAnsi="宋体" w:eastAsia="宋体" w:cs="宋体"/>
                <w:sz w:val="18"/>
                <w:szCs w:val="18"/>
              </w:rPr>
            </w:pPr>
            <w:r>
              <w:rPr>
                <w:rFonts w:ascii="宋体" w:hAnsi="宋体" w:eastAsia="宋体" w:cs="宋体"/>
                <w:sz w:val="18"/>
                <w:szCs w:val="18"/>
              </w:rPr>
              <w:t>2,056,039.93</w:t>
            </w:r>
          </w:p>
        </w:tc>
        <w:tc>
          <w:tcPr>
            <w:tcW w:w="876" w:type="dxa"/>
            <w:tcBorders>
              <w:top w:val="single" w:color="auto" w:sz="2" w:space="0"/>
              <w:left w:val="single" w:color="auto" w:sz="2" w:space="0"/>
              <w:bottom w:val="single" w:color="auto" w:sz="2" w:space="0"/>
              <w:right w:val="single" w:color="auto" w:sz="2" w:space="0"/>
            </w:tcBorders>
            <w:vAlign w:val="center"/>
          </w:tcPr>
          <w:p w14:paraId="25484B81">
            <w:pPr>
              <w:spacing w:before="0" w:after="0" w:line="240" w:lineRule="exact"/>
              <w:jc w:val="right"/>
              <w:rPr>
                <w:rFonts w:ascii="宋体" w:hAnsi="宋体" w:eastAsia="宋体" w:cs="宋体"/>
                <w:sz w:val="18"/>
                <w:szCs w:val="18"/>
              </w:rPr>
            </w:pPr>
            <w:r>
              <w:rPr>
                <w:rFonts w:ascii="宋体" w:hAnsi="宋体" w:eastAsia="宋体" w:cs="宋体"/>
                <w:sz w:val="18"/>
                <w:szCs w:val="18"/>
              </w:rPr>
              <w:t>5.10%</w:t>
            </w:r>
          </w:p>
        </w:tc>
        <w:tc>
          <w:tcPr>
            <w:tcW w:w="876" w:type="dxa"/>
            <w:tcBorders>
              <w:top w:val="single" w:color="auto" w:sz="2" w:space="0"/>
              <w:left w:val="single" w:color="auto" w:sz="2" w:space="0"/>
              <w:bottom w:val="single" w:color="auto" w:sz="2" w:space="0"/>
              <w:right w:val="single" w:color="auto" w:sz="2" w:space="0"/>
            </w:tcBorders>
            <w:vAlign w:val="center"/>
          </w:tcPr>
          <w:p w14:paraId="3858C1D8">
            <w:pPr>
              <w:spacing w:before="0" w:after="0" w:line="240" w:lineRule="exact"/>
              <w:jc w:val="right"/>
              <w:rPr>
                <w:rFonts w:ascii="宋体" w:hAnsi="宋体" w:eastAsia="宋体" w:cs="宋体"/>
                <w:sz w:val="18"/>
                <w:szCs w:val="18"/>
              </w:rPr>
            </w:pPr>
            <w:r>
              <w:rPr>
                <w:rFonts w:ascii="宋体" w:hAnsi="宋体" w:eastAsia="宋体" w:cs="宋体"/>
                <w:sz w:val="18"/>
                <w:szCs w:val="18"/>
              </w:rPr>
              <w:t>38,233,141.44</w:t>
            </w:r>
          </w:p>
        </w:tc>
      </w:tr>
      <w:tr w14:paraId="57B4A4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080A91D5">
            <w:pPr>
              <w:spacing w:before="0" w:after="0" w:line="240" w:lineRule="exact"/>
              <w:jc w:val="left"/>
              <w:rPr>
                <w:rFonts w:ascii="宋体" w:hAnsi="宋体" w:eastAsia="宋体" w:cs="宋体"/>
                <w:sz w:val="18"/>
                <w:szCs w:val="18"/>
              </w:rPr>
            </w:pPr>
            <w:r>
              <w:rPr>
                <w:rFonts w:ascii="宋体" w:hAnsi="宋体" w:eastAsia="宋体" w:cs="宋体"/>
                <w:sz w:val="18"/>
                <w:szCs w:val="18"/>
              </w:rPr>
              <w:t>政府集采模式应收款项组合</w:t>
            </w:r>
          </w:p>
        </w:tc>
        <w:tc>
          <w:tcPr>
            <w:tcW w:w="876" w:type="dxa"/>
            <w:tcBorders>
              <w:top w:val="single" w:color="auto" w:sz="2" w:space="0"/>
              <w:left w:val="single" w:color="auto" w:sz="2" w:space="0"/>
              <w:bottom w:val="single" w:color="auto" w:sz="2" w:space="0"/>
              <w:right w:val="single" w:color="auto" w:sz="2" w:space="0"/>
            </w:tcBorders>
            <w:vAlign w:val="center"/>
          </w:tcPr>
          <w:p w14:paraId="5B1CB704">
            <w:pPr>
              <w:spacing w:before="0" w:after="0" w:line="240" w:lineRule="exact"/>
              <w:jc w:val="right"/>
              <w:rPr>
                <w:rFonts w:ascii="宋体" w:hAnsi="宋体" w:eastAsia="宋体" w:cs="宋体"/>
                <w:sz w:val="18"/>
                <w:szCs w:val="18"/>
              </w:rPr>
            </w:pPr>
            <w:r>
              <w:rPr>
                <w:rFonts w:ascii="宋体" w:hAnsi="宋体" w:eastAsia="宋体" w:cs="宋体"/>
                <w:sz w:val="18"/>
                <w:szCs w:val="18"/>
              </w:rPr>
              <w:t>323,287.00</w:t>
            </w:r>
          </w:p>
        </w:tc>
        <w:tc>
          <w:tcPr>
            <w:tcW w:w="876" w:type="dxa"/>
            <w:tcBorders>
              <w:top w:val="single" w:color="auto" w:sz="2" w:space="0"/>
              <w:left w:val="single" w:color="auto" w:sz="2" w:space="0"/>
              <w:bottom w:val="single" w:color="auto" w:sz="2" w:space="0"/>
              <w:right w:val="single" w:color="auto" w:sz="2" w:space="0"/>
            </w:tcBorders>
            <w:vAlign w:val="center"/>
          </w:tcPr>
          <w:p w14:paraId="542678BD">
            <w:pPr>
              <w:spacing w:before="0" w:after="0" w:line="240" w:lineRule="exact"/>
              <w:jc w:val="right"/>
              <w:rPr>
                <w:rFonts w:ascii="宋体" w:hAnsi="宋体" w:eastAsia="宋体" w:cs="宋体"/>
                <w:sz w:val="18"/>
                <w:szCs w:val="18"/>
              </w:rPr>
            </w:pPr>
            <w:r>
              <w:rPr>
                <w:rFonts w:ascii="宋体" w:hAnsi="宋体" w:eastAsia="宋体" w:cs="宋体"/>
                <w:sz w:val="18"/>
                <w:szCs w:val="18"/>
              </w:rPr>
              <w:t>0.44%</w:t>
            </w:r>
          </w:p>
        </w:tc>
        <w:tc>
          <w:tcPr>
            <w:tcW w:w="876" w:type="dxa"/>
            <w:tcBorders>
              <w:top w:val="single" w:color="auto" w:sz="2" w:space="0"/>
              <w:left w:val="single" w:color="auto" w:sz="2" w:space="0"/>
              <w:bottom w:val="single" w:color="auto" w:sz="2" w:space="0"/>
              <w:right w:val="single" w:color="auto" w:sz="2" w:space="0"/>
            </w:tcBorders>
            <w:vAlign w:val="center"/>
          </w:tcPr>
          <w:p w14:paraId="5008FBB1">
            <w:pPr>
              <w:spacing w:before="0" w:after="0" w:line="240" w:lineRule="exact"/>
              <w:jc w:val="right"/>
              <w:rPr>
                <w:rFonts w:ascii="宋体" w:hAnsi="宋体" w:eastAsia="宋体" w:cs="宋体"/>
                <w:sz w:val="18"/>
                <w:szCs w:val="18"/>
              </w:rPr>
            </w:pPr>
            <w:r>
              <w:rPr>
                <w:rFonts w:ascii="宋体" w:hAnsi="宋体" w:eastAsia="宋体" w:cs="宋体"/>
                <w:sz w:val="18"/>
                <w:szCs w:val="18"/>
              </w:rPr>
              <w:t>16,164.35</w:t>
            </w:r>
          </w:p>
        </w:tc>
        <w:tc>
          <w:tcPr>
            <w:tcW w:w="876" w:type="dxa"/>
            <w:tcBorders>
              <w:top w:val="single" w:color="auto" w:sz="2" w:space="0"/>
              <w:left w:val="single" w:color="auto" w:sz="2" w:space="0"/>
              <w:bottom w:val="single" w:color="auto" w:sz="2" w:space="0"/>
              <w:right w:val="single" w:color="auto" w:sz="2" w:space="0"/>
            </w:tcBorders>
            <w:vAlign w:val="center"/>
          </w:tcPr>
          <w:p w14:paraId="103CE1CD">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14:paraId="2EF9354C">
            <w:pPr>
              <w:spacing w:before="0" w:after="0" w:line="240" w:lineRule="exact"/>
              <w:jc w:val="right"/>
              <w:rPr>
                <w:rFonts w:ascii="宋体" w:hAnsi="宋体" w:eastAsia="宋体" w:cs="宋体"/>
                <w:sz w:val="18"/>
                <w:szCs w:val="18"/>
              </w:rPr>
            </w:pPr>
            <w:r>
              <w:rPr>
                <w:rFonts w:ascii="宋体" w:hAnsi="宋体" w:eastAsia="宋体" w:cs="宋体"/>
                <w:sz w:val="18"/>
                <w:szCs w:val="18"/>
              </w:rPr>
              <w:t>307,122.65</w:t>
            </w:r>
          </w:p>
        </w:tc>
        <w:tc>
          <w:tcPr>
            <w:tcW w:w="876" w:type="dxa"/>
            <w:tcBorders>
              <w:top w:val="single" w:color="auto" w:sz="2" w:space="0"/>
              <w:left w:val="single" w:color="auto" w:sz="2" w:space="0"/>
              <w:bottom w:val="single" w:color="auto" w:sz="2" w:space="0"/>
              <w:right w:val="single" w:color="auto" w:sz="2" w:space="0"/>
            </w:tcBorders>
            <w:vAlign w:val="center"/>
          </w:tcPr>
          <w:p w14:paraId="7E3DA47F">
            <w:pPr>
              <w:spacing w:before="0" w:after="0" w:line="240" w:lineRule="exact"/>
              <w:jc w:val="right"/>
              <w:rPr>
                <w:rFonts w:ascii="宋体" w:hAnsi="宋体" w:eastAsia="宋体" w:cs="宋体"/>
                <w:sz w:val="18"/>
                <w:szCs w:val="18"/>
              </w:rPr>
            </w:pPr>
            <w:r>
              <w:rPr>
                <w:rFonts w:ascii="宋体" w:hAnsi="宋体" w:eastAsia="宋体" w:cs="宋体"/>
                <w:sz w:val="18"/>
                <w:szCs w:val="18"/>
              </w:rPr>
              <w:t>443,605.85</w:t>
            </w:r>
          </w:p>
        </w:tc>
        <w:tc>
          <w:tcPr>
            <w:tcW w:w="876" w:type="dxa"/>
            <w:tcBorders>
              <w:top w:val="single" w:color="auto" w:sz="2" w:space="0"/>
              <w:left w:val="single" w:color="auto" w:sz="2" w:space="0"/>
              <w:bottom w:val="single" w:color="auto" w:sz="2" w:space="0"/>
              <w:right w:val="single" w:color="auto" w:sz="2" w:space="0"/>
            </w:tcBorders>
            <w:vAlign w:val="center"/>
          </w:tcPr>
          <w:p w14:paraId="7A56FA04">
            <w:pPr>
              <w:spacing w:before="0" w:after="0" w:line="240" w:lineRule="exact"/>
              <w:jc w:val="right"/>
              <w:rPr>
                <w:rFonts w:ascii="宋体" w:hAnsi="宋体" w:eastAsia="宋体" w:cs="宋体"/>
                <w:sz w:val="18"/>
                <w:szCs w:val="18"/>
              </w:rPr>
            </w:pPr>
            <w:r>
              <w:rPr>
                <w:rFonts w:ascii="宋体" w:hAnsi="宋体" w:eastAsia="宋体" w:cs="宋体"/>
                <w:sz w:val="18"/>
                <w:szCs w:val="18"/>
              </w:rPr>
              <w:t>0.60%</w:t>
            </w:r>
          </w:p>
        </w:tc>
        <w:tc>
          <w:tcPr>
            <w:tcW w:w="876" w:type="dxa"/>
            <w:tcBorders>
              <w:top w:val="single" w:color="auto" w:sz="2" w:space="0"/>
              <w:left w:val="single" w:color="auto" w:sz="2" w:space="0"/>
              <w:bottom w:val="single" w:color="auto" w:sz="2" w:space="0"/>
              <w:right w:val="single" w:color="auto" w:sz="2" w:space="0"/>
            </w:tcBorders>
            <w:vAlign w:val="center"/>
          </w:tcPr>
          <w:p w14:paraId="1228C75F">
            <w:pPr>
              <w:spacing w:before="0" w:after="0" w:line="240" w:lineRule="exact"/>
              <w:jc w:val="right"/>
              <w:rPr>
                <w:rFonts w:ascii="宋体" w:hAnsi="宋体" w:eastAsia="宋体" w:cs="宋体"/>
                <w:sz w:val="18"/>
                <w:szCs w:val="18"/>
              </w:rPr>
            </w:pPr>
            <w:r>
              <w:rPr>
                <w:rFonts w:ascii="宋体" w:hAnsi="宋体" w:eastAsia="宋体" w:cs="宋体"/>
                <w:sz w:val="18"/>
                <w:szCs w:val="18"/>
              </w:rPr>
              <w:t>22,180.29</w:t>
            </w:r>
          </w:p>
        </w:tc>
        <w:tc>
          <w:tcPr>
            <w:tcW w:w="876" w:type="dxa"/>
            <w:tcBorders>
              <w:top w:val="single" w:color="auto" w:sz="2" w:space="0"/>
              <w:left w:val="single" w:color="auto" w:sz="2" w:space="0"/>
              <w:bottom w:val="single" w:color="auto" w:sz="2" w:space="0"/>
              <w:right w:val="single" w:color="auto" w:sz="2" w:space="0"/>
            </w:tcBorders>
            <w:vAlign w:val="center"/>
          </w:tcPr>
          <w:p w14:paraId="4F0F4FB5">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14:paraId="406FD82C">
            <w:pPr>
              <w:spacing w:before="0" w:after="0" w:line="240" w:lineRule="exact"/>
              <w:jc w:val="right"/>
              <w:rPr>
                <w:rFonts w:ascii="宋体" w:hAnsi="宋体" w:eastAsia="宋体" w:cs="宋体"/>
                <w:sz w:val="18"/>
                <w:szCs w:val="18"/>
              </w:rPr>
            </w:pPr>
            <w:r>
              <w:rPr>
                <w:rFonts w:ascii="宋体" w:hAnsi="宋体" w:eastAsia="宋体" w:cs="宋体"/>
                <w:sz w:val="18"/>
                <w:szCs w:val="18"/>
              </w:rPr>
              <w:t>421,425.56</w:t>
            </w:r>
          </w:p>
        </w:tc>
      </w:tr>
      <w:tr w14:paraId="0832BC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544E9124">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876" w:type="dxa"/>
            <w:tcBorders>
              <w:top w:val="single" w:color="auto" w:sz="2" w:space="0"/>
              <w:left w:val="single" w:color="auto" w:sz="2" w:space="0"/>
              <w:bottom w:val="single" w:color="auto" w:sz="2" w:space="0"/>
              <w:right w:val="single" w:color="auto" w:sz="2" w:space="0"/>
            </w:tcBorders>
            <w:vAlign w:val="center"/>
          </w:tcPr>
          <w:p w14:paraId="6700195B">
            <w:pPr>
              <w:spacing w:before="0" w:after="0" w:line="240" w:lineRule="exact"/>
              <w:jc w:val="right"/>
              <w:rPr>
                <w:rFonts w:ascii="宋体" w:hAnsi="宋体" w:eastAsia="宋体" w:cs="宋体"/>
                <w:sz w:val="18"/>
                <w:szCs w:val="18"/>
              </w:rPr>
            </w:pPr>
            <w:r>
              <w:rPr>
                <w:rFonts w:ascii="宋体" w:hAnsi="宋体" w:eastAsia="宋体" w:cs="宋体"/>
                <w:sz w:val="18"/>
                <w:szCs w:val="18"/>
              </w:rPr>
              <w:t>3,064,794.07</w:t>
            </w:r>
          </w:p>
        </w:tc>
        <w:tc>
          <w:tcPr>
            <w:tcW w:w="876" w:type="dxa"/>
            <w:tcBorders>
              <w:top w:val="single" w:color="auto" w:sz="2" w:space="0"/>
              <w:left w:val="single" w:color="auto" w:sz="2" w:space="0"/>
              <w:bottom w:val="single" w:color="auto" w:sz="2" w:space="0"/>
              <w:right w:val="single" w:color="auto" w:sz="2" w:space="0"/>
            </w:tcBorders>
            <w:vAlign w:val="center"/>
          </w:tcPr>
          <w:p w14:paraId="46746796">
            <w:pPr>
              <w:spacing w:before="0" w:after="0" w:line="240" w:lineRule="exact"/>
              <w:jc w:val="right"/>
              <w:rPr>
                <w:rFonts w:ascii="宋体" w:hAnsi="宋体" w:eastAsia="宋体" w:cs="宋体"/>
                <w:sz w:val="18"/>
                <w:szCs w:val="18"/>
              </w:rPr>
            </w:pPr>
            <w:r>
              <w:rPr>
                <w:rFonts w:ascii="宋体" w:hAnsi="宋体" w:eastAsia="宋体" w:cs="宋体"/>
                <w:sz w:val="18"/>
                <w:szCs w:val="18"/>
              </w:rPr>
              <w:t>4.13%</w:t>
            </w:r>
          </w:p>
        </w:tc>
        <w:tc>
          <w:tcPr>
            <w:tcW w:w="876" w:type="dxa"/>
            <w:tcBorders>
              <w:top w:val="single" w:color="auto" w:sz="2" w:space="0"/>
              <w:left w:val="single" w:color="auto" w:sz="2" w:space="0"/>
              <w:bottom w:val="single" w:color="auto" w:sz="2" w:space="0"/>
              <w:right w:val="single" w:color="auto" w:sz="2" w:space="0"/>
            </w:tcBorders>
            <w:vAlign w:val="center"/>
          </w:tcPr>
          <w:p w14:paraId="595C488F">
            <w:pPr>
              <w:spacing w:before="0" w:after="0" w:line="240" w:lineRule="exact"/>
              <w:jc w:val="right"/>
              <w:rPr>
                <w:rFonts w:ascii="宋体" w:hAnsi="宋体" w:eastAsia="宋体" w:cs="宋体"/>
                <w:sz w:val="18"/>
                <w:szCs w:val="18"/>
              </w:rPr>
            </w:pPr>
            <w:r>
              <w:rPr>
                <w:rFonts w:ascii="宋体" w:hAnsi="宋体" w:eastAsia="宋体" w:cs="宋体"/>
                <w:sz w:val="18"/>
                <w:szCs w:val="18"/>
              </w:rPr>
              <w:t>153,239.70</w:t>
            </w:r>
          </w:p>
        </w:tc>
        <w:tc>
          <w:tcPr>
            <w:tcW w:w="876" w:type="dxa"/>
            <w:tcBorders>
              <w:top w:val="single" w:color="auto" w:sz="2" w:space="0"/>
              <w:left w:val="single" w:color="auto" w:sz="2" w:space="0"/>
              <w:bottom w:val="single" w:color="auto" w:sz="2" w:space="0"/>
              <w:right w:val="single" w:color="auto" w:sz="2" w:space="0"/>
            </w:tcBorders>
            <w:vAlign w:val="center"/>
          </w:tcPr>
          <w:p w14:paraId="5EB34CE5">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14:paraId="2BF4C7FD">
            <w:pPr>
              <w:spacing w:before="0" w:after="0" w:line="240" w:lineRule="exact"/>
              <w:jc w:val="right"/>
              <w:rPr>
                <w:rFonts w:ascii="宋体" w:hAnsi="宋体" w:eastAsia="宋体" w:cs="宋体"/>
                <w:sz w:val="18"/>
                <w:szCs w:val="18"/>
              </w:rPr>
            </w:pPr>
            <w:r>
              <w:rPr>
                <w:rFonts w:ascii="宋体" w:hAnsi="宋体" w:eastAsia="宋体" w:cs="宋体"/>
                <w:sz w:val="18"/>
                <w:szCs w:val="18"/>
              </w:rPr>
              <w:t>2,911,554.37</w:t>
            </w:r>
          </w:p>
        </w:tc>
        <w:tc>
          <w:tcPr>
            <w:tcW w:w="876" w:type="dxa"/>
            <w:tcBorders>
              <w:top w:val="single" w:color="auto" w:sz="2" w:space="0"/>
              <w:left w:val="single" w:color="auto" w:sz="2" w:space="0"/>
              <w:bottom w:val="single" w:color="auto" w:sz="2" w:space="0"/>
              <w:right w:val="single" w:color="auto" w:sz="2" w:space="0"/>
            </w:tcBorders>
            <w:vAlign w:val="center"/>
          </w:tcPr>
          <w:p w14:paraId="20BB47C3">
            <w:pPr>
              <w:spacing w:before="0" w:after="0" w:line="240" w:lineRule="exact"/>
              <w:jc w:val="right"/>
              <w:rPr>
                <w:rFonts w:ascii="宋体" w:hAnsi="宋体" w:eastAsia="宋体" w:cs="宋体"/>
                <w:sz w:val="18"/>
                <w:szCs w:val="18"/>
              </w:rPr>
            </w:pPr>
            <w:r>
              <w:rPr>
                <w:rFonts w:ascii="宋体" w:hAnsi="宋体" w:eastAsia="宋体" w:cs="宋体"/>
                <w:sz w:val="18"/>
                <w:szCs w:val="18"/>
              </w:rPr>
              <w:t>1,096,454.36</w:t>
            </w:r>
          </w:p>
        </w:tc>
        <w:tc>
          <w:tcPr>
            <w:tcW w:w="876" w:type="dxa"/>
            <w:tcBorders>
              <w:top w:val="single" w:color="auto" w:sz="2" w:space="0"/>
              <w:left w:val="single" w:color="auto" w:sz="2" w:space="0"/>
              <w:bottom w:val="single" w:color="auto" w:sz="2" w:space="0"/>
              <w:right w:val="single" w:color="auto" w:sz="2" w:space="0"/>
            </w:tcBorders>
            <w:vAlign w:val="center"/>
          </w:tcPr>
          <w:p w14:paraId="197E8329">
            <w:pPr>
              <w:spacing w:before="0" w:after="0" w:line="240" w:lineRule="exact"/>
              <w:jc w:val="right"/>
              <w:rPr>
                <w:rFonts w:ascii="宋体" w:hAnsi="宋体" w:eastAsia="宋体" w:cs="宋体"/>
                <w:sz w:val="18"/>
                <w:szCs w:val="18"/>
              </w:rPr>
            </w:pPr>
            <w:r>
              <w:rPr>
                <w:rFonts w:ascii="宋体" w:hAnsi="宋体" w:eastAsia="宋体" w:cs="宋体"/>
                <w:sz w:val="18"/>
                <w:szCs w:val="18"/>
              </w:rPr>
              <w:t>1.49%</w:t>
            </w:r>
          </w:p>
        </w:tc>
        <w:tc>
          <w:tcPr>
            <w:tcW w:w="876" w:type="dxa"/>
            <w:tcBorders>
              <w:top w:val="single" w:color="auto" w:sz="2" w:space="0"/>
              <w:left w:val="single" w:color="auto" w:sz="2" w:space="0"/>
              <w:bottom w:val="single" w:color="auto" w:sz="2" w:space="0"/>
              <w:right w:val="single" w:color="auto" w:sz="2" w:space="0"/>
            </w:tcBorders>
            <w:vAlign w:val="center"/>
          </w:tcPr>
          <w:p w14:paraId="54038EA7">
            <w:pPr>
              <w:spacing w:before="0" w:after="0" w:line="240" w:lineRule="exact"/>
              <w:jc w:val="right"/>
              <w:rPr>
                <w:rFonts w:ascii="宋体" w:hAnsi="宋体" w:eastAsia="宋体" w:cs="宋体"/>
                <w:sz w:val="18"/>
                <w:szCs w:val="18"/>
              </w:rPr>
            </w:pPr>
            <w:r>
              <w:rPr>
                <w:rFonts w:ascii="宋体" w:hAnsi="宋体" w:eastAsia="宋体" w:cs="宋体"/>
                <w:sz w:val="18"/>
                <w:szCs w:val="18"/>
              </w:rPr>
              <w:t>54,822.72</w:t>
            </w:r>
          </w:p>
        </w:tc>
        <w:tc>
          <w:tcPr>
            <w:tcW w:w="876" w:type="dxa"/>
            <w:tcBorders>
              <w:top w:val="single" w:color="auto" w:sz="2" w:space="0"/>
              <w:left w:val="single" w:color="auto" w:sz="2" w:space="0"/>
              <w:bottom w:val="single" w:color="auto" w:sz="2" w:space="0"/>
              <w:right w:val="single" w:color="auto" w:sz="2" w:space="0"/>
            </w:tcBorders>
            <w:vAlign w:val="center"/>
          </w:tcPr>
          <w:p w14:paraId="09356FB6">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14:paraId="142C9A68">
            <w:pPr>
              <w:spacing w:before="0" w:after="0" w:line="240" w:lineRule="exact"/>
              <w:jc w:val="right"/>
              <w:rPr>
                <w:rFonts w:ascii="宋体" w:hAnsi="宋体" w:eastAsia="宋体" w:cs="宋体"/>
                <w:sz w:val="18"/>
                <w:szCs w:val="18"/>
              </w:rPr>
            </w:pPr>
            <w:r>
              <w:rPr>
                <w:rFonts w:ascii="宋体" w:hAnsi="宋体" w:eastAsia="宋体" w:cs="宋体"/>
                <w:sz w:val="18"/>
                <w:szCs w:val="18"/>
              </w:rPr>
              <w:t>1,041,631.64</w:t>
            </w:r>
          </w:p>
        </w:tc>
      </w:tr>
      <w:tr w14:paraId="586642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3CE253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876" w:type="dxa"/>
            <w:tcBorders>
              <w:top w:val="single" w:color="auto" w:sz="2" w:space="0"/>
              <w:left w:val="single" w:color="auto" w:sz="2" w:space="0"/>
              <w:bottom w:val="single" w:color="auto" w:sz="2" w:space="0"/>
              <w:right w:val="single" w:color="auto" w:sz="2" w:space="0"/>
            </w:tcBorders>
            <w:vAlign w:val="center"/>
          </w:tcPr>
          <w:p w14:paraId="5F5E39FA">
            <w:pPr>
              <w:spacing w:before="0" w:after="0" w:line="240" w:lineRule="exact"/>
              <w:jc w:val="right"/>
              <w:rPr>
                <w:rFonts w:ascii="宋体" w:hAnsi="宋体" w:eastAsia="宋体" w:cs="宋体"/>
                <w:sz w:val="18"/>
                <w:szCs w:val="18"/>
              </w:rPr>
            </w:pPr>
            <w:r>
              <w:rPr>
                <w:rFonts w:ascii="宋体" w:hAnsi="宋体" w:eastAsia="宋体" w:cs="宋体"/>
                <w:sz w:val="18"/>
                <w:szCs w:val="18"/>
              </w:rPr>
              <w:t>74,258,568.67</w:t>
            </w:r>
          </w:p>
        </w:tc>
        <w:tc>
          <w:tcPr>
            <w:tcW w:w="876" w:type="dxa"/>
            <w:tcBorders>
              <w:top w:val="single" w:color="auto" w:sz="2" w:space="0"/>
              <w:left w:val="single" w:color="auto" w:sz="2" w:space="0"/>
              <w:bottom w:val="single" w:color="auto" w:sz="2" w:space="0"/>
              <w:right w:val="single" w:color="auto" w:sz="2" w:space="0"/>
            </w:tcBorders>
            <w:vAlign w:val="center"/>
          </w:tcPr>
          <w:p w14:paraId="32F2A0E0">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7CAC1041">
            <w:pPr>
              <w:spacing w:before="0" w:after="0" w:line="240" w:lineRule="exact"/>
              <w:jc w:val="right"/>
              <w:rPr>
                <w:rFonts w:ascii="宋体" w:hAnsi="宋体" w:eastAsia="宋体" w:cs="宋体"/>
                <w:sz w:val="18"/>
                <w:szCs w:val="18"/>
              </w:rPr>
            </w:pPr>
            <w:r>
              <w:rPr>
                <w:rFonts w:ascii="宋体" w:hAnsi="宋体" w:eastAsia="宋体" w:cs="宋体"/>
                <w:sz w:val="18"/>
                <w:szCs w:val="18"/>
              </w:rPr>
              <w:t>6,123,090.49</w:t>
            </w:r>
          </w:p>
        </w:tc>
        <w:tc>
          <w:tcPr>
            <w:tcW w:w="876" w:type="dxa"/>
            <w:tcBorders>
              <w:top w:val="single" w:color="auto" w:sz="2" w:space="0"/>
              <w:left w:val="single" w:color="auto" w:sz="2" w:space="0"/>
              <w:bottom w:val="single" w:color="auto" w:sz="2" w:space="0"/>
              <w:right w:val="single" w:color="auto" w:sz="2" w:space="0"/>
            </w:tcBorders>
            <w:vAlign w:val="center"/>
          </w:tcPr>
          <w:p w14:paraId="60E4C32E">
            <w:pPr>
              <w:spacing w:before="0" w:after="0" w:line="240" w:lineRule="exact"/>
              <w:jc w:val="right"/>
              <w:rPr>
                <w:rFonts w:ascii="宋体" w:hAnsi="宋体" w:eastAsia="宋体" w:cs="宋体"/>
                <w:sz w:val="18"/>
                <w:szCs w:val="18"/>
              </w:rPr>
            </w:pPr>
            <w:r>
              <w:rPr>
                <w:rFonts w:ascii="宋体" w:hAnsi="宋体" w:eastAsia="宋体" w:cs="宋体"/>
                <w:sz w:val="18"/>
                <w:szCs w:val="18"/>
              </w:rPr>
              <w:t>8.25%</w:t>
            </w:r>
          </w:p>
        </w:tc>
        <w:tc>
          <w:tcPr>
            <w:tcW w:w="876" w:type="dxa"/>
            <w:tcBorders>
              <w:top w:val="single" w:color="auto" w:sz="2" w:space="0"/>
              <w:left w:val="single" w:color="auto" w:sz="2" w:space="0"/>
              <w:bottom w:val="single" w:color="auto" w:sz="2" w:space="0"/>
              <w:right w:val="single" w:color="auto" w:sz="2" w:space="0"/>
            </w:tcBorders>
            <w:vAlign w:val="center"/>
          </w:tcPr>
          <w:p w14:paraId="1919B073">
            <w:pPr>
              <w:spacing w:before="0" w:after="0" w:line="240" w:lineRule="exact"/>
              <w:jc w:val="right"/>
              <w:rPr>
                <w:rFonts w:ascii="宋体" w:hAnsi="宋体" w:eastAsia="宋体" w:cs="宋体"/>
                <w:sz w:val="18"/>
                <w:szCs w:val="18"/>
              </w:rPr>
            </w:pPr>
            <w:r>
              <w:rPr>
                <w:rFonts w:ascii="宋体" w:hAnsi="宋体" w:eastAsia="宋体" w:cs="宋体"/>
                <w:sz w:val="18"/>
                <w:szCs w:val="18"/>
              </w:rPr>
              <w:t>68,135,478.18</w:t>
            </w:r>
          </w:p>
        </w:tc>
        <w:tc>
          <w:tcPr>
            <w:tcW w:w="876" w:type="dxa"/>
            <w:tcBorders>
              <w:top w:val="single" w:color="auto" w:sz="2" w:space="0"/>
              <w:left w:val="single" w:color="auto" w:sz="2" w:space="0"/>
              <w:bottom w:val="single" w:color="auto" w:sz="2" w:space="0"/>
              <w:right w:val="single" w:color="auto" w:sz="2" w:space="0"/>
            </w:tcBorders>
            <w:vAlign w:val="center"/>
          </w:tcPr>
          <w:p w14:paraId="48FE1149">
            <w:pPr>
              <w:spacing w:before="0" w:after="0" w:line="240" w:lineRule="exact"/>
              <w:jc w:val="right"/>
              <w:rPr>
                <w:rFonts w:ascii="宋体" w:hAnsi="宋体" w:eastAsia="宋体" w:cs="宋体"/>
                <w:sz w:val="18"/>
                <w:szCs w:val="18"/>
              </w:rPr>
            </w:pPr>
            <w:r>
              <w:rPr>
                <w:rFonts w:ascii="宋体" w:hAnsi="宋体" w:eastAsia="宋体" w:cs="宋体"/>
                <w:sz w:val="18"/>
                <w:szCs w:val="18"/>
              </w:rPr>
              <w:t>73,415,872.60</w:t>
            </w:r>
          </w:p>
        </w:tc>
        <w:tc>
          <w:tcPr>
            <w:tcW w:w="876" w:type="dxa"/>
            <w:tcBorders>
              <w:top w:val="single" w:color="auto" w:sz="2" w:space="0"/>
              <w:left w:val="single" w:color="auto" w:sz="2" w:space="0"/>
              <w:bottom w:val="single" w:color="auto" w:sz="2" w:space="0"/>
              <w:right w:val="single" w:color="auto" w:sz="2" w:space="0"/>
            </w:tcBorders>
            <w:vAlign w:val="center"/>
          </w:tcPr>
          <w:p w14:paraId="39E48CE8">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243B094B">
            <w:pPr>
              <w:spacing w:before="0" w:after="0" w:line="240" w:lineRule="exact"/>
              <w:jc w:val="right"/>
              <w:rPr>
                <w:rFonts w:ascii="宋体" w:hAnsi="宋体" w:eastAsia="宋体" w:cs="宋体"/>
                <w:sz w:val="18"/>
                <w:szCs w:val="18"/>
              </w:rPr>
            </w:pPr>
            <w:r>
              <w:rPr>
                <w:rFonts w:ascii="宋体" w:hAnsi="宋体" w:eastAsia="宋体" w:cs="宋体"/>
                <w:sz w:val="18"/>
                <w:szCs w:val="18"/>
              </w:rPr>
              <w:t>5,872,658.57</w:t>
            </w:r>
          </w:p>
        </w:tc>
        <w:tc>
          <w:tcPr>
            <w:tcW w:w="876" w:type="dxa"/>
            <w:tcBorders>
              <w:top w:val="single" w:color="auto" w:sz="2" w:space="0"/>
              <w:left w:val="single" w:color="auto" w:sz="2" w:space="0"/>
              <w:bottom w:val="single" w:color="auto" w:sz="2" w:space="0"/>
              <w:right w:val="single" w:color="auto" w:sz="2" w:space="0"/>
            </w:tcBorders>
            <w:vAlign w:val="center"/>
          </w:tcPr>
          <w:p w14:paraId="18C03169">
            <w:pPr>
              <w:spacing w:before="0" w:after="0" w:line="240" w:lineRule="exact"/>
              <w:jc w:val="right"/>
              <w:rPr>
                <w:rFonts w:ascii="宋体" w:hAnsi="宋体" w:eastAsia="宋体" w:cs="宋体"/>
                <w:sz w:val="18"/>
                <w:szCs w:val="18"/>
              </w:rPr>
            </w:pPr>
            <w:r>
              <w:rPr>
                <w:rFonts w:ascii="宋体" w:hAnsi="宋体" w:eastAsia="宋体" w:cs="宋体"/>
                <w:sz w:val="18"/>
                <w:szCs w:val="18"/>
              </w:rPr>
              <w:t>8.00%</w:t>
            </w:r>
          </w:p>
        </w:tc>
        <w:tc>
          <w:tcPr>
            <w:tcW w:w="876" w:type="dxa"/>
            <w:tcBorders>
              <w:top w:val="single" w:color="auto" w:sz="2" w:space="0"/>
              <w:left w:val="single" w:color="auto" w:sz="2" w:space="0"/>
              <w:bottom w:val="single" w:color="auto" w:sz="2" w:space="0"/>
              <w:right w:val="single" w:color="auto" w:sz="2" w:space="0"/>
            </w:tcBorders>
            <w:vAlign w:val="center"/>
          </w:tcPr>
          <w:p w14:paraId="38C2FCA6">
            <w:pPr>
              <w:spacing w:before="0" w:after="0" w:line="240" w:lineRule="exact"/>
              <w:jc w:val="right"/>
              <w:rPr>
                <w:rFonts w:ascii="宋体" w:hAnsi="宋体" w:eastAsia="宋体" w:cs="宋体"/>
                <w:sz w:val="18"/>
                <w:szCs w:val="18"/>
              </w:rPr>
            </w:pPr>
            <w:r>
              <w:rPr>
                <w:rFonts w:ascii="宋体" w:hAnsi="宋体" w:eastAsia="宋体" w:cs="宋体"/>
                <w:sz w:val="18"/>
                <w:szCs w:val="18"/>
              </w:rPr>
              <w:t>67,543,214.03</w:t>
            </w:r>
          </w:p>
        </w:tc>
      </w:tr>
    </w:tbl>
    <w:p w14:paraId="1908ACE7">
      <w:pPr>
        <w:spacing w:before="0" w:after="0" w:line="240" w:lineRule="exact"/>
        <w:jc w:val="left"/>
        <w:rPr>
          <w:rFonts w:ascii="宋体" w:hAnsi="宋体" w:eastAsia="宋体" w:cs="宋体"/>
          <w:sz w:val="18"/>
          <w:szCs w:val="18"/>
        </w:rPr>
      </w:pPr>
      <w:r>
        <w:rPr>
          <w:rFonts w:ascii="宋体" w:hAnsi="宋体" w:eastAsia="宋体" w:cs="宋体"/>
          <w:sz w:val="18"/>
          <w:szCs w:val="18"/>
        </w:rPr>
        <w:t>按单项计提坏账准备：</w:t>
      </w:r>
    </w:p>
    <w:p w14:paraId="767E20E0">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122F9E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DCF1528">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3CCC56E">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1F237AC8">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1CF7A8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3928BC4"/>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AA6D274">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018E33C">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79365B5">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A803727">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948CD93">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E92B177">
            <w:pPr>
              <w:spacing w:before="40" w:after="40" w:line="240" w:lineRule="exact"/>
              <w:jc w:val="center"/>
              <w:rPr>
                <w:rFonts w:ascii="宋体" w:hAnsi="宋体" w:eastAsia="宋体" w:cs="宋体"/>
                <w:sz w:val="18"/>
                <w:szCs w:val="18"/>
              </w:rPr>
            </w:pPr>
            <w:r>
              <w:rPr>
                <w:rFonts w:ascii="宋体" w:hAnsi="宋体" w:eastAsia="宋体" w:cs="宋体"/>
                <w:sz w:val="18"/>
                <w:szCs w:val="18"/>
              </w:rPr>
              <w:t>计提理由</w:t>
            </w:r>
          </w:p>
        </w:tc>
      </w:tr>
      <w:tr w14:paraId="394F75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303AFEE1">
            <w:pPr>
              <w:spacing w:before="0" w:after="0" w:line="240" w:lineRule="exact"/>
              <w:jc w:val="left"/>
              <w:rPr>
                <w:rFonts w:ascii="宋体" w:hAnsi="宋体" w:eastAsia="宋体" w:cs="宋体"/>
                <w:sz w:val="18"/>
                <w:szCs w:val="18"/>
              </w:rPr>
            </w:pPr>
            <w:r>
              <w:rPr>
                <w:rFonts w:ascii="宋体" w:hAnsi="宋体" w:eastAsia="宋体" w:cs="宋体"/>
                <w:sz w:val="18"/>
                <w:szCs w:val="18"/>
              </w:rPr>
              <w:t>广东康爱多数字健康科技有限公司</w:t>
            </w:r>
          </w:p>
        </w:tc>
        <w:tc>
          <w:tcPr>
            <w:tcW w:w="1377" w:type="dxa"/>
            <w:tcBorders>
              <w:top w:val="single" w:color="auto" w:sz="2" w:space="0"/>
              <w:left w:val="single" w:color="auto" w:sz="2" w:space="0"/>
              <w:bottom w:val="single" w:color="auto" w:sz="2" w:space="0"/>
              <w:right w:val="single" w:color="auto" w:sz="2" w:space="0"/>
            </w:tcBorders>
            <w:vAlign w:val="center"/>
          </w:tcPr>
          <w:p w14:paraId="41C22B1F">
            <w:pPr>
              <w:spacing w:before="0" w:after="0" w:line="240" w:lineRule="exact"/>
              <w:jc w:val="right"/>
              <w:rPr>
                <w:rFonts w:ascii="宋体" w:hAnsi="宋体" w:eastAsia="宋体" w:cs="宋体"/>
                <w:sz w:val="18"/>
                <w:szCs w:val="18"/>
              </w:rPr>
            </w:pPr>
            <w:r>
              <w:rPr>
                <w:rFonts w:ascii="宋体" w:hAnsi="宋体" w:eastAsia="宋体" w:cs="宋体"/>
                <w:sz w:val="18"/>
                <w:szCs w:val="18"/>
              </w:rPr>
              <w:t>380,000.00</w:t>
            </w:r>
          </w:p>
        </w:tc>
        <w:tc>
          <w:tcPr>
            <w:tcW w:w="1377" w:type="dxa"/>
            <w:tcBorders>
              <w:top w:val="single" w:color="auto" w:sz="2" w:space="0"/>
              <w:left w:val="single" w:color="auto" w:sz="2" w:space="0"/>
              <w:bottom w:val="single" w:color="auto" w:sz="2" w:space="0"/>
              <w:right w:val="single" w:color="auto" w:sz="2" w:space="0"/>
            </w:tcBorders>
            <w:vAlign w:val="center"/>
          </w:tcPr>
          <w:p w14:paraId="2A1743E9">
            <w:pPr>
              <w:spacing w:before="0" w:after="0" w:line="240" w:lineRule="exact"/>
              <w:jc w:val="right"/>
              <w:rPr>
                <w:rFonts w:ascii="宋体" w:hAnsi="宋体" w:eastAsia="宋体" w:cs="宋体"/>
                <w:sz w:val="18"/>
                <w:szCs w:val="18"/>
              </w:rPr>
            </w:pPr>
            <w:r>
              <w:rPr>
                <w:rFonts w:ascii="宋体" w:hAnsi="宋体" w:eastAsia="宋体" w:cs="宋体"/>
                <w:sz w:val="18"/>
                <w:szCs w:val="18"/>
              </w:rPr>
              <w:t>380,000.00</w:t>
            </w:r>
          </w:p>
        </w:tc>
        <w:tc>
          <w:tcPr>
            <w:tcW w:w="1377" w:type="dxa"/>
            <w:tcBorders>
              <w:top w:val="single" w:color="auto" w:sz="2" w:space="0"/>
              <w:left w:val="single" w:color="auto" w:sz="2" w:space="0"/>
              <w:bottom w:val="single" w:color="auto" w:sz="2" w:space="0"/>
              <w:right w:val="single" w:color="auto" w:sz="2" w:space="0"/>
            </w:tcBorders>
            <w:vAlign w:val="center"/>
          </w:tcPr>
          <w:p w14:paraId="04DBA118">
            <w:pPr>
              <w:spacing w:before="0" w:after="0" w:line="240" w:lineRule="exact"/>
              <w:jc w:val="right"/>
              <w:rPr>
                <w:rFonts w:ascii="宋体" w:hAnsi="宋体" w:eastAsia="宋体" w:cs="宋体"/>
                <w:sz w:val="18"/>
                <w:szCs w:val="18"/>
              </w:rPr>
            </w:pPr>
            <w:r>
              <w:rPr>
                <w:rFonts w:ascii="宋体" w:hAnsi="宋体" w:eastAsia="宋体" w:cs="宋体"/>
                <w:sz w:val="18"/>
                <w:szCs w:val="18"/>
              </w:rPr>
              <w:t>380,000.00</w:t>
            </w:r>
          </w:p>
        </w:tc>
        <w:tc>
          <w:tcPr>
            <w:tcW w:w="1377" w:type="dxa"/>
            <w:tcBorders>
              <w:top w:val="single" w:color="auto" w:sz="2" w:space="0"/>
              <w:left w:val="single" w:color="auto" w:sz="2" w:space="0"/>
              <w:bottom w:val="single" w:color="auto" w:sz="2" w:space="0"/>
              <w:right w:val="single" w:color="auto" w:sz="2" w:space="0"/>
            </w:tcBorders>
            <w:vAlign w:val="center"/>
          </w:tcPr>
          <w:p w14:paraId="54C64482">
            <w:pPr>
              <w:spacing w:before="0" w:after="0" w:line="240" w:lineRule="exact"/>
              <w:jc w:val="right"/>
              <w:rPr>
                <w:rFonts w:ascii="宋体" w:hAnsi="宋体" w:eastAsia="宋体" w:cs="宋体"/>
                <w:sz w:val="18"/>
                <w:szCs w:val="18"/>
              </w:rPr>
            </w:pPr>
            <w:r>
              <w:rPr>
                <w:rFonts w:ascii="宋体" w:hAnsi="宋体" w:eastAsia="宋体" w:cs="宋体"/>
                <w:sz w:val="18"/>
                <w:szCs w:val="18"/>
              </w:rPr>
              <w:t>380,000.00</w:t>
            </w:r>
          </w:p>
        </w:tc>
        <w:tc>
          <w:tcPr>
            <w:tcW w:w="1377" w:type="dxa"/>
            <w:tcBorders>
              <w:top w:val="single" w:color="auto" w:sz="2" w:space="0"/>
              <w:left w:val="single" w:color="auto" w:sz="2" w:space="0"/>
              <w:bottom w:val="single" w:color="auto" w:sz="2" w:space="0"/>
              <w:right w:val="single" w:color="auto" w:sz="2" w:space="0"/>
            </w:tcBorders>
            <w:vAlign w:val="center"/>
          </w:tcPr>
          <w:p w14:paraId="0A1E2E4E">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377" w:type="dxa"/>
            <w:tcBorders>
              <w:top w:val="single" w:color="auto" w:sz="2" w:space="0"/>
              <w:left w:val="single" w:color="auto" w:sz="2" w:space="0"/>
              <w:bottom w:val="single" w:color="auto" w:sz="2" w:space="0"/>
              <w:right w:val="single" w:color="auto" w:sz="2" w:space="0"/>
            </w:tcBorders>
            <w:vAlign w:val="center"/>
          </w:tcPr>
          <w:p w14:paraId="344EB638">
            <w:pPr>
              <w:spacing w:before="0" w:after="0" w:line="240" w:lineRule="exact"/>
              <w:jc w:val="left"/>
              <w:rPr>
                <w:rFonts w:ascii="宋体" w:hAnsi="宋体" w:eastAsia="宋体" w:cs="宋体"/>
                <w:sz w:val="18"/>
                <w:szCs w:val="18"/>
              </w:rPr>
            </w:pPr>
            <w:r>
              <w:rPr>
                <w:rFonts w:hint="eastAsia" w:ascii="宋体" w:hAnsi="宋体" w:eastAsia="宋体" w:cs="宋体"/>
                <w:sz w:val="18"/>
                <w:szCs w:val="18"/>
              </w:rPr>
              <w:t>预计无法收回</w:t>
            </w:r>
          </w:p>
        </w:tc>
      </w:tr>
      <w:tr w14:paraId="39B0C7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89C130F">
            <w:pPr>
              <w:spacing w:before="0" w:after="0" w:line="240" w:lineRule="exact"/>
              <w:jc w:val="left"/>
              <w:rPr>
                <w:rFonts w:ascii="宋体" w:hAnsi="宋体" w:eastAsia="宋体" w:cs="宋体"/>
                <w:sz w:val="18"/>
                <w:szCs w:val="18"/>
              </w:rPr>
            </w:pPr>
            <w:r>
              <w:rPr>
                <w:rFonts w:ascii="宋体" w:hAnsi="宋体" w:eastAsia="宋体" w:cs="宋体"/>
                <w:sz w:val="18"/>
                <w:szCs w:val="18"/>
              </w:rPr>
              <w:t>金额10万以下客户</w:t>
            </w:r>
          </w:p>
        </w:tc>
        <w:tc>
          <w:tcPr>
            <w:tcW w:w="1377" w:type="dxa"/>
            <w:tcBorders>
              <w:top w:val="single" w:color="auto" w:sz="2" w:space="0"/>
              <w:left w:val="single" w:color="auto" w:sz="2" w:space="0"/>
              <w:bottom w:val="single" w:color="auto" w:sz="2" w:space="0"/>
              <w:right w:val="single" w:color="auto" w:sz="2" w:space="0"/>
            </w:tcBorders>
            <w:vAlign w:val="center"/>
          </w:tcPr>
          <w:p w14:paraId="639E7324">
            <w:pPr>
              <w:spacing w:before="0" w:after="0" w:line="240" w:lineRule="exact"/>
              <w:jc w:val="right"/>
              <w:rPr>
                <w:rFonts w:ascii="宋体" w:hAnsi="宋体" w:eastAsia="宋体" w:cs="宋体"/>
                <w:sz w:val="18"/>
                <w:szCs w:val="18"/>
              </w:rPr>
            </w:pPr>
            <w:r>
              <w:rPr>
                <w:rFonts w:ascii="宋体" w:hAnsi="宋体" w:eastAsia="宋体" w:cs="宋体"/>
                <w:sz w:val="18"/>
                <w:szCs w:val="18"/>
              </w:rPr>
              <w:t>289,929.07</w:t>
            </w:r>
          </w:p>
        </w:tc>
        <w:tc>
          <w:tcPr>
            <w:tcW w:w="1377" w:type="dxa"/>
            <w:tcBorders>
              <w:top w:val="single" w:color="auto" w:sz="2" w:space="0"/>
              <w:left w:val="single" w:color="auto" w:sz="2" w:space="0"/>
              <w:bottom w:val="single" w:color="auto" w:sz="2" w:space="0"/>
              <w:right w:val="single" w:color="auto" w:sz="2" w:space="0"/>
            </w:tcBorders>
            <w:vAlign w:val="center"/>
          </w:tcPr>
          <w:p w14:paraId="76270F5B">
            <w:pPr>
              <w:spacing w:before="0" w:after="0" w:line="240" w:lineRule="exact"/>
              <w:jc w:val="right"/>
              <w:rPr>
                <w:rFonts w:ascii="宋体" w:hAnsi="宋体" w:eastAsia="宋体" w:cs="宋体"/>
                <w:sz w:val="18"/>
                <w:szCs w:val="18"/>
              </w:rPr>
            </w:pPr>
            <w:r>
              <w:rPr>
                <w:rFonts w:ascii="宋体" w:hAnsi="宋体" w:eastAsia="宋体" w:cs="宋体"/>
                <w:sz w:val="18"/>
                <w:szCs w:val="18"/>
              </w:rPr>
              <w:t>289,929.07</w:t>
            </w:r>
          </w:p>
        </w:tc>
        <w:tc>
          <w:tcPr>
            <w:tcW w:w="1377" w:type="dxa"/>
            <w:tcBorders>
              <w:top w:val="single" w:color="auto" w:sz="2" w:space="0"/>
              <w:left w:val="single" w:color="auto" w:sz="2" w:space="0"/>
              <w:bottom w:val="single" w:color="auto" w:sz="2" w:space="0"/>
              <w:right w:val="single" w:color="auto" w:sz="2" w:space="0"/>
            </w:tcBorders>
            <w:vAlign w:val="center"/>
          </w:tcPr>
          <w:p w14:paraId="4B48A7B8">
            <w:pPr>
              <w:spacing w:before="0" w:after="0" w:line="240" w:lineRule="exact"/>
              <w:jc w:val="right"/>
              <w:rPr>
                <w:rFonts w:ascii="宋体" w:hAnsi="宋体" w:eastAsia="宋体" w:cs="宋体"/>
                <w:sz w:val="18"/>
                <w:szCs w:val="18"/>
              </w:rPr>
            </w:pPr>
            <w:r>
              <w:rPr>
                <w:rFonts w:ascii="宋体" w:hAnsi="宋体" w:eastAsia="宋体" w:cs="宋体"/>
                <w:sz w:val="18"/>
                <w:szCs w:val="18"/>
              </w:rPr>
              <w:t>254,929.07</w:t>
            </w:r>
          </w:p>
        </w:tc>
        <w:tc>
          <w:tcPr>
            <w:tcW w:w="1377" w:type="dxa"/>
            <w:tcBorders>
              <w:top w:val="single" w:color="auto" w:sz="2" w:space="0"/>
              <w:left w:val="single" w:color="auto" w:sz="2" w:space="0"/>
              <w:bottom w:val="single" w:color="auto" w:sz="2" w:space="0"/>
              <w:right w:val="single" w:color="auto" w:sz="2" w:space="0"/>
            </w:tcBorders>
            <w:vAlign w:val="center"/>
          </w:tcPr>
          <w:p w14:paraId="6AC9248E">
            <w:pPr>
              <w:spacing w:before="0" w:after="0" w:line="240" w:lineRule="exact"/>
              <w:jc w:val="right"/>
              <w:rPr>
                <w:rFonts w:ascii="宋体" w:hAnsi="宋体" w:eastAsia="宋体" w:cs="宋体"/>
                <w:sz w:val="18"/>
                <w:szCs w:val="18"/>
              </w:rPr>
            </w:pPr>
            <w:r>
              <w:rPr>
                <w:rFonts w:ascii="宋体" w:hAnsi="宋体" w:eastAsia="宋体" w:cs="宋体"/>
                <w:sz w:val="18"/>
                <w:szCs w:val="18"/>
              </w:rPr>
              <w:t>254,929.07</w:t>
            </w:r>
          </w:p>
        </w:tc>
        <w:tc>
          <w:tcPr>
            <w:tcW w:w="1377" w:type="dxa"/>
            <w:tcBorders>
              <w:top w:val="single" w:color="auto" w:sz="2" w:space="0"/>
              <w:left w:val="single" w:color="auto" w:sz="2" w:space="0"/>
              <w:bottom w:val="single" w:color="auto" w:sz="2" w:space="0"/>
              <w:right w:val="single" w:color="auto" w:sz="2" w:space="0"/>
            </w:tcBorders>
            <w:vAlign w:val="center"/>
          </w:tcPr>
          <w:p w14:paraId="68E846B4">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377" w:type="dxa"/>
            <w:tcBorders>
              <w:top w:val="single" w:color="auto" w:sz="2" w:space="0"/>
              <w:left w:val="single" w:color="auto" w:sz="2" w:space="0"/>
              <w:bottom w:val="single" w:color="auto" w:sz="2" w:space="0"/>
              <w:right w:val="single" w:color="auto" w:sz="2" w:space="0"/>
            </w:tcBorders>
            <w:vAlign w:val="center"/>
          </w:tcPr>
          <w:p w14:paraId="5ED34C32">
            <w:pPr>
              <w:spacing w:before="0" w:after="0" w:line="240" w:lineRule="exact"/>
              <w:jc w:val="left"/>
              <w:rPr>
                <w:rFonts w:ascii="宋体" w:hAnsi="宋体" w:eastAsia="宋体" w:cs="宋体"/>
                <w:sz w:val="18"/>
                <w:szCs w:val="18"/>
              </w:rPr>
            </w:pPr>
            <w:r>
              <w:rPr>
                <w:rFonts w:hint="eastAsia" w:ascii="宋体" w:hAnsi="宋体" w:eastAsia="宋体" w:cs="宋体"/>
                <w:sz w:val="18"/>
                <w:szCs w:val="18"/>
              </w:rPr>
              <w:t>预计无法收回</w:t>
            </w:r>
          </w:p>
        </w:tc>
      </w:tr>
      <w:tr w14:paraId="48A399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849EF71">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14926802">
            <w:pPr>
              <w:spacing w:before="0" w:after="0" w:line="240" w:lineRule="exact"/>
              <w:jc w:val="right"/>
              <w:rPr>
                <w:rFonts w:ascii="宋体" w:hAnsi="宋体" w:eastAsia="宋体" w:cs="宋体"/>
                <w:sz w:val="18"/>
                <w:szCs w:val="18"/>
              </w:rPr>
            </w:pPr>
            <w:r>
              <w:rPr>
                <w:rFonts w:ascii="宋体" w:hAnsi="宋体" w:eastAsia="宋体" w:cs="宋体"/>
                <w:sz w:val="18"/>
                <w:szCs w:val="18"/>
              </w:rPr>
              <w:t>669,929.07</w:t>
            </w:r>
          </w:p>
        </w:tc>
        <w:tc>
          <w:tcPr>
            <w:tcW w:w="1377" w:type="dxa"/>
            <w:tcBorders>
              <w:top w:val="single" w:color="auto" w:sz="2" w:space="0"/>
              <w:left w:val="single" w:color="auto" w:sz="2" w:space="0"/>
              <w:bottom w:val="single" w:color="auto" w:sz="2" w:space="0"/>
              <w:right w:val="single" w:color="auto" w:sz="2" w:space="0"/>
            </w:tcBorders>
            <w:vAlign w:val="center"/>
          </w:tcPr>
          <w:p w14:paraId="0B882B42">
            <w:pPr>
              <w:spacing w:before="0" w:after="0" w:line="240" w:lineRule="exact"/>
              <w:jc w:val="right"/>
              <w:rPr>
                <w:rFonts w:ascii="宋体" w:hAnsi="宋体" w:eastAsia="宋体" w:cs="宋体"/>
                <w:sz w:val="18"/>
                <w:szCs w:val="18"/>
              </w:rPr>
            </w:pPr>
            <w:r>
              <w:rPr>
                <w:rFonts w:ascii="宋体" w:hAnsi="宋体" w:eastAsia="宋体" w:cs="宋体"/>
                <w:sz w:val="18"/>
                <w:szCs w:val="18"/>
              </w:rPr>
              <w:t>669,929.07</w:t>
            </w:r>
          </w:p>
        </w:tc>
        <w:tc>
          <w:tcPr>
            <w:tcW w:w="1377" w:type="dxa"/>
            <w:tcBorders>
              <w:top w:val="single" w:color="auto" w:sz="2" w:space="0"/>
              <w:left w:val="single" w:color="auto" w:sz="2" w:space="0"/>
              <w:bottom w:val="single" w:color="auto" w:sz="2" w:space="0"/>
              <w:right w:val="single" w:color="auto" w:sz="2" w:space="0"/>
            </w:tcBorders>
            <w:vAlign w:val="center"/>
          </w:tcPr>
          <w:p w14:paraId="7F769540">
            <w:pPr>
              <w:spacing w:before="0" w:after="0" w:line="240" w:lineRule="exact"/>
              <w:jc w:val="right"/>
              <w:rPr>
                <w:rFonts w:ascii="宋体" w:hAnsi="宋体" w:eastAsia="宋体" w:cs="宋体"/>
                <w:sz w:val="18"/>
                <w:szCs w:val="18"/>
              </w:rPr>
            </w:pPr>
            <w:r>
              <w:rPr>
                <w:rFonts w:ascii="宋体" w:hAnsi="宋体" w:eastAsia="宋体" w:cs="宋体"/>
                <w:sz w:val="18"/>
                <w:szCs w:val="18"/>
              </w:rPr>
              <w:t>634,929.07</w:t>
            </w:r>
          </w:p>
        </w:tc>
        <w:tc>
          <w:tcPr>
            <w:tcW w:w="1377" w:type="dxa"/>
            <w:tcBorders>
              <w:top w:val="single" w:color="auto" w:sz="2" w:space="0"/>
              <w:left w:val="single" w:color="auto" w:sz="2" w:space="0"/>
              <w:bottom w:val="single" w:color="auto" w:sz="2" w:space="0"/>
              <w:right w:val="single" w:color="auto" w:sz="2" w:space="0"/>
            </w:tcBorders>
            <w:vAlign w:val="center"/>
          </w:tcPr>
          <w:p w14:paraId="5EE67A40">
            <w:pPr>
              <w:spacing w:before="0" w:after="0" w:line="240" w:lineRule="exact"/>
              <w:jc w:val="right"/>
              <w:rPr>
                <w:rFonts w:ascii="宋体" w:hAnsi="宋体" w:eastAsia="宋体" w:cs="宋体"/>
                <w:sz w:val="18"/>
                <w:szCs w:val="18"/>
              </w:rPr>
            </w:pPr>
            <w:r>
              <w:rPr>
                <w:rFonts w:ascii="宋体" w:hAnsi="宋体" w:eastAsia="宋体" w:cs="宋体"/>
                <w:sz w:val="18"/>
                <w:szCs w:val="18"/>
              </w:rPr>
              <w:t>634,929.07</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2AEAF9E"/>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47C907B"/>
        </w:tc>
      </w:tr>
    </w:tbl>
    <w:p w14:paraId="69DA8595">
      <w:pPr>
        <w:spacing w:before="100" w:after="100" w:line="240" w:lineRule="exact"/>
        <w:jc w:val="left"/>
        <w:rPr>
          <w:rFonts w:ascii="宋体" w:hAnsi="宋体" w:eastAsia="宋体" w:cs="宋体"/>
          <w:sz w:val="18"/>
          <w:szCs w:val="18"/>
        </w:rPr>
      </w:pPr>
      <w:r>
        <w:rPr>
          <w:rFonts w:ascii="宋体" w:hAnsi="宋体" w:eastAsia="宋体" w:cs="宋体"/>
          <w:sz w:val="18"/>
          <w:szCs w:val="18"/>
        </w:rPr>
        <w:t>按组合计提坏账准备：（1）经销及外包推广模式应收款项组合</w:t>
      </w:r>
    </w:p>
    <w:p w14:paraId="18DD584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33B1D4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3EE84C4">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5AACB376">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41DD52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DE133C2"/>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D5750C9">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112123B">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ED0EE44">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14:paraId="13E431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EE6AD4F">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2410" w:type="dxa"/>
            <w:tcBorders>
              <w:top w:val="single" w:color="auto" w:sz="2" w:space="0"/>
              <w:left w:val="single" w:color="auto" w:sz="2" w:space="0"/>
              <w:bottom w:val="single" w:color="auto" w:sz="2" w:space="0"/>
              <w:right w:val="single" w:color="auto" w:sz="2" w:space="0"/>
            </w:tcBorders>
            <w:vAlign w:val="center"/>
          </w:tcPr>
          <w:p w14:paraId="60F7D3E1">
            <w:pPr>
              <w:spacing w:before="0" w:after="0" w:line="240" w:lineRule="exact"/>
              <w:jc w:val="right"/>
              <w:rPr>
                <w:rFonts w:ascii="宋体" w:hAnsi="宋体" w:eastAsia="宋体" w:cs="宋体"/>
                <w:sz w:val="18"/>
                <w:szCs w:val="18"/>
              </w:rPr>
            </w:pPr>
            <w:r>
              <w:rPr>
                <w:rFonts w:ascii="宋体" w:hAnsi="宋体" w:eastAsia="宋体" w:cs="宋体"/>
                <w:sz w:val="18"/>
                <w:szCs w:val="18"/>
              </w:rPr>
              <w:t>37,476,344.87</w:t>
            </w:r>
          </w:p>
        </w:tc>
        <w:tc>
          <w:tcPr>
            <w:tcW w:w="2410" w:type="dxa"/>
            <w:tcBorders>
              <w:top w:val="single" w:color="auto" w:sz="2" w:space="0"/>
              <w:left w:val="single" w:color="auto" w:sz="2" w:space="0"/>
              <w:bottom w:val="single" w:color="auto" w:sz="2" w:space="0"/>
              <w:right w:val="single" w:color="auto" w:sz="2" w:space="0"/>
            </w:tcBorders>
            <w:vAlign w:val="center"/>
          </w:tcPr>
          <w:p w14:paraId="5A151885">
            <w:pPr>
              <w:spacing w:before="0" w:after="0" w:line="240" w:lineRule="exact"/>
              <w:jc w:val="right"/>
              <w:rPr>
                <w:rFonts w:ascii="宋体" w:hAnsi="宋体" w:eastAsia="宋体" w:cs="宋体"/>
                <w:sz w:val="18"/>
                <w:szCs w:val="18"/>
              </w:rPr>
            </w:pPr>
            <w:r>
              <w:rPr>
                <w:rFonts w:ascii="宋体" w:hAnsi="宋体" w:eastAsia="宋体" w:cs="宋体"/>
                <w:sz w:val="18"/>
                <w:szCs w:val="18"/>
              </w:rPr>
              <w:t>1,873,883.32</w:t>
            </w:r>
          </w:p>
        </w:tc>
        <w:tc>
          <w:tcPr>
            <w:tcW w:w="2410" w:type="dxa"/>
            <w:tcBorders>
              <w:top w:val="single" w:color="auto" w:sz="2" w:space="0"/>
              <w:left w:val="single" w:color="auto" w:sz="2" w:space="0"/>
              <w:bottom w:val="single" w:color="auto" w:sz="2" w:space="0"/>
              <w:right w:val="single" w:color="auto" w:sz="2" w:space="0"/>
            </w:tcBorders>
            <w:vAlign w:val="center"/>
          </w:tcPr>
          <w:p w14:paraId="0E9334C0">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r>
      <w:tr w14:paraId="558EEF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D526B8E">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2410" w:type="dxa"/>
            <w:tcBorders>
              <w:top w:val="single" w:color="auto" w:sz="2" w:space="0"/>
              <w:left w:val="single" w:color="auto" w:sz="2" w:space="0"/>
              <w:bottom w:val="single" w:color="auto" w:sz="2" w:space="0"/>
              <w:right w:val="single" w:color="auto" w:sz="2" w:space="0"/>
            </w:tcBorders>
            <w:vAlign w:val="center"/>
          </w:tcPr>
          <w:p w14:paraId="4041765D">
            <w:pPr>
              <w:spacing w:before="0" w:after="0" w:line="240" w:lineRule="exact"/>
              <w:jc w:val="right"/>
              <w:rPr>
                <w:rFonts w:ascii="宋体" w:hAnsi="宋体" w:eastAsia="宋体" w:cs="宋体"/>
                <w:sz w:val="18"/>
                <w:szCs w:val="18"/>
              </w:rPr>
            </w:pPr>
            <w:r>
              <w:rPr>
                <w:rFonts w:ascii="宋体" w:hAnsi="宋体" w:eastAsia="宋体" w:cs="宋体"/>
                <w:sz w:val="18"/>
                <w:szCs w:val="18"/>
              </w:rPr>
              <w:t>472,902.71</w:t>
            </w:r>
          </w:p>
        </w:tc>
        <w:tc>
          <w:tcPr>
            <w:tcW w:w="2410" w:type="dxa"/>
            <w:tcBorders>
              <w:top w:val="single" w:color="auto" w:sz="2" w:space="0"/>
              <w:left w:val="single" w:color="auto" w:sz="2" w:space="0"/>
              <w:bottom w:val="single" w:color="auto" w:sz="2" w:space="0"/>
              <w:right w:val="single" w:color="auto" w:sz="2" w:space="0"/>
            </w:tcBorders>
            <w:vAlign w:val="center"/>
          </w:tcPr>
          <w:p w14:paraId="3CD4E9F5">
            <w:pPr>
              <w:spacing w:before="0" w:after="0" w:line="240" w:lineRule="exact"/>
              <w:jc w:val="right"/>
              <w:rPr>
                <w:rFonts w:ascii="宋体" w:hAnsi="宋体" w:eastAsia="宋体" w:cs="宋体"/>
                <w:sz w:val="18"/>
                <w:szCs w:val="18"/>
              </w:rPr>
            </w:pPr>
            <w:r>
              <w:rPr>
                <w:rFonts w:ascii="宋体" w:hAnsi="宋体" w:eastAsia="宋体" w:cs="宋体"/>
                <w:sz w:val="18"/>
                <w:szCs w:val="18"/>
              </w:rPr>
              <w:t>97,258.79</w:t>
            </w:r>
          </w:p>
        </w:tc>
        <w:tc>
          <w:tcPr>
            <w:tcW w:w="2410" w:type="dxa"/>
            <w:tcBorders>
              <w:top w:val="single" w:color="auto" w:sz="2" w:space="0"/>
              <w:left w:val="single" w:color="auto" w:sz="2" w:space="0"/>
              <w:bottom w:val="single" w:color="auto" w:sz="2" w:space="0"/>
              <w:right w:val="single" w:color="auto" w:sz="2" w:space="0"/>
            </w:tcBorders>
            <w:vAlign w:val="center"/>
          </w:tcPr>
          <w:p w14:paraId="5F9FB51C">
            <w:pPr>
              <w:spacing w:before="0" w:after="0" w:line="240" w:lineRule="exact"/>
              <w:jc w:val="right"/>
              <w:rPr>
                <w:rFonts w:ascii="宋体" w:hAnsi="宋体" w:eastAsia="宋体" w:cs="宋体"/>
                <w:sz w:val="18"/>
                <w:szCs w:val="18"/>
              </w:rPr>
            </w:pPr>
            <w:r>
              <w:rPr>
                <w:rFonts w:ascii="宋体" w:hAnsi="宋体" w:eastAsia="宋体" w:cs="宋体"/>
                <w:sz w:val="18"/>
                <w:szCs w:val="18"/>
              </w:rPr>
              <w:t>20.57%</w:t>
            </w:r>
          </w:p>
        </w:tc>
      </w:tr>
      <w:tr w14:paraId="4E4CB0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4295D58B">
            <w:pPr>
              <w:spacing w:before="0" w:after="0" w:line="240" w:lineRule="exact"/>
              <w:jc w:val="left"/>
              <w:rPr>
                <w:rFonts w:ascii="宋体" w:hAnsi="宋体" w:eastAsia="宋体" w:cs="宋体"/>
                <w:sz w:val="18"/>
                <w:szCs w:val="18"/>
              </w:rPr>
            </w:pPr>
            <w:r>
              <w:rPr>
                <w:rFonts w:ascii="宋体" w:hAnsi="宋体" w:eastAsia="宋体" w:cs="宋体"/>
                <w:sz w:val="18"/>
                <w:szCs w:val="18"/>
              </w:rPr>
              <w:t>2－3年</w:t>
            </w:r>
          </w:p>
        </w:tc>
        <w:tc>
          <w:tcPr>
            <w:tcW w:w="2410" w:type="dxa"/>
            <w:tcBorders>
              <w:top w:val="single" w:color="auto" w:sz="2" w:space="0"/>
              <w:left w:val="single" w:color="auto" w:sz="2" w:space="0"/>
              <w:bottom w:val="single" w:color="auto" w:sz="2" w:space="0"/>
              <w:right w:val="single" w:color="auto" w:sz="2" w:space="0"/>
            </w:tcBorders>
            <w:vAlign w:val="center"/>
          </w:tcPr>
          <w:p w14:paraId="0D2BF7B4">
            <w:pPr>
              <w:spacing w:before="0" w:after="0" w:line="240" w:lineRule="exact"/>
              <w:jc w:val="right"/>
              <w:rPr>
                <w:rFonts w:ascii="宋体" w:hAnsi="宋体" w:eastAsia="宋体" w:cs="宋体"/>
                <w:sz w:val="18"/>
                <w:szCs w:val="18"/>
              </w:rPr>
            </w:pPr>
            <w:r>
              <w:rPr>
                <w:rFonts w:ascii="宋体" w:hAnsi="宋体" w:eastAsia="宋体" w:cs="宋体"/>
                <w:sz w:val="18"/>
                <w:szCs w:val="18"/>
              </w:rPr>
              <w:t>679,423.90</w:t>
            </w:r>
          </w:p>
        </w:tc>
        <w:tc>
          <w:tcPr>
            <w:tcW w:w="2410" w:type="dxa"/>
            <w:tcBorders>
              <w:top w:val="single" w:color="auto" w:sz="2" w:space="0"/>
              <w:left w:val="single" w:color="auto" w:sz="2" w:space="0"/>
              <w:bottom w:val="single" w:color="auto" w:sz="2" w:space="0"/>
              <w:right w:val="single" w:color="auto" w:sz="2" w:space="0"/>
            </w:tcBorders>
            <w:vAlign w:val="center"/>
          </w:tcPr>
          <w:p w14:paraId="482D3251">
            <w:pPr>
              <w:spacing w:before="0" w:after="0" w:line="240" w:lineRule="exact"/>
              <w:jc w:val="right"/>
              <w:rPr>
                <w:rFonts w:ascii="宋体" w:hAnsi="宋体" w:eastAsia="宋体" w:cs="宋体"/>
                <w:sz w:val="18"/>
                <w:szCs w:val="18"/>
              </w:rPr>
            </w:pPr>
            <w:r>
              <w:rPr>
                <w:rFonts w:ascii="宋体" w:hAnsi="宋体" w:eastAsia="宋体" w:cs="宋体"/>
                <w:sz w:val="18"/>
                <w:szCs w:val="18"/>
              </w:rPr>
              <w:t>291,912.71</w:t>
            </w:r>
          </w:p>
        </w:tc>
        <w:tc>
          <w:tcPr>
            <w:tcW w:w="2410" w:type="dxa"/>
            <w:tcBorders>
              <w:top w:val="single" w:color="auto" w:sz="2" w:space="0"/>
              <w:left w:val="single" w:color="auto" w:sz="2" w:space="0"/>
              <w:bottom w:val="single" w:color="auto" w:sz="2" w:space="0"/>
              <w:right w:val="single" w:color="auto" w:sz="2" w:space="0"/>
            </w:tcBorders>
            <w:vAlign w:val="center"/>
          </w:tcPr>
          <w:p w14:paraId="7F2100EA">
            <w:pPr>
              <w:spacing w:before="0" w:after="0" w:line="240" w:lineRule="exact"/>
              <w:jc w:val="right"/>
              <w:rPr>
                <w:rFonts w:ascii="宋体" w:hAnsi="宋体" w:eastAsia="宋体" w:cs="宋体"/>
                <w:sz w:val="18"/>
                <w:szCs w:val="18"/>
              </w:rPr>
            </w:pPr>
            <w:r>
              <w:rPr>
                <w:rFonts w:ascii="宋体" w:hAnsi="宋体" w:eastAsia="宋体" w:cs="宋体"/>
                <w:sz w:val="18"/>
                <w:szCs w:val="18"/>
              </w:rPr>
              <w:t>42.96%</w:t>
            </w:r>
          </w:p>
        </w:tc>
      </w:tr>
      <w:tr w14:paraId="007266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9C5BC2F">
            <w:pPr>
              <w:spacing w:before="0" w:after="0" w:line="240" w:lineRule="exact"/>
              <w:jc w:val="left"/>
              <w:rPr>
                <w:rFonts w:ascii="宋体" w:hAnsi="宋体" w:eastAsia="宋体" w:cs="宋体"/>
                <w:sz w:val="18"/>
                <w:szCs w:val="18"/>
              </w:rPr>
            </w:pPr>
            <w:r>
              <w:rPr>
                <w:rFonts w:ascii="宋体" w:hAnsi="宋体" w:eastAsia="宋体" w:cs="宋体"/>
                <w:sz w:val="18"/>
                <w:szCs w:val="18"/>
              </w:rPr>
              <w:t>3－4年</w:t>
            </w:r>
          </w:p>
        </w:tc>
        <w:tc>
          <w:tcPr>
            <w:tcW w:w="2410" w:type="dxa"/>
            <w:tcBorders>
              <w:top w:val="single" w:color="auto" w:sz="2" w:space="0"/>
              <w:left w:val="single" w:color="auto" w:sz="2" w:space="0"/>
              <w:bottom w:val="single" w:color="auto" w:sz="2" w:space="0"/>
              <w:right w:val="single" w:color="auto" w:sz="2" w:space="0"/>
            </w:tcBorders>
            <w:vAlign w:val="center"/>
          </w:tcPr>
          <w:p w14:paraId="07B696A4">
            <w:pPr>
              <w:spacing w:before="0" w:after="0" w:line="240" w:lineRule="exact"/>
              <w:jc w:val="right"/>
              <w:rPr>
                <w:rFonts w:ascii="宋体" w:hAnsi="宋体" w:eastAsia="宋体" w:cs="宋体"/>
                <w:sz w:val="18"/>
                <w:szCs w:val="18"/>
              </w:rPr>
            </w:pPr>
            <w:r>
              <w:rPr>
                <w:rFonts w:ascii="宋体" w:hAnsi="宋体" w:eastAsia="宋体" w:cs="宋体"/>
                <w:sz w:val="18"/>
                <w:szCs w:val="18"/>
              </w:rPr>
              <w:t>233,224.92</w:t>
            </w:r>
          </w:p>
        </w:tc>
        <w:tc>
          <w:tcPr>
            <w:tcW w:w="2410" w:type="dxa"/>
            <w:tcBorders>
              <w:top w:val="single" w:color="auto" w:sz="2" w:space="0"/>
              <w:left w:val="single" w:color="auto" w:sz="2" w:space="0"/>
              <w:bottom w:val="single" w:color="auto" w:sz="2" w:space="0"/>
              <w:right w:val="single" w:color="auto" w:sz="2" w:space="0"/>
            </w:tcBorders>
            <w:vAlign w:val="center"/>
          </w:tcPr>
          <w:p w14:paraId="322EF517">
            <w:pPr>
              <w:spacing w:before="0" w:after="0" w:line="240" w:lineRule="exact"/>
              <w:jc w:val="right"/>
              <w:rPr>
                <w:rFonts w:ascii="宋体" w:hAnsi="宋体" w:eastAsia="宋体" w:cs="宋体"/>
                <w:sz w:val="18"/>
                <w:szCs w:val="18"/>
              </w:rPr>
            </w:pPr>
            <w:r>
              <w:rPr>
                <w:rFonts w:ascii="宋体" w:hAnsi="宋体" w:eastAsia="宋体" w:cs="宋体"/>
                <w:sz w:val="18"/>
                <w:szCs w:val="18"/>
              </w:rPr>
              <w:t>140,769.67</w:t>
            </w:r>
          </w:p>
        </w:tc>
        <w:tc>
          <w:tcPr>
            <w:tcW w:w="2410" w:type="dxa"/>
            <w:tcBorders>
              <w:top w:val="single" w:color="auto" w:sz="2" w:space="0"/>
              <w:left w:val="single" w:color="auto" w:sz="2" w:space="0"/>
              <w:bottom w:val="single" w:color="auto" w:sz="2" w:space="0"/>
              <w:right w:val="single" w:color="auto" w:sz="2" w:space="0"/>
            </w:tcBorders>
            <w:vAlign w:val="center"/>
          </w:tcPr>
          <w:p w14:paraId="36C94BC8">
            <w:pPr>
              <w:spacing w:before="0" w:after="0" w:line="240" w:lineRule="exact"/>
              <w:jc w:val="right"/>
              <w:rPr>
                <w:rFonts w:ascii="宋体" w:hAnsi="宋体" w:eastAsia="宋体" w:cs="宋体"/>
                <w:sz w:val="18"/>
                <w:szCs w:val="18"/>
              </w:rPr>
            </w:pPr>
            <w:r>
              <w:rPr>
                <w:rFonts w:ascii="宋体" w:hAnsi="宋体" w:eastAsia="宋体" w:cs="宋体"/>
                <w:sz w:val="18"/>
                <w:szCs w:val="18"/>
              </w:rPr>
              <w:t>60.36%</w:t>
            </w:r>
          </w:p>
        </w:tc>
      </w:tr>
      <w:tr w14:paraId="19EF32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4A154E70">
            <w:pPr>
              <w:spacing w:before="0" w:after="0" w:line="240" w:lineRule="exact"/>
              <w:jc w:val="left"/>
              <w:rPr>
                <w:rFonts w:ascii="宋体" w:hAnsi="宋体" w:eastAsia="宋体" w:cs="宋体"/>
                <w:sz w:val="18"/>
                <w:szCs w:val="18"/>
              </w:rPr>
            </w:pPr>
            <w:r>
              <w:rPr>
                <w:rFonts w:ascii="宋体" w:hAnsi="宋体" w:eastAsia="宋体" w:cs="宋体"/>
                <w:sz w:val="18"/>
                <w:szCs w:val="18"/>
              </w:rPr>
              <w:t>4－5年</w:t>
            </w:r>
          </w:p>
        </w:tc>
        <w:tc>
          <w:tcPr>
            <w:tcW w:w="2410" w:type="dxa"/>
            <w:tcBorders>
              <w:top w:val="single" w:color="auto" w:sz="2" w:space="0"/>
              <w:left w:val="single" w:color="auto" w:sz="2" w:space="0"/>
              <w:bottom w:val="single" w:color="auto" w:sz="2" w:space="0"/>
              <w:right w:val="single" w:color="auto" w:sz="2" w:space="0"/>
            </w:tcBorders>
            <w:vAlign w:val="center"/>
          </w:tcPr>
          <w:p w14:paraId="5BBE0DEB">
            <w:pPr>
              <w:spacing w:before="0" w:after="0" w:line="240" w:lineRule="exact"/>
              <w:jc w:val="right"/>
              <w:rPr>
                <w:rFonts w:ascii="宋体" w:hAnsi="宋体" w:eastAsia="宋体" w:cs="宋体"/>
                <w:sz w:val="18"/>
                <w:szCs w:val="18"/>
              </w:rPr>
            </w:pPr>
            <w:r>
              <w:rPr>
                <w:rFonts w:ascii="宋体" w:hAnsi="宋体" w:eastAsia="宋体" w:cs="宋体"/>
                <w:sz w:val="18"/>
                <w:szCs w:val="18"/>
              </w:rPr>
              <w:t>144,305.40</w:t>
            </w:r>
          </w:p>
        </w:tc>
        <w:tc>
          <w:tcPr>
            <w:tcW w:w="2410" w:type="dxa"/>
            <w:tcBorders>
              <w:top w:val="single" w:color="auto" w:sz="2" w:space="0"/>
              <w:left w:val="single" w:color="auto" w:sz="2" w:space="0"/>
              <w:bottom w:val="single" w:color="auto" w:sz="2" w:space="0"/>
              <w:right w:val="single" w:color="auto" w:sz="2" w:space="0"/>
            </w:tcBorders>
            <w:vAlign w:val="center"/>
          </w:tcPr>
          <w:p w14:paraId="38301AD3">
            <w:pPr>
              <w:spacing w:before="0" w:after="0" w:line="240" w:lineRule="exact"/>
              <w:jc w:val="right"/>
              <w:rPr>
                <w:rFonts w:ascii="宋体" w:hAnsi="宋体" w:eastAsia="宋体" w:cs="宋体"/>
                <w:sz w:val="18"/>
                <w:szCs w:val="18"/>
              </w:rPr>
            </w:pPr>
            <w:r>
              <w:rPr>
                <w:rFonts w:ascii="宋体" w:hAnsi="宋体" w:eastAsia="宋体" w:cs="宋体"/>
                <w:sz w:val="18"/>
                <w:szCs w:val="18"/>
              </w:rPr>
              <w:t>129,870.79</w:t>
            </w:r>
          </w:p>
        </w:tc>
        <w:tc>
          <w:tcPr>
            <w:tcW w:w="2410" w:type="dxa"/>
            <w:tcBorders>
              <w:top w:val="single" w:color="auto" w:sz="2" w:space="0"/>
              <w:left w:val="single" w:color="auto" w:sz="2" w:space="0"/>
              <w:bottom w:val="single" w:color="auto" w:sz="2" w:space="0"/>
              <w:right w:val="single" w:color="auto" w:sz="2" w:space="0"/>
            </w:tcBorders>
            <w:vAlign w:val="center"/>
          </w:tcPr>
          <w:p w14:paraId="1567D5C2">
            <w:pPr>
              <w:spacing w:before="0" w:after="0" w:line="240" w:lineRule="exact"/>
              <w:jc w:val="right"/>
              <w:rPr>
                <w:rFonts w:ascii="宋体" w:hAnsi="宋体" w:eastAsia="宋体" w:cs="宋体"/>
                <w:sz w:val="18"/>
                <w:szCs w:val="18"/>
              </w:rPr>
            </w:pPr>
            <w:r>
              <w:rPr>
                <w:rFonts w:ascii="宋体" w:hAnsi="宋体" w:eastAsia="宋体" w:cs="宋体"/>
                <w:sz w:val="18"/>
                <w:szCs w:val="18"/>
              </w:rPr>
              <w:t>90.00%</w:t>
            </w:r>
          </w:p>
        </w:tc>
      </w:tr>
      <w:tr w14:paraId="663AF6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E4D36B7">
            <w:pPr>
              <w:spacing w:before="0" w:after="0" w:line="240" w:lineRule="exact"/>
              <w:jc w:val="left"/>
              <w:rPr>
                <w:rFonts w:ascii="宋体" w:hAnsi="宋体" w:eastAsia="宋体" w:cs="宋体"/>
                <w:sz w:val="18"/>
                <w:szCs w:val="18"/>
              </w:rPr>
            </w:pPr>
            <w:r>
              <w:rPr>
                <w:rFonts w:ascii="宋体" w:hAnsi="宋体" w:eastAsia="宋体" w:cs="宋体"/>
                <w:sz w:val="18"/>
                <w:szCs w:val="18"/>
              </w:rPr>
              <w:t>5年以上</w:t>
            </w:r>
          </w:p>
        </w:tc>
        <w:tc>
          <w:tcPr>
            <w:tcW w:w="2410" w:type="dxa"/>
            <w:tcBorders>
              <w:top w:val="single" w:color="auto" w:sz="2" w:space="0"/>
              <w:left w:val="single" w:color="auto" w:sz="2" w:space="0"/>
              <w:bottom w:val="single" w:color="auto" w:sz="2" w:space="0"/>
              <w:right w:val="single" w:color="auto" w:sz="2" w:space="0"/>
            </w:tcBorders>
            <w:vAlign w:val="center"/>
          </w:tcPr>
          <w:p w14:paraId="082C13DF">
            <w:pPr>
              <w:spacing w:before="0" w:after="0" w:line="240" w:lineRule="exact"/>
              <w:jc w:val="right"/>
              <w:rPr>
                <w:rFonts w:ascii="宋体" w:hAnsi="宋体" w:eastAsia="宋体" w:cs="宋体"/>
                <w:sz w:val="18"/>
                <w:szCs w:val="18"/>
              </w:rPr>
            </w:pPr>
            <w:r>
              <w:rPr>
                <w:rFonts w:ascii="宋体" w:hAnsi="宋体" w:eastAsia="宋体" w:cs="宋体"/>
                <w:sz w:val="18"/>
                <w:szCs w:val="18"/>
              </w:rPr>
              <w:t>1,242,595.86</w:t>
            </w:r>
          </w:p>
        </w:tc>
        <w:tc>
          <w:tcPr>
            <w:tcW w:w="2410" w:type="dxa"/>
            <w:tcBorders>
              <w:top w:val="single" w:color="auto" w:sz="2" w:space="0"/>
              <w:left w:val="single" w:color="auto" w:sz="2" w:space="0"/>
              <w:bottom w:val="single" w:color="auto" w:sz="2" w:space="0"/>
              <w:right w:val="single" w:color="auto" w:sz="2" w:space="0"/>
            </w:tcBorders>
            <w:vAlign w:val="center"/>
          </w:tcPr>
          <w:p w14:paraId="6DAE573F">
            <w:pPr>
              <w:spacing w:before="0" w:after="0" w:line="240" w:lineRule="exact"/>
              <w:jc w:val="right"/>
              <w:rPr>
                <w:rFonts w:ascii="宋体" w:hAnsi="宋体" w:eastAsia="宋体" w:cs="宋体"/>
                <w:sz w:val="18"/>
                <w:szCs w:val="18"/>
              </w:rPr>
            </w:pPr>
            <w:r>
              <w:rPr>
                <w:rFonts w:ascii="宋体" w:hAnsi="宋体" w:eastAsia="宋体" w:cs="宋体"/>
                <w:sz w:val="18"/>
                <w:szCs w:val="18"/>
              </w:rPr>
              <w:t>1,242,595.86</w:t>
            </w:r>
          </w:p>
        </w:tc>
        <w:tc>
          <w:tcPr>
            <w:tcW w:w="2410" w:type="dxa"/>
            <w:tcBorders>
              <w:top w:val="single" w:color="auto" w:sz="2" w:space="0"/>
              <w:left w:val="single" w:color="auto" w:sz="2" w:space="0"/>
              <w:bottom w:val="single" w:color="auto" w:sz="2" w:space="0"/>
              <w:right w:val="single" w:color="auto" w:sz="2" w:space="0"/>
            </w:tcBorders>
            <w:vAlign w:val="center"/>
          </w:tcPr>
          <w:p w14:paraId="48BA10A6">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r>
      <w:tr w14:paraId="3B345C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494DC12">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6E215139">
            <w:pPr>
              <w:spacing w:before="0" w:after="0" w:line="240" w:lineRule="exact"/>
              <w:jc w:val="right"/>
              <w:rPr>
                <w:rFonts w:ascii="宋体" w:hAnsi="宋体" w:eastAsia="宋体" w:cs="宋体"/>
                <w:sz w:val="18"/>
                <w:szCs w:val="18"/>
              </w:rPr>
            </w:pPr>
            <w:r>
              <w:rPr>
                <w:rFonts w:ascii="宋体" w:hAnsi="宋体" w:eastAsia="宋体" w:cs="宋体"/>
                <w:sz w:val="18"/>
                <w:szCs w:val="18"/>
              </w:rPr>
              <w:t>40,248,797.66</w:t>
            </w:r>
          </w:p>
        </w:tc>
        <w:tc>
          <w:tcPr>
            <w:tcW w:w="2410" w:type="dxa"/>
            <w:tcBorders>
              <w:top w:val="single" w:color="auto" w:sz="2" w:space="0"/>
              <w:left w:val="single" w:color="auto" w:sz="2" w:space="0"/>
              <w:bottom w:val="single" w:color="auto" w:sz="2" w:space="0"/>
              <w:right w:val="single" w:color="auto" w:sz="2" w:space="0"/>
            </w:tcBorders>
            <w:vAlign w:val="center"/>
          </w:tcPr>
          <w:p w14:paraId="5C084522">
            <w:pPr>
              <w:spacing w:before="0" w:after="0" w:line="240" w:lineRule="exact"/>
              <w:jc w:val="right"/>
              <w:rPr>
                <w:rFonts w:ascii="宋体" w:hAnsi="宋体" w:eastAsia="宋体" w:cs="宋体"/>
                <w:sz w:val="18"/>
                <w:szCs w:val="18"/>
              </w:rPr>
            </w:pPr>
            <w:r>
              <w:rPr>
                <w:rFonts w:ascii="宋体" w:hAnsi="宋体" w:eastAsia="宋体" w:cs="宋体"/>
                <w:sz w:val="18"/>
                <w:szCs w:val="18"/>
              </w:rPr>
              <w:t>3,776,291.15</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F4E54C1"/>
        </w:tc>
      </w:tr>
    </w:tbl>
    <w:p w14:paraId="1E68CC6B">
      <w:pPr>
        <w:spacing w:before="100" w:after="100" w:line="240" w:lineRule="exact"/>
        <w:jc w:val="left"/>
        <w:rPr>
          <w:rFonts w:ascii="宋体" w:hAnsi="宋体" w:eastAsia="宋体" w:cs="宋体"/>
          <w:sz w:val="18"/>
          <w:szCs w:val="18"/>
        </w:rPr>
      </w:pPr>
      <w:r>
        <w:rPr>
          <w:rFonts w:ascii="宋体" w:hAnsi="宋体" w:eastAsia="宋体" w:cs="宋体"/>
          <w:sz w:val="18"/>
          <w:szCs w:val="18"/>
        </w:rPr>
        <w:t>确定该组合依据的说明：</w:t>
      </w:r>
    </w:p>
    <w:p w14:paraId="74E8CB78">
      <w:pPr>
        <w:spacing w:before="100" w:after="100" w:line="240" w:lineRule="exact"/>
        <w:jc w:val="left"/>
        <w:rPr>
          <w:rFonts w:ascii="宋体" w:hAnsi="宋体" w:eastAsia="宋体" w:cs="宋体"/>
          <w:sz w:val="18"/>
          <w:szCs w:val="18"/>
        </w:rPr>
      </w:pPr>
      <w:r>
        <w:rPr>
          <w:rFonts w:ascii="宋体" w:hAnsi="宋体" w:eastAsia="宋体" w:cs="宋体"/>
          <w:sz w:val="18"/>
          <w:szCs w:val="18"/>
        </w:rPr>
        <w:t>按组合计提坏账准备：（2）</w:t>
      </w:r>
      <w:r>
        <w:rPr>
          <w:rFonts w:ascii="宋体" w:hAnsi="宋体" w:eastAsia="宋体" w:cs="宋体"/>
          <w:sz w:val="18"/>
          <w:szCs w:val="18"/>
        </w:rPr>
        <w:tab/>
      </w:r>
      <w:r>
        <w:rPr>
          <w:rFonts w:ascii="宋体" w:hAnsi="宋体" w:eastAsia="宋体" w:cs="宋体"/>
          <w:sz w:val="18"/>
          <w:szCs w:val="18"/>
        </w:rPr>
        <w:t>自主推广模式应收款项组合</w:t>
      </w:r>
    </w:p>
    <w:p w14:paraId="5A18B13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2F0C60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9C9D638">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35F89689">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08C7B6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3C49ABB"/>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50EC0D5">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87DB059">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D6D88C4">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14:paraId="16D09B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6B10E9A8">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2410" w:type="dxa"/>
            <w:tcBorders>
              <w:top w:val="single" w:color="auto" w:sz="2" w:space="0"/>
              <w:left w:val="single" w:color="auto" w:sz="2" w:space="0"/>
              <w:bottom w:val="single" w:color="auto" w:sz="2" w:space="0"/>
              <w:right w:val="single" w:color="auto" w:sz="2" w:space="0"/>
            </w:tcBorders>
            <w:vAlign w:val="center"/>
          </w:tcPr>
          <w:p w14:paraId="363DD6B1">
            <w:pPr>
              <w:spacing w:before="0" w:after="0" w:line="240" w:lineRule="exact"/>
              <w:jc w:val="right"/>
              <w:rPr>
                <w:rFonts w:ascii="宋体" w:hAnsi="宋体" w:eastAsia="宋体" w:cs="宋体"/>
                <w:sz w:val="18"/>
                <w:szCs w:val="18"/>
              </w:rPr>
            </w:pPr>
            <w:r>
              <w:rPr>
                <w:rFonts w:ascii="宋体" w:hAnsi="宋体" w:eastAsia="宋体" w:cs="宋体"/>
                <w:sz w:val="18"/>
                <w:szCs w:val="18"/>
              </w:rPr>
              <w:t>29,703,042.66</w:t>
            </w:r>
          </w:p>
        </w:tc>
        <w:tc>
          <w:tcPr>
            <w:tcW w:w="2410" w:type="dxa"/>
            <w:tcBorders>
              <w:top w:val="single" w:color="auto" w:sz="2" w:space="0"/>
              <w:left w:val="single" w:color="auto" w:sz="2" w:space="0"/>
              <w:bottom w:val="single" w:color="auto" w:sz="2" w:space="0"/>
              <w:right w:val="single" w:color="auto" w:sz="2" w:space="0"/>
            </w:tcBorders>
            <w:vAlign w:val="center"/>
          </w:tcPr>
          <w:p w14:paraId="59790958">
            <w:pPr>
              <w:spacing w:before="0" w:after="0" w:line="240" w:lineRule="exact"/>
              <w:jc w:val="right"/>
              <w:rPr>
                <w:rFonts w:ascii="宋体" w:hAnsi="宋体" w:eastAsia="宋体" w:cs="宋体"/>
                <w:sz w:val="18"/>
                <w:szCs w:val="18"/>
              </w:rPr>
            </w:pPr>
            <w:r>
              <w:rPr>
                <w:rFonts w:ascii="宋体" w:hAnsi="宋体" w:eastAsia="宋体" w:cs="宋体"/>
                <w:sz w:val="18"/>
                <w:szCs w:val="18"/>
              </w:rPr>
              <w:t>1,485,152.13</w:t>
            </w:r>
          </w:p>
        </w:tc>
        <w:tc>
          <w:tcPr>
            <w:tcW w:w="2410" w:type="dxa"/>
            <w:tcBorders>
              <w:top w:val="single" w:color="auto" w:sz="2" w:space="0"/>
              <w:left w:val="single" w:color="auto" w:sz="2" w:space="0"/>
              <w:bottom w:val="single" w:color="auto" w:sz="2" w:space="0"/>
              <w:right w:val="single" w:color="auto" w:sz="2" w:space="0"/>
            </w:tcBorders>
            <w:vAlign w:val="center"/>
          </w:tcPr>
          <w:p w14:paraId="056C49BC">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r>
      <w:tr w14:paraId="458F8D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12B6F0C0">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2410" w:type="dxa"/>
            <w:tcBorders>
              <w:top w:val="single" w:color="auto" w:sz="2" w:space="0"/>
              <w:left w:val="single" w:color="auto" w:sz="2" w:space="0"/>
              <w:bottom w:val="single" w:color="auto" w:sz="2" w:space="0"/>
              <w:right w:val="single" w:color="auto" w:sz="2" w:space="0"/>
            </w:tcBorders>
            <w:vAlign w:val="center"/>
          </w:tcPr>
          <w:p w14:paraId="096A16D8">
            <w:pPr>
              <w:spacing w:before="0" w:after="0" w:line="240" w:lineRule="exact"/>
              <w:jc w:val="right"/>
              <w:rPr>
                <w:rFonts w:ascii="宋体" w:hAnsi="宋体" w:eastAsia="宋体" w:cs="宋体"/>
                <w:sz w:val="18"/>
                <w:szCs w:val="18"/>
              </w:rPr>
            </w:pPr>
            <w:r>
              <w:rPr>
                <w:rFonts w:ascii="宋体" w:hAnsi="宋体" w:eastAsia="宋体" w:cs="宋体"/>
                <w:sz w:val="18"/>
                <w:szCs w:val="18"/>
              </w:rPr>
              <w:t>177,936.00</w:t>
            </w:r>
          </w:p>
        </w:tc>
        <w:tc>
          <w:tcPr>
            <w:tcW w:w="2410" w:type="dxa"/>
            <w:tcBorders>
              <w:top w:val="single" w:color="auto" w:sz="2" w:space="0"/>
              <w:left w:val="single" w:color="auto" w:sz="2" w:space="0"/>
              <w:bottom w:val="single" w:color="auto" w:sz="2" w:space="0"/>
              <w:right w:val="single" w:color="auto" w:sz="2" w:space="0"/>
            </w:tcBorders>
            <w:vAlign w:val="center"/>
          </w:tcPr>
          <w:p w14:paraId="3F334916">
            <w:pPr>
              <w:spacing w:before="0" w:after="0" w:line="240" w:lineRule="exact"/>
              <w:jc w:val="right"/>
              <w:rPr>
                <w:rFonts w:ascii="宋体" w:hAnsi="宋体" w:eastAsia="宋体" w:cs="宋体"/>
                <w:sz w:val="18"/>
                <w:szCs w:val="18"/>
              </w:rPr>
            </w:pPr>
            <w:r>
              <w:rPr>
                <w:rFonts w:ascii="宋体" w:hAnsi="宋体" w:eastAsia="宋体" w:cs="宋体"/>
                <w:sz w:val="18"/>
                <w:szCs w:val="18"/>
              </w:rPr>
              <w:t>14,234.88</w:t>
            </w:r>
          </w:p>
        </w:tc>
        <w:tc>
          <w:tcPr>
            <w:tcW w:w="2410" w:type="dxa"/>
            <w:tcBorders>
              <w:top w:val="single" w:color="auto" w:sz="2" w:space="0"/>
              <w:left w:val="single" w:color="auto" w:sz="2" w:space="0"/>
              <w:bottom w:val="single" w:color="auto" w:sz="2" w:space="0"/>
              <w:right w:val="single" w:color="auto" w:sz="2" w:space="0"/>
            </w:tcBorders>
            <w:vAlign w:val="center"/>
          </w:tcPr>
          <w:p w14:paraId="4D449615">
            <w:pPr>
              <w:spacing w:before="0" w:after="0" w:line="240" w:lineRule="exact"/>
              <w:jc w:val="right"/>
              <w:rPr>
                <w:rFonts w:ascii="宋体" w:hAnsi="宋体" w:eastAsia="宋体" w:cs="宋体"/>
                <w:sz w:val="18"/>
                <w:szCs w:val="18"/>
              </w:rPr>
            </w:pPr>
            <w:r>
              <w:rPr>
                <w:rFonts w:ascii="宋体" w:hAnsi="宋体" w:eastAsia="宋体" w:cs="宋体"/>
                <w:sz w:val="18"/>
                <w:szCs w:val="18"/>
              </w:rPr>
              <w:t>8.00%</w:t>
            </w:r>
          </w:p>
        </w:tc>
      </w:tr>
      <w:tr w14:paraId="365168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86F26EB">
            <w:pPr>
              <w:spacing w:before="0" w:after="0" w:line="240" w:lineRule="exact"/>
              <w:jc w:val="left"/>
              <w:rPr>
                <w:rFonts w:ascii="宋体" w:hAnsi="宋体" w:eastAsia="宋体" w:cs="宋体"/>
                <w:sz w:val="18"/>
                <w:szCs w:val="18"/>
              </w:rPr>
            </w:pPr>
            <w:r>
              <w:rPr>
                <w:rFonts w:ascii="宋体" w:hAnsi="宋体" w:eastAsia="宋体" w:cs="宋体"/>
                <w:sz w:val="18"/>
                <w:szCs w:val="18"/>
              </w:rPr>
              <w:t>2－3年</w:t>
            </w:r>
          </w:p>
        </w:tc>
        <w:tc>
          <w:tcPr>
            <w:tcW w:w="2410" w:type="dxa"/>
            <w:tcBorders>
              <w:top w:val="single" w:color="auto" w:sz="2" w:space="0"/>
              <w:left w:val="single" w:color="auto" w:sz="2" w:space="0"/>
              <w:bottom w:val="single" w:color="auto" w:sz="2" w:space="0"/>
              <w:right w:val="single" w:color="auto" w:sz="2" w:space="0"/>
            </w:tcBorders>
            <w:vAlign w:val="center"/>
          </w:tcPr>
          <w:p w14:paraId="7C02BADD">
            <w:pPr>
              <w:spacing w:before="0" w:after="0" w:line="240" w:lineRule="exact"/>
              <w:jc w:val="right"/>
              <w:rPr>
                <w:rFonts w:ascii="宋体" w:hAnsi="宋体" w:eastAsia="宋体" w:cs="宋体"/>
                <w:sz w:val="18"/>
                <w:szCs w:val="18"/>
              </w:rPr>
            </w:pPr>
            <w:r>
              <w:rPr>
                <w:rFonts w:ascii="宋体" w:hAnsi="宋体" w:eastAsia="宋体" w:cs="宋体"/>
                <w:sz w:val="18"/>
                <w:szCs w:val="18"/>
              </w:rPr>
              <w:t>42,118.44</w:t>
            </w:r>
          </w:p>
        </w:tc>
        <w:tc>
          <w:tcPr>
            <w:tcW w:w="2410" w:type="dxa"/>
            <w:tcBorders>
              <w:top w:val="single" w:color="auto" w:sz="2" w:space="0"/>
              <w:left w:val="single" w:color="auto" w:sz="2" w:space="0"/>
              <w:bottom w:val="single" w:color="auto" w:sz="2" w:space="0"/>
              <w:right w:val="single" w:color="auto" w:sz="2" w:space="0"/>
            </w:tcBorders>
            <w:vAlign w:val="center"/>
          </w:tcPr>
          <w:p w14:paraId="5A4C2CAD">
            <w:pPr>
              <w:spacing w:before="0" w:after="0" w:line="240" w:lineRule="exact"/>
              <w:jc w:val="right"/>
              <w:rPr>
                <w:rFonts w:ascii="宋体" w:hAnsi="宋体" w:eastAsia="宋体" w:cs="宋体"/>
                <w:sz w:val="18"/>
                <w:szCs w:val="18"/>
              </w:rPr>
            </w:pPr>
            <w:r>
              <w:rPr>
                <w:rFonts w:ascii="宋体" w:hAnsi="宋体" w:eastAsia="宋体" w:cs="宋体"/>
                <w:sz w:val="18"/>
                <w:szCs w:val="18"/>
              </w:rPr>
              <w:t>6,317.77</w:t>
            </w:r>
          </w:p>
        </w:tc>
        <w:tc>
          <w:tcPr>
            <w:tcW w:w="2410" w:type="dxa"/>
            <w:tcBorders>
              <w:top w:val="single" w:color="auto" w:sz="2" w:space="0"/>
              <w:left w:val="single" w:color="auto" w:sz="2" w:space="0"/>
              <w:bottom w:val="single" w:color="auto" w:sz="2" w:space="0"/>
              <w:right w:val="single" w:color="auto" w:sz="2" w:space="0"/>
            </w:tcBorders>
            <w:vAlign w:val="center"/>
          </w:tcPr>
          <w:p w14:paraId="395202A5">
            <w:pPr>
              <w:spacing w:before="0" w:after="0" w:line="240" w:lineRule="exact"/>
              <w:jc w:val="right"/>
              <w:rPr>
                <w:rFonts w:ascii="宋体" w:hAnsi="宋体" w:eastAsia="宋体" w:cs="宋体"/>
                <w:sz w:val="18"/>
                <w:szCs w:val="18"/>
              </w:rPr>
            </w:pPr>
            <w:r>
              <w:rPr>
                <w:rFonts w:ascii="宋体" w:hAnsi="宋体" w:eastAsia="宋体" w:cs="宋体"/>
                <w:sz w:val="18"/>
                <w:szCs w:val="18"/>
              </w:rPr>
              <w:t>15.00%</w:t>
            </w:r>
          </w:p>
        </w:tc>
      </w:tr>
      <w:tr w14:paraId="6B49E6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DBB10C9">
            <w:pPr>
              <w:spacing w:before="0" w:after="0" w:line="240" w:lineRule="exact"/>
              <w:jc w:val="left"/>
              <w:rPr>
                <w:rFonts w:ascii="宋体" w:hAnsi="宋体" w:eastAsia="宋体" w:cs="宋体"/>
                <w:sz w:val="18"/>
                <w:szCs w:val="18"/>
              </w:rPr>
            </w:pPr>
            <w:r>
              <w:rPr>
                <w:rFonts w:ascii="宋体" w:hAnsi="宋体" w:eastAsia="宋体" w:cs="宋体"/>
                <w:sz w:val="18"/>
                <w:szCs w:val="18"/>
              </w:rPr>
              <w:t>3－4年</w:t>
            </w:r>
          </w:p>
        </w:tc>
        <w:tc>
          <w:tcPr>
            <w:tcW w:w="2410" w:type="dxa"/>
            <w:tcBorders>
              <w:top w:val="single" w:color="auto" w:sz="2" w:space="0"/>
              <w:left w:val="single" w:color="auto" w:sz="2" w:space="0"/>
              <w:bottom w:val="single" w:color="auto" w:sz="2" w:space="0"/>
              <w:right w:val="single" w:color="auto" w:sz="2" w:space="0"/>
            </w:tcBorders>
            <w:vAlign w:val="center"/>
          </w:tcPr>
          <w:p w14:paraId="47835C15">
            <w:pPr>
              <w:spacing w:before="0" w:after="0" w:line="240" w:lineRule="exact"/>
              <w:jc w:val="right"/>
              <w:rPr>
                <w:rFonts w:ascii="宋体" w:hAnsi="宋体" w:eastAsia="宋体" w:cs="宋体"/>
                <w:sz w:val="18"/>
                <w:szCs w:val="18"/>
              </w:rPr>
            </w:pPr>
            <w:r>
              <w:rPr>
                <w:rFonts w:ascii="宋体" w:hAnsi="宋体" w:eastAsia="宋体" w:cs="宋体"/>
                <w:sz w:val="18"/>
                <w:szCs w:val="18"/>
              </w:rPr>
              <w:t>4,790.00</w:t>
            </w:r>
          </w:p>
        </w:tc>
        <w:tc>
          <w:tcPr>
            <w:tcW w:w="2410" w:type="dxa"/>
            <w:tcBorders>
              <w:top w:val="single" w:color="auto" w:sz="2" w:space="0"/>
              <w:left w:val="single" w:color="auto" w:sz="2" w:space="0"/>
              <w:bottom w:val="single" w:color="auto" w:sz="2" w:space="0"/>
              <w:right w:val="single" w:color="auto" w:sz="2" w:space="0"/>
            </w:tcBorders>
            <w:vAlign w:val="center"/>
          </w:tcPr>
          <w:p w14:paraId="4F72ECFE">
            <w:pPr>
              <w:spacing w:before="0" w:after="0" w:line="240" w:lineRule="exact"/>
              <w:jc w:val="right"/>
              <w:rPr>
                <w:rFonts w:ascii="宋体" w:hAnsi="宋体" w:eastAsia="宋体" w:cs="宋体"/>
                <w:sz w:val="18"/>
                <w:szCs w:val="18"/>
              </w:rPr>
            </w:pPr>
            <w:r>
              <w:rPr>
                <w:rFonts w:ascii="宋体" w:hAnsi="宋体" w:eastAsia="宋体" w:cs="宋体"/>
                <w:sz w:val="18"/>
                <w:szCs w:val="18"/>
              </w:rPr>
              <w:t>1,437.00</w:t>
            </w:r>
          </w:p>
        </w:tc>
        <w:tc>
          <w:tcPr>
            <w:tcW w:w="2410" w:type="dxa"/>
            <w:tcBorders>
              <w:top w:val="single" w:color="auto" w:sz="2" w:space="0"/>
              <w:left w:val="single" w:color="auto" w:sz="2" w:space="0"/>
              <w:bottom w:val="single" w:color="auto" w:sz="2" w:space="0"/>
              <w:right w:val="single" w:color="auto" w:sz="2" w:space="0"/>
            </w:tcBorders>
            <w:vAlign w:val="center"/>
          </w:tcPr>
          <w:p w14:paraId="09AE394D">
            <w:pPr>
              <w:spacing w:before="0" w:after="0" w:line="240" w:lineRule="exact"/>
              <w:jc w:val="right"/>
              <w:rPr>
                <w:rFonts w:hint="default" w:ascii="宋体" w:hAnsi="宋体" w:eastAsia="宋体" w:cs="宋体"/>
                <w:sz w:val="18"/>
                <w:szCs w:val="18"/>
                <w:lang w:val="en-US" w:eastAsia="zh-CN"/>
              </w:rPr>
            </w:pPr>
            <w:r>
              <w:rPr>
                <w:rFonts w:hint="eastAsia" w:ascii="宋体" w:hAnsi="宋体" w:cs="宋体"/>
                <w:sz w:val="18"/>
                <w:szCs w:val="18"/>
                <w:lang w:val="en-US" w:eastAsia="zh-CN"/>
              </w:rPr>
              <w:t>30%</w:t>
            </w:r>
          </w:p>
        </w:tc>
      </w:tr>
      <w:tr w14:paraId="272B9F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434D1DB">
            <w:pPr>
              <w:spacing w:before="0" w:after="0" w:line="240" w:lineRule="exact"/>
              <w:jc w:val="left"/>
              <w:rPr>
                <w:rFonts w:ascii="宋体" w:hAnsi="宋体" w:eastAsia="宋体" w:cs="宋体"/>
                <w:sz w:val="18"/>
                <w:szCs w:val="18"/>
              </w:rPr>
            </w:pPr>
            <w:r>
              <w:rPr>
                <w:rFonts w:ascii="宋体" w:hAnsi="宋体" w:eastAsia="宋体" w:cs="宋体"/>
                <w:sz w:val="18"/>
                <w:szCs w:val="18"/>
              </w:rPr>
              <w:t>4－5年</w:t>
            </w:r>
          </w:p>
        </w:tc>
        <w:tc>
          <w:tcPr>
            <w:tcW w:w="2410" w:type="dxa"/>
            <w:tcBorders>
              <w:top w:val="single" w:color="auto" w:sz="2" w:space="0"/>
              <w:left w:val="single" w:color="auto" w:sz="2" w:space="0"/>
              <w:bottom w:val="single" w:color="auto" w:sz="2" w:space="0"/>
              <w:right w:val="single" w:color="auto" w:sz="2" w:space="0"/>
            </w:tcBorders>
            <w:vAlign w:val="center"/>
          </w:tcPr>
          <w:p w14:paraId="531801CE">
            <w:pPr>
              <w:spacing w:before="0" w:after="0" w:line="240" w:lineRule="exact"/>
              <w:jc w:val="right"/>
              <w:rPr>
                <w:rFonts w:ascii="宋体" w:hAnsi="宋体" w:eastAsia="宋体" w:cs="宋体"/>
                <w:sz w:val="18"/>
                <w:szCs w:val="18"/>
              </w:rPr>
            </w:pPr>
            <w:r>
              <w:rPr>
                <w:rFonts w:ascii="宋体" w:hAnsi="宋体" w:eastAsia="宋体" w:cs="宋体"/>
                <w:sz w:val="18"/>
                <w:szCs w:val="18"/>
              </w:rPr>
              <w:t>58,873.77</w:t>
            </w:r>
          </w:p>
        </w:tc>
        <w:tc>
          <w:tcPr>
            <w:tcW w:w="2410" w:type="dxa"/>
            <w:tcBorders>
              <w:top w:val="single" w:color="auto" w:sz="2" w:space="0"/>
              <w:left w:val="single" w:color="auto" w:sz="2" w:space="0"/>
              <w:bottom w:val="single" w:color="auto" w:sz="2" w:space="0"/>
              <w:right w:val="single" w:color="auto" w:sz="2" w:space="0"/>
            </w:tcBorders>
            <w:vAlign w:val="center"/>
          </w:tcPr>
          <w:p w14:paraId="1B913860">
            <w:pPr>
              <w:spacing w:before="0" w:after="0" w:line="240" w:lineRule="exact"/>
              <w:jc w:val="right"/>
              <w:rPr>
                <w:rFonts w:ascii="宋体" w:hAnsi="宋体" w:eastAsia="宋体" w:cs="宋体"/>
                <w:sz w:val="18"/>
                <w:szCs w:val="18"/>
              </w:rPr>
            </w:pPr>
            <w:r>
              <w:rPr>
                <w:rFonts w:ascii="宋体" w:hAnsi="宋体" w:eastAsia="宋体" w:cs="宋体"/>
                <w:sz w:val="18"/>
                <w:szCs w:val="18"/>
              </w:rPr>
              <w:t>35,324.43</w:t>
            </w:r>
          </w:p>
        </w:tc>
        <w:tc>
          <w:tcPr>
            <w:tcW w:w="2410" w:type="dxa"/>
            <w:tcBorders>
              <w:top w:val="single" w:color="auto" w:sz="2" w:space="0"/>
              <w:left w:val="single" w:color="auto" w:sz="2" w:space="0"/>
              <w:bottom w:val="single" w:color="auto" w:sz="2" w:space="0"/>
              <w:right w:val="single" w:color="auto" w:sz="2" w:space="0"/>
            </w:tcBorders>
            <w:vAlign w:val="center"/>
          </w:tcPr>
          <w:p w14:paraId="31DAE29C">
            <w:pPr>
              <w:spacing w:before="0" w:after="0" w:line="240" w:lineRule="exact"/>
              <w:jc w:val="right"/>
              <w:rPr>
                <w:rFonts w:hint="default" w:ascii="宋体" w:hAnsi="宋体" w:eastAsia="宋体" w:cs="宋体"/>
                <w:sz w:val="18"/>
                <w:szCs w:val="18"/>
                <w:lang w:val="en-US" w:eastAsia="zh-CN"/>
              </w:rPr>
            </w:pPr>
            <w:r>
              <w:rPr>
                <w:rFonts w:hint="eastAsia" w:ascii="宋体" w:hAnsi="宋体" w:cs="宋体"/>
                <w:sz w:val="18"/>
                <w:szCs w:val="18"/>
                <w:lang w:val="en-US" w:eastAsia="zh-CN"/>
              </w:rPr>
              <w:t>60%</w:t>
            </w:r>
          </w:p>
        </w:tc>
      </w:tr>
      <w:tr w14:paraId="45C3F0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30BE58A">
            <w:pPr>
              <w:spacing w:before="0" w:after="0" w:line="240" w:lineRule="exact"/>
              <w:jc w:val="left"/>
              <w:rPr>
                <w:rFonts w:ascii="宋体" w:hAnsi="宋体" w:eastAsia="宋体" w:cs="宋体"/>
                <w:sz w:val="18"/>
                <w:szCs w:val="18"/>
              </w:rPr>
            </w:pPr>
            <w:r>
              <w:rPr>
                <w:rFonts w:ascii="宋体" w:hAnsi="宋体" w:eastAsia="宋体" w:cs="宋体"/>
                <w:sz w:val="18"/>
                <w:szCs w:val="18"/>
              </w:rPr>
              <w:t>5年以上</w:t>
            </w:r>
          </w:p>
        </w:tc>
        <w:tc>
          <w:tcPr>
            <w:tcW w:w="2410" w:type="dxa"/>
            <w:tcBorders>
              <w:top w:val="single" w:color="auto" w:sz="2" w:space="0"/>
              <w:left w:val="single" w:color="auto" w:sz="2" w:space="0"/>
              <w:bottom w:val="single" w:color="auto" w:sz="2" w:space="0"/>
              <w:right w:val="single" w:color="auto" w:sz="2" w:space="0"/>
            </w:tcBorders>
            <w:vAlign w:val="center"/>
          </w:tcPr>
          <w:p w14:paraId="24C7AC7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4AEF38B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B333FDB">
            <w:pPr>
              <w:spacing w:before="0" w:after="0" w:line="240" w:lineRule="exact"/>
              <w:jc w:val="right"/>
              <w:rPr>
                <w:rFonts w:ascii="宋体" w:hAnsi="宋体" w:eastAsia="宋体" w:cs="宋体"/>
                <w:sz w:val="18"/>
                <w:szCs w:val="18"/>
              </w:rPr>
            </w:pPr>
          </w:p>
        </w:tc>
      </w:tr>
      <w:tr w14:paraId="2F10AE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C7A500B">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287C2A2F">
            <w:pPr>
              <w:spacing w:before="0" w:after="0" w:line="240" w:lineRule="exact"/>
              <w:jc w:val="right"/>
              <w:rPr>
                <w:rFonts w:ascii="宋体" w:hAnsi="宋体" w:eastAsia="宋体" w:cs="宋体"/>
                <w:sz w:val="18"/>
                <w:szCs w:val="18"/>
              </w:rPr>
            </w:pPr>
            <w:r>
              <w:rPr>
                <w:rFonts w:ascii="宋体" w:hAnsi="宋体" w:eastAsia="宋体" w:cs="宋体"/>
                <w:sz w:val="18"/>
                <w:szCs w:val="18"/>
              </w:rPr>
              <w:t>29,986,760.87</w:t>
            </w:r>
          </w:p>
        </w:tc>
        <w:tc>
          <w:tcPr>
            <w:tcW w:w="2410" w:type="dxa"/>
            <w:tcBorders>
              <w:top w:val="single" w:color="auto" w:sz="2" w:space="0"/>
              <w:left w:val="single" w:color="auto" w:sz="2" w:space="0"/>
              <w:bottom w:val="single" w:color="auto" w:sz="2" w:space="0"/>
              <w:right w:val="single" w:color="auto" w:sz="2" w:space="0"/>
            </w:tcBorders>
            <w:vAlign w:val="center"/>
          </w:tcPr>
          <w:p w14:paraId="640F4605">
            <w:pPr>
              <w:spacing w:before="0" w:after="0" w:line="240" w:lineRule="exact"/>
              <w:jc w:val="right"/>
              <w:rPr>
                <w:rFonts w:ascii="宋体" w:hAnsi="宋体" w:eastAsia="宋体" w:cs="宋体"/>
                <w:sz w:val="18"/>
                <w:szCs w:val="18"/>
              </w:rPr>
            </w:pPr>
            <w:r>
              <w:rPr>
                <w:rFonts w:ascii="宋体" w:hAnsi="宋体" w:eastAsia="宋体" w:cs="宋体"/>
                <w:sz w:val="18"/>
                <w:szCs w:val="18"/>
              </w:rPr>
              <w:t>1,542,466.21</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A5CC006"/>
        </w:tc>
      </w:tr>
    </w:tbl>
    <w:p w14:paraId="627BF069">
      <w:pPr>
        <w:spacing w:before="100" w:after="100" w:line="240" w:lineRule="exact"/>
        <w:jc w:val="left"/>
        <w:rPr>
          <w:rFonts w:ascii="宋体" w:hAnsi="宋体" w:eastAsia="宋体" w:cs="宋体"/>
          <w:sz w:val="18"/>
          <w:szCs w:val="18"/>
        </w:rPr>
      </w:pPr>
      <w:r>
        <w:rPr>
          <w:rFonts w:ascii="宋体" w:hAnsi="宋体" w:eastAsia="宋体" w:cs="宋体"/>
          <w:sz w:val="18"/>
          <w:szCs w:val="18"/>
        </w:rPr>
        <w:t>确定该组合依据的说明：</w:t>
      </w:r>
    </w:p>
    <w:p w14:paraId="1A92D813">
      <w:pPr>
        <w:spacing w:before="100" w:after="100" w:line="240" w:lineRule="exact"/>
        <w:jc w:val="left"/>
        <w:rPr>
          <w:rFonts w:ascii="宋体" w:hAnsi="宋体" w:eastAsia="宋体" w:cs="宋体"/>
          <w:sz w:val="18"/>
          <w:szCs w:val="18"/>
        </w:rPr>
      </w:pPr>
      <w:r>
        <w:rPr>
          <w:rFonts w:ascii="宋体" w:hAnsi="宋体" w:eastAsia="宋体" w:cs="宋体"/>
          <w:sz w:val="18"/>
          <w:szCs w:val="18"/>
        </w:rPr>
        <w:t>按组合计提坏账准备：（3）</w:t>
      </w:r>
      <w:r>
        <w:rPr>
          <w:rFonts w:ascii="宋体" w:hAnsi="宋体" w:eastAsia="宋体" w:cs="宋体"/>
          <w:sz w:val="18"/>
          <w:szCs w:val="18"/>
        </w:rPr>
        <w:tab/>
      </w:r>
      <w:r>
        <w:rPr>
          <w:rFonts w:ascii="宋体" w:hAnsi="宋体" w:eastAsia="宋体" w:cs="宋体"/>
          <w:sz w:val="18"/>
          <w:szCs w:val="18"/>
        </w:rPr>
        <w:t>按组合计提预期信用损失的应收账款：除（1）和（2）以外的组合</w:t>
      </w:r>
    </w:p>
    <w:p w14:paraId="1215856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509340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05093BD">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738EDB23">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3BFDB4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1E90AB8"/>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F782C36">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CABF5AD">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210C854">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14:paraId="068D31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F0C7923">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2410" w:type="dxa"/>
            <w:tcBorders>
              <w:top w:val="single" w:color="auto" w:sz="2" w:space="0"/>
              <w:left w:val="single" w:color="auto" w:sz="2" w:space="0"/>
              <w:bottom w:val="single" w:color="auto" w:sz="2" w:space="0"/>
              <w:right w:val="single" w:color="auto" w:sz="2" w:space="0"/>
            </w:tcBorders>
            <w:vAlign w:val="center"/>
          </w:tcPr>
          <w:p w14:paraId="55F1F85D">
            <w:pPr>
              <w:spacing w:before="0" w:after="0" w:line="240" w:lineRule="exact"/>
              <w:jc w:val="right"/>
              <w:rPr>
                <w:rFonts w:ascii="宋体" w:hAnsi="宋体" w:eastAsia="宋体" w:cs="宋体"/>
                <w:sz w:val="18"/>
                <w:szCs w:val="18"/>
              </w:rPr>
            </w:pPr>
            <w:r>
              <w:rPr>
                <w:rFonts w:ascii="宋体" w:hAnsi="宋体" w:eastAsia="宋体" w:cs="宋体"/>
                <w:sz w:val="18"/>
                <w:szCs w:val="18"/>
              </w:rPr>
              <w:t>3,388,081.07</w:t>
            </w:r>
          </w:p>
        </w:tc>
        <w:tc>
          <w:tcPr>
            <w:tcW w:w="2410" w:type="dxa"/>
            <w:tcBorders>
              <w:top w:val="single" w:color="auto" w:sz="2" w:space="0"/>
              <w:left w:val="single" w:color="auto" w:sz="2" w:space="0"/>
              <w:bottom w:val="single" w:color="auto" w:sz="2" w:space="0"/>
              <w:right w:val="single" w:color="auto" w:sz="2" w:space="0"/>
            </w:tcBorders>
            <w:vAlign w:val="center"/>
          </w:tcPr>
          <w:p w14:paraId="7827B436">
            <w:pPr>
              <w:spacing w:before="0" w:after="0" w:line="240" w:lineRule="exact"/>
              <w:jc w:val="right"/>
              <w:rPr>
                <w:rFonts w:ascii="宋体" w:hAnsi="宋体" w:eastAsia="宋体" w:cs="宋体"/>
                <w:sz w:val="18"/>
                <w:szCs w:val="18"/>
              </w:rPr>
            </w:pPr>
            <w:r>
              <w:rPr>
                <w:rFonts w:ascii="宋体" w:hAnsi="宋体" w:eastAsia="宋体" w:cs="宋体"/>
                <w:sz w:val="18"/>
                <w:szCs w:val="18"/>
              </w:rPr>
              <w:t>169,404.05</w:t>
            </w:r>
          </w:p>
        </w:tc>
        <w:tc>
          <w:tcPr>
            <w:tcW w:w="2410" w:type="dxa"/>
            <w:tcBorders>
              <w:top w:val="single" w:color="auto" w:sz="2" w:space="0"/>
              <w:left w:val="single" w:color="auto" w:sz="2" w:space="0"/>
              <w:bottom w:val="single" w:color="auto" w:sz="2" w:space="0"/>
              <w:right w:val="single" w:color="auto" w:sz="2" w:space="0"/>
            </w:tcBorders>
            <w:vAlign w:val="center"/>
          </w:tcPr>
          <w:p w14:paraId="31EB45ED">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r>
      <w:tr w14:paraId="0DFCD2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5E93364">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2410" w:type="dxa"/>
            <w:tcBorders>
              <w:top w:val="single" w:color="auto" w:sz="2" w:space="0"/>
              <w:left w:val="single" w:color="auto" w:sz="2" w:space="0"/>
              <w:bottom w:val="single" w:color="auto" w:sz="2" w:space="0"/>
              <w:right w:val="single" w:color="auto" w:sz="2" w:space="0"/>
            </w:tcBorders>
            <w:vAlign w:val="center"/>
          </w:tcPr>
          <w:p w14:paraId="73C59A2C">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1948136">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80A6D7C">
            <w:pPr>
              <w:spacing w:before="0" w:after="0" w:line="240" w:lineRule="exact"/>
              <w:jc w:val="right"/>
              <w:rPr>
                <w:rFonts w:ascii="宋体" w:hAnsi="宋体" w:eastAsia="宋体" w:cs="宋体"/>
                <w:sz w:val="18"/>
                <w:szCs w:val="18"/>
              </w:rPr>
            </w:pPr>
          </w:p>
        </w:tc>
      </w:tr>
      <w:tr w14:paraId="36A731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1C87F4C0">
            <w:pPr>
              <w:spacing w:before="0" w:after="0" w:line="240" w:lineRule="exact"/>
              <w:jc w:val="left"/>
              <w:rPr>
                <w:rFonts w:ascii="宋体" w:hAnsi="宋体" w:eastAsia="宋体" w:cs="宋体"/>
                <w:sz w:val="18"/>
                <w:szCs w:val="18"/>
              </w:rPr>
            </w:pPr>
            <w:r>
              <w:rPr>
                <w:rFonts w:ascii="宋体" w:hAnsi="宋体" w:eastAsia="宋体" w:cs="宋体"/>
                <w:sz w:val="18"/>
                <w:szCs w:val="18"/>
              </w:rPr>
              <w:t>2－3年</w:t>
            </w:r>
          </w:p>
        </w:tc>
        <w:tc>
          <w:tcPr>
            <w:tcW w:w="2410" w:type="dxa"/>
            <w:tcBorders>
              <w:top w:val="single" w:color="auto" w:sz="2" w:space="0"/>
              <w:left w:val="single" w:color="auto" w:sz="2" w:space="0"/>
              <w:bottom w:val="single" w:color="auto" w:sz="2" w:space="0"/>
              <w:right w:val="single" w:color="auto" w:sz="2" w:space="0"/>
            </w:tcBorders>
            <w:vAlign w:val="center"/>
          </w:tcPr>
          <w:p w14:paraId="131E92CC">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45BA8680">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39D6D13">
            <w:pPr>
              <w:spacing w:before="0" w:after="0" w:line="240" w:lineRule="exact"/>
              <w:jc w:val="right"/>
              <w:rPr>
                <w:rFonts w:ascii="宋体" w:hAnsi="宋体" w:eastAsia="宋体" w:cs="宋体"/>
                <w:sz w:val="18"/>
                <w:szCs w:val="18"/>
              </w:rPr>
            </w:pPr>
          </w:p>
        </w:tc>
      </w:tr>
      <w:tr w14:paraId="1DA26E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799E513">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147CBA86">
            <w:pPr>
              <w:spacing w:before="0" w:after="0" w:line="240" w:lineRule="exact"/>
              <w:jc w:val="right"/>
              <w:rPr>
                <w:rFonts w:ascii="宋体" w:hAnsi="宋体" w:eastAsia="宋体" w:cs="宋体"/>
                <w:sz w:val="18"/>
                <w:szCs w:val="18"/>
              </w:rPr>
            </w:pPr>
            <w:r>
              <w:rPr>
                <w:rFonts w:ascii="宋体" w:hAnsi="宋体" w:eastAsia="宋体" w:cs="宋体"/>
                <w:sz w:val="18"/>
                <w:szCs w:val="18"/>
              </w:rPr>
              <w:t>3,388,081.07</w:t>
            </w:r>
          </w:p>
        </w:tc>
        <w:tc>
          <w:tcPr>
            <w:tcW w:w="2410" w:type="dxa"/>
            <w:tcBorders>
              <w:top w:val="single" w:color="auto" w:sz="2" w:space="0"/>
              <w:left w:val="single" w:color="auto" w:sz="2" w:space="0"/>
              <w:bottom w:val="single" w:color="auto" w:sz="2" w:space="0"/>
              <w:right w:val="single" w:color="auto" w:sz="2" w:space="0"/>
            </w:tcBorders>
            <w:vAlign w:val="center"/>
          </w:tcPr>
          <w:p w14:paraId="6A0548F6">
            <w:pPr>
              <w:spacing w:before="0" w:after="0" w:line="240" w:lineRule="exact"/>
              <w:jc w:val="right"/>
              <w:rPr>
                <w:rFonts w:ascii="宋体" w:hAnsi="宋体" w:eastAsia="宋体" w:cs="宋体"/>
                <w:sz w:val="18"/>
                <w:szCs w:val="18"/>
              </w:rPr>
            </w:pPr>
            <w:r>
              <w:rPr>
                <w:rFonts w:ascii="宋体" w:hAnsi="宋体" w:eastAsia="宋体" w:cs="宋体"/>
                <w:sz w:val="18"/>
                <w:szCs w:val="18"/>
              </w:rPr>
              <w:t>169,404.05</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B0EC2B3"/>
        </w:tc>
      </w:tr>
    </w:tbl>
    <w:p w14:paraId="7F60CB28">
      <w:pPr>
        <w:spacing w:before="100" w:after="100" w:line="240" w:lineRule="exact"/>
        <w:jc w:val="left"/>
        <w:rPr>
          <w:rFonts w:ascii="宋体" w:hAnsi="宋体" w:eastAsia="宋体" w:cs="宋体"/>
          <w:sz w:val="18"/>
          <w:szCs w:val="18"/>
        </w:rPr>
      </w:pPr>
      <w:r>
        <w:rPr>
          <w:rFonts w:ascii="宋体" w:hAnsi="宋体" w:eastAsia="宋体" w:cs="宋体"/>
          <w:sz w:val="18"/>
          <w:szCs w:val="18"/>
        </w:rPr>
        <w:t>确定该组合依据的说明：</w:t>
      </w:r>
    </w:p>
    <w:p w14:paraId="2F3ADABE">
      <w:pPr>
        <w:spacing w:before="100" w:after="100" w:line="240" w:lineRule="exact"/>
        <w:jc w:val="left"/>
        <w:rPr>
          <w:rFonts w:ascii="宋体" w:hAnsi="宋体" w:eastAsia="宋体" w:cs="宋体"/>
          <w:sz w:val="18"/>
          <w:szCs w:val="18"/>
        </w:rPr>
      </w:pPr>
      <w:r>
        <w:rPr>
          <w:rFonts w:ascii="宋体" w:hAnsi="宋体" w:eastAsia="宋体" w:cs="宋体"/>
          <w:sz w:val="18"/>
          <w:szCs w:val="18"/>
        </w:rPr>
        <w:t>如是按照预期信用损失一般模型计提应收账款坏账准备：</w:t>
      </w:r>
    </w:p>
    <w:p w14:paraId="34326F00">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E28FA35">
      <w:pPr>
        <w:keepNext/>
        <w:keepLines/>
        <w:spacing w:before="300" w:after="300" w:line="280" w:lineRule="exact"/>
        <w:jc w:val="left"/>
        <w:outlineLvl w:val="3"/>
        <w:rPr>
          <w:rFonts w:ascii="宋体" w:hAnsi="宋体" w:eastAsia="宋体" w:cs="宋体"/>
          <w:b/>
          <w:bCs/>
          <w:sz w:val="21"/>
          <w:szCs w:val="21"/>
        </w:rPr>
      </w:pPr>
      <w:bookmarkStart w:id="241" w:name="_Toc989128"/>
      <w:r>
        <w:rPr>
          <w:rFonts w:ascii="宋体" w:hAnsi="宋体" w:eastAsia="宋体" w:cs="宋体"/>
          <w:b/>
          <w:bCs/>
          <w:sz w:val="21"/>
          <w:szCs w:val="21"/>
        </w:rPr>
        <w:t>（3） 本期计提、收回或转回的坏账准备情况</w:t>
      </w:r>
      <w:bookmarkEnd w:id="241"/>
    </w:p>
    <w:p w14:paraId="3A5C498A">
      <w:pPr>
        <w:spacing w:before="0" w:after="0" w:line="240" w:lineRule="exact"/>
        <w:jc w:val="left"/>
        <w:rPr>
          <w:rFonts w:ascii="宋体" w:hAnsi="宋体" w:eastAsia="宋体" w:cs="宋体"/>
          <w:sz w:val="18"/>
          <w:szCs w:val="18"/>
        </w:rPr>
      </w:pPr>
      <w:r>
        <w:rPr>
          <w:rFonts w:ascii="宋体" w:hAnsi="宋体" w:eastAsia="宋体" w:cs="宋体"/>
          <w:sz w:val="18"/>
          <w:szCs w:val="18"/>
        </w:rPr>
        <w:t>本期计提坏账准备情况：</w:t>
      </w:r>
    </w:p>
    <w:p w14:paraId="152B4D0C">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6DA35C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4A0CCFA">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30DBE2C">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41828D1F">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4D83C41">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65747C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17A6B8D"/>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5F60096"/>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1887094">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0D68B36">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10EF569">
            <w:pPr>
              <w:spacing w:before="40" w:after="40" w:line="240" w:lineRule="exact"/>
              <w:jc w:val="center"/>
              <w:rPr>
                <w:rFonts w:ascii="宋体" w:hAnsi="宋体" w:eastAsia="宋体" w:cs="宋体"/>
                <w:sz w:val="18"/>
                <w:szCs w:val="18"/>
              </w:rPr>
            </w:pPr>
            <w:r>
              <w:rPr>
                <w:rFonts w:ascii="宋体" w:hAnsi="宋体" w:eastAsia="宋体" w:cs="宋体"/>
                <w:sz w:val="18"/>
                <w:szCs w:val="18"/>
              </w:rPr>
              <w:t>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8295394">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301BC35"/>
        </w:tc>
      </w:tr>
      <w:tr w14:paraId="1F7131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414F59B6">
            <w:pPr>
              <w:spacing w:before="0" w:after="0" w:line="240" w:lineRule="exact"/>
              <w:jc w:val="left"/>
              <w:rPr>
                <w:rFonts w:ascii="宋体" w:hAnsi="宋体" w:eastAsia="宋体" w:cs="宋体"/>
                <w:sz w:val="18"/>
                <w:szCs w:val="18"/>
              </w:rPr>
            </w:pPr>
            <w:r>
              <w:rPr>
                <w:rFonts w:ascii="宋体" w:hAnsi="宋体" w:eastAsia="宋体" w:cs="宋体"/>
                <w:sz w:val="18"/>
                <w:szCs w:val="18"/>
              </w:rPr>
              <w:t>单项计提坏账准备的应收账款</w:t>
            </w:r>
          </w:p>
        </w:tc>
        <w:tc>
          <w:tcPr>
            <w:tcW w:w="1377" w:type="dxa"/>
            <w:tcBorders>
              <w:top w:val="single" w:color="auto" w:sz="2" w:space="0"/>
              <w:left w:val="single" w:color="auto" w:sz="2" w:space="0"/>
              <w:bottom w:val="single" w:color="auto" w:sz="2" w:space="0"/>
              <w:right w:val="single" w:color="auto" w:sz="2" w:space="0"/>
            </w:tcBorders>
            <w:vAlign w:val="center"/>
          </w:tcPr>
          <w:p w14:paraId="1E0E339E">
            <w:pPr>
              <w:spacing w:before="0" w:after="0" w:line="240" w:lineRule="exact"/>
              <w:jc w:val="right"/>
              <w:rPr>
                <w:rFonts w:ascii="宋体" w:hAnsi="宋体" w:eastAsia="宋体" w:cs="宋体"/>
                <w:sz w:val="18"/>
                <w:szCs w:val="18"/>
              </w:rPr>
            </w:pPr>
            <w:r>
              <w:rPr>
                <w:rFonts w:ascii="宋体" w:hAnsi="宋体" w:eastAsia="宋体" w:cs="宋体"/>
                <w:sz w:val="18"/>
                <w:szCs w:val="18"/>
              </w:rPr>
              <w:t>669,929.07</w:t>
            </w:r>
          </w:p>
        </w:tc>
        <w:tc>
          <w:tcPr>
            <w:tcW w:w="1377" w:type="dxa"/>
            <w:tcBorders>
              <w:top w:val="single" w:color="auto" w:sz="2" w:space="0"/>
              <w:left w:val="single" w:color="auto" w:sz="2" w:space="0"/>
              <w:bottom w:val="single" w:color="auto" w:sz="2" w:space="0"/>
              <w:right w:val="single" w:color="auto" w:sz="2" w:space="0"/>
            </w:tcBorders>
            <w:vAlign w:val="center"/>
          </w:tcPr>
          <w:p w14:paraId="55D06EC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1F44C4E">
            <w:pPr>
              <w:spacing w:before="0" w:after="0" w:line="240" w:lineRule="exact"/>
              <w:jc w:val="right"/>
              <w:rPr>
                <w:rFonts w:ascii="宋体" w:hAnsi="宋体" w:eastAsia="宋体" w:cs="宋体"/>
                <w:sz w:val="18"/>
                <w:szCs w:val="18"/>
              </w:rPr>
            </w:pPr>
            <w:r>
              <w:rPr>
                <w:rFonts w:ascii="宋体" w:hAnsi="宋体" w:eastAsia="宋体" w:cs="宋体"/>
                <w:sz w:val="18"/>
                <w:szCs w:val="18"/>
              </w:rPr>
              <w:t>35,000.00</w:t>
            </w:r>
          </w:p>
        </w:tc>
        <w:tc>
          <w:tcPr>
            <w:tcW w:w="1377" w:type="dxa"/>
            <w:tcBorders>
              <w:top w:val="single" w:color="auto" w:sz="2" w:space="0"/>
              <w:left w:val="single" w:color="auto" w:sz="2" w:space="0"/>
              <w:bottom w:val="single" w:color="auto" w:sz="2" w:space="0"/>
              <w:right w:val="single" w:color="auto" w:sz="2" w:space="0"/>
            </w:tcBorders>
            <w:vAlign w:val="center"/>
          </w:tcPr>
          <w:p w14:paraId="025D11D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AE6A2A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32C410A">
            <w:pPr>
              <w:spacing w:before="0" w:after="0" w:line="240" w:lineRule="exact"/>
              <w:jc w:val="right"/>
              <w:rPr>
                <w:rFonts w:ascii="宋体" w:hAnsi="宋体" w:eastAsia="宋体" w:cs="宋体"/>
                <w:sz w:val="18"/>
                <w:szCs w:val="18"/>
              </w:rPr>
            </w:pPr>
            <w:r>
              <w:rPr>
                <w:rFonts w:ascii="宋体" w:hAnsi="宋体" w:eastAsia="宋体" w:cs="宋体"/>
                <w:sz w:val="18"/>
                <w:szCs w:val="18"/>
              </w:rPr>
              <w:t>634,929.07</w:t>
            </w:r>
          </w:p>
        </w:tc>
      </w:tr>
      <w:tr w14:paraId="505C00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0DE64E8">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按组合计提坏账准备的应收账款</w:t>
            </w:r>
          </w:p>
        </w:tc>
        <w:tc>
          <w:tcPr>
            <w:tcW w:w="1377" w:type="dxa"/>
            <w:tcBorders>
              <w:top w:val="single" w:color="auto" w:sz="2" w:space="0"/>
              <w:left w:val="single" w:color="auto" w:sz="2" w:space="0"/>
              <w:bottom w:val="single" w:color="auto" w:sz="2" w:space="0"/>
              <w:right w:val="single" w:color="auto" w:sz="2" w:space="0"/>
            </w:tcBorders>
            <w:vAlign w:val="center"/>
          </w:tcPr>
          <w:p w14:paraId="70ABB30F">
            <w:pPr>
              <w:spacing w:before="0" w:after="0" w:line="240" w:lineRule="exact"/>
              <w:jc w:val="right"/>
              <w:rPr>
                <w:rFonts w:ascii="宋体" w:hAnsi="宋体" w:eastAsia="宋体" w:cs="宋体"/>
                <w:sz w:val="18"/>
                <w:szCs w:val="18"/>
              </w:rPr>
            </w:pPr>
            <w:r>
              <w:rPr>
                <w:rFonts w:ascii="宋体" w:hAnsi="宋体" w:eastAsia="宋体" w:cs="宋体"/>
                <w:sz w:val="18"/>
                <w:szCs w:val="18"/>
              </w:rPr>
              <w:t>5,202,729.50</w:t>
            </w:r>
          </w:p>
        </w:tc>
        <w:tc>
          <w:tcPr>
            <w:tcW w:w="1377" w:type="dxa"/>
            <w:tcBorders>
              <w:top w:val="single" w:color="auto" w:sz="2" w:space="0"/>
              <w:left w:val="single" w:color="auto" w:sz="2" w:space="0"/>
              <w:bottom w:val="single" w:color="auto" w:sz="2" w:space="0"/>
              <w:right w:val="single" w:color="auto" w:sz="2" w:space="0"/>
            </w:tcBorders>
            <w:vAlign w:val="center"/>
          </w:tcPr>
          <w:p w14:paraId="62EDCF01">
            <w:pPr>
              <w:spacing w:before="0" w:after="0" w:line="240" w:lineRule="exact"/>
              <w:jc w:val="right"/>
              <w:rPr>
                <w:rFonts w:ascii="宋体" w:hAnsi="宋体" w:eastAsia="宋体" w:cs="宋体"/>
                <w:sz w:val="18"/>
                <w:szCs w:val="18"/>
              </w:rPr>
            </w:pPr>
            <w:r>
              <w:rPr>
                <w:rFonts w:ascii="宋体" w:hAnsi="宋体" w:eastAsia="宋体" w:cs="宋体"/>
                <w:sz w:val="18"/>
                <w:szCs w:val="18"/>
              </w:rPr>
              <w:t>336,880.06</w:t>
            </w:r>
          </w:p>
        </w:tc>
        <w:tc>
          <w:tcPr>
            <w:tcW w:w="1377" w:type="dxa"/>
            <w:tcBorders>
              <w:top w:val="single" w:color="auto" w:sz="2" w:space="0"/>
              <w:left w:val="single" w:color="auto" w:sz="2" w:space="0"/>
              <w:bottom w:val="single" w:color="auto" w:sz="2" w:space="0"/>
              <w:right w:val="single" w:color="auto" w:sz="2" w:space="0"/>
            </w:tcBorders>
            <w:vAlign w:val="center"/>
          </w:tcPr>
          <w:p w14:paraId="4B1D1E3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9D37415">
            <w:pPr>
              <w:spacing w:before="0" w:after="0" w:line="240" w:lineRule="exact"/>
              <w:jc w:val="right"/>
              <w:rPr>
                <w:rFonts w:ascii="宋体" w:hAnsi="宋体" w:eastAsia="宋体" w:cs="宋体"/>
                <w:sz w:val="18"/>
                <w:szCs w:val="18"/>
              </w:rPr>
            </w:pPr>
            <w:r>
              <w:rPr>
                <w:rFonts w:ascii="宋体" w:hAnsi="宋体" w:eastAsia="宋体" w:cs="宋体"/>
                <w:sz w:val="18"/>
                <w:szCs w:val="18"/>
              </w:rPr>
              <w:t>51,448.14</w:t>
            </w:r>
          </w:p>
        </w:tc>
        <w:tc>
          <w:tcPr>
            <w:tcW w:w="1377" w:type="dxa"/>
            <w:tcBorders>
              <w:top w:val="single" w:color="auto" w:sz="2" w:space="0"/>
              <w:left w:val="single" w:color="auto" w:sz="2" w:space="0"/>
              <w:bottom w:val="single" w:color="auto" w:sz="2" w:space="0"/>
              <w:right w:val="single" w:color="auto" w:sz="2" w:space="0"/>
            </w:tcBorders>
            <w:vAlign w:val="center"/>
          </w:tcPr>
          <w:p w14:paraId="0D05373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E6D48A8">
            <w:pPr>
              <w:spacing w:before="0" w:after="0" w:line="240" w:lineRule="exact"/>
              <w:jc w:val="right"/>
              <w:rPr>
                <w:rFonts w:ascii="宋体" w:hAnsi="宋体" w:eastAsia="宋体" w:cs="宋体"/>
                <w:sz w:val="18"/>
                <w:szCs w:val="18"/>
              </w:rPr>
            </w:pPr>
            <w:r>
              <w:rPr>
                <w:rFonts w:ascii="宋体" w:hAnsi="宋体" w:eastAsia="宋体" w:cs="宋体"/>
                <w:sz w:val="18"/>
                <w:szCs w:val="18"/>
              </w:rPr>
              <w:t>5,488,161.42</w:t>
            </w:r>
          </w:p>
        </w:tc>
      </w:tr>
      <w:tr w14:paraId="304ACC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7C07824">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6B9F4AF5">
            <w:pPr>
              <w:spacing w:before="0" w:after="0" w:line="240" w:lineRule="exact"/>
              <w:jc w:val="right"/>
              <w:rPr>
                <w:rFonts w:ascii="宋体" w:hAnsi="宋体" w:eastAsia="宋体" w:cs="宋体"/>
                <w:sz w:val="18"/>
                <w:szCs w:val="18"/>
              </w:rPr>
            </w:pPr>
            <w:r>
              <w:rPr>
                <w:rFonts w:ascii="宋体" w:hAnsi="宋体" w:eastAsia="宋体" w:cs="宋体"/>
                <w:sz w:val="18"/>
                <w:szCs w:val="18"/>
              </w:rPr>
              <w:t>5,872,658.57</w:t>
            </w:r>
          </w:p>
        </w:tc>
        <w:tc>
          <w:tcPr>
            <w:tcW w:w="1377" w:type="dxa"/>
            <w:tcBorders>
              <w:top w:val="single" w:color="auto" w:sz="2" w:space="0"/>
              <w:left w:val="single" w:color="auto" w:sz="2" w:space="0"/>
              <w:bottom w:val="single" w:color="auto" w:sz="2" w:space="0"/>
              <w:right w:val="single" w:color="auto" w:sz="2" w:space="0"/>
            </w:tcBorders>
            <w:vAlign w:val="center"/>
          </w:tcPr>
          <w:p w14:paraId="25FEFEEE">
            <w:pPr>
              <w:spacing w:before="0" w:after="0" w:line="240" w:lineRule="exact"/>
              <w:jc w:val="right"/>
              <w:rPr>
                <w:rFonts w:ascii="宋体" w:hAnsi="宋体" w:eastAsia="宋体" w:cs="宋体"/>
                <w:sz w:val="18"/>
                <w:szCs w:val="18"/>
              </w:rPr>
            </w:pPr>
            <w:r>
              <w:rPr>
                <w:rFonts w:ascii="宋体" w:hAnsi="宋体" w:eastAsia="宋体" w:cs="宋体"/>
                <w:sz w:val="18"/>
                <w:szCs w:val="18"/>
              </w:rPr>
              <w:t>336,880.06</w:t>
            </w:r>
          </w:p>
        </w:tc>
        <w:tc>
          <w:tcPr>
            <w:tcW w:w="1377" w:type="dxa"/>
            <w:tcBorders>
              <w:top w:val="single" w:color="auto" w:sz="2" w:space="0"/>
              <w:left w:val="single" w:color="auto" w:sz="2" w:space="0"/>
              <w:bottom w:val="single" w:color="auto" w:sz="2" w:space="0"/>
              <w:right w:val="single" w:color="auto" w:sz="2" w:space="0"/>
            </w:tcBorders>
            <w:vAlign w:val="center"/>
          </w:tcPr>
          <w:p w14:paraId="5AE13D6E">
            <w:pPr>
              <w:spacing w:before="0" w:after="0" w:line="240" w:lineRule="exact"/>
              <w:jc w:val="right"/>
              <w:rPr>
                <w:rFonts w:ascii="宋体" w:hAnsi="宋体" w:eastAsia="宋体" w:cs="宋体"/>
                <w:sz w:val="18"/>
                <w:szCs w:val="18"/>
              </w:rPr>
            </w:pPr>
            <w:r>
              <w:rPr>
                <w:rFonts w:ascii="宋体" w:hAnsi="宋体" w:eastAsia="宋体" w:cs="宋体"/>
                <w:sz w:val="18"/>
                <w:szCs w:val="18"/>
              </w:rPr>
              <w:t>35,000.00</w:t>
            </w:r>
          </w:p>
        </w:tc>
        <w:tc>
          <w:tcPr>
            <w:tcW w:w="1377" w:type="dxa"/>
            <w:tcBorders>
              <w:top w:val="single" w:color="auto" w:sz="2" w:space="0"/>
              <w:left w:val="single" w:color="auto" w:sz="2" w:space="0"/>
              <w:bottom w:val="single" w:color="auto" w:sz="2" w:space="0"/>
              <w:right w:val="single" w:color="auto" w:sz="2" w:space="0"/>
            </w:tcBorders>
            <w:vAlign w:val="center"/>
          </w:tcPr>
          <w:p w14:paraId="0A32EA27">
            <w:pPr>
              <w:spacing w:before="0" w:after="0" w:line="240" w:lineRule="exact"/>
              <w:jc w:val="right"/>
              <w:rPr>
                <w:rFonts w:ascii="宋体" w:hAnsi="宋体" w:eastAsia="宋体" w:cs="宋体"/>
                <w:sz w:val="18"/>
                <w:szCs w:val="18"/>
              </w:rPr>
            </w:pPr>
            <w:r>
              <w:rPr>
                <w:rFonts w:ascii="宋体" w:hAnsi="宋体" w:eastAsia="宋体" w:cs="宋体"/>
                <w:sz w:val="18"/>
                <w:szCs w:val="18"/>
              </w:rPr>
              <w:t>51,448.14</w:t>
            </w:r>
          </w:p>
        </w:tc>
        <w:tc>
          <w:tcPr>
            <w:tcW w:w="1377" w:type="dxa"/>
            <w:tcBorders>
              <w:top w:val="single" w:color="auto" w:sz="2" w:space="0"/>
              <w:left w:val="single" w:color="auto" w:sz="2" w:space="0"/>
              <w:bottom w:val="single" w:color="auto" w:sz="2" w:space="0"/>
              <w:right w:val="single" w:color="auto" w:sz="2" w:space="0"/>
            </w:tcBorders>
            <w:vAlign w:val="center"/>
          </w:tcPr>
          <w:p w14:paraId="2C22FB2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11A1250">
            <w:pPr>
              <w:spacing w:before="0" w:after="0" w:line="240" w:lineRule="exact"/>
              <w:jc w:val="right"/>
              <w:rPr>
                <w:rFonts w:ascii="宋体" w:hAnsi="宋体" w:eastAsia="宋体" w:cs="宋体"/>
                <w:sz w:val="18"/>
                <w:szCs w:val="18"/>
              </w:rPr>
            </w:pPr>
            <w:r>
              <w:rPr>
                <w:rFonts w:ascii="宋体" w:hAnsi="宋体" w:eastAsia="宋体" w:cs="宋体"/>
                <w:sz w:val="18"/>
                <w:szCs w:val="18"/>
              </w:rPr>
              <w:t>6,123,090.49</w:t>
            </w:r>
          </w:p>
        </w:tc>
      </w:tr>
    </w:tbl>
    <w:p w14:paraId="201F154B">
      <w:pPr>
        <w:spacing w:before="100" w:after="100" w:line="240" w:lineRule="exact"/>
        <w:jc w:val="left"/>
        <w:rPr>
          <w:rFonts w:ascii="宋体" w:hAnsi="宋体" w:eastAsia="宋体" w:cs="宋体"/>
          <w:sz w:val="18"/>
          <w:szCs w:val="18"/>
        </w:rPr>
      </w:pPr>
      <w:r>
        <w:rPr>
          <w:rFonts w:ascii="宋体" w:hAnsi="宋体" w:eastAsia="宋体" w:cs="宋体"/>
          <w:sz w:val="18"/>
          <w:szCs w:val="18"/>
        </w:rPr>
        <w:t>其中本期坏账准备收回或转回金额重要的：</w:t>
      </w:r>
    </w:p>
    <w:p w14:paraId="4E124826">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5B4148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CED9736">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901782D">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0E56A44">
            <w:pPr>
              <w:spacing w:before="40" w:after="40" w:line="240" w:lineRule="exact"/>
              <w:jc w:val="center"/>
              <w:rPr>
                <w:rFonts w:ascii="宋体" w:hAnsi="宋体" w:eastAsia="宋体" w:cs="宋体"/>
                <w:sz w:val="18"/>
                <w:szCs w:val="18"/>
              </w:rPr>
            </w:pPr>
            <w:r>
              <w:rPr>
                <w:rFonts w:ascii="宋体" w:hAnsi="宋体" w:eastAsia="宋体" w:cs="宋体"/>
                <w:sz w:val="18"/>
                <w:szCs w:val="18"/>
              </w:rPr>
              <w:t>转回原因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2CF106E">
            <w:pPr>
              <w:spacing w:before="40" w:after="40" w:line="240" w:lineRule="exact"/>
              <w:jc w:val="center"/>
              <w:rPr>
                <w:rFonts w:ascii="宋体" w:hAnsi="宋体" w:eastAsia="宋体" w:cs="宋体"/>
                <w:sz w:val="18"/>
                <w:szCs w:val="18"/>
              </w:rPr>
            </w:pPr>
            <w:r>
              <w:rPr>
                <w:rFonts w:ascii="宋体" w:hAnsi="宋体" w:eastAsia="宋体" w:cs="宋体"/>
                <w:sz w:val="18"/>
                <w:szCs w:val="18"/>
              </w:rPr>
              <w:t>收回方式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0AE3FAC">
            <w:pPr>
              <w:spacing w:before="40" w:after="40" w:line="240" w:lineRule="exact"/>
              <w:jc w:val="center"/>
              <w:rPr>
                <w:rFonts w:ascii="宋体" w:hAnsi="宋体" w:eastAsia="宋体" w:cs="宋体"/>
                <w:sz w:val="18"/>
                <w:szCs w:val="18"/>
              </w:rPr>
            </w:pPr>
            <w:r>
              <w:rPr>
                <w:rFonts w:ascii="宋体" w:hAnsi="宋体" w:eastAsia="宋体" w:cs="宋体"/>
                <w:sz w:val="18"/>
                <w:szCs w:val="18"/>
              </w:rPr>
              <w:t>确定原坏账准备计提比例的依据及其合理性</w:t>
            </w:r>
          </w:p>
        </w:tc>
      </w:tr>
    </w:tbl>
    <w:p w14:paraId="61CCD5AB">
      <w:pPr>
        <w:spacing w:before="100" w:after="100" w:line="0" w:lineRule="exact"/>
        <w:jc w:val="left"/>
      </w:pPr>
    </w:p>
    <w:p w14:paraId="06F14B5A">
      <w:pPr>
        <w:keepNext/>
        <w:keepLines/>
        <w:spacing w:before="300" w:after="300" w:line="280" w:lineRule="exact"/>
        <w:jc w:val="left"/>
        <w:outlineLvl w:val="3"/>
        <w:rPr>
          <w:rFonts w:ascii="宋体" w:hAnsi="宋体" w:eastAsia="宋体" w:cs="宋体"/>
          <w:b/>
          <w:bCs/>
          <w:sz w:val="21"/>
          <w:szCs w:val="21"/>
        </w:rPr>
      </w:pPr>
      <w:bookmarkStart w:id="242" w:name="_Toc989129"/>
      <w:r>
        <w:rPr>
          <w:rFonts w:ascii="宋体" w:hAnsi="宋体" w:eastAsia="宋体" w:cs="宋体"/>
          <w:b/>
          <w:bCs/>
          <w:sz w:val="21"/>
          <w:szCs w:val="21"/>
        </w:rPr>
        <w:t>（4） 本期实际核销的应收账款情况</w:t>
      </w:r>
      <w:bookmarkEnd w:id="242"/>
    </w:p>
    <w:p w14:paraId="0F03ABE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15935D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355BD176">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FAB3A90">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r w14:paraId="0070B9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7F47D34">
            <w:pPr>
              <w:spacing w:before="40" w:after="40" w:line="240" w:lineRule="exact"/>
              <w:jc w:val="left"/>
              <w:rPr>
                <w:rFonts w:ascii="宋体" w:hAnsi="宋体" w:eastAsia="宋体" w:cs="宋体"/>
                <w:sz w:val="18"/>
                <w:szCs w:val="18"/>
              </w:rPr>
            </w:pPr>
            <w:r>
              <w:rPr>
                <w:rFonts w:ascii="宋体" w:hAnsi="宋体" w:eastAsia="宋体" w:cs="宋体"/>
                <w:sz w:val="18"/>
                <w:szCs w:val="18"/>
              </w:rPr>
              <w:t>实际核销的应收账款</w:t>
            </w:r>
          </w:p>
        </w:tc>
        <w:tc>
          <w:tcPr>
            <w:tcW w:w="4820" w:type="dxa"/>
            <w:tcBorders>
              <w:top w:val="single" w:color="auto" w:sz="2" w:space="0"/>
              <w:left w:val="single" w:color="auto" w:sz="2" w:space="0"/>
              <w:bottom w:val="single" w:color="auto" w:sz="2" w:space="0"/>
              <w:right w:val="single" w:color="auto" w:sz="2" w:space="0"/>
            </w:tcBorders>
            <w:vAlign w:val="center"/>
          </w:tcPr>
          <w:p w14:paraId="5764F63B">
            <w:pPr>
              <w:spacing w:before="0" w:after="0" w:line="240" w:lineRule="exact"/>
              <w:jc w:val="right"/>
              <w:rPr>
                <w:rFonts w:ascii="宋体" w:hAnsi="宋体" w:eastAsia="宋体" w:cs="宋体"/>
                <w:sz w:val="18"/>
                <w:szCs w:val="18"/>
              </w:rPr>
            </w:pPr>
            <w:r>
              <w:rPr>
                <w:rFonts w:ascii="宋体" w:hAnsi="宋体" w:eastAsia="宋体" w:cs="宋体"/>
                <w:sz w:val="18"/>
                <w:szCs w:val="18"/>
              </w:rPr>
              <w:t>51,448.14</w:t>
            </w:r>
          </w:p>
        </w:tc>
      </w:tr>
    </w:tbl>
    <w:p w14:paraId="1C758FE7">
      <w:pPr>
        <w:spacing w:before="100" w:after="100" w:line="240" w:lineRule="exact"/>
        <w:jc w:val="left"/>
        <w:rPr>
          <w:rFonts w:ascii="宋体" w:hAnsi="宋体" w:eastAsia="宋体" w:cs="宋体"/>
          <w:sz w:val="18"/>
          <w:szCs w:val="18"/>
        </w:rPr>
      </w:pPr>
      <w:r>
        <w:rPr>
          <w:rFonts w:ascii="宋体" w:hAnsi="宋体" w:eastAsia="宋体" w:cs="宋体"/>
          <w:sz w:val="18"/>
          <w:szCs w:val="18"/>
        </w:rPr>
        <w:t>其中重要的应收账款核销情况：</w:t>
      </w:r>
    </w:p>
    <w:p w14:paraId="045D617A">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249212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96FFD81">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000593E">
            <w:pPr>
              <w:spacing w:before="40" w:after="40" w:line="240" w:lineRule="exact"/>
              <w:jc w:val="center"/>
              <w:rPr>
                <w:rFonts w:ascii="宋体" w:hAnsi="宋体" w:eastAsia="宋体" w:cs="宋体"/>
                <w:sz w:val="18"/>
                <w:szCs w:val="18"/>
              </w:rPr>
            </w:pPr>
            <w:r>
              <w:rPr>
                <w:rFonts w:ascii="宋体" w:hAnsi="宋体" w:eastAsia="宋体" w:cs="宋体"/>
                <w:sz w:val="18"/>
                <w:szCs w:val="18"/>
              </w:rPr>
              <w:t>应收账款性质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E0C9DE6">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9E51C43">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5EA08C4">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FE95078">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39A3F1AA">
      <w:pPr>
        <w:spacing w:before="100" w:after="100" w:line="240" w:lineRule="exact"/>
        <w:jc w:val="left"/>
        <w:rPr>
          <w:rFonts w:ascii="宋体" w:hAnsi="宋体" w:eastAsia="宋体" w:cs="宋体"/>
          <w:sz w:val="18"/>
          <w:szCs w:val="18"/>
        </w:rPr>
      </w:pPr>
      <w:r>
        <w:rPr>
          <w:rFonts w:ascii="宋体" w:hAnsi="宋体" w:eastAsia="宋体" w:cs="宋体"/>
          <w:sz w:val="18"/>
          <w:szCs w:val="18"/>
        </w:rPr>
        <w:t>应收账款核销说明：</w:t>
      </w:r>
    </w:p>
    <w:p w14:paraId="68504AAD">
      <w:pPr>
        <w:keepNext/>
        <w:keepLines/>
        <w:spacing w:before="300" w:after="300" w:line="280" w:lineRule="exact"/>
        <w:jc w:val="left"/>
        <w:outlineLvl w:val="3"/>
        <w:rPr>
          <w:rFonts w:ascii="宋体" w:hAnsi="宋体" w:eastAsia="宋体" w:cs="宋体"/>
          <w:b/>
          <w:bCs/>
          <w:sz w:val="21"/>
          <w:szCs w:val="21"/>
        </w:rPr>
      </w:pPr>
      <w:bookmarkStart w:id="243" w:name="_Toc989130"/>
      <w:r>
        <w:rPr>
          <w:rFonts w:ascii="宋体" w:hAnsi="宋体" w:eastAsia="宋体" w:cs="宋体"/>
          <w:b/>
          <w:bCs/>
          <w:sz w:val="21"/>
          <w:szCs w:val="21"/>
        </w:rPr>
        <w:t>（5） 按欠款方归集的期末余额前五名的应收账款和合同资产情况</w:t>
      </w:r>
      <w:bookmarkEnd w:id="243"/>
    </w:p>
    <w:p w14:paraId="59A34BC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344A72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640E7C9">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EBBFB27">
            <w:pPr>
              <w:spacing w:before="40" w:after="40" w:line="240" w:lineRule="exact"/>
              <w:jc w:val="center"/>
              <w:rPr>
                <w:rFonts w:ascii="宋体" w:hAnsi="宋体" w:eastAsia="宋体" w:cs="宋体"/>
                <w:sz w:val="18"/>
                <w:szCs w:val="18"/>
              </w:rPr>
            </w:pPr>
            <w:r>
              <w:rPr>
                <w:rFonts w:ascii="宋体" w:hAnsi="宋体" w:eastAsia="宋体" w:cs="宋体"/>
                <w:sz w:val="18"/>
                <w:szCs w:val="18"/>
              </w:rPr>
              <w:t>应收账款期末余额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F392F34">
            <w:pPr>
              <w:spacing w:before="40" w:after="40" w:line="240" w:lineRule="exact"/>
              <w:jc w:val="center"/>
              <w:rPr>
                <w:rFonts w:ascii="宋体" w:hAnsi="宋体" w:eastAsia="宋体" w:cs="宋体"/>
                <w:sz w:val="18"/>
                <w:szCs w:val="18"/>
              </w:rPr>
            </w:pPr>
            <w:r>
              <w:rPr>
                <w:rFonts w:ascii="宋体" w:hAnsi="宋体" w:eastAsia="宋体" w:cs="宋体"/>
                <w:sz w:val="18"/>
                <w:szCs w:val="18"/>
              </w:rPr>
              <w:t>合同资产期末余额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062F736">
            <w:pPr>
              <w:spacing w:before="40" w:after="40" w:line="240" w:lineRule="exact"/>
              <w:jc w:val="center"/>
              <w:rPr>
                <w:rFonts w:ascii="宋体" w:hAnsi="宋体" w:eastAsia="宋体" w:cs="宋体"/>
                <w:sz w:val="18"/>
                <w:szCs w:val="18"/>
              </w:rPr>
            </w:pPr>
            <w:r>
              <w:rPr>
                <w:rFonts w:ascii="宋体" w:hAnsi="宋体" w:eastAsia="宋体" w:cs="宋体"/>
                <w:sz w:val="18"/>
                <w:szCs w:val="18"/>
              </w:rPr>
              <w:t>应收账款和合同资产期末余额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0CB128D">
            <w:pPr>
              <w:spacing w:before="40" w:after="40" w:line="240" w:lineRule="exact"/>
              <w:jc w:val="center"/>
              <w:rPr>
                <w:rFonts w:ascii="宋体" w:hAnsi="宋体" w:eastAsia="宋体" w:cs="宋体"/>
                <w:sz w:val="18"/>
                <w:szCs w:val="18"/>
              </w:rPr>
            </w:pPr>
            <w:r>
              <w:rPr>
                <w:rFonts w:ascii="宋体" w:hAnsi="宋体" w:eastAsia="宋体" w:cs="宋体"/>
                <w:sz w:val="18"/>
                <w:szCs w:val="18"/>
              </w:rPr>
              <w:t>占应收账款和合同资产期末余额合计数的比例</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522908C">
            <w:pPr>
              <w:spacing w:before="40" w:after="40" w:line="240" w:lineRule="exact"/>
              <w:jc w:val="center"/>
              <w:rPr>
                <w:rFonts w:ascii="宋体" w:hAnsi="宋体" w:eastAsia="宋体" w:cs="宋体"/>
                <w:sz w:val="18"/>
                <w:szCs w:val="18"/>
              </w:rPr>
            </w:pPr>
            <w:r>
              <w:rPr>
                <w:rFonts w:ascii="宋体" w:hAnsi="宋体" w:eastAsia="宋体" w:cs="宋体"/>
                <w:sz w:val="18"/>
                <w:szCs w:val="18"/>
              </w:rPr>
              <w:t>应收账款坏账准备和合同资产减值准备期末余额</w:t>
            </w:r>
          </w:p>
        </w:tc>
      </w:tr>
      <w:tr w14:paraId="5502E2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06945EAF">
            <w:pPr>
              <w:spacing w:before="0" w:after="0" w:line="240" w:lineRule="exact"/>
              <w:jc w:val="left"/>
              <w:rPr>
                <w:rFonts w:ascii="宋体" w:hAnsi="宋体" w:eastAsia="宋体" w:cs="宋体"/>
                <w:sz w:val="18"/>
                <w:szCs w:val="18"/>
              </w:rPr>
            </w:pPr>
            <w:r>
              <w:rPr>
                <w:rFonts w:ascii="宋体" w:hAnsi="宋体" w:eastAsia="宋体" w:cs="宋体"/>
                <w:sz w:val="18"/>
                <w:szCs w:val="18"/>
              </w:rPr>
              <w:t>国药控股北京有限公司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00051692">
            <w:pPr>
              <w:spacing w:before="0" w:after="0" w:line="240" w:lineRule="exact"/>
              <w:jc w:val="right"/>
              <w:rPr>
                <w:rFonts w:ascii="宋体" w:hAnsi="宋体" w:eastAsia="宋体" w:cs="宋体"/>
                <w:sz w:val="18"/>
                <w:szCs w:val="18"/>
              </w:rPr>
            </w:pPr>
            <w:r>
              <w:rPr>
                <w:rFonts w:ascii="宋体" w:hAnsi="宋体" w:eastAsia="宋体" w:cs="宋体"/>
                <w:sz w:val="18"/>
                <w:szCs w:val="18"/>
              </w:rPr>
              <w:t>11,295,720.48</w:t>
            </w:r>
          </w:p>
        </w:tc>
        <w:tc>
          <w:tcPr>
            <w:tcW w:w="1606" w:type="dxa"/>
            <w:tcBorders>
              <w:top w:val="single" w:color="auto" w:sz="2" w:space="0"/>
              <w:left w:val="single" w:color="auto" w:sz="2" w:space="0"/>
              <w:bottom w:val="single" w:color="auto" w:sz="2" w:space="0"/>
              <w:right w:val="single" w:color="auto" w:sz="2" w:space="0"/>
            </w:tcBorders>
            <w:vAlign w:val="center"/>
          </w:tcPr>
          <w:p w14:paraId="30ED5DE9">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B35C6BD">
            <w:pPr>
              <w:spacing w:before="0" w:after="0" w:line="240" w:lineRule="exact"/>
              <w:jc w:val="right"/>
              <w:rPr>
                <w:rFonts w:ascii="宋体" w:hAnsi="宋体" w:eastAsia="宋体" w:cs="宋体"/>
                <w:sz w:val="18"/>
                <w:szCs w:val="18"/>
              </w:rPr>
            </w:pPr>
            <w:r>
              <w:rPr>
                <w:rFonts w:ascii="宋体" w:hAnsi="宋体" w:eastAsia="宋体" w:cs="宋体"/>
                <w:sz w:val="18"/>
                <w:szCs w:val="18"/>
              </w:rPr>
              <w:t>11,295,720.48</w:t>
            </w:r>
          </w:p>
        </w:tc>
        <w:tc>
          <w:tcPr>
            <w:tcW w:w="1606" w:type="dxa"/>
            <w:tcBorders>
              <w:top w:val="single" w:color="auto" w:sz="2" w:space="0"/>
              <w:left w:val="single" w:color="auto" w:sz="2" w:space="0"/>
              <w:bottom w:val="single" w:color="auto" w:sz="2" w:space="0"/>
              <w:right w:val="single" w:color="auto" w:sz="2" w:space="0"/>
            </w:tcBorders>
            <w:vAlign w:val="center"/>
          </w:tcPr>
          <w:p w14:paraId="49EEE648">
            <w:pPr>
              <w:spacing w:before="0" w:after="0" w:line="240" w:lineRule="exact"/>
              <w:jc w:val="right"/>
              <w:rPr>
                <w:rFonts w:ascii="宋体" w:hAnsi="宋体" w:eastAsia="宋体" w:cs="宋体"/>
                <w:sz w:val="18"/>
                <w:szCs w:val="18"/>
              </w:rPr>
            </w:pPr>
            <w:r>
              <w:rPr>
                <w:rFonts w:ascii="宋体" w:hAnsi="宋体" w:eastAsia="宋体" w:cs="宋体"/>
                <w:sz w:val="18"/>
                <w:szCs w:val="18"/>
              </w:rPr>
              <w:t>15.21%</w:t>
            </w:r>
          </w:p>
        </w:tc>
        <w:tc>
          <w:tcPr>
            <w:tcW w:w="1606" w:type="dxa"/>
            <w:tcBorders>
              <w:top w:val="single" w:color="auto" w:sz="2" w:space="0"/>
              <w:left w:val="single" w:color="auto" w:sz="2" w:space="0"/>
              <w:bottom w:val="single" w:color="auto" w:sz="2" w:space="0"/>
              <w:right w:val="single" w:color="auto" w:sz="2" w:space="0"/>
            </w:tcBorders>
            <w:vAlign w:val="center"/>
          </w:tcPr>
          <w:p w14:paraId="42D4B4EB">
            <w:pPr>
              <w:spacing w:before="0" w:after="0" w:line="240" w:lineRule="exact"/>
              <w:jc w:val="right"/>
              <w:rPr>
                <w:rFonts w:ascii="宋体" w:hAnsi="宋体" w:eastAsia="宋体" w:cs="宋体"/>
                <w:sz w:val="18"/>
                <w:szCs w:val="18"/>
              </w:rPr>
            </w:pPr>
            <w:r>
              <w:rPr>
                <w:rFonts w:ascii="宋体" w:hAnsi="宋体" w:eastAsia="宋体" w:cs="宋体"/>
                <w:sz w:val="18"/>
                <w:szCs w:val="18"/>
              </w:rPr>
              <w:t>564,807.00</w:t>
            </w:r>
          </w:p>
        </w:tc>
      </w:tr>
      <w:tr w14:paraId="55A6E4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75A18584">
            <w:pPr>
              <w:spacing w:before="0" w:after="0" w:line="240" w:lineRule="exact"/>
              <w:jc w:val="left"/>
              <w:rPr>
                <w:rFonts w:ascii="宋体" w:hAnsi="宋体" w:eastAsia="宋体" w:cs="宋体"/>
                <w:sz w:val="18"/>
                <w:szCs w:val="18"/>
              </w:rPr>
            </w:pPr>
            <w:r>
              <w:rPr>
                <w:rFonts w:ascii="宋体" w:hAnsi="宋体" w:eastAsia="宋体" w:cs="宋体"/>
                <w:sz w:val="18"/>
                <w:szCs w:val="18"/>
              </w:rPr>
              <w:t>北京同仁堂商业投资集团有限公司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414E0967">
            <w:pPr>
              <w:spacing w:before="0" w:after="0" w:line="240" w:lineRule="exact"/>
              <w:jc w:val="right"/>
              <w:rPr>
                <w:rFonts w:ascii="宋体" w:hAnsi="宋体" w:eastAsia="宋体" w:cs="宋体"/>
                <w:sz w:val="18"/>
                <w:szCs w:val="18"/>
              </w:rPr>
            </w:pPr>
            <w:r>
              <w:rPr>
                <w:rFonts w:ascii="宋体" w:hAnsi="宋体" w:eastAsia="宋体" w:cs="宋体"/>
                <w:sz w:val="18"/>
                <w:szCs w:val="18"/>
              </w:rPr>
              <w:t>7,881,875.00</w:t>
            </w:r>
          </w:p>
        </w:tc>
        <w:tc>
          <w:tcPr>
            <w:tcW w:w="1606" w:type="dxa"/>
            <w:tcBorders>
              <w:top w:val="single" w:color="auto" w:sz="2" w:space="0"/>
              <w:left w:val="single" w:color="auto" w:sz="2" w:space="0"/>
              <w:bottom w:val="single" w:color="auto" w:sz="2" w:space="0"/>
              <w:right w:val="single" w:color="auto" w:sz="2" w:space="0"/>
            </w:tcBorders>
            <w:vAlign w:val="center"/>
          </w:tcPr>
          <w:p w14:paraId="6E4A8BF7">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3D0175D">
            <w:pPr>
              <w:spacing w:before="0" w:after="0" w:line="240" w:lineRule="exact"/>
              <w:jc w:val="right"/>
              <w:rPr>
                <w:rFonts w:ascii="宋体" w:hAnsi="宋体" w:eastAsia="宋体" w:cs="宋体"/>
                <w:sz w:val="18"/>
                <w:szCs w:val="18"/>
              </w:rPr>
            </w:pPr>
            <w:r>
              <w:rPr>
                <w:rFonts w:ascii="宋体" w:hAnsi="宋体" w:eastAsia="宋体" w:cs="宋体"/>
                <w:sz w:val="18"/>
                <w:szCs w:val="18"/>
              </w:rPr>
              <w:t>7,881,875.00</w:t>
            </w:r>
          </w:p>
        </w:tc>
        <w:tc>
          <w:tcPr>
            <w:tcW w:w="1606" w:type="dxa"/>
            <w:tcBorders>
              <w:top w:val="single" w:color="auto" w:sz="2" w:space="0"/>
              <w:left w:val="single" w:color="auto" w:sz="2" w:space="0"/>
              <w:bottom w:val="single" w:color="auto" w:sz="2" w:space="0"/>
              <w:right w:val="single" w:color="auto" w:sz="2" w:space="0"/>
            </w:tcBorders>
            <w:vAlign w:val="center"/>
          </w:tcPr>
          <w:p w14:paraId="5F3A2F09">
            <w:pPr>
              <w:spacing w:before="0" w:after="0" w:line="240" w:lineRule="exact"/>
              <w:jc w:val="right"/>
              <w:rPr>
                <w:rFonts w:ascii="宋体" w:hAnsi="宋体" w:eastAsia="宋体" w:cs="宋体"/>
                <w:sz w:val="18"/>
                <w:szCs w:val="18"/>
              </w:rPr>
            </w:pPr>
            <w:r>
              <w:rPr>
                <w:rFonts w:ascii="宋体" w:hAnsi="宋体" w:eastAsia="宋体" w:cs="宋体"/>
                <w:sz w:val="18"/>
                <w:szCs w:val="18"/>
              </w:rPr>
              <w:t>10.61%</w:t>
            </w:r>
          </w:p>
        </w:tc>
        <w:tc>
          <w:tcPr>
            <w:tcW w:w="1606" w:type="dxa"/>
            <w:tcBorders>
              <w:top w:val="single" w:color="auto" w:sz="2" w:space="0"/>
              <w:left w:val="single" w:color="auto" w:sz="2" w:space="0"/>
              <w:bottom w:val="single" w:color="auto" w:sz="2" w:space="0"/>
              <w:right w:val="single" w:color="auto" w:sz="2" w:space="0"/>
            </w:tcBorders>
            <w:vAlign w:val="center"/>
          </w:tcPr>
          <w:p w14:paraId="7CF9813D">
            <w:pPr>
              <w:spacing w:before="0" w:after="0" w:line="240" w:lineRule="exact"/>
              <w:jc w:val="right"/>
              <w:rPr>
                <w:rFonts w:ascii="宋体" w:hAnsi="宋体" w:eastAsia="宋体" w:cs="宋体"/>
                <w:sz w:val="18"/>
                <w:szCs w:val="18"/>
              </w:rPr>
            </w:pPr>
            <w:r>
              <w:rPr>
                <w:rFonts w:ascii="宋体" w:hAnsi="宋体" w:eastAsia="宋体" w:cs="宋体"/>
                <w:sz w:val="18"/>
                <w:szCs w:val="18"/>
              </w:rPr>
              <w:t>394,093.75</w:t>
            </w:r>
          </w:p>
        </w:tc>
      </w:tr>
      <w:tr w14:paraId="3DA535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0D80C5CB">
            <w:pPr>
              <w:spacing w:before="0" w:after="0" w:line="240" w:lineRule="exact"/>
              <w:jc w:val="left"/>
              <w:rPr>
                <w:rFonts w:ascii="宋体" w:hAnsi="宋体" w:eastAsia="宋体" w:cs="宋体"/>
                <w:sz w:val="18"/>
                <w:szCs w:val="18"/>
              </w:rPr>
            </w:pPr>
            <w:r>
              <w:rPr>
                <w:rFonts w:ascii="宋体" w:hAnsi="宋体" w:eastAsia="宋体" w:cs="宋体"/>
                <w:sz w:val="18"/>
                <w:szCs w:val="18"/>
              </w:rPr>
              <w:t>华润医药商业集团有限公司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72F63ABD">
            <w:pPr>
              <w:spacing w:before="0" w:after="0" w:line="240" w:lineRule="exact"/>
              <w:jc w:val="right"/>
              <w:rPr>
                <w:rFonts w:ascii="宋体" w:hAnsi="宋体" w:eastAsia="宋体" w:cs="宋体"/>
                <w:sz w:val="18"/>
                <w:szCs w:val="18"/>
              </w:rPr>
            </w:pPr>
            <w:r>
              <w:rPr>
                <w:rFonts w:ascii="宋体" w:hAnsi="宋体" w:eastAsia="宋体" w:cs="宋体"/>
                <w:sz w:val="18"/>
                <w:szCs w:val="18"/>
              </w:rPr>
              <w:t>5,556,547.19</w:t>
            </w:r>
          </w:p>
        </w:tc>
        <w:tc>
          <w:tcPr>
            <w:tcW w:w="1606" w:type="dxa"/>
            <w:tcBorders>
              <w:top w:val="single" w:color="auto" w:sz="2" w:space="0"/>
              <w:left w:val="single" w:color="auto" w:sz="2" w:space="0"/>
              <w:bottom w:val="single" w:color="auto" w:sz="2" w:space="0"/>
              <w:right w:val="single" w:color="auto" w:sz="2" w:space="0"/>
            </w:tcBorders>
            <w:vAlign w:val="center"/>
          </w:tcPr>
          <w:p w14:paraId="7E03239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84A5FC1">
            <w:pPr>
              <w:spacing w:before="0" w:after="0" w:line="240" w:lineRule="exact"/>
              <w:jc w:val="right"/>
              <w:rPr>
                <w:rFonts w:ascii="宋体" w:hAnsi="宋体" w:eastAsia="宋体" w:cs="宋体"/>
                <w:sz w:val="18"/>
                <w:szCs w:val="18"/>
              </w:rPr>
            </w:pPr>
            <w:r>
              <w:rPr>
                <w:rFonts w:ascii="宋体" w:hAnsi="宋体" w:eastAsia="宋体" w:cs="宋体"/>
                <w:sz w:val="18"/>
                <w:szCs w:val="18"/>
              </w:rPr>
              <w:t>5,556,547.19</w:t>
            </w:r>
          </w:p>
        </w:tc>
        <w:tc>
          <w:tcPr>
            <w:tcW w:w="1606" w:type="dxa"/>
            <w:tcBorders>
              <w:top w:val="single" w:color="auto" w:sz="2" w:space="0"/>
              <w:left w:val="single" w:color="auto" w:sz="2" w:space="0"/>
              <w:bottom w:val="single" w:color="auto" w:sz="2" w:space="0"/>
              <w:right w:val="single" w:color="auto" w:sz="2" w:space="0"/>
            </w:tcBorders>
            <w:vAlign w:val="center"/>
          </w:tcPr>
          <w:p w14:paraId="55A4AEAE">
            <w:pPr>
              <w:spacing w:before="0" w:after="0" w:line="240" w:lineRule="exact"/>
              <w:jc w:val="right"/>
              <w:rPr>
                <w:rFonts w:ascii="宋体" w:hAnsi="宋体" w:eastAsia="宋体" w:cs="宋体"/>
                <w:sz w:val="18"/>
                <w:szCs w:val="18"/>
              </w:rPr>
            </w:pPr>
            <w:r>
              <w:rPr>
                <w:rFonts w:ascii="宋体" w:hAnsi="宋体" w:eastAsia="宋体" w:cs="宋体"/>
                <w:sz w:val="18"/>
                <w:szCs w:val="18"/>
              </w:rPr>
              <w:t>7.48%</w:t>
            </w:r>
          </w:p>
        </w:tc>
        <w:tc>
          <w:tcPr>
            <w:tcW w:w="1606" w:type="dxa"/>
            <w:tcBorders>
              <w:top w:val="single" w:color="auto" w:sz="2" w:space="0"/>
              <w:left w:val="single" w:color="auto" w:sz="2" w:space="0"/>
              <w:bottom w:val="single" w:color="auto" w:sz="2" w:space="0"/>
              <w:right w:val="single" w:color="auto" w:sz="2" w:space="0"/>
            </w:tcBorders>
            <w:vAlign w:val="center"/>
          </w:tcPr>
          <w:p w14:paraId="5405A160">
            <w:pPr>
              <w:spacing w:before="0" w:after="0" w:line="240" w:lineRule="exact"/>
              <w:jc w:val="right"/>
              <w:rPr>
                <w:rFonts w:ascii="宋体" w:hAnsi="宋体" w:eastAsia="宋体" w:cs="宋体"/>
                <w:sz w:val="18"/>
                <w:szCs w:val="18"/>
              </w:rPr>
            </w:pPr>
            <w:r>
              <w:rPr>
                <w:rFonts w:ascii="宋体" w:hAnsi="宋体" w:eastAsia="宋体" w:cs="宋体"/>
                <w:sz w:val="18"/>
                <w:szCs w:val="18"/>
              </w:rPr>
              <w:t>277,837.68</w:t>
            </w:r>
          </w:p>
        </w:tc>
      </w:tr>
      <w:tr w14:paraId="2DEA16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A0ABEAE">
            <w:pPr>
              <w:spacing w:before="0" w:after="0" w:line="240" w:lineRule="exact"/>
              <w:jc w:val="left"/>
              <w:rPr>
                <w:rFonts w:ascii="宋体" w:hAnsi="宋体" w:eastAsia="宋体" w:cs="宋体"/>
                <w:sz w:val="18"/>
                <w:szCs w:val="18"/>
              </w:rPr>
            </w:pPr>
            <w:r>
              <w:rPr>
                <w:rFonts w:ascii="宋体" w:hAnsi="宋体" w:eastAsia="宋体" w:cs="宋体"/>
                <w:sz w:val="18"/>
                <w:szCs w:val="18"/>
              </w:rPr>
              <w:t>上药铃谦沪中（上海）医药有限公司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5265F770">
            <w:pPr>
              <w:spacing w:before="0" w:after="0" w:line="240" w:lineRule="exact"/>
              <w:jc w:val="right"/>
              <w:rPr>
                <w:rFonts w:ascii="宋体" w:hAnsi="宋体" w:eastAsia="宋体" w:cs="宋体"/>
                <w:sz w:val="18"/>
                <w:szCs w:val="18"/>
              </w:rPr>
            </w:pPr>
            <w:r>
              <w:rPr>
                <w:rFonts w:ascii="宋体" w:hAnsi="宋体" w:eastAsia="宋体" w:cs="宋体"/>
                <w:sz w:val="18"/>
                <w:szCs w:val="18"/>
              </w:rPr>
              <w:t>2,966,275.27</w:t>
            </w:r>
          </w:p>
        </w:tc>
        <w:tc>
          <w:tcPr>
            <w:tcW w:w="1606" w:type="dxa"/>
            <w:tcBorders>
              <w:top w:val="single" w:color="auto" w:sz="2" w:space="0"/>
              <w:left w:val="single" w:color="auto" w:sz="2" w:space="0"/>
              <w:bottom w:val="single" w:color="auto" w:sz="2" w:space="0"/>
              <w:right w:val="single" w:color="auto" w:sz="2" w:space="0"/>
            </w:tcBorders>
            <w:vAlign w:val="center"/>
          </w:tcPr>
          <w:p w14:paraId="6B5B65C6">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32CFB87">
            <w:pPr>
              <w:spacing w:before="0" w:after="0" w:line="240" w:lineRule="exact"/>
              <w:jc w:val="right"/>
              <w:rPr>
                <w:rFonts w:ascii="宋体" w:hAnsi="宋体" w:eastAsia="宋体" w:cs="宋体"/>
                <w:sz w:val="18"/>
                <w:szCs w:val="18"/>
              </w:rPr>
            </w:pPr>
            <w:r>
              <w:rPr>
                <w:rFonts w:ascii="宋体" w:hAnsi="宋体" w:eastAsia="宋体" w:cs="宋体"/>
                <w:sz w:val="18"/>
                <w:szCs w:val="18"/>
              </w:rPr>
              <w:t>2,966,275.27</w:t>
            </w:r>
          </w:p>
        </w:tc>
        <w:tc>
          <w:tcPr>
            <w:tcW w:w="1606" w:type="dxa"/>
            <w:tcBorders>
              <w:top w:val="single" w:color="auto" w:sz="2" w:space="0"/>
              <w:left w:val="single" w:color="auto" w:sz="2" w:space="0"/>
              <w:bottom w:val="single" w:color="auto" w:sz="2" w:space="0"/>
              <w:right w:val="single" w:color="auto" w:sz="2" w:space="0"/>
            </w:tcBorders>
            <w:vAlign w:val="center"/>
          </w:tcPr>
          <w:p w14:paraId="7450CB75">
            <w:pPr>
              <w:spacing w:before="0" w:after="0" w:line="240" w:lineRule="exact"/>
              <w:jc w:val="right"/>
              <w:rPr>
                <w:rFonts w:ascii="宋体" w:hAnsi="宋体" w:eastAsia="宋体" w:cs="宋体"/>
                <w:sz w:val="18"/>
                <w:szCs w:val="18"/>
              </w:rPr>
            </w:pPr>
            <w:r>
              <w:rPr>
                <w:rFonts w:ascii="宋体" w:hAnsi="宋体" w:eastAsia="宋体" w:cs="宋体"/>
                <w:sz w:val="18"/>
                <w:szCs w:val="18"/>
              </w:rPr>
              <w:t>3.99%</w:t>
            </w:r>
          </w:p>
        </w:tc>
        <w:tc>
          <w:tcPr>
            <w:tcW w:w="1606" w:type="dxa"/>
            <w:tcBorders>
              <w:top w:val="single" w:color="auto" w:sz="2" w:space="0"/>
              <w:left w:val="single" w:color="auto" w:sz="2" w:space="0"/>
              <w:bottom w:val="single" w:color="auto" w:sz="2" w:space="0"/>
              <w:right w:val="single" w:color="auto" w:sz="2" w:space="0"/>
            </w:tcBorders>
            <w:vAlign w:val="center"/>
          </w:tcPr>
          <w:p w14:paraId="40E525BB">
            <w:pPr>
              <w:spacing w:before="0" w:after="0" w:line="240" w:lineRule="exact"/>
              <w:jc w:val="right"/>
              <w:rPr>
                <w:rFonts w:ascii="宋体" w:hAnsi="宋体" w:eastAsia="宋体" w:cs="宋体"/>
                <w:sz w:val="18"/>
                <w:szCs w:val="18"/>
              </w:rPr>
            </w:pPr>
            <w:r>
              <w:rPr>
                <w:rFonts w:ascii="宋体" w:hAnsi="宋体" w:eastAsia="宋体" w:cs="宋体"/>
                <w:sz w:val="18"/>
                <w:szCs w:val="18"/>
              </w:rPr>
              <w:t>148,313.76</w:t>
            </w:r>
          </w:p>
        </w:tc>
      </w:tr>
      <w:tr w14:paraId="222502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711B303E">
            <w:pPr>
              <w:spacing w:before="0" w:after="0" w:line="240" w:lineRule="exact"/>
              <w:jc w:val="left"/>
              <w:rPr>
                <w:rFonts w:ascii="宋体" w:hAnsi="宋体" w:eastAsia="宋体" w:cs="宋体"/>
                <w:sz w:val="18"/>
                <w:szCs w:val="18"/>
              </w:rPr>
            </w:pPr>
            <w:r>
              <w:rPr>
                <w:rFonts w:ascii="宋体" w:hAnsi="宋体" w:eastAsia="宋体" w:cs="宋体"/>
                <w:sz w:val="18"/>
                <w:szCs w:val="18"/>
              </w:rPr>
              <w:t>北京源通康百医药有限公司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3A9D2B4D">
            <w:pPr>
              <w:spacing w:before="0" w:after="0" w:line="240" w:lineRule="exact"/>
              <w:jc w:val="right"/>
              <w:rPr>
                <w:rFonts w:ascii="宋体" w:hAnsi="宋体" w:eastAsia="宋体" w:cs="宋体"/>
                <w:sz w:val="18"/>
                <w:szCs w:val="18"/>
              </w:rPr>
            </w:pPr>
            <w:r>
              <w:rPr>
                <w:rFonts w:ascii="宋体" w:hAnsi="宋体" w:eastAsia="宋体" w:cs="宋体"/>
                <w:sz w:val="18"/>
                <w:szCs w:val="18"/>
              </w:rPr>
              <w:t>2,646,000.00</w:t>
            </w:r>
          </w:p>
        </w:tc>
        <w:tc>
          <w:tcPr>
            <w:tcW w:w="1606" w:type="dxa"/>
            <w:tcBorders>
              <w:top w:val="single" w:color="auto" w:sz="2" w:space="0"/>
              <w:left w:val="single" w:color="auto" w:sz="2" w:space="0"/>
              <w:bottom w:val="single" w:color="auto" w:sz="2" w:space="0"/>
              <w:right w:val="single" w:color="auto" w:sz="2" w:space="0"/>
            </w:tcBorders>
            <w:vAlign w:val="center"/>
          </w:tcPr>
          <w:p w14:paraId="03A5CE7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44CD498">
            <w:pPr>
              <w:spacing w:before="0" w:after="0" w:line="240" w:lineRule="exact"/>
              <w:jc w:val="right"/>
              <w:rPr>
                <w:rFonts w:ascii="宋体" w:hAnsi="宋体" w:eastAsia="宋体" w:cs="宋体"/>
                <w:sz w:val="18"/>
                <w:szCs w:val="18"/>
              </w:rPr>
            </w:pPr>
            <w:r>
              <w:rPr>
                <w:rFonts w:ascii="宋体" w:hAnsi="宋体" w:eastAsia="宋体" w:cs="宋体"/>
                <w:sz w:val="18"/>
                <w:szCs w:val="18"/>
              </w:rPr>
              <w:t>2,646,000.00</w:t>
            </w:r>
          </w:p>
        </w:tc>
        <w:tc>
          <w:tcPr>
            <w:tcW w:w="1606" w:type="dxa"/>
            <w:tcBorders>
              <w:top w:val="single" w:color="auto" w:sz="2" w:space="0"/>
              <w:left w:val="single" w:color="auto" w:sz="2" w:space="0"/>
              <w:bottom w:val="single" w:color="auto" w:sz="2" w:space="0"/>
              <w:right w:val="single" w:color="auto" w:sz="2" w:space="0"/>
            </w:tcBorders>
            <w:vAlign w:val="center"/>
          </w:tcPr>
          <w:p w14:paraId="39C079C0">
            <w:pPr>
              <w:spacing w:before="0" w:after="0" w:line="240" w:lineRule="exact"/>
              <w:jc w:val="right"/>
              <w:rPr>
                <w:rFonts w:ascii="宋体" w:hAnsi="宋体" w:eastAsia="宋体" w:cs="宋体"/>
                <w:sz w:val="18"/>
                <w:szCs w:val="18"/>
              </w:rPr>
            </w:pPr>
            <w:r>
              <w:rPr>
                <w:rFonts w:ascii="宋体" w:hAnsi="宋体" w:eastAsia="宋体" w:cs="宋体"/>
                <w:sz w:val="18"/>
                <w:szCs w:val="18"/>
              </w:rPr>
              <w:t>3.56%</w:t>
            </w:r>
          </w:p>
        </w:tc>
        <w:tc>
          <w:tcPr>
            <w:tcW w:w="1606" w:type="dxa"/>
            <w:tcBorders>
              <w:top w:val="single" w:color="auto" w:sz="2" w:space="0"/>
              <w:left w:val="single" w:color="auto" w:sz="2" w:space="0"/>
              <w:bottom w:val="single" w:color="auto" w:sz="2" w:space="0"/>
              <w:right w:val="single" w:color="auto" w:sz="2" w:space="0"/>
            </w:tcBorders>
            <w:vAlign w:val="center"/>
          </w:tcPr>
          <w:p w14:paraId="78071AD9">
            <w:pPr>
              <w:spacing w:before="0" w:after="0" w:line="240" w:lineRule="exact"/>
              <w:jc w:val="right"/>
              <w:rPr>
                <w:rFonts w:ascii="宋体" w:hAnsi="宋体" w:eastAsia="宋体" w:cs="宋体"/>
                <w:sz w:val="18"/>
                <w:szCs w:val="18"/>
              </w:rPr>
            </w:pPr>
            <w:r>
              <w:rPr>
                <w:rFonts w:ascii="宋体" w:hAnsi="宋体" w:eastAsia="宋体" w:cs="宋体"/>
                <w:sz w:val="18"/>
                <w:szCs w:val="18"/>
              </w:rPr>
              <w:t>132,304.91</w:t>
            </w:r>
          </w:p>
        </w:tc>
      </w:tr>
      <w:tr w14:paraId="6B557E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74CFC84">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vAlign w:val="center"/>
          </w:tcPr>
          <w:p w14:paraId="4EA5C81F">
            <w:pPr>
              <w:spacing w:before="0" w:after="0" w:line="240" w:lineRule="exact"/>
              <w:jc w:val="right"/>
              <w:rPr>
                <w:rFonts w:ascii="宋体" w:hAnsi="宋体" w:eastAsia="宋体" w:cs="宋体"/>
                <w:sz w:val="18"/>
                <w:szCs w:val="18"/>
              </w:rPr>
            </w:pPr>
            <w:r>
              <w:rPr>
                <w:rFonts w:ascii="宋体" w:hAnsi="宋体" w:eastAsia="宋体" w:cs="宋体"/>
                <w:sz w:val="18"/>
                <w:szCs w:val="18"/>
              </w:rPr>
              <w:t>30,346,417.94</w:t>
            </w:r>
          </w:p>
        </w:tc>
        <w:tc>
          <w:tcPr>
            <w:tcW w:w="1606" w:type="dxa"/>
            <w:tcBorders>
              <w:top w:val="single" w:color="auto" w:sz="2" w:space="0"/>
              <w:left w:val="single" w:color="auto" w:sz="2" w:space="0"/>
              <w:bottom w:val="single" w:color="auto" w:sz="2" w:space="0"/>
              <w:right w:val="single" w:color="auto" w:sz="2" w:space="0"/>
            </w:tcBorders>
            <w:vAlign w:val="center"/>
          </w:tcPr>
          <w:p w14:paraId="66D12981">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53D41C5">
            <w:pPr>
              <w:spacing w:before="0" w:after="0" w:line="240" w:lineRule="exact"/>
              <w:jc w:val="right"/>
              <w:rPr>
                <w:rFonts w:ascii="宋体" w:hAnsi="宋体" w:eastAsia="宋体" w:cs="宋体"/>
                <w:sz w:val="18"/>
                <w:szCs w:val="18"/>
              </w:rPr>
            </w:pPr>
            <w:r>
              <w:rPr>
                <w:rFonts w:ascii="宋体" w:hAnsi="宋体" w:eastAsia="宋体" w:cs="宋体"/>
                <w:sz w:val="18"/>
                <w:szCs w:val="18"/>
              </w:rPr>
              <w:t>30,346,417.94</w:t>
            </w:r>
          </w:p>
        </w:tc>
        <w:tc>
          <w:tcPr>
            <w:tcW w:w="1606" w:type="dxa"/>
            <w:tcBorders>
              <w:top w:val="single" w:color="auto" w:sz="2" w:space="0"/>
              <w:left w:val="single" w:color="auto" w:sz="2" w:space="0"/>
              <w:bottom w:val="single" w:color="auto" w:sz="2" w:space="0"/>
              <w:right w:val="single" w:color="auto" w:sz="2" w:space="0"/>
            </w:tcBorders>
            <w:vAlign w:val="center"/>
          </w:tcPr>
          <w:p w14:paraId="4D6240FC">
            <w:pPr>
              <w:spacing w:before="0" w:after="0" w:line="240" w:lineRule="exact"/>
              <w:jc w:val="right"/>
              <w:rPr>
                <w:rFonts w:ascii="宋体" w:hAnsi="宋体" w:eastAsia="宋体" w:cs="宋体"/>
                <w:sz w:val="18"/>
                <w:szCs w:val="18"/>
              </w:rPr>
            </w:pPr>
            <w:r>
              <w:rPr>
                <w:rFonts w:ascii="宋体" w:hAnsi="宋体" w:eastAsia="宋体" w:cs="宋体"/>
                <w:sz w:val="18"/>
                <w:szCs w:val="18"/>
              </w:rPr>
              <w:t>40.85%</w:t>
            </w:r>
          </w:p>
        </w:tc>
        <w:tc>
          <w:tcPr>
            <w:tcW w:w="1606" w:type="dxa"/>
            <w:tcBorders>
              <w:top w:val="single" w:color="auto" w:sz="2" w:space="0"/>
              <w:left w:val="single" w:color="auto" w:sz="2" w:space="0"/>
              <w:bottom w:val="single" w:color="auto" w:sz="2" w:space="0"/>
              <w:right w:val="single" w:color="auto" w:sz="2" w:space="0"/>
            </w:tcBorders>
            <w:vAlign w:val="center"/>
          </w:tcPr>
          <w:p w14:paraId="4AD3C37E">
            <w:pPr>
              <w:spacing w:before="0" w:after="0" w:line="240" w:lineRule="exact"/>
              <w:jc w:val="right"/>
              <w:rPr>
                <w:rFonts w:ascii="宋体" w:hAnsi="宋体" w:eastAsia="宋体" w:cs="宋体"/>
                <w:sz w:val="18"/>
                <w:szCs w:val="18"/>
              </w:rPr>
            </w:pPr>
            <w:r>
              <w:rPr>
                <w:rFonts w:ascii="宋体" w:hAnsi="宋体" w:eastAsia="宋体" w:cs="宋体"/>
                <w:sz w:val="18"/>
                <w:szCs w:val="18"/>
              </w:rPr>
              <w:t>1,517,357.10</w:t>
            </w:r>
          </w:p>
        </w:tc>
      </w:tr>
    </w:tbl>
    <w:p w14:paraId="06897851">
      <w:pPr>
        <w:keepNext/>
        <w:keepLines/>
        <w:spacing w:before="300" w:after="300" w:line="280" w:lineRule="exact"/>
        <w:jc w:val="left"/>
        <w:outlineLvl w:val="2"/>
        <w:rPr>
          <w:rFonts w:ascii="宋体" w:hAnsi="宋体" w:eastAsia="宋体" w:cs="宋体"/>
          <w:b/>
          <w:bCs/>
          <w:sz w:val="21"/>
          <w:szCs w:val="21"/>
        </w:rPr>
      </w:pPr>
      <w:bookmarkStart w:id="244" w:name="_Toc989131"/>
      <w:r>
        <w:rPr>
          <w:rFonts w:ascii="宋体" w:hAnsi="宋体" w:eastAsia="宋体" w:cs="宋体"/>
          <w:b/>
          <w:bCs/>
          <w:sz w:val="21"/>
          <w:szCs w:val="21"/>
        </w:rPr>
        <w:t>6、合同资产</w:t>
      </w:r>
      <w:bookmarkEnd w:id="244"/>
    </w:p>
    <w:p w14:paraId="4151B78F">
      <w:pPr>
        <w:keepNext/>
        <w:keepLines/>
        <w:spacing w:before="300" w:after="300" w:line="280" w:lineRule="exact"/>
        <w:jc w:val="left"/>
        <w:outlineLvl w:val="3"/>
        <w:rPr>
          <w:rFonts w:ascii="宋体" w:hAnsi="宋体" w:eastAsia="宋体" w:cs="宋体"/>
          <w:b/>
          <w:bCs/>
          <w:sz w:val="21"/>
          <w:szCs w:val="21"/>
        </w:rPr>
      </w:pPr>
      <w:bookmarkStart w:id="245" w:name="_Toc989132"/>
      <w:r>
        <w:rPr>
          <w:rFonts w:ascii="宋体" w:hAnsi="宋体" w:eastAsia="宋体" w:cs="宋体"/>
          <w:b/>
          <w:bCs/>
          <w:sz w:val="21"/>
          <w:szCs w:val="21"/>
        </w:rPr>
        <w:t>（1） 合同资产情况</w:t>
      </w:r>
      <w:bookmarkEnd w:id="245"/>
    </w:p>
    <w:p w14:paraId="0230362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2AA4BF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A5E5164">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4ABD9685">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6A816029">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491F88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DEB916C"/>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C039BA0">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0F7A9B3">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F8DD9E8">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DBFDECA">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06B79B9">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791BF3A">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bl>
    <w:p w14:paraId="6EFF5BF4">
      <w:pPr>
        <w:keepNext/>
        <w:keepLines/>
        <w:spacing w:before="300" w:after="300" w:line="280" w:lineRule="exact"/>
        <w:jc w:val="left"/>
        <w:outlineLvl w:val="3"/>
        <w:rPr>
          <w:rFonts w:ascii="宋体" w:hAnsi="宋体" w:eastAsia="宋体" w:cs="宋体"/>
          <w:b/>
          <w:bCs/>
          <w:sz w:val="21"/>
          <w:szCs w:val="21"/>
        </w:rPr>
      </w:pPr>
      <w:bookmarkStart w:id="246" w:name="_Toc989133"/>
      <w:r>
        <w:rPr>
          <w:rFonts w:ascii="宋体" w:hAnsi="宋体" w:eastAsia="宋体" w:cs="宋体"/>
          <w:b/>
          <w:bCs/>
          <w:sz w:val="21"/>
          <w:szCs w:val="21"/>
        </w:rPr>
        <w:t>（2） 报告期内账面价值发生的重大变动金额和原因</w:t>
      </w:r>
      <w:bookmarkEnd w:id="246"/>
    </w:p>
    <w:p w14:paraId="6DAF1D2E">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38AABD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45D1CD4">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3CBBD7">
            <w:pPr>
              <w:spacing w:before="40" w:after="40" w:line="240" w:lineRule="exact"/>
              <w:jc w:val="center"/>
              <w:rPr>
                <w:rFonts w:ascii="宋体" w:hAnsi="宋体" w:eastAsia="宋体" w:cs="宋体"/>
                <w:sz w:val="18"/>
                <w:szCs w:val="18"/>
              </w:rPr>
            </w:pPr>
            <w:r>
              <w:rPr>
                <w:rFonts w:ascii="宋体" w:hAnsi="宋体" w:eastAsia="宋体" w:cs="宋体"/>
                <w:sz w:val="18"/>
                <w:szCs w:val="18"/>
              </w:rPr>
              <w:t>变动金额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C8737F">
            <w:pPr>
              <w:spacing w:before="40" w:after="40" w:line="240" w:lineRule="exact"/>
              <w:jc w:val="center"/>
              <w:rPr>
                <w:rFonts w:ascii="宋体" w:hAnsi="宋体" w:eastAsia="宋体" w:cs="宋体"/>
                <w:sz w:val="18"/>
                <w:szCs w:val="18"/>
              </w:rPr>
            </w:pPr>
            <w:r>
              <w:rPr>
                <w:rFonts w:ascii="宋体" w:hAnsi="宋体" w:eastAsia="宋体" w:cs="宋体"/>
                <w:sz w:val="18"/>
                <w:szCs w:val="18"/>
              </w:rPr>
              <w:t>变动原因</w:t>
            </w:r>
          </w:p>
        </w:tc>
      </w:tr>
    </w:tbl>
    <w:p w14:paraId="2B0976A1">
      <w:pPr>
        <w:keepNext/>
        <w:keepLines/>
        <w:spacing w:before="300" w:after="300" w:line="280" w:lineRule="exact"/>
        <w:jc w:val="left"/>
        <w:outlineLvl w:val="3"/>
        <w:rPr>
          <w:rFonts w:ascii="宋体" w:hAnsi="宋体" w:eastAsia="宋体" w:cs="宋体"/>
          <w:b/>
          <w:bCs/>
          <w:sz w:val="21"/>
          <w:szCs w:val="21"/>
        </w:rPr>
      </w:pPr>
      <w:bookmarkStart w:id="247" w:name="_Toc989134"/>
      <w:r>
        <w:rPr>
          <w:rFonts w:ascii="宋体" w:hAnsi="宋体" w:eastAsia="宋体" w:cs="宋体"/>
          <w:b/>
          <w:bCs/>
          <w:sz w:val="21"/>
          <w:szCs w:val="21"/>
        </w:rPr>
        <w:t>（3） 按坏账计提方法分类披露</w:t>
      </w:r>
      <w:bookmarkEnd w:id="247"/>
    </w:p>
    <w:p w14:paraId="4B8B7F72">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76"/>
        <w:gridCol w:w="876"/>
        <w:gridCol w:w="876"/>
        <w:gridCol w:w="876"/>
        <w:gridCol w:w="876"/>
        <w:gridCol w:w="876"/>
        <w:gridCol w:w="876"/>
        <w:gridCol w:w="876"/>
        <w:gridCol w:w="876"/>
      </w:tblGrid>
      <w:tr w14:paraId="7DA7F6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1AE3E25">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7C71A9C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10755519">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7BF888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37337E2"/>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1E0C4CA">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055AF90">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2777D64">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3E57979">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0924A45">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12BC479">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340AF6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F274B77"/>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4062BF3">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312F958">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7A2A73B">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BE86B6B">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BC2EEEC"/>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65E3C74">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FD6F513">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F998D7E">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9AD2BD2">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5334963"/>
        </w:tc>
      </w:tr>
      <w:tr w14:paraId="62EA10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5B89588">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3C5211B"/>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6E72415"/>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21858B0"/>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34993E6"/>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E7797B9"/>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91A7CF7"/>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9E385EB"/>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92FC9B2"/>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6EE06E5"/>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F591B14"/>
        </w:tc>
      </w:tr>
      <w:tr w14:paraId="7F00DD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24A9FAA">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8F2742E"/>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031C44A"/>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D7DACC1"/>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4FB7D11"/>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9C91C30"/>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B7AEA61"/>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671AAC9"/>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E6B3A79"/>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41B0456"/>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779BFDE"/>
        </w:tc>
      </w:tr>
    </w:tbl>
    <w:p w14:paraId="3249E684">
      <w:pPr>
        <w:spacing w:before="100" w:after="100" w:line="240" w:lineRule="exact"/>
        <w:jc w:val="left"/>
        <w:rPr>
          <w:rFonts w:ascii="宋体" w:hAnsi="宋体" w:eastAsia="宋体" w:cs="宋体"/>
          <w:sz w:val="18"/>
          <w:szCs w:val="18"/>
        </w:rPr>
      </w:pPr>
      <w:r>
        <w:rPr>
          <w:rFonts w:ascii="宋体" w:hAnsi="宋体" w:eastAsia="宋体" w:cs="宋体"/>
          <w:sz w:val="18"/>
          <w:szCs w:val="18"/>
        </w:rPr>
        <w:t>按预期信用损失一般模型计提坏账准备</w:t>
      </w:r>
    </w:p>
    <w:p w14:paraId="468080BE">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A0C742E">
      <w:pPr>
        <w:keepNext/>
        <w:keepLines/>
        <w:spacing w:before="300" w:after="300" w:line="280" w:lineRule="exact"/>
        <w:jc w:val="left"/>
        <w:outlineLvl w:val="3"/>
        <w:rPr>
          <w:rFonts w:ascii="宋体" w:hAnsi="宋体" w:eastAsia="宋体" w:cs="宋体"/>
          <w:b/>
          <w:bCs/>
          <w:sz w:val="21"/>
          <w:szCs w:val="21"/>
        </w:rPr>
      </w:pPr>
      <w:bookmarkStart w:id="248" w:name="_Toc989135"/>
      <w:r>
        <w:rPr>
          <w:rFonts w:ascii="宋体" w:hAnsi="宋体" w:eastAsia="宋体" w:cs="宋体"/>
          <w:b/>
          <w:bCs/>
          <w:sz w:val="21"/>
          <w:szCs w:val="21"/>
        </w:rPr>
        <w:t>（4） 本期计提、收回或转回的坏账准备情况</w:t>
      </w:r>
      <w:bookmarkEnd w:id="248"/>
    </w:p>
    <w:p w14:paraId="00FD804A">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57B04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CCEA925">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6FB324C">
            <w:pPr>
              <w:spacing w:before="40" w:after="40" w:line="240" w:lineRule="exact"/>
              <w:jc w:val="center"/>
              <w:rPr>
                <w:rFonts w:ascii="宋体" w:hAnsi="宋体" w:eastAsia="宋体" w:cs="宋体"/>
                <w:sz w:val="18"/>
                <w:szCs w:val="18"/>
              </w:rPr>
            </w:pPr>
            <w:r>
              <w:rPr>
                <w:rFonts w:ascii="宋体" w:hAnsi="宋体" w:eastAsia="宋体" w:cs="宋体"/>
                <w:sz w:val="18"/>
                <w:szCs w:val="18"/>
              </w:rPr>
              <w:t>本期计提</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2EB651A">
            <w:pPr>
              <w:spacing w:before="40" w:after="40" w:line="240" w:lineRule="exact"/>
              <w:jc w:val="center"/>
              <w:rPr>
                <w:rFonts w:ascii="宋体" w:hAnsi="宋体" w:eastAsia="宋体" w:cs="宋体"/>
                <w:sz w:val="18"/>
                <w:szCs w:val="18"/>
              </w:rPr>
            </w:pPr>
            <w:r>
              <w:rPr>
                <w:rFonts w:ascii="宋体" w:hAnsi="宋体" w:eastAsia="宋体" w:cs="宋体"/>
                <w:sz w:val="18"/>
                <w:szCs w:val="18"/>
              </w:rPr>
              <w:t>本期收回或转回</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56AC801">
            <w:pPr>
              <w:spacing w:before="40" w:after="40" w:line="240" w:lineRule="exact"/>
              <w:jc w:val="center"/>
              <w:rPr>
                <w:rFonts w:ascii="宋体" w:hAnsi="宋体" w:eastAsia="宋体" w:cs="宋体"/>
                <w:sz w:val="18"/>
                <w:szCs w:val="18"/>
              </w:rPr>
            </w:pPr>
            <w:r>
              <w:rPr>
                <w:rFonts w:ascii="宋体" w:hAnsi="宋体" w:eastAsia="宋体" w:cs="宋体"/>
                <w:sz w:val="18"/>
                <w:szCs w:val="18"/>
              </w:rPr>
              <w:t>本期转销/核销</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702EFE6">
            <w:pPr>
              <w:spacing w:before="40" w:after="40" w:line="240" w:lineRule="exact"/>
              <w:jc w:val="center"/>
              <w:rPr>
                <w:rFonts w:ascii="宋体" w:hAnsi="宋体" w:eastAsia="宋体" w:cs="宋体"/>
                <w:sz w:val="18"/>
                <w:szCs w:val="18"/>
              </w:rPr>
            </w:pPr>
            <w:r>
              <w:rPr>
                <w:rFonts w:ascii="宋体" w:hAnsi="宋体" w:eastAsia="宋体" w:cs="宋体"/>
                <w:sz w:val="18"/>
                <w:szCs w:val="18"/>
              </w:rPr>
              <w:t>原因</w:t>
            </w:r>
          </w:p>
        </w:tc>
      </w:tr>
    </w:tbl>
    <w:p w14:paraId="735F0FA3">
      <w:pPr>
        <w:spacing w:before="100" w:after="100" w:line="240" w:lineRule="exact"/>
        <w:jc w:val="left"/>
        <w:rPr>
          <w:rFonts w:ascii="宋体" w:hAnsi="宋体" w:eastAsia="宋体" w:cs="宋体"/>
          <w:sz w:val="18"/>
          <w:szCs w:val="18"/>
        </w:rPr>
      </w:pPr>
      <w:r>
        <w:rPr>
          <w:rFonts w:ascii="宋体" w:hAnsi="宋体" w:eastAsia="宋体" w:cs="宋体"/>
          <w:sz w:val="18"/>
          <w:szCs w:val="18"/>
        </w:rPr>
        <w:t>其中本期坏账准备收回或转回金额重要的：</w:t>
      </w:r>
    </w:p>
    <w:p w14:paraId="5C353A26">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6FB3CF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71302C2">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0B579B5">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7386D21">
            <w:pPr>
              <w:spacing w:before="40" w:after="40" w:line="240" w:lineRule="exact"/>
              <w:jc w:val="center"/>
              <w:rPr>
                <w:rFonts w:ascii="宋体" w:hAnsi="宋体" w:eastAsia="宋体" w:cs="宋体"/>
                <w:sz w:val="18"/>
                <w:szCs w:val="18"/>
              </w:rPr>
            </w:pPr>
            <w:r>
              <w:rPr>
                <w:rFonts w:ascii="宋体" w:hAnsi="宋体" w:eastAsia="宋体" w:cs="宋体"/>
                <w:sz w:val="18"/>
                <w:szCs w:val="18"/>
              </w:rPr>
              <w:t>转回原因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424AD1A">
            <w:pPr>
              <w:spacing w:before="40" w:after="40" w:line="240" w:lineRule="exact"/>
              <w:jc w:val="center"/>
              <w:rPr>
                <w:rFonts w:ascii="宋体" w:hAnsi="宋体" w:eastAsia="宋体" w:cs="宋体"/>
                <w:sz w:val="18"/>
                <w:szCs w:val="18"/>
              </w:rPr>
            </w:pPr>
            <w:r>
              <w:rPr>
                <w:rFonts w:ascii="宋体" w:hAnsi="宋体" w:eastAsia="宋体" w:cs="宋体"/>
                <w:sz w:val="18"/>
                <w:szCs w:val="18"/>
              </w:rPr>
              <w:t>收回方式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77653BB">
            <w:pPr>
              <w:spacing w:before="40" w:after="40" w:line="240" w:lineRule="exact"/>
              <w:jc w:val="center"/>
              <w:rPr>
                <w:rFonts w:ascii="宋体" w:hAnsi="宋体" w:eastAsia="宋体" w:cs="宋体"/>
                <w:sz w:val="18"/>
                <w:szCs w:val="18"/>
              </w:rPr>
            </w:pPr>
            <w:r>
              <w:rPr>
                <w:rFonts w:ascii="宋体" w:hAnsi="宋体" w:eastAsia="宋体" w:cs="宋体"/>
                <w:sz w:val="18"/>
                <w:szCs w:val="18"/>
              </w:rPr>
              <w:t>确定原坏账准备计提比例的依据及其合理性</w:t>
            </w:r>
          </w:p>
        </w:tc>
      </w:tr>
    </w:tbl>
    <w:p w14:paraId="5D4893F6">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E29FCA0">
      <w:pPr>
        <w:keepNext/>
        <w:keepLines/>
        <w:spacing w:before="300" w:after="300" w:line="280" w:lineRule="exact"/>
        <w:jc w:val="left"/>
        <w:outlineLvl w:val="3"/>
        <w:rPr>
          <w:rFonts w:ascii="宋体" w:hAnsi="宋体" w:eastAsia="宋体" w:cs="宋体"/>
          <w:b/>
          <w:bCs/>
          <w:sz w:val="21"/>
          <w:szCs w:val="21"/>
        </w:rPr>
      </w:pPr>
      <w:bookmarkStart w:id="249" w:name="_Toc989136"/>
      <w:r>
        <w:rPr>
          <w:rFonts w:ascii="宋体" w:hAnsi="宋体" w:eastAsia="宋体" w:cs="宋体"/>
          <w:b/>
          <w:bCs/>
          <w:sz w:val="21"/>
          <w:szCs w:val="21"/>
        </w:rPr>
        <w:t>（5） 本期实际核销的合同资产情况</w:t>
      </w:r>
      <w:bookmarkEnd w:id="249"/>
    </w:p>
    <w:p w14:paraId="51FA38C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48D35E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6DD46673">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071251A">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6D85BAB2">
      <w:pPr>
        <w:spacing w:before="100" w:after="100" w:line="240" w:lineRule="exact"/>
        <w:jc w:val="left"/>
        <w:rPr>
          <w:rFonts w:ascii="宋体" w:hAnsi="宋体" w:eastAsia="宋体" w:cs="宋体"/>
          <w:sz w:val="18"/>
          <w:szCs w:val="18"/>
        </w:rPr>
      </w:pPr>
      <w:r>
        <w:rPr>
          <w:rFonts w:ascii="宋体" w:hAnsi="宋体" w:eastAsia="宋体" w:cs="宋体"/>
          <w:sz w:val="18"/>
          <w:szCs w:val="18"/>
        </w:rPr>
        <w:t>其中重要的合同资产核销情况</w:t>
      </w:r>
    </w:p>
    <w:p w14:paraId="4B09503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70158D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D59DA98">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E25FC7B">
            <w:pPr>
              <w:spacing w:before="40" w:after="40" w:line="240" w:lineRule="exact"/>
              <w:jc w:val="center"/>
              <w:rPr>
                <w:rFonts w:ascii="宋体" w:hAnsi="宋体" w:eastAsia="宋体" w:cs="宋体"/>
                <w:sz w:val="18"/>
                <w:szCs w:val="18"/>
              </w:rPr>
            </w:pPr>
            <w:r>
              <w:rPr>
                <w:rFonts w:ascii="宋体" w:hAnsi="宋体" w:eastAsia="宋体" w:cs="宋体"/>
                <w:sz w:val="18"/>
                <w:szCs w:val="18"/>
              </w:rPr>
              <w:t>款项性质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CBD716F">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BE5BDFF">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7EF8809">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9D2AEB9">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3DB4948D">
      <w:pPr>
        <w:spacing w:before="100" w:after="100" w:line="240" w:lineRule="exact"/>
        <w:jc w:val="left"/>
        <w:rPr>
          <w:rFonts w:ascii="宋体" w:hAnsi="宋体" w:eastAsia="宋体" w:cs="宋体"/>
          <w:sz w:val="18"/>
          <w:szCs w:val="18"/>
        </w:rPr>
      </w:pPr>
      <w:r>
        <w:rPr>
          <w:rFonts w:ascii="宋体" w:hAnsi="宋体" w:eastAsia="宋体" w:cs="宋体"/>
          <w:sz w:val="18"/>
          <w:szCs w:val="18"/>
        </w:rPr>
        <w:t>合同资产核销说明：</w:t>
      </w:r>
    </w:p>
    <w:p w14:paraId="562D0B5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C2E1A2D">
      <w:pPr>
        <w:keepNext/>
        <w:keepLines/>
        <w:spacing w:before="300" w:after="300" w:line="280" w:lineRule="exact"/>
        <w:jc w:val="left"/>
        <w:outlineLvl w:val="2"/>
        <w:rPr>
          <w:rFonts w:ascii="宋体" w:hAnsi="宋体" w:eastAsia="宋体" w:cs="宋体"/>
          <w:b/>
          <w:bCs/>
          <w:sz w:val="21"/>
          <w:szCs w:val="21"/>
        </w:rPr>
      </w:pPr>
      <w:bookmarkStart w:id="250" w:name="_Toc989137"/>
      <w:r>
        <w:rPr>
          <w:rFonts w:ascii="宋体" w:hAnsi="宋体" w:eastAsia="宋体" w:cs="宋体"/>
          <w:b/>
          <w:bCs/>
          <w:sz w:val="21"/>
          <w:szCs w:val="21"/>
        </w:rPr>
        <w:t>7、应收款项融资</w:t>
      </w:r>
      <w:bookmarkEnd w:id="250"/>
    </w:p>
    <w:p w14:paraId="769E2928">
      <w:pPr>
        <w:keepNext/>
        <w:keepLines/>
        <w:spacing w:before="300" w:after="300" w:line="280" w:lineRule="exact"/>
        <w:jc w:val="left"/>
        <w:outlineLvl w:val="3"/>
        <w:rPr>
          <w:rFonts w:ascii="宋体" w:hAnsi="宋体" w:eastAsia="宋体" w:cs="宋体"/>
          <w:b/>
          <w:bCs/>
          <w:sz w:val="21"/>
          <w:szCs w:val="21"/>
        </w:rPr>
      </w:pPr>
      <w:bookmarkStart w:id="251" w:name="_Toc989138"/>
      <w:r>
        <w:rPr>
          <w:rFonts w:ascii="宋体" w:hAnsi="宋体" w:eastAsia="宋体" w:cs="宋体"/>
          <w:b/>
          <w:bCs/>
          <w:sz w:val="21"/>
          <w:szCs w:val="21"/>
        </w:rPr>
        <w:t>（1） 应收款项融资分类列示</w:t>
      </w:r>
      <w:bookmarkEnd w:id="251"/>
    </w:p>
    <w:p w14:paraId="7F54BAB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A4928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45E501C">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6AAC1E4">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4BD662A">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191EA4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4667894">
            <w:pPr>
              <w:spacing w:before="0" w:after="0" w:line="240" w:lineRule="exact"/>
              <w:jc w:val="left"/>
              <w:rPr>
                <w:rFonts w:ascii="宋体" w:hAnsi="宋体" w:eastAsia="宋体" w:cs="宋体"/>
                <w:sz w:val="18"/>
                <w:szCs w:val="18"/>
              </w:rPr>
            </w:pPr>
            <w:r>
              <w:rPr>
                <w:rFonts w:ascii="宋体" w:hAnsi="宋体" w:eastAsia="宋体" w:cs="宋体"/>
                <w:sz w:val="18"/>
                <w:szCs w:val="18"/>
              </w:rPr>
              <w:t>应收票据</w:t>
            </w:r>
          </w:p>
        </w:tc>
        <w:tc>
          <w:tcPr>
            <w:tcW w:w="3213" w:type="dxa"/>
            <w:tcBorders>
              <w:top w:val="single" w:color="auto" w:sz="2" w:space="0"/>
              <w:left w:val="single" w:color="auto" w:sz="2" w:space="0"/>
              <w:bottom w:val="single" w:color="auto" w:sz="2" w:space="0"/>
              <w:right w:val="single" w:color="auto" w:sz="2" w:space="0"/>
            </w:tcBorders>
            <w:vAlign w:val="center"/>
          </w:tcPr>
          <w:p w14:paraId="1423BE0F">
            <w:pPr>
              <w:spacing w:before="0" w:after="0" w:line="240" w:lineRule="exact"/>
              <w:jc w:val="right"/>
              <w:rPr>
                <w:rFonts w:ascii="宋体" w:hAnsi="宋体" w:eastAsia="宋体" w:cs="宋体"/>
                <w:sz w:val="18"/>
                <w:szCs w:val="18"/>
              </w:rPr>
            </w:pPr>
            <w:r>
              <w:rPr>
                <w:rFonts w:ascii="宋体" w:hAnsi="宋体" w:eastAsia="宋体" w:cs="宋体"/>
                <w:sz w:val="18"/>
                <w:szCs w:val="18"/>
              </w:rPr>
              <w:t>2,292,928.00</w:t>
            </w:r>
          </w:p>
        </w:tc>
        <w:tc>
          <w:tcPr>
            <w:tcW w:w="3213" w:type="dxa"/>
            <w:tcBorders>
              <w:top w:val="single" w:color="auto" w:sz="2" w:space="0"/>
              <w:left w:val="single" w:color="auto" w:sz="2" w:space="0"/>
              <w:bottom w:val="single" w:color="auto" w:sz="2" w:space="0"/>
              <w:right w:val="single" w:color="auto" w:sz="2" w:space="0"/>
            </w:tcBorders>
            <w:vAlign w:val="center"/>
          </w:tcPr>
          <w:p w14:paraId="31CC3A38">
            <w:pPr>
              <w:spacing w:before="0" w:after="0" w:line="240" w:lineRule="exact"/>
              <w:jc w:val="right"/>
              <w:rPr>
                <w:rFonts w:ascii="宋体" w:hAnsi="宋体" w:eastAsia="宋体" w:cs="宋体"/>
                <w:sz w:val="18"/>
                <w:szCs w:val="18"/>
              </w:rPr>
            </w:pPr>
            <w:r>
              <w:rPr>
                <w:rFonts w:ascii="宋体" w:hAnsi="宋体" w:eastAsia="宋体" w:cs="宋体"/>
                <w:sz w:val="18"/>
                <w:szCs w:val="18"/>
              </w:rPr>
              <w:t>2,214,638.84</w:t>
            </w:r>
          </w:p>
        </w:tc>
      </w:tr>
      <w:tr w14:paraId="2A707D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0CBC3A">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4F11D21E">
            <w:pPr>
              <w:spacing w:before="0" w:after="0" w:line="240" w:lineRule="exact"/>
              <w:jc w:val="right"/>
              <w:rPr>
                <w:rFonts w:ascii="宋体" w:hAnsi="宋体" w:eastAsia="宋体" w:cs="宋体"/>
                <w:sz w:val="18"/>
                <w:szCs w:val="18"/>
              </w:rPr>
            </w:pPr>
            <w:r>
              <w:rPr>
                <w:rFonts w:ascii="宋体" w:hAnsi="宋体" w:eastAsia="宋体" w:cs="宋体"/>
                <w:sz w:val="18"/>
                <w:szCs w:val="18"/>
              </w:rPr>
              <w:t>2,292,928.00</w:t>
            </w:r>
          </w:p>
        </w:tc>
        <w:tc>
          <w:tcPr>
            <w:tcW w:w="3213" w:type="dxa"/>
            <w:tcBorders>
              <w:top w:val="single" w:color="auto" w:sz="2" w:space="0"/>
              <w:left w:val="single" w:color="auto" w:sz="2" w:space="0"/>
              <w:bottom w:val="single" w:color="auto" w:sz="2" w:space="0"/>
              <w:right w:val="single" w:color="auto" w:sz="2" w:space="0"/>
            </w:tcBorders>
            <w:vAlign w:val="center"/>
          </w:tcPr>
          <w:p w14:paraId="2C5EC3D6">
            <w:pPr>
              <w:spacing w:before="0" w:after="0" w:line="240" w:lineRule="exact"/>
              <w:jc w:val="right"/>
              <w:rPr>
                <w:rFonts w:ascii="宋体" w:hAnsi="宋体" w:eastAsia="宋体" w:cs="宋体"/>
                <w:sz w:val="18"/>
                <w:szCs w:val="18"/>
              </w:rPr>
            </w:pPr>
            <w:r>
              <w:rPr>
                <w:rFonts w:ascii="宋体" w:hAnsi="宋体" w:eastAsia="宋体" w:cs="宋体"/>
                <w:sz w:val="18"/>
                <w:szCs w:val="18"/>
              </w:rPr>
              <w:t>2,214,638.84</w:t>
            </w:r>
          </w:p>
        </w:tc>
      </w:tr>
    </w:tbl>
    <w:p w14:paraId="12BCA99A">
      <w:pPr>
        <w:keepNext/>
        <w:keepLines/>
        <w:spacing w:before="300" w:after="300" w:line="280" w:lineRule="exact"/>
        <w:jc w:val="left"/>
        <w:outlineLvl w:val="3"/>
        <w:rPr>
          <w:rFonts w:ascii="宋体" w:hAnsi="宋体" w:eastAsia="宋体" w:cs="宋体"/>
          <w:b/>
          <w:bCs/>
          <w:sz w:val="21"/>
          <w:szCs w:val="21"/>
        </w:rPr>
      </w:pPr>
      <w:bookmarkStart w:id="252" w:name="_Toc989139"/>
      <w:r>
        <w:rPr>
          <w:rFonts w:ascii="宋体" w:hAnsi="宋体" w:eastAsia="宋体" w:cs="宋体"/>
          <w:b/>
          <w:bCs/>
          <w:sz w:val="21"/>
          <w:szCs w:val="21"/>
        </w:rPr>
        <w:t>（2） 按坏账计提方法分类披露</w:t>
      </w:r>
      <w:bookmarkEnd w:id="252"/>
    </w:p>
    <w:p w14:paraId="70A469A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76"/>
        <w:gridCol w:w="876"/>
        <w:gridCol w:w="876"/>
        <w:gridCol w:w="876"/>
        <w:gridCol w:w="876"/>
        <w:gridCol w:w="876"/>
        <w:gridCol w:w="876"/>
        <w:gridCol w:w="876"/>
        <w:gridCol w:w="876"/>
      </w:tblGrid>
      <w:tr w14:paraId="5A9D55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C740013">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71935FE9">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744A2BF0">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0CEEB4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78EA98C"/>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A74EED4">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3ED7EA3">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8F0D1C4">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8B013C5">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A4E4140">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0371FBC">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68AB99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7516044"/>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CF038CB">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41168FF">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8BAE2AC">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3D54911">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3F3559B"/>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B1413FC">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95BFB06">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CD84DAF">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F5D5F72">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B5E0CA1"/>
        </w:tc>
      </w:tr>
      <w:tr w14:paraId="598BA5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E772F62">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A41CF45"/>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4569141"/>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AA0578B"/>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B1B40E1"/>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522A716"/>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C800475"/>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4B04DC5"/>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004BBE7"/>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C9D149C"/>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02DDBC5"/>
        </w:tc>
      </w:tr>
      <w:tr w14:paraId="1212EF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3AAB10C">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8A07F32"/>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FA6D296"/>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04E9137"/>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FE1A3E8"/>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B87BD94"/>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67ABEE4"/>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52A69A1"/>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67FB7EB"/>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B5F7174"/>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706AF46"/>
        </w:tc>
      </w:tr>
    </w:tbl>
    <w:p w14:paraId="40BCD5BE">
      <w:pPr>
        <w:spacing w:before="0" w:after="0" w:line="240" w:lineRule="exact"/>
        <w:jc w:val="left"/>
        <w:rPr>
          <w:rFonts w:ascii="宋体" w:hAnsi="宋体" w:eastAsia="宋体" w:cs="宋体"/>
          <w:sz w:val="18"/>
          <w:szCs w:val="18"/>
        </w:rPr>
      </w:pPr>
      <w:r>
        <w:rPr>
          <w:rFonts w:ascii="宋体" w:hAnsi="宋体" w:eastAsia="宋体" w:cs="宋体"/>
          <w:sz w:val="18"/>
          <w:szCs w:val="18"/>
        </w:rPr>
        <w:t>按预期信用损失一般模型计提坏账准备</w:t>
      </w:r>
    </w:p>
    <w:p w14:paraId="6749BC4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4D7CD0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7216628">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5BFA0C6">
            <w:pPr>
              <w:spacing w:before="40" w:after="40" w:line="240" w:lineRule="exact"/>
              <w:jc w:val="center"/>
              <w:rPr>
                <w:rFonts w:ascii="宋体" w:hAnsi="宋体" w:eastAsia="宋体" w:cs="宋体"/>
                <w:sz w:val="18"/>
                <w:szCs w:val="18"/>
              </w:rPr>
            </w:pPr>
            <w:r>
              <w:rPr>
                <w:rFonts w:ascii="宋体" w:hAnsi="宋体" w:eastAsia="宋体" w:cs="宋体"/>
                <w:sz w:val="18"/>
                <w:szCs w:val="18"/>
              </w:rPr>
              <w:t>第一阶段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8F3893E">
            <w:pPr>
              <w:spacing w:before="40" w:after="40" w:line="240" w:lineRule="exact"/>
              <w:jc w:val="center"/>
              <w:rPr>
                <w:rFonts w:ascii="宋体" w:hAnsi="宋体" w:eastAsia="宋体" w:cs="宋体"/>
                <w:sz w:val="18"/>
                <w:szCs w:val="18"/>
              </w:rPr>
            </w:pPr>
            <w:r>
              <w:rPr>
                <w:rFonts w:ascii="宋体" w:hAnsi="宋体" w:eastAsia="宋体" w:cs="宋体"/>
                <w:sz w:val="18"/>
                <w:szCs w:val="18"/>
              </w:rPr>
              <w:t>第二阶段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2DADA1C">
            <w:pPr>
              <w:spacing w:before="40" w:after="40" w:line="240" w:lineRule="exact"/>
              <w:jc w:val="center"/>
              <w:rPr>
                <w:rFonts w:ascii="宋体" w:hAnsi="宋体" w:eastAsia="宋体" w:cs="宋体"/>
                <w:sz w:val="18"/>
                <w:szCs w:val="18"/>
              </w:rPr>
            </w:pPr>
            <w:r>
              <w:rPr>
                <w:rFonts w:ascii="宋体" w:hAnsi="宋体" w:eastAsia="宋体" w:cs="宋体"/>
                <w:sz w:val="18"/>
                <w:szCs w:val="18"/>
              </w:rPr>
              <w:t>第三阶段</w:t>
            </w:r>
          </w:p>
        </w:tc>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42260B5">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64762E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90DFB67"/>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5C118DB">
            <w:pPr>
              <w:spacing w:before="40" w:after="40" w:line="240" w:lineRule="exact"/>
              <w:jc w:val="center"/>
              <w:rPr>
                <w:rFonts w:ascii="宋体" w:hAnsi="宋体" w:eastAsia="宋体" w:cs="宋体"/>
                <w:sz w:val="18"/>
                <w:szCs w:val="18"/>
              </w:rPr>
            </w:pPr>
            <w:r>
              <w:rPr>
                <w:rFonts w:ascii="宋体" w:hAnsi="宋体" w:eastAsia="宋体" w:cs="宋体"/>
                <w:sz w:val="18"/>
                <w:szCs w:val="18"/>
              </w:rPr>
              <w:t>未来12个月预期信用损失</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6195EA3">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整个存续期预期信用损失（未发生信用减值）</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05AFB14">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整个存续期预期信用损失（已发生信用减值）</w:t>
            </w:r>
          </w:p>
        </w:tc>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E0FE8AD"/>
        </w:tc>
      </w:tr>
      <w:tr w14:paraId="263639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99EB461">
            <w:pPr>
              <w:spacing w:before="40" w:after="40" w:line="240" w:lineRule="exact"/>
              <w:jc w:val="left"/>
              <w:rPr>
                <w:rFonts w:ascii="宋体" w:hAnsi="宋体" w:eastAsia="宋体" w:cs="宋体"/>
                <w:sz w:val="18"/>
                <w:szCs w:val="18"/>
              </w:rPr>
            </w:pPr>
            <w:r>
              <w:rPr>
                <w:rFonts w:ascii="宋体" w:hAnsi="宋体" w:eastAsia="宋体" w:cs="宋体"/>
                <w:sz w:val="18"/>
                <w:szCs w:val="18"/>
              </w:rPr>
              <w:t>2024年1月1日余额在本期</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99BCE4B"/>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AD7C5B0"/>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7C5AA7A"/>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A9745E6"/>
        </w:tc>
      </w:tr>
    </w:tbl>
    <w:p w14:paraId="07DE1624">
      <w:pPr>
        <w:spacing w:before="100" w:after="100" w:line="240" w:lineRule="exact"/>
        <w:jc w:val="left"/>
        <w:rPr>
          <w:rFonts w:ascii="宋体" w:hAnsi="宋体" w:eastAsia="宋体" w:cs="宋体"/>
          <w:sz w:val="18"/>
          <w:szCs w:val="18"/>
        </w:rPr>
      </w:pPr>
      <w:r>
        <w:rPr>
          <w:rFonts w:ascii="宋体" w:hAnsi="宋体" w:eastAsia="宋体" w:cs="宋体"/>
          <w:sz w:val="18"/>
          <w:szCs w:val="18"/>
        </w:rPr>
        <w:t>各阶段划分依据和坏账准备计提比例</w:t>
      </w:r>
    </w:p>
    <w:p w14:paraId="1711F8F2">
      <w:pPr>
        <w:spacing w:before="100" w:after="100" w:line="240" w:lineRule="exact"/>
        <w:jc w:val="left"/>
        <w:rPr>
          <w:rFonts w:ascii="宋体" w:hAnsi="宋体" w:eastAsia="宋体" w:cs="宋体"/>
          <w:sz w:val="18"/>
          <w:szCs w:val="18"/>
        </w:rPr>
      </w:pPr>
      <w:r>
        <w:rPr>
          <w:rFonts w:ascii="宋体" w:hAnsi="宋体" w:eastAsia="宋体" w:cs="宋体"/>
          <w:sz w:val="18"/>
          <w:szCs w:val="18"/>
        </w:rPr>
        <w:t>对本期发生损失准备变动的应收款项融资账面余额显著变动的情况说明：</w:t>
      </w:r>
    </w:p>
    <w:p w14:paraId="2DE48410">
      <w:pPr>
        <w:keepNext/>
        <w:keepLines/>
        <w:spacing w:before="300" w:after="300" w:line="280" w:lineRule="exact"/>
        <w:jc w:val="left"/>
        <w:outlineLvl w:val="3"/>
        <w:rPr>
          <w:rFonts w:ascii="宋体" w:hAnsi="宋体" w:eastAsia="宋体" w:cs="宋体"/>
          <w:b/>
          <w:bCs/>
          <w:sz w:val="21"/>
          <w:szCs w:val="21"/>
        </w:rPr>
      </w:pPr>
      <w:bookmarkStart w:id="253" w:name="_Toc989140"/>
      <w:r>
        <w:rPr>
          <w:rFonts w:ascii="宋体" w:hAnsi="宋体" w:eastAsia="宋体" w:cs="宋体"/>
          <w:b/>
          <w:bCs/>
          <w:sz w:val="21"/>
          <w:szCs w:val="21"/>
        </w:rPr>
        <w:t>（3） 本期计提、收回或转回的坏账准备的情况</w:t>
      </w:r>
      <w:bookmarkEnd w:id="253"/>
    </w:p>
    <w:p w14:paraId="36F2B0F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75F35B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854EC47">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C674125">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0C642B86">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83DA9F9">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55B0FF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6E971FA"/>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3DCAC9B"/>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C9698EB">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CCCB135">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1E09B91">
            <w:pPr>
              <w:spacing w:before="40" w:after="40" w:line="240" w:lineRule="exact"/>
              <w:jc w:val="center"/>
              <w:rPr>
                <w:rFonts w:ascii="宋体" w:hAnsi="宋体" w:eastAsia="宋体" w:cs="宋体"/>
                <w:sz w:val="18"/>
                <w:szCs w:val="18"/>
              </w:rPr>
            </w:pPr>
            <w:r>
              <w:rPr>
                <w:rFonts w:ascii="宋体" w:hAnsi="宋体" w:eastAsia="宋体" w:cs="宋体"/>
                <w:sz w:val="18"/>
                <w:szCs w:val="18"/>
              </w:rPr>
              <w:t>转销或核销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F243697">
            <w:pPr>
              <w:spacing w:before="40" w:after="40" w:line="240" w:lineRule="exact"/>
              <w:jc w:val="center"/>
              <w:rPr>
                <w:rFonts w:ascii="宋体" w:hAnsi="宋体" w:eastAsia="宋体" w:cs="宋体"/>
                <w:sz w:val="18"/>
                <w:szCs w:val="18"/>
              </w:rPr>
            </w:pPr>
            <w:r>
              <w:rPr>
                <w:rFonts w:ascii="宋体" w:hAnsi="宋体" w:eastAsia="宋体" w:cs="宋体"/>
                <w:sz w:val="18"/>
                <w:szCs w:val="18"/>
              </w:rPr>
              <w:t>其他变动</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3A79FA4"/>
        </w:tc>
      </w:tr>
    </w:tbl>
    <w:p w14:paraId="1B675774">
      <w:pPr>
        <w:spacing w:before="100" w:after="100" w:line="240" w:lineRule="exact"/>
        <w:jc w:val="left"/>
        <w:rPr>
          <w:rFonts w:ascii="宋体" w:hAnsi="宋体" w:eastAsia="宋体" w:cs="宋体"/>
          <w:sz w:val="18"/>
          <w:szCs w:val="18"/>
        </w:rPr>
      </w:pPr>
      <w:r>
        <w:rPr>
          <w:rFonts w:ascii="宋体" w:hAnsi="宋体" w:eastAsia="宋体" w:cs="宋体"/>
          <w:sz w:val="18"/>
          <w:szCs w:val="18"/>
        </w:rPr>
        <w:t>其中本期坏账准备收回或转回金额重要的：</w:t>
      </w:r>
    </w:p>
    <w:p w14:paraId="7D14612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449AF4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D8DC391">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36E62DF">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0B04489">
            <w:pPr>
              <w:spacing w:before="40" w:after="40" w:line="240" w:lineRule="exact"/>
              <w:jc w:val="center"/>
              <w:rPr>
                <w:rFonts w:ascii="宋体" w:hAnsi="宋体" w:eastAsia="宋体" w:cs="宋体"/>
                <w:sz w:val="18"/>
                <w:szCs w:val="18"/>
              </w:rPr>
            </w:pPr>
            <w:r>
              <w:rPr>
                <w:rFonts w:ascii="宋体" w:hAnsi="宋体" w:eastAsia="宋体" w:cs="宋体"/>
                <w:sz w:val="18"/>
                <w:szCs w:val="18"/>
              </w:rPr>
              <w:t>转回原因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6B5F3A7">
            <w:pPr>
              <w:spacing w:before="40" w:after="40" w:line="240" w:lineRule="exact"/>
              <w:jc w:val="center"/>
              <w:rPr>
                <w:rFonts w:ascii="宋体" w:hAnsi="宋体" w:eastAsia="宋体" w:cs="宋体"/>
                <w:sz w:val="18"/>
                <w:szCs w:val="18"/>
              </w:rPr>
            </w:pPr>
            <w:r>
              <w:rPr>
                <w:rFonts w:ascii="宋体" w:hAnsi="宋体" w:eastAsia="宋体" w:cs="宋体"/>
                <w:sz w:val="18"/>
                <w:szCs w:val="18"/>
              </w:rPr>
              <w:t>收回方式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A3A07DA">
            <w:pPr>
              <w:spacing w:before="40" w:after="40" w:line="240" w:lineRule="exact"/>
              <w:jc w:val="center"/>
              <w:rPr>
                <w:rFonts w:ascii="宋体" w:hAnsi="宋体" w:eastAsia="宋体" w:cs="宋体"/>
                <w:sz w:val="18"/>
                <w:szCs w:val="18"/>
              </w:rPr>
            </w:pPr>
            <w:r>
              <w:rPr>
                <w:rFonts w:ascii="宋体" w:hAnsi="宋体" w:eastAsia="宋体" w:cs="宋体"/>
                <w:sz w:val="18"/>
                <w:szCs w:val="18"/>
              </w:rPr>
              <w:t>确定原坏账准备计提比例的依据及其合理性</w:t>
            </w:r>
          </w:p>
        </w:tc>
      </w:tr>
    </w:tbl>
    <w:p w14:paraId="6EE6160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B0BEF17">
      <w:pPr>
        <w:keepNext/>
        <w:keepLines/>
        <w:spacing w:before="300" w:after="300" w:line="280" w:lineRule="exact"/>
        <w:jc w:val="left"/>
        <w:outlineLvl w:val="3"/>
        <w:rPr>
          <w:rFonts w:ascii="宋体" w:hAnsi="宋体" w:eastAsia="宋体" w:cs="宋体"/>
          <w:b/>
          <w:bCs/>
          <w:sz w:val="21"/>
          <w:szCs w:val="21"/>
        </w:rPr>
      </w:pPr>
      <w:bookmarkStart w:id="254" w:name="_Toc989141"/>
      <w:r>
        <w:rPr>
          <w:rFonts w:ascii="宋体" w:hAnsi="宋体" w:eastAsia="宋体" w:cs="宋体"/>
          <w:b/>
          <w:bCs/>
          <w:sz w:val="21"/>
          <w:szCs w:val="21"/>
        </w:rPr>
        <w:t>（4） 期末公司已质押的应收款项融资</w:t>
      </w:r>
      <w:bookmarkEnd w:id="254"/>
    </w:p>
    <w:p w14:paraId="7154A64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7B6D55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247079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259B39C">
            <w:pPr>
              <w:spacing w:before="40" w:after="40" w:line="240" w:lineRule="exact"/>
              <w:jc w:val="center"/>
              <w:rPr>
                <w:rFonts w:ascii="宋体" w:hAnsi="宋体" w:eastAsia="宋体" w:cs="宋体"/>
                <w:sz w:val="18"/>
                <w:szCs w:val="18"/>
              </w:rPr>
            </w:pPr>
            <w:r>
              <w:rPr>
                <w:rFonts w:ascii="宋体" w:hAnsi="宋体" w:eastAsia="宋体" w:cs="宋体"/>
                <w:sz w:val="18"/>
                <w:szCs w:val="18"/>
              </w:rPr>
              <w:t>期末已质押金额</w:t>
            </w:r>
          </w:p>
        </w:tc>
      </w:tr>
    </w:tbl>
    <w:p w14:paraId="7A8FAEBF">
      <w:pPr>
        <w:keepNext/>
        <w:keepLines/>
        <w:spacing w:before="300" w:after="300" w:line="280" w:lineRule="exact"/>
        <w:jc w:val="left"/>
        <w:outlineLvl w:val="3"/>
        <w:rPr>
          <w:rFonts w:ascii="宋体" w:hAnsi="宋体" w:eastAsia="宋体" w:cs="宋体"/>
          <w:b/>
          <w:bCs/>
          <w:sz w:val="21"/>
          <w:szCs w:val="21"/>
        </w:rPr>
      </w:pPr>
      <w:bookmarkStart w:id="255" w:name="_Toc989142"/>
      <w:r>
        <w:rPr>
          <w:rFonts w:ascii="宋体" w:hAnsi="宋体" w:eastAsia="宋体" w:cs="宋体"/>
          <w:b/>
          <w:bCs/>
          <w:sz w:val="21"/>
          <w:szCs w:val="21"/>
        </w:rPr>
        <w:t>（5） 期末公司已背书或贴现且在资产负债表日尚未到期的应收款项融资</w:t>
      </w:r>
      <w:bookmarkEnd w:id="255"/>
    </w:p>
    <w:p w14:paraId="2530D9B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3B2E99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316DCF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B27E2DD">
            <w:pPr>
              <w:spacing w:before="40" w:after="40" w:line="240" w:lineRule="exact"/>
              <w:jc w:val="center"/>
              <w:rPr>
                <w:rFonts w:ascii="宋体" w:hAnsi="宋体" w:eastAsia="宋体" w:cs="宋体"/>
                <w:sz w:val="18"/>
                <w:szCs w:val="18"/>
              </w:rPr>
            </w:pPr>
            <w:r>
              <w:rPr>
                <w:rFonts w:ascii="宋体" w:hAnsi="宋体" w:eastAsia="宋体" w:cs="宋体"/>
                <w:sz w:val="18"/>
                <w:szCs w:val="18"/>
              </w:rPr>
              <w:t>期末终止确认金额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0604D84">
            <w:pPr>
              <w:spacing w:before="40" w:after="40" w:line="240" w:lineRule="exact"/>
              <w:jc w:val="center"/>
              <w:rPr>
                <w:rFonts w:ascii="宋体" w:hAnsi="宋体" w:eastAsia="宋体" w:cs="宋体"/>
                <w:sz w:val="18"/>
                <w:szCs w:val="18"/>
              </w:rPr>
            </w:pPr>
            <w:r>
              <w:rPr>
                <w:rFonts w:ascii="宋体" w:hAnsi="宋体" w:eastAsia="宋体" w:cs="宋体"/>
                <w:sz w:val="18"/>
                <w:szCs w:val="18"/>
              </w:rPr>
              <w:t>期末未终止确认金额</w:t>
            </w:r>
          </w:p>
        </w:tc>
      </w:tr>
      <w:tr w14:paraId="049D26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93E3FDB">
            <w:pPr>
              <w:spacing w:before="0" w:after="0" w:line="240" w:lineRule="exact"/>
              <w:jc w:val="left"/>
              <w:rPr>
                <w:rFonts w:ascii="宋体" w:hAnsi="宋体" w:eastAsia="宋体" w:cs="宋体"/>
                <w:sz w:val="18"/>
                <w:szCs w:val="18"/>
              </w:rPr>
            </w:pPr>
            <w:r>
              <w:rPr>
                <w:rFonts w:ascii="宋体" w:hAnsi="宋体" w:eastAsia="宋体" w:cs="宋体"/>
                <w:sz w:val="18"/>
                <w:szCs w:val="18"/>
              </w:rPr>
              <w:t>银行承兑汇票</w:t>
            </w:r>
          </w:p>
        </w:tc>
        <w:tc>
          <w:tcPr>
            <w:tcW w:w="3213" w:type="dxa"/>
            <w:tcBorders>
              <w:top w:val="single" w:color="auto" w:sz="2" w:space="0"/>
              <w:left w:val="single" w:color="auto" w:sz="2" w:space="0"/>
              <w:bottom w:val="single" w:color="auto" w:sz="2" w:space="0"/>
              <w:right w:val="single" w:color="auto" w:sz="2" w:space="0"/>
            </w:tcBorders>
            <w:vAlign w:val="center"/>
          </w:tcPr>
          <w:p w14:paraId="642DA888">
            <w:pPr>
              <w:spacing w:before="0" w:after="0" w:line="240" w:lineRule="exact"/>
              <w:jc w:val="right"/>
              <w:rPr>
                <w:rFonts w:ascii="宋体" w:hAnsi="宋体" w:eastAsia="宋体" w:cs="宋体"/>
                <w:sz w:val="18"/>
                <w:szCs w:val="18"/>
              </w:rPr>
            </w:pPr>
            <w:r>
              <w:rPr>
                <w:rFonts w:ascii="宋体" w:hAnsi="宋体" w:eastAsia="宋体" w:cs="宋体"/>
                <w:sz w:val="18"/>
                <w:szCs w:val="18"/>
              </w:rPr>
              <w:t>2,559,754.37</w:t>
            </w:r>
          </w:p>
        </w:tc>
        <w:tc>
          <w:tcPr>
            <w:tcW w:w="3213" w:type="dxa"/>
            <w:tcBorders>
              <w:top w:val="single" w:color="auto" w:sz="2" w:space="0"/>
              <w:left w:val="single" w:color="auto" w:sz="2" w:space="0"/>
              <w:bottom w:val="single" w:color="auto" w:sz="2" w:space="0"/>
              <w:right w:val="single" w:color="auto" w:sz="2" w:space="0"/>
            </w:tcBorders>
            <w:vAlign w:val="center"/>
          </w:tcPr>
          <w:p w14:paraId="284D4F04">
            <w:pPr>
              <w:spacing w:before="0" w:after="0" w:line="240" w:lineRule="exact"/>
              <w:jc w:val="right"/>
              <w:rPr>
                <w:rFonts w:ascii="宋体" w:hAnsi="宋体" w:eastAsia="宋体" w:cs="宋体"/>
                <w:sz w:val="18"/>
                <w:szCs w:val="18"/>
              </w:rPr>
            </w:pPr>
          </w:p>
        </w:tc>
      </w:tr>
      <w:tr w14:paraId="6206C1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2A7855">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4CD60C2E">
            <w:pPr>
              <w:spacing w:before="0" w:after="0" w:line="240" w:lineRule="exact"/>
              <w:jc w:val="right"/>
              <w:rPr>
                <w:rFonts w:ascii="宋体" w:hAnsi="宋体" w:eastAsia="宋体" w:cs="宋体"/>
                <w:sz w:val="18"/>
                <w:szCs w:val="18"/>
              </w:rPr>
            </w:pPr>
            <w:r>
              <w:rPr>
                <w:rFonts w:ascii="宋体" w:hAnsi="宋体" w:eastAsia="宋体" w:cs="宋体"/>
                <w:sz w:val="18"/>
                <w:szCs w:val="18"/>
              </w:rPr>
              <w:t>2,559,754.37</w:t>
            </w:r>
          </w:p>
        </w:tc>
        <w:tc>
          <w:tcPr>
            <w:tcW w:w="3213" w:type="dxa"/>
            <w:tcBorders>
              <w:top w:val="single" w:color="auto" w:sz="2" w:space="0"/>
              <w:left w:val="single" w:color="auto" w:sz="2" w:space="0"/>
              <w:bottom w:val="single" w:color="auto" w:sz="2" w:space="0"/>
              <w:right w:val="single" w:color="auto" w:sz="2" w:space="0"/>
            </w:tcBorders>
            <w:vAlign w:val="center"/>
          </w:tcPr>
          <w:p w14:paraId="1948E31D">
            <w:pPr>
              <w:spacing w:before="0" w:after="0" w:line="240" w:lineRule="exact"/>
              <w:jc w:val="right"/>
              <w:rPr>
                <w:rFonts w:ascii="宋体" w:hAnsi="宋体" w:eastAsia="宋体" w:cs="宋体"/>
                <w:sz w:val="18"/>
                <w:szCs w:val="18"/>
              </w:rPr>
            </w:pPr>
          </w:p>
        </w:tc>
      </w:tr>
    </w:tbl>
    <w:p w14:paraId="4F832091">
      <w:pPr>
        <w:keepNext/>
        <w:keepLines/>
        <w:spacing w:before="300" w:after="300" w:line="280" w:lineRule="exact"/>
        <w:jc w:val="left"/>
        <w:outlineLvl w:val="3"/>
        <w:rPr>
          <w:rFonts w:ascii="宋体" w:hAnsi="宋体" w:eastAsia="宋体" w:cs="宋体"/>
          <w:b/>
          <w:bCs/>
          <w:sz w:val="21"/>
          <w:szCs w:val="21"/>
        </w:rPr>
      </w:pPr>
      <w:bookmarkStart w:id="256" w:name="_Toc989143"/>
      <w:r>
        <w:rPr>
          <w:rFonts w:ascii="宋体" w:hAnsi="宋体" w:eastAsia="宋体" w:cs="宋体"/>
          <w:b/>
          <w:bCs/>
          <w:sz w:val="21"/>
          <w:szCs w:val="21"/>
        </w:rPr>
        <w:t>（6） 本期实际核销的应收款项融资情况</w:t>
      </w:r>
      <w:bookmarkEnd w:id="256"/>
    </w:p>
    <w:p w14:paraId="455B4BE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240FFF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146DBE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DE30D7C">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0B35A51C">
      <w:pPr>
        <w:spacing w:before="0" w:after="0" w:line="0" w:lineRule="exact"/>
        <w:jc w:val="left"/>
      </w:pPr>
    </w:p>
    <w:p w14:paraId="134D6218">
      <w:pPr>
        <w:spacing w:before="100" w:after="100" w:line="240" w:lineRule="exact"/>
        <w:jc w:val="left"/>
        <w:rPr>
          <w:rFonts w:ascii="宋体" w:hAnsi="宋体" w:eastAsia="宋体" w:cs="宋体"/>
          <w:sz w:val="18"/>
          <w:szCs w:val="18"/>
        </w:rPr>
      </w:pPr>
      <w:r>
        <w:rPr>
          <w:rFonts w:ascii="宋体" w:hAnsi="宋体" w:eastAsia="宋体" w:cs="宋体"/>
          <w:sz w:val="18"/>
          <w:szCs w:val="18"/>
        </w:rPr>
        <w:t>其中重要的应收款项融资核销情况</w:t>
      </w:r>
    </w:p>
    <w:p w14:paraId="2F382A4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658993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55A78F4">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6E4D342">
            <w:pPr>
              <w:spacing w:before="40" w:after="40" w:line="240" w:lineRule="exact"/>
              <w:jc w:val="center"/>
              <w:rPr>
                <w:rFonts w:ascii="宋体" w:hAnsi="宋体" w:eastAsia="宋体" w:cs="宋体"/>
                <w:sz w:val="18"/>
                <w:szCs w:val="18"/>
              </w:rPr>
            </w:pPr>
            <w:r>
              <w:rPr>
                <w:rFonts w:ascii="宋体" w:hAnsi="宋体" w:eastAsia="宋体" w:cs="宋体"/>
                <w:sz w:val="18"/>
                <w:szCs w:val="18"/>
              </w:rPr>
              <w:t>款项性质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33C593F">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3AB45DF">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73EC9C0">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0114FDF">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58D03CDC">
      <w:pPr>
        <w:spacing w:before="100" w:after="100" w:line="240" w:lineRule="exact"/>
        <w:jc w:val="left"/>
        <w:rPr>
          <w:rFonts w:ascii="宋体" w:hAnsi="宋体" w:eastAsia="宋体" w:cs="宋体"/>
          <w:sz w:val="18"/>
          <w:szCs w:val="18"/>
        </w:rPr>
      </w:pPr>
      <w:r>
        <w:rPr>
          <w:rFonts w:ascii="宋体" w:hAnsi="宋体" w:eastAsia="宋体" w:cs="宋体"/>
          <w:sz w:val="18"/>
          <w:szCs w:val="18"/>
        </w:rPr>
        <w:t>核销说明：</w:t>
      </w:r>
    </w:p>
    <w:p w14:paraId="2FFA5952">
      <w:pPr>
        <w:keepNext/>
        <w:keepLines/>
        <w:spacing w:before="300" w:after="300" w:line="280" w:lineRule="exact"/>
        <w:jc w:val="left"/>
        <w:outlineLvl w:val="3"/>
        <w:rPr>
          <w:rFonts w:ascii="宋体" w:hAnsi="宋体" w:eastAsia="宋体" w:cs="宋体"/>
          <w:b/>
          <w:bCs/>
          <w:sz w:val="21"/>
          <w:szCs w:val="21"/>
        </w:rPr>
      </w:pPr>
      <w:bookmarkStart w:id="257" w:name="_Toc989144"/>
      <w:r>
        <w:rPr>
          <w:rFonts w:ascii="宋体" w:hAnsi="宋体" w:eastAsia="宋体" w:cs="宋体"/>
          <w:b/>
          <w:bCs/>
          <w:sz w:val="21"/>
          <w:szCs w:val="21"/>
        </w:rPr>
        <w:t>（7） 应收款项融资本期增减变动及公允价值变动情况</w:t>
      </w:r>
      <w:bookmarkEnd w:id="257"/>
    </w:p>
    <w:p w14:paraId="73211D15">
      <w:pPr>
        <w:keepNext/>
        <w:keepLines/>
        <w:spacing w:before="300" w:after="300" w:line="280" w:lineRule="exact"/>
        <w:jc w:val="left"/>
        <w:outlineLvl w:val="3"/>
        <w:rPr>
          <w:rFonts w:ascii="宋体" w:hAnsi="宋体" w:eastAsia="宋体" w:cs="宋体"/>
          <w:b/>
          <w:bCs/>
          <w:sz w:val="21"/>
          <w:szCs w:val="21"/>
        </w:rPr>
      </w:pPr>
      <w:bookmarkStart w:id="258" w:name="_Toc989145"/>
      <w:r>
        <w:rPr>
          <w:rFonts w:ascii="宋体" w:hAnsi="宋体" w:eastAsia="宋体" w:cs="宋体"/>
          <w:b/>
          <w:bCs/>
          <w:sz w:val="21"/>
          <w:szCs w:val="21"/>
        </w:rPr>
        <w:t>（8） 其他说明</w:t>
      </w:r>
      <w:bookmarkEnd w:id="258"/>
    </w:p>
    <w:p w14:paraId="47D7A02B">
      <w:pPr>
        <w:keepNext/>
        <w:keepLines/>
        <w:spacing w:before="300" w:after="300" w:line="280" w:lineRule="exact"/>
        <w:jc w:val="left"/>
        <w:outlineLvl w:val="2"/>
        <w:rPr>
          <w:rFonts w:ascii="宋体" w:hAnsi="宋体" w:eastAsia="宋体" w:cs="宋体"/>
          <w:b/>
          <w:bCs/>
          <w:sz w:val="21"/>
          <w:szCs w:val="21"/>
        </w:rPr>
      </w:pPr>
      <w:bookmarkStart w:id="259" w:name="_Toc989146"/>
      <w:r>
        <w:rPr>
          <w:rFonts w:ascii="宋体" w:hAnsi="宋体" w:eastAsia="宋体" w:cs="宋体"/>
          <w:b/>
          <w:bCs/>
          <w:sz w:val="21"/>
          <w:szCs w:val="21"/>
        </w:rPr>
        <w:t>8、其他应收款</w:t>
      </w:r>
      <w:bookmarkEnd w:id="259"/>
    </w:p>
    <w:p w14:paraId="11B90C3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856E4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DAF467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70993C6">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1133C6D">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17D4DB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D809CC0">
            <w:pPr>
              <w:spacing w:before="40" w:after="40" w:line="240" w:lineRule="exact"/>
              <w:jc w:val="left"/>
              <w:rPr>
                <w:rFonts w:ascii="宋体" w:hAnsi="宋体" w:eastAsia="宋体" w:cs="宋体"/>
                <w:sz w:val="18"/>
                <w:szCs w:val="18"/>
              </w:rPr>
            </w:pPr>
            <w:r>
              <w:rPr>
                <w:rFonts w:ascii="宋体" w:hAnsi="宋体" w:eastAsia="宋体" w:cs="宋体"/>
                <w:sz w:val="18"/>
                <w:szCs w:val="18"/>
              </w:rPr>
              <w:t>其他应收款</w:t>
            </w:r>
          </w:p>
        </w:tc>
        <w:tc>
          <w:tcPr>
            <w:tcW w:w="3213" w:type="dxa"/>
            <w:tcBorders>
              <w:top w:val="single" w:color="auto" w:sz="2" w:space="0"/>
              <w:left w:val="single" w:color="auto" w:sz="2" w:space="0"/>
              <w:bottom w:val="single" w:color="auto" w:sz="2" w:space="0"/>
              <w:right w:val="single" w:color="auto" w:sz="2" w:space="0"/>
            </w:tcBorders>
            <w:vAlign w:val="center"/>
          </w:tcPr>
          <w:p w14:paraId="7A09D889">
            <w:pPr>
              <w:spacing w:before="0" w:after="0" w:line="240" w:lineRule="exact"/>
              <w:jc w:val="right"/>
              <w:rPr>
                <w:rFonts w:ascii="宋体" w:hAnsi="宋体" w:eastAsia="宋体" w:cs="宋体"/>
                <w:sz w:val="18"/>
                <w:szCs w:val="18"/>
              </w:rPr>
            </w:pPr>
            <w:r>
              <w:rPr>
                <w:rFonts w:ascii="宋体" w:hAnsi="宋体" w:eastAsia="宋体" w:cs="宋体"/>
                <w:sz w:val="18"/>
                <w:szCs w:val="18"/>
              </w:rPr>
              <w:t>4,287,785.99</w:t>
            </w:r>
          </w:p>
        </w:tc>
        <w:tc>
          <w:tcPr>
            <w:tcW w:w="3213" w:type="dxa"/>
            <w:tcBorders>
              <w:top w:val="single" w:color="auto" w:sz="2" w:space="0"/>
              <w:left w:val="single" w:color="auto" w:sz="2" w:space="0"/>
              <w:bottom w:val="single" w:color="auto" w:sz="2" w:space="0"/>
              <w:right w:val="single" w:color="auto" w:sz="2" w:space="0"/>
            </w:tcBorders>
            <w:vAlign w:val="center"/>
          </w:tcPr>
          <w:p w14:paraId="7451843A">
            <w:pPr>
              <w:spacing w:before="0" w:after="0" w:line="240" w:lineRule="exact"/>
              <w:jc w:val="right"/>
              <w:rPr>
                <w:rFonts w:ascii="宋体" w:hAnsi="宋体" w:eastAsia="宋体" w:cs="宋体"/>
                <w:sz w:val="18"/>
                <w:szCs w:val="18"/>
              </w:rPr>
            </w:pPr>
            <w:r>
              <w:rPr>
                <w:rFonts w:ascii="宋体" w:hAnsi="宋体" w:eastAsia="宋体" w:cs="宋体"/>
                <w:sz w:val="18"/>
                <w:szCs w:val="18"/>
              </w:rPr>
              <w:t>1,487,975.05</w:t>
            </w:r>
          </w:p>
        </w:tc>
      </w:tr>
      <w:tr w14:paraId="7B6BAF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8356DBF">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13899A48">
            <w:pPr>
              <w:spacing w:before="0" w:after="0" w:line="240" w:lineRule="exact"/>
              <w:jc w:val="right"/>
              <w:rPr>
                <w:rFonts w:ascii="宋体" w:hAnsi="宋体" w:eastAsia="宋体" w:cs="宋体"/>
                <w:sz w:val="18"/>
                <w:szCs w:val="18"/>
              </w:rPr>
            </w:pPr>
            <w:r>
              <w:rPr>
                <w:rFonts w:ascii="宋体" w:hAnsi="宋体" w:eastAsia="宋体" w:cs="宋体"/>
                <w:sz w:val="18"/>
                <w:szCs w:val="18"/>
              </w:rPr>
              <w:t>4,287,785.99</w:t>
            </w:r>
          </w:p>
        </w:tc>
        <w:tc>
          <w:tcPr>
            <w:tcW w:w="3213" w:type="dxa"/>
            <w:tcBorders>
              <w:top w:val="single" w:color="auto" w:sz="2" w:space="0"/>
              <w:left w:val="single" w:color="auto" w:sz="2" w:space="0"/>
              <w:bottom w:val="single" w:color="auto" w:sz="2" w:space="0"/>
              <w:right w:val="single" w:color="auto" w:sz="2" w:space="0"/>
            </w:tcBorders>
            <w:vAlign w:val="center"/>
          </w:tcPr>
          <w:p w14:paraId="6B85D120">
            <w:pPr>
              <w:spacing w:before="0" w:after="0" w:line="240" w:lineRule="exact"/>
              <w:jc w:val="right"/>
              <w:rPr>
                <w:rFonts w:ascii="宋体" w:hAnsi="宋体" w:eastAsia="宋体" w:cs="宋体"/>
                <w:sz w:val="18"/>
                <w:szCs w:val="18"/>
              </w:rPr>
            </w:pPr>
            <w:r>
              <w:rPr>
                <w:rFonts w:ascii="宋体" w:hAnsi="宋体" w:eastAsia="宋体" w:cs="宋体"/>
                <w:sz w:val="18"/>
                <w:szCs w:val="18"/>
              </w:rPr>
              <w:t>1,487,975.05</w:t>
            </w:r>
          </w:p>
        </w:tc>
      </w:tr>
    </w:tbl>
    <w:p w14:paraId="00834873">
      <w:pPr>
        <w:keepNext/>
        <w:keepLines/>
        <w:spacing w:before="300" w:after="300" w:line="280" w:lineRule="exact"/>
        <w:jc w:val="left"/>
        <w:outlineLvl w:val="3"/>
        <w:rPr>
          <w:rFonts w:ascii="宋体" w:hAnsi="宋体" w:eastAsia="宋体" w:cs="宋体"/>
          <w:b/>
          <w:bCs/>
          <w:sz w:val="21"/>
          <w:szCs w:val="21"/>
        </w:rPr>
      </w:pPr>
      <w:bookmarkStart w:id="260" w:name="_Toc989147"/>
      <w:r>
        <w:rPr>
          <w:rFonts w:ascii="宋体" w:hAnsi="宋体" w:eastAsia="宋体" w:cs="宋体"/>
          <w:b/>
          <w:bCs/>
          <w:sz w:val="21"/>
          <w:szCs w:val="21"/>
        </w:rPr>
        <w:t>（1） 应收利息</w:t>
      </w:r>
      <w:bookmarkEnd w:id="260"/>
    </w:p>
    <w:p w14:paraId="76A45B9B">
      <w:pPr>
        <w:keepNext/>
        <w:keepLines/>
        <w:spacing w:before="300" w:after="300" w:line="280" w:lineRule="exact"/>
        <w:jc w:val="left"/>
        <w:outlineLvl w:val="4"/>
        <w:rPr>
          <w:rFonts w:ascii="宋体" w:hAnsi="宋体" w:eastAsia="宋体" w:cs="宋体"/>
          <w:b/>
          <w:bCs/>
          <w:sz w:val="21"/>
          <w:szCs w:val="21"/>
        </w:rPr>
      </w:pPr>
      <w:bookmarkStart w:id="261" w:name="_Toc989148"/>
      <w:r>
        <w:rPr>
          <w:rFonts w:ascii="宋体" w:hAnsi="宋体" w:eastAsia="宋体" w:cs="宋体"/>
          <w:b/>
          <w:bCs/>
          <w:sz w:val="21"/>
          <w:szCs w:val="21"/>
        </w:rPr>
        <w:t>1） 应收利息分类</w:t>
      </w:r>
      <w:bookmarkEnd w:id="261"/>
    </w:p>
    <w:p w14:paraId="6DAFA4B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151A8B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5C79B8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9F9F4EB">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272572D">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3077FA3F">
      <w:pPr>
        <w:keepNext/>
        <w:keepLines/>
        <w:spacing w:before="300" w:after="300" w:line="280" w:lineRule="exact"/>
        <w:jc w:val="left"/>
        <w:outlineLvl w:val="4"/>
        <w:rPr>
          <w:rFonts w:ascii="宋体" w:hAnsi="宋体" w:eastAsia="宋体" w:cs="宋体"/>
          <w:b/>
          <w:bCs/>
          <w:sz w:val="21"/>
          <w:szCs w:val="21"/>
        </w:rPr>
      </w:pPr>
      <w:bookmarkStart w:id="262" w:name="_Toc989149"/>
      <w:r>
        <w:rPr>
          <w:rFonts w:ascii="宋体" w:hAnsi="宋体" w:eastAsia="宋体" w:cs="宋体"/>
          <w:b/>
          <w:bCs/>
          <w:sz w:val="21"/>
          <w:szCs w:val="21"/>
        </w:rPr>
        <w:t>2） 重要逾期利息</w:t>
      </w:r>
      <w:bookmarkEnd w:id="262"/>
    </w:p>
    <w:p w14:paraId="29A4FCB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62B8C7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92C396E">
            <w:pPr>
              <w:spacing w:before="40" w:after="40" w:line="240" w:lineRule="exact"/>
              <w:jc w:val="center"/>
              <w:rPr>
                <w:rFonts w:ascii="宋体" w:hAnsi="宋体" w:eastAsia="宋体" w:cs="宋体"/>
                <w:sz w:val="18"/>
                <w:szCs w:val="18"/>
              </w:rPr>
            </w:pPr>
            <w:r>
              <w:rPr>
                <w:rFonts w:ascii="宋体" w:hAnsi="宋体" w:eastAsia="宋体" w:cs="宋体"/>
                <w:sz w:val="18"/>
                <w:szCs w:val="18"/>
              </w:rPr>
              <w:t>借款单位</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09C127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AA613A1">
            <w:pPr>
              <w:spacing w:before="40" w:after="40" w:line="240" w:lineRule="exact"/>
              <w:jc w:val="center"/>
              <w:rPr>
                <w:rFonts w:ascii="宋体" w:hAnsi="宋体" w:eastAsia="宋体" w:cs="宋体"/>
                <w:sz w:val="18"/>
                <w:szCs w:val="18"/>
              </w:rPr>
            </w:pPr>
            <w:r>
              <w:rPr>
                <w:rFonts w:ascii="宋体" w:hAnsi="宋体" w:eastAsia="宋体" w:cs="宋体"/>
                <w:sz w:val="18"/>
                <w:szCs w:val="18"/>
              </w:rPr>
              <w:t>逾期时间</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0BEE849">
            <w:pPr>
              <w:spacing w:before="40" w:after="40" w:line="240" w:lineRule="exact"/>
              <w:jc w:val="center"/>
              <w:rPr>
                <w:rFonts w:ascii="宋体" w:hAnsi="宋体" w:eastAsia="宋体" w:cs="宋体"/>
                <w:sz w:val="18"/>
                <w:szCs w:val="18"/>
              </w:rPr>
            </w:pPr>
            <w:r>
              <w:rPr>
                <w:rFonts w:ascii="宋体" w:hAnsi="宋体" w:eastAsia="宋体" w:cs="宋体"/>
                <w:sz w:val="18"/>
                <w:szCs w:val="18"/>
              </w:rPr>
              <w:t>逾期原因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BD8CD68">
            <w:pPr>
              <w:spacing w:before="40" w:after="40" w:line="240" w:lineRule="exact"/>
              <w:jc w:val="center"/>
              <w:rPr>
                <w:rFonts w:ascii="宋体" w:hAnsi="宋体" w:eastAsia="宋体" w:cs="宋体"/>
                <w:sz w:val="18"/>
                <w:szCs w:val="18"/>
              </w:rPr>
            </w:pPr>
            <w:r>
              <w:rPr>
                <w:rFonts w:ascii="宋体" w:hAnsi="宋体" w:eastAsia="宋体" w:cs="宋体"/>
                <w:sz w:val="18"/>
                <w:szCs w:val="18"/>
              </w:rPr>
              <w:t>是否发生减值及其判断依据</w:t>
            </w:r>
          </w:p>
        </w:tc>
      </w:tr>
    </w:tbl>
    <w:p w14:paraId="7F3C279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DF1FAD9">
      <w:pPr>
        <w:keepNext/>
        <w:keepLines/>
        <w:spacing w:before="300" w:after="300" w:line="280" w:lineRule="exact"/>
        <w:jc w:val="left"/>
        <w:outlineLvl w:val="4"/>
        <w:rPr>
          <w:rFonts w:ascii="宋体" w:hAnsi="宋体" w:eastAsia="宋体" w:cs="宋体"/>
          <w:b/>
          <w:bCs/>
          <w:sz w:val="21"/>
          <w:szCs w:val="21"/>
        </w:rPr>
      </w:pPr>
      <w:bookmarkStart w:id="263" w:name="_Toc989150"/>
      <w:r>
        <w:rPr>
          <w:rFonts w:ascii="宋体" w:hAnsi="宋体" w:eastAsia="宋体" w:cs="宋体"/>
          <w:b/>
          <w:bCs/>
          <w:sz w:val="21"/>
          <w:szCs w:val="21"/>
        </w:rPr>
        <w:t>3） 按坏账计提方法分类披露</w:t>
      </w:r>
      <w:bookmarkEnd w:id="263"/>
    </w:p>
    <w:p w14:paraId="47ABD2FE">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F5BBA8F">
      <w:pPr>
        <w:keepNext/>
        <w:keepLines/>
        <w:spacing w:before="300" w:after="300" w:line="280" w:lineRule="exact"/>
        <w:jc w:val="left"/>
        <w:outlineLvl w:val="4"/>
        <w:rPr>
          <w:rFonts w:ascii="宋体" w:hAnsi="宋体" w:eastAsia="宋体" w:cs="宋体"/>
          <w:b/>
          <w:bCs/>
          <w:sz w:val="18"/>
          <w:szCs w:val="18"/>
        </w:rPr>
      </w:pPr>
      <w:bookmarkStart w:id="264" w:name="_Toc989151"/>
      <w:r>
        <w:rPr>
          <w:rFonts w:ascii="宋体" w:hAnsi="宋体" w:eastAsia="宋体" w:cs="宋体"/>
          <w:b/>
          <w:bCs/>
          <w:sz w:val="18"/>
          <w:szCs w:val="18"/>
        </w:rPr>
        <w:t>4） 本期计提、收回或转回的坏账准备的情况</w:t>
      </w:r>
      <w:bookmarkEnd w:id="264"/>
    </w:p>
    <w:p w14:paraId="6DA0824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13C5D5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1036086">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901F64B">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47436C86">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89AD83D">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482CBC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196FCED"/>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84B6B8E"/>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C28FC2F">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C7A90A5">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DB96DB4">
            <w:pPr>
              <w:spacing w:before="40" w:after="40" w:line="240" w:lineRule="exact"/>
              <w:jc w:val="center"/>
              <w:rPr>
                <w:rFonts w:ascii="宋体" w:hAnsi="宋体" w:eastAsia="宋体" w:cs="宋体"/>
                <w:sz w:val="18"/>
                <w:szCs w:val="18"/>
              </w:rPr>
            </w:pPr>
            <w:r>
              <w:rPr>
                <w:rFonts w:ascii="宋体" w:hAnsi="宋体" w:eastAsia="宋体" w:cs="宋体"/>
                <w:sz w:val="18"/>
                <w:szCs w:val="18"/>
              </w:rPr>
              <w:t>转销或核销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A843EC2">
            <w:pPr>
              <w:spacing w:before="40" w:after="40" w:line="240" w:lineRule="exact"/>
              <w:jc w:val="center"/>
              <w:rPr>
                <w:rFonts w:ascii="宋体" w:hAnsi="宋体" w:eastAsia="宋体" w:cs="宋体"/>
                <w:sz w:val="18"/>
                <w:szCs w:val="18"/>
              </w:rPr>
            </w:pPr>
            <w:r>
              <w:rPr>
                <w:rFonts w:ascii="宋体" w:hAnsi="宋体" w:eastAsia="宋体" w:cs="宋体"/>
                <w:sz w:val="18"/>
                <w:szCs w:val="18"/>
              </w:rPr>
              <w:t>其他变动</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30D8865"/>
        </w:tc>
      </w:tr>
    </w:tbl>
    <w:p w14:paraId="72B402D9">
      <w:pPr>
        <w:spacing w:before="100" w:after="100" w:line="240" w:lineRule="exact"/>
        <w:jc w:val="left"/>
        <w:rPr>
          <w:rFonts w:ascii="宋体" w:hAnsi="宋体" w:eastAsia="宋体" w:cs="宋体"/>
          <w:sz w:val="18"/>
          <w:szCs w:val="18"/>
        </w:rPr>
      </w:pPr>
      <w:r>
        <w:rPr>
          <w:rFonts w:ascii="宋体" w:hAnsi="宋体" w:eastAsia="宋体" w:cs="宋体"/>
          <w:sz w:val="18"/>
          <w:szCs w:val="18"/>
        </w:rPr>
        <w:t>其中本期坏账准备收回或转回金额重要的：</w:t>
      </w:r>
    </w:p>
    <w:p w14:paraId="3847686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1CFC7E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7919390">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1366CD2">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9BE1EB8">
            <w:pPr>
              <w:spacing w:before="40" w:after="40" w:line="240" w:lineRule="exact"/>
              <w:jc w:val="center"/>
              <w:rPr>
                <w:rFonts w:ascii="宋体" w:hAnsi="宋体" w:eastAsia="宋体" w:cs="宋体"/>
                <w:sz w:val="18"/>
                <w:szCs w:val="18"/>
              </w:rPr>
            </w:pPr>
            <w:r>
              <w:rPr>
                <w:rFonts w:ascii="宋体" w:hAnsi="宋体" w:eastAsia="宋体" w:cs="宋体"/>
                <w:sz w:val="18"/>
                <w:szCs w:val="18"/>
              </w:rPr>
              <w:t>转回原因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F26A601">
            <w:pPr>
              <w:spacing w:before="40" w:after="40" w:line="240" w:lineRule="exact"/>
              <w:jc w:val="center"/>
              <w:rPr>
                <w:rFonts w:ascii="宋体" w:hAnsi="宋体" w:eastAsia="宋体" w:cs="宋体"/>
                <w:sz w:val="18"/>
                <w:szCs w:val="18"/>
              </w:rPr>
            </w:pPr>
            <w:r>
              <w:rPr>
                <w:rFonts w:ascii="宋体" w:hAnsi="宋体" w:eastAsia="宋体" w:cs="宋体"/>
                <w:sz w:val="18"/>
                <w:szCs w:val="18"/>
              </w:rPr>
              <w:t>收回方式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DFC63A6">
            <w:pPr>
              <w:spacing w:before="40" w:after="40" w:line="240" w:lineRule="exact"/>
              <w:jc w:val="center"/>
              <w:rPr>
                <w:rFonts w:ascii="宋体" w:hAnsi="宋体" w:eastAsia="宋体" w:cs="宋体"/>
                <w:sz w:val="18"/>
                <w:szCs w:val="18"/>
              </w:rPr>
            </w:pPr>
            <w:r>
              <w:rPr>
                <w:rFonts w:ascii="宋体" w:hAnsi="宋体" w:eastAsia="宋体" w:cs="宋体"/>
                <w:sz w:val="18"/>
                <w:szCs w:val="18"/>
              </w:rPr>
              <w:t>确定原坏账准备计提比例的依据及其合理性</w:t>
            </w:r>
          </w:p>
        </w:tc>
      </w:tr>
    </w:tbl>
    <w:p w14:paraId="36722BC5">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ADA69C9">
      <w:pPr>
        <w:keepNext/>
        <w:keepLines/>
        <w:spacing w:before="300" w:after="300" w:line="280" w:lineRule="exact"/>
        <w:jc w:val="left"/>
        <w:outlineLvl w:val="4"/>
        <w:rPr>
          <w:rFonts w:ascii="宋体" w:hAnsi="宋体" w:eastAsia="宋体" w:cs="宋体"/>
          <w:b/>
          <w:bCs/>
          <w:sz w:val="18"/>
          <w:szCs w:val="18"/>
        </w:rPr>
      </w:pPr>
      <w:bookmarkStart w:id="265" w:name="_Toc989152"/>
      <w:r>
        <w:rPr>
          <w:rFonts w:ascii="宋体" w:hAnsi="宋体" w:eastAsia="宋体" w:cs="宋体"/>
          <w:b/>
          <w:bCs/>
          <w:sz w:val="18"/>
          <w:szCs w:val="18"/>
        </w:rPr>
        <w:t>5） 本期实际核销的应收利息情况</w:t>
      </w:r>
      <w:bookmarkEnd w:id="265"/>
    </w:p>
    <w:p w14:paraId="5D30499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68DC07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CCCDCE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F5C6A20">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2E6198DB">
      <w:pPr>
        <w:spacing w:before="100" w:after="100" w:line="240" w:lineRule="exact"/>
        <w:jc w:val="left"/>
        <w:rPr>
          <w:rFonts w:ascii="宋体" w:hAnsi="宋体" w:eastAsia="宋体" w:cs="宋体"/>
          <w:sz w:val="18"/>
          <w:szCs w:val="18"/>
        </w:rPr>
      </w:pPr>
      <w:r>
        <w:rPr>
          <w:rFonts w:ascii="宋体" w:hAnsi="宋体" w:eastAsia="宋体" w:cs="宋体"/>
          <w:sz w:val="18"/>
          <w:szCs w:val="18"/>
        </w:rPr>
        <w:t>其中重要的应收利息核销情况</w:t>
      </w:r>
    </w:p>
    <w:p w14:paraId="2C118B2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7CA3B0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75C671A">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2C25566">
            <w:pPr>
              <w:spacing w:before="40" w:after="40" w:line="240" w:lineRule="exact"/>
              <w:jc w:val="center"/>
              <w:rPr>
                <w:rFonts w:ascii="宋体" w:hAnsi="宋体" w:eastAsia="宋体" w:cs="宋体"/>
                <w:sz w:val="18"/>
                <w:szCs w:val="18"/>
              </w:rPr>
            </w:pPr>
            <w:r>
              <w:rPr>
                <w:rFonts w:ascii="宋体" w:hAnsi="宋体" w:eastAsia="宋体" w:cs="宋体"/>
                <w:sz w:val="18"/>
                <w:szCs w:val="18"/>
              </w:rPr>
              <w:t>款项性质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80E4DF7">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9DA8B09">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5B14E58">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61A1C0A">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763F3C5B">
      <w:pPr>
        <w:spacing w:before="100" w:after="100" w:line="240" w:lineRule="exact"/>
        <w:jc w:val="left"/>
        <w:rPr>
          <w:rFonts w:ascii="宋体" w:hAnsi="宋体" w:eastAsia="宋体" w:cs="宋体"/>
          <w:sz w:val="18"/>
          <w:szCs w:val="18"/>
        </w:rPr>
      </w:pPr>
      <w:r>
        <w:rPr>
          <w:rFonts w:ascii="宋体" w:hAnsi="宋体" w:eastAsia="宋体" w:cs="宋体"/>
          <w:sz w:val="18"/>
          <w:szCs w:val="18"/>
        </w:rPr>
        <w:t>核销说明：</w:t>
      </w:r>
    </w:p>
    <w:p w14:paraId="0D227B88">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EBD7EEB">
      <w:pPr>
        <w:keepNext/>
        <w:keepLines/>
        <w:spacing w:before="300" w:after="300" w:line="280" w:lineRule="exact"/>
        <w:jc w:val="left"/>
        <w:outlineLvl w:val="3"/>
        <w:rPr>
          <w:rFonts w:ascii="宋体" w:hAnsi="宋体" w:eastAsia="宋体" w:cs="宋体"/>
          <w:b/>
          <w:bCs/>
          <w:sz w:val="21"/>
          <w:szCs w:val="21"/>
        </w:rPr>
      </w:pPr>
      <w:bookmarkStart w:id="266" w:name="_Toc989153"/>
      <w:r>
        <w:rPr>
          <w:rFonts w:ascii="宋体" w:hAnsi="宋体" w:eastAsia="宋体" w:cs="宋体"/>
          <w:b/>
          <w:bCs/>
          <w:sz w:val="21"/>
          <w:szCs w:val="21"/>
        </w:rPr>
        <w:t>（2） 应收股利</w:t>
      </w:r>
      <w:bookmarkEnd w:id="266"/>
    </w:p>
    <w:p w14:paraId="7E0BD744">
      <w:pPr>
        <w:keepNext/>
        <w:keepLines/>
        <w:spacing w:before="300" w:after="300" w:line="280" w:lineRule="exact"/>
        <w:jc w:val="left"/>
        <w:outlineLvl w:val="4"/>
        <w:rPr>
          <w:rFonts w:ascii="宋体" w:hAnsi="宋体" w:eastAsia="宋体" w:cs="宋体"/>
          <w:b/>
          <w:bCs/>
          <w:sz w:val="21"/>
          <w:szCs w:val="21"/>
        </w:rPr>
      </w:pPr>
      <w:bookmarkStart w:id="267" w:name="_Toc989154"/>
      <w:r>
        <w:rPr>
          <w:rFonts w:ascii="宋体" w:hAnsi="宋体" w:eastAsia="宋体" w:cs="宋体"/>
          <w:b/>
          <w:bCs/>
          <w:sz w:val="21"/>
          <w:szCs w:val="21"/>
        </w:rPr>
        <w:t>1） 应收股利分类</w:t>
      </w:r>
      <w:bookmarkEnd w:id="267"/>
    </w:p>
    <w:p w14:paraId="6ACDF1F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6EC8F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5C818D3">
            <w:pPr>
              <w:spacing w:before="40" w:after="40" w:line="240" w:lineRule="exact"/>
              <w:jc w:val="center"/>
              <w:rPr>
                <w:rFonts w:ascii="宋体" w:hAnsi="宋体" w:eastAsia="宋体" w:cs="宋体"/>
                <w:sz w:val="18"/>
                <w:szCs w:val="18"/>
              </w:rPr>
            </w:pPr>
            <w:r>
              <w:rPr>
                <w:rFonts w:ascii="宋体" w:hAnsi="宋体" w:eastAsia="宋体" w:cs="宋体"/>
                <w:sz w:val="18"/>
                <w:szCs w:val="18"/>
              </w:rPr>
              <w:t>项目(或被投资单位)</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6C22A80">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9A41F81">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63233097">
      <w:pPr>
        <w:keepNext/>
        <w:keepLines/>
        <w:spacing w:before="300" w:after="300" w:line="280" w:lineRule="exact"/>
        <w:jc w:val="left"/>
        <w:outlineLvl w:val="4"/>
        <w:rPr>
          <w:rFonts w:ascii="宋体" w:hAnsi="宋体" w:eastAsia="宋体" w:cs="宋体"/>
          <w:b/>
          <w:bCs/>
          <w:sz w:val="21"/>
          <w:szCs w:val="21"/>
        </w:rPr>
      </w:pPr>
      <w:bookmarkStart w:id="268" w:name="_Toc989155"/>
      <w:r>
        <w:rPr>
          <w:rFonts w:ascii="宋体" w:hAnsi="宋体" w:eastAsia="宋体" w:cs="宋体"/>
          <w:b/>
          <w:bCs/>
          <w:sz w:val="21"/>
          <w:szCs w:val="21"/>
        </w:rPr>
        <w:t>2） 重要的账龄超过1年的应收股利</w:t>
      </w:r>
      <w:bookmarkEnd w:id="268"/>
    </w:p>
    <w:p w14:paraId="3DB6424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26DAD9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CA0235B">
            <w:pPr>
              <w:spacing w:before="40" w:after="40" w:line="240" w:lineRule="exact"/>
              <w:jc w:val="center"/>
              <w:rPr>
                <w:rFonts w:ascii="宋体" w:hAnsi="宋体" w:eastAsia="宋体" w:cs="宋体"/>
                <w:sz w:val="18"/>
                <w:szCs w:val="18"/>
              </w:rPr>
            </w:pPr>
            <w:r>
              <w:rPr>
                <w:rFonts w:ascii="宋体" w:hAnsi="宋体" w:eastAsia="宋体" w:cs="宋体"/>
                <w:sz w:val="18"/>
                <w:szCs w:val="18"/>
              </w:rPr>
              <w:t>项目(或被投资单位)</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E8AF25F">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668F2AD">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CD2E886">
            <w:pPr>
              <w:spacing w:before="40" w:after="40" w:line="240" w:lineRule="exact"/>
              <w:jc w:val="center"/>
              <w:rPr>
                <w:rFonts w:ascii="宋体" w:hAnsi="宋体" w:eastAsia="宋体" w:cs="宋体"/>
                <w:sz w:val="18"/>
                <w:szCs w:val="18"/>
              </w:rPr>
            </w:pPr>
            <w:r>
              <w:rPr>
                <w:rFonts w:ascii="宋体" w:hAnsi="宋体" w:eastAsia="宋体" w:cs="宋体"/>
                <w:sz w:val="18"/>
                <w:szCs w:val="18"/>
              </w:rPr>
              <w:t>未收回的原因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529F127">
            <w:pPr>
              <w:spacing w:before="40" w:after="40" w:line="240" w:lineRule="exact"/>
              <w:jc w:val="center"/>
              <w:rPr>
                <w:rFonts w:ascii="宋体" w:hAnsi="宋体" w:eastAsia="宋体" w:cs="宋体"/>
                <w:sz w:val="18"/>
                <w:szCs w:val="18"/>
              </w:rPr>
            </w:pPr>
            <w:r>
              <w:rPr>
                <w:rFonts w:ascii="宋体" w:hAnsi="宋体" w:eastAsia="宋体" w:cs="宋体"/>
                <w:sz w:val="18"/>
                <w:szCs w:val="18"/>
              </w:rPr>
              <w:t>是否发生减值及其判断依据</w:t>
            </w:r>
          </w:p>
        </w:tc>
      </w:tr>
    </w:tbl>
    <w:p w14:paraId="04886CEE">
      <w:pPr>
        <w:keepNext/>
        <w:keepLines/>
        <w:spacing w:before="300" w:after="300" w:line="280" w:lineRule="exact"/>
        <w:jc w:val="left"/>
        <w:outlineLvl w:val="4"/>
        <w:rPr>
          <w:rFonts w:ascii="宋体" w:hAnsi="宋体" w:eastAsia="宋体" w:cs="宋体"/>
          <w:b/>
          <w:bCs/>
          <w:sz w:val="21"/>
          <w:szCs w:val="21"/>
        </w:rPr>
      </w:pPr>
      <w:bookmarkStart w:id="269" w:name="_Toc989156"/>
      <w:r>
        <w:rPr>
          <w:rFonts w:ascii="宋体" w:hAnsi="宋体" w:eastAsia="宋体" w:cs="宋体"/>
          <w:b/>
          <w:bCs/>
          <w:sz w:val="21"/>
          <w:szCs w:val="21"/>
        </w:rPr>
        <w:t>3） 按坏账计提方法分类披露</w:t>
      </w:r>
      <w:bookmarkEnd w:id="269"/>
    </w:p>
    <w:p w14:paraId="4C101743">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5828DD43">
      <w:pPr>
        <w:keepNext/>
        <w:keepLines/>
        <w:spacing w:before="300" w:after="300" w:line="280" w:lineRule="exact"/>
        <w:jc w:val="left"/>
        <w:outlineLvl w:val="4"/>
        <w:rPr>
          <w:rFonts w:ascii="宋体" w:hAnsi="宋体" w:eastAsia="宋体" w:cs="宋体"/>
          <w:b/>
          <w:bCs/>
          <w:sz w:val="21"/>
          <w:szCs w:val="21"/>
        </w:rPr>
      </w:pPr>
      <w:bookmarkStart w:id="270" w:name="_Toc989157"/>
      <w:r>
        <w:rPr>
          <w:rFonts w:ascii="宋体" w:hAnsi="宋体" w:eastAsia="宋体" w:cs="宋体"/>
          <w:b/>
          <w:bCs/>
          <w:sz w:val="21"/>
          <w:szCs w:val="21"/>
        </w:rPr>
        <w:t>4） 本期计提、收回或转回的坏账准备的情况</w:t>
      </w:r>
      <w:bookmarkEnd w:id="270"/>
    </w:p>
    <w:p w14:paraId="0A22E0C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0BD85A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11B0849">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9DE6A55">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320DD2F7">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616F9F3">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74658F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DCD7EC4"/>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FF27AD2"/>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DCDB373">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6EC8A4D">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630D0CF">
            <w:pPr>
              <w:spacing w:before="40" w:after="40" w:line="240" w:lineRule="exact"/>
              <w:jc w:val="center"/>
              <w:rPr>
                <w:rFonts w:ascii="宋体" w:hAnsi="宋体" w:eastAsia="宋体" w:cs="宋体"/>
                <w:sz w:val="18"/>
                <w:szCs w:val="18"/>
              </w:rPr>
            </w:pPr>
            <w:r>
              <w:rPr>
                <w:rFonts w:ascii="宋体" w:hAnsi="宋体" w:eastAsia="宋体" w:cs="宋体"/>
                <w:sz w:val="18"/>
                <w:szCs w:val="18"/>
              </w:rPr>
              <w:t>转销或核销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548C9C4">
            <w:pPr>
              <w:spacing w:before="40" w:after="40" w:line="240" w:lineRule="exact"/>
              <w:jc w:val="center"/>
              <w:rPr>
                <w:rFonts w:ascii="宋体" w:hAnsi="宋体" w:eastAsia="宋体" w:cs="宋体"/>
                <w:sz w:val="18"/>
                <w:szCs w:val="18"/>
              </w:rPr>
            </w:pPr>
            <w:r>
              <w:rPr>
                <w:rFonts w:ascii="宋体" w:hAnsi="宋体" w:eastAsia="宋体" w:cs="宋体"/>
                <w:sz w:val="18"/>
                <w:szCs w:val="18"/>
              </w:rPr>
              <w:t>其他变动</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8E37F41"/>
        </w:tc>
      </w:tr>
    </w:tbl>
    <w:p w14:paraId="1AC95D16">
      <w:pPr>
        <w:spacing w:before="100" w:after="100" w:line="240" w:lineRule="exact"/>
        <w:jc w:val="left"/>
        <w:rPr>
          <w:rFonts w:ascii="宋体" w:hAnsi="宋体" w:eastAsia="宋体" w:cs="宋体"/>
          <w:sz w:val="18"/>
          <w:szCs w:val="18"/>
        </w:rPr>
      </w:pPr>
      <w:r>
        <w:rPr>
          <w:rFonts w:ascii="宋体" w:hAnsi="宋体" w:eastAsia="宋体" w:cs="宋体"/>
          <w:sz w:val="18"/>
          <w:szCs w:val="18"/>
        </w:rPr>
        <w:t>其中本期坏账准备收回或转回金额重要的：</w:t>
      </w:r>
    </w:p>
    <w:p w14:paraId="7F55160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B2E59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33B5C2E">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689C87E">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509A2C4">
            <w:pPr>
              <w:spacing w:before="40" w:after="40" w:line="240" w:lineRule="exact"/>
              <w:jc w:val="center"/>
              <w:rPr>
                <w:rFonts w:ascii="宋体" w:hAnsi="宋体" w:eastAsia="宋体" w:cs="宋体"/>
                <w:sz w:val="18"/>
                <w:szCs w:val="18"/>
              </w:rPr>
            </w:pPr>
            <w:r>
              <w:rPr>
                <w:rFonts w:ascii="宋体" w:hAnsi="宋体" w:eastAsia="宋体" w:cs="宋体"/>
                <w:sz w:val="18"/>
                <w:szCs w:val="18"/>
              </w:rPr>
              <w:t>转回原因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E4C60E9">
            <w:pPr>
              <w:spacing w:before="40" w:after="40" w:line="240" w:lineRule="exact"/>
              <w:jc w:val="center"/>
              <w:rPr>
                <w:rFonts w:ascii="宋体" w:hAnsi="宋体" w:eastAsia="宋体" w:cs="宋体"/>
                <w:sz w:val="18"/>
                <w:szCs w:val="18"/>
              </w:rPr>
            </w:pPr>
            <w:r>
              <w:rPr>
                <w:rFonts w:ascii="宋体" w:hAnsi="宋体" w:eastAsia="宋体" w:cs="宋体"/>
                <w:sz w:val="18"/>
                <w:szCs w:val="18"/>
              </w:rPr>
              <w:t>收回方式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79D4D57">
            <w:pPr>
              <w:spacing w:before="40" w:after="40" w:line="240" w:lineRule="exact"/>
              <w:jc w:val="center"/>
              <w:rPr>
                <w:rFonts w:ascii="宋体" w:hAnsi="宋体" w:eastAsia="宋体" w:cs="宋体"/>
                <w:sz w:val="18"/>
                <w:szCs w:val="18"/>
              </w:rPr>
            </w:pPr>
            <w:r>
              <w:rPr>
                <w:rFonts w:ascii="宋体" w:hAnsi="宋体" w:eastAsia="宋体" w:cs="宋体"/>
                <w:sz w:val="18"/>
                <w:szCs w:val="18"/>
              </w:rPr>
              <w:t>确定原坏账准备计提比例的依据及其合理性</w:t>
            </w:r>
          </w:p>
        </w:tc>
      </w:tr>
    </w:tbl>
    <w:p w14:paraId="73DCEFE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8562431">
      <w:pPr>
        <w:keepNext/>
        <w:keepLines/>
        <w:spacing w:before="300" w:after="300" w:line="280" w:lineRule="exact"/>
        <w:jc w:val="left"/>
        <w:outlineLvl w:val="4"/>
        <w:rPr>
          <w:rFonts w:ascii="宋体" w:hAnsi="宋体" w:eastAsia="宋体" w:cs="宋体"/>
          <w:b/>
          <w:bCs/>
          <w:sz w:val="21"/>
          <w:szCs w:val="21"/>
        </w:rPr>
      </w:pPr>
      <w:bookmarkStart w:id="271" w:name="_Toc989158"/>
      <w:r>
        <w:rPr>
          <w:rFonts w:ascii="宋体" w:hAnsi="宋体" w:eastAsia="宋体" w:cs="宋体"/>
          <w:b/>
          <w:bCs/>
          <w:sz w:val="21"/>
          <w:szCs w:val="21"/>
        </w:rPr>
        <w:t>5） 本期实际核销的应收股利情况</w:t>
      </w:r>
      <w:bookmarkEnd w:id="271"/>
    </w:p>
    <w:p w14:paraId="4605E5F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6C7C17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699EA90">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D458D04">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2B689BFE">
      <w:pPr>
        <w:spacing w:before="100" w:after="100" w:line="240" w:lineRule="exact"/>
        <w:jc w:val="left"/>
        <w:rPr>
          <w:rFonts w:ascii="宋体" w:hAnsi="宋体" w:eastAsia="宋体" w:cs="宋体"/>
          <w:sz w:val="18"/>
          <w:szCs w:val="18"/>
        </w:rPr>
      </w:pPr>
      <w:r>
        <w:rPr>
          <w:rFonts w:ascii="宋体" w:hAnsi="宋体" w:eastAsia="宋体" w:cs="宋体"/>
          <w:sz w:val="18"/>
          <w:szCs w:val="18"/>
        </w:rPr>
        <w:t>其中重要的应收股利核销情况</w:t>
      </w:r>
    </w:p>
    <w:p w14:paraId="6C83AC8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549891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440E629">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D722C52">
            <w:pPr>
              <w:spacing w:before="40" w:after="40" w:line="240" w:lineRule="exact"/>
              <w:jc w:val="center"/>
              <w:rPr>
                <w:rFonts w:ascii="宋体" w:hAnsi="宋体" w:eastAsia="宋体" w:cs="宋体"/>
                <w:sz w:val="18"/>
                <w:szCs w:val="18"/>
              </w:rPr>
            </w:pPr>
            <w:r>
              <w:rPr>
                <w:rFonts w:ascii="宋体" w:hAnsi="宋体" w:eastAsia="宋体" w:cs="宋体"/>
                <w:sz w:val="18"/>
                <w:szCs w:val="18"/>
              </w:rPr>
              <w:t>款项性质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971940A">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23C9A9F">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72F46BC">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F227F95">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6BF2BC9B">
      <w:pPr>
        <w:spacing w:before="100" w:after="100" w:line="240" w:lineRule="exact"/>
        <w:jc w:val="left"/>
        <w:rPr>
          <w:rFonts w:ascii="宋体" w:hAnsi="宋体" w:eastAsia="宋体" w:cs="宋体"/>
          <w:sz w:val="18"/>
          <w:szCs w:val="18"/>
        </w:rPr>
      </w:pPr>
      <w:r>
        <w:rPr>
          <w:rFonts w:ascii="宋体" w:hAnsi="宋体" w:eastAsia="宋体" w:cs="宋体"/>
          <w:sz w:val="18"/>
          <w:szCs w:val="18"/>
        </w:rPr>
        <w:t>核销说明：</w:t>
      </w:r>
    </w:p>
    <w:p w14:paraId="263B1CA6">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BB0D367">
      <w:pPr>
        <w:keepNext/>
        <w:keepLines/>
        <w:spacing w:before="300" w:after="300" w:line="280" w:lineRule="exact"/>
        <w:jc w:val="left"/>
        <w:outlineLvl w:val="3"/>
        <w:rPr>
          <w:rFonts w:ascii="宋体" w:hAnsi="宋体" w:eastAsia="宋体" w:cs="宋体"/>
          <w:b/>
          <w:bCs/>
          <w:sz w:val="21"/>
          <w:szCs w:val="21"/>
        </w:rPr>
      </w:pPr>
      <w:bookmarkStart w:id="272" w:name="_Toc989159"/>
      <w:r>
        <w:rPr>
          <w:rFonts w:ascii="宋体" w:hAnsi="宋体" w:eastAsia="宋体" w:cs="宋体"/>
          <w:b/>
          <w:bCs/>
          <w:sz w:val="21"/>
          <w:szCs w:val="21"/>
        </w:rPr>
        <w:t>（3） 其他应收款</w:t>
      </w:r>
      <w:bookmarkEnd w:id="272"/>
    </w:p>
    <w:p w14:paraId="62C1CBD4">
      <w:pPr>
        <w:keepNext/>
        <w:keepLines/>
        <w:spacing w:before="300" w:after="300" w:line="280" w:lineRule="exact"/>
        <w:jc w:val="left"/>
        <w:outlineLvl w:val="4"/>
        <w:rPr>
          <w:rFonts w:ascii="宋体" w:hAnsi="宋体" w:eastAsia="宋体" w:cs="宋体"/>
          <w:b/>
          <w:bCs/>
          <w:sz w:val="21"/>
          <w:szCs w:val="21"/>
        </w:rPr>
      </w:pPr>
      <w:bookmarkStart w:id="273" w:name="_Toc989160"/>
      <w:r>
        <w:rPr>
          <w:rFonts w:ascii="宋体" w:hAnsi="宋体" w:eastAsia="宋体" w:cs="宋体"/>
          <w:b/>
          <w:bCs/>
          <w:sz w:val="21"/>
          <w:szCs w:val="21"/>
        </w:rPr>
        <w:t>1） 其他应收款按款项性质分类情况</w:t>
      </w:r>
      <w:bookmarkEnd w:id="273"/>
    </w:p>
    <w:p w14:paraId="014AC2C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309379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927A4A8">
            <w:pPr>
              <w:spacing w:before="40" w:after="40" w:line="240" w:lineRule="exact"/>
              <w:jc w:val="center"/>
              <w:rPr>
                <w:rFonts w:ascii="宋体" w:hAnsi="宋体" w:eastAsia="宋体" w:cs="宋体"/>
                <w:sz w:val="18"/>
                <w:szCs w:val="18"/>
              </w:rPr>
            </w:pPr>
            <w:r>
              <w:rPr>
                <w:rFonts w:ascii="宋体" w:hAnsi="宋体" w:eastAsia="宋体" w:cs="宋体"/>
                <w:sz w:val="18"/>
                <w:szCs w:val="18"/>
              </w:rPr>
              <w:t>款项性质</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9F7B193">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B8A561C">
            <w:pPr>
              <w:spacing w:before="40" w:after="40" w:line="240" w:lineRule="exact"/>
              <w:jc w:val="center"/>
              <w:rPr>
                <w:rFonts w:ascii="宋体" w:hAnsi="宋体" w:eastAsia="宋体" w:cs="宋体"/>
                <w:sz w:val="18"/>
                <w:szCs w:val="18"/>
              </w:rPr>
            </w:pPr>
            <w:r>
              <w:rPr>
                <w:rFonts w:ascii="宋体" w:hAnsi="宋体" w:eastAsia="宋体" w:cs="宋体"/>
                <w:sz w:val="18"/>
                <w:szCs w:val="18"/>
              </w:rPr>
              <w:t>期初账面余额</w:t>
            </w:r>
          </w:p>
        </w:tc>
      </w:tr>
      <w:tr w14:paraId="791947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9185BA7">
            <w:pPr>
              <w:spacing w:before="0" w:after="0" w:line="240" w:lineRule="exact"/>
              <w:jc w:val="left"/>
              <w:rPr>
                <w:rFonts w:ascii="宋体" w:hAnsi="宋体" w:eastAsia="宋体" w:cs="宋体"/>
                <w:sz w:val="18"/>
                <w:szCs w:val="18"/>
              </w:rPr>
            </w:pPr>
            <w:r>
              <w:rPr>
                <w:rFonts w:ascii="宋体" w:hAnsi="宋体" w:eastAsia="宋体" w:cs="宋体"/>
                <w:sz w:val="18"/>
                <w:szCs w:val="18"/>
              </w:rPr>
              <w:t>保证金、押金及员工备用金组合</w:t>
            </w:r>
          </w:p>
        </w:tc>
        <w:tc>
          <w:tcPr>
            <w:tcW w:w="3213" w:type="dxa"/>
            <w:tcBorders>
              <w:top w:val="single" w:color="auto" w:sz="2" w:space="0"/>
              <w:left w:val="single" w:color="auto" w:sz="2" w:space="0"/>
              <w:bottom w:val="single" w:color="auto" w:sz="2" w:space="0"/>
              <w:right w:val="single" w:color="auto" w:sz="2" w:space="0"/>
            </w:tcBorders>
            <w:vAlign w:val="center"/>
          </w:tcPr>
          <w:p w14:paraId="5A92CA70">
            <w:pPr>
              <w:spacing w:before="0" w:after="0" w:line="240" w:lineRule="exact"/>
              <w:jc w:val="right"/>
              <w:rPr>
                <w:rFonts w:ascii="宋体" w:hAnsi="宋体" w:eastAsia="宋体" w:cs="宋体"/>
                <w:sz w:val="18"/>
                <w:szCs w:val="18"/>
              </w:rPr>
            </w:pPr>
            <w:r>
              <w:rPr>
                <w:rFonts w:ascii="宋体" w:hAnsi="宋体" w:eastAsia="宋体" w:cs="宋体"/>
                <w:sz w:val="18"/>
                <w:szCs w:val="18"/>
              </w:rPr>
              <w:t>3,755,951.31</w:t>
            </w:r>
          </w:p>
        </w:tc>
        <w:tc>
          <w:tcPr>
            <w:tcW w:w="3213" w:type="dxa"/>
            <w:tcBorders>
              <w:top w:val="single" w:color="auto" w:sz="2" w:space="0"/>
              <w:left w:val="single" w:color="auto" w:sz="2" w:space="0"/>
              <w:bottom w:val="single" w:color="auto" w:sz="2" w:space="0"/>
              <w:right w:val="single" w:color="auto" w:sz="2" w:space="0"/>
            </w:tcBorders>
            <w:vAlign w:val="center"/>
          </w:tcPr>
          <w:p w14:paraId="65E301F1">
            <w:pPr>
              <w:spacing w:before="0" w:after="0" w:line="240" w:lineRule="exact"/>
              <w:jc w:val="right"/>
              <w:rPr>
                <w:rFonts w:ascii="宋体" w:hAnsi="宋体" w:eastAsia="宋体" w:cs="宋体"/>
                <w:sz w:val="18"/>
                <w:szCs w:val="18"/>
              </w:rPr>
            </w:pPr>
            <w:r>
              <w:rPr>
                <w:rFonts w:ascii="宋体" w:hAnsi="宋体" w:eastAsia="宋体" w:cs="宋体"/>
                <w:sz w:val="18"/>
                <w:szCs w:val="18"/>
              </w:rPr>
              <w:t>726,916.43</w:t>
            </w:r>
          </w:p>
        </w:tc>
      </w:tr>
      <w:tr w14:paraId="42BB36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F000F19">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14:paraId="36169863">
            <w:pPr>
              <w:spacing w:before="0" w:after="0" w:line="240" w:lineRule="exact"/>
              <w:jc w:val="right"/>
              <w:rPr>
                <w:rFonts w:ascii="宋体" w:hAnsi="宋体" w:eastAsia="宋体" w:cs="宋体"/>
                <w:sz w:val="18"/>
                <w:szCs w:val="18"/>
              </w:rPr>
            </w:pPr>
            <w:r>
              <w:rPr>
                <w:rFonts w:ascii="宋体" w:hAnsi="宋体" w:eastAsia="宋体" w:cs="宋体"/>
                <w:sz w:val="18"/>
                <w:szCs w:val="18"/>
              </w:rPr>
              <w:t>1,062,705.97</w:t>
            </w:r>
          </w:p>
        </w:tc>
        <w:tc>
          <w:tcPr>
            <w:tcW w:w="3213" w:type="dxa"/>
            <w:tcBorders>
              <w:top w:val="single" w:color="auto" w:sz="2" w:space="0"/>
              <w:left w:val="single" w:color="auto" w:sz="2" w:space="0"/>
              <w:bottom w:val="single" w:color="auto" w:sz="2" w:space="0"/>
              <w:right w:val="single" w:color="auto" w:sz="2" w:space="0"/>
            </w:tcBorders>
            <w:vAlign w:val="center"/>
          </w:tcPr>
          <w:p w14:paraId="2412AF96">
            <w:pPr>
              <w:spacing w:before="0" w:after="0" w:line="240" w:lineRule="exact"/>
              <w:jc w:val="right"/>
              <w:rPr>
                <w:rFonts w:ascii="宋体" w:hAnsi="宋体" w:eastAsia="宋体" w:cs="宋体"/>
                <w:sz w:val="18"/>
                <w:szCs w:val="18"/>
              </w:rPr>
            </w:pPr>
            <w:r>
              <w:rPr>
                <w:rFonts w:ascii="宋体" w:hAnsi="宋体" w:eastAsia="宋体" w:cs="宋体"/>
                <w:sz w:val="18"/>
                <w:szCs w:val="18"/>
              </w:rPr>
              <w:t>1,040,836.45</w:t>
            </w:r>
          </w:p>
        </w:tc>
      </w:tr>
      <w:tr w14:paraId="1897F2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31CE12C">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69446A3D">
            <w:pPr>
              <w:spacing w:before="0" w:after="0" w:line="240" w:lineRule="exact"/>
              <w:jc w:val="right"/>
              <w:rPr>
                <w:rFonts w:ascii="宋体" w:hAnsi="宋体" w:eastAsia="宋体" w:cs="宋体"/>
                <w:sz w:val="18"/>
                <w:szCs w:val="18"/>
              </w:rPr>
            </w:pPr>
            <w:r>
              <w:rPr>
                <w:rFonts w:ascii="宋体" w:hAnsi="宋体" w:eastAsia="宋体" w:cs="宋体"/>
                <w:sz w:val="18"/>
                <w:szCs w:val="18"/>
              </w:rPr>
              <w:t>4,818,657.28</w:t>
            </w:r>
          </w:p>
        </w:tc>
        <w:tc>
          <w:tcPr>
            <w:tcW w:w="3213" w:type="dxa"/>
            <w:tcBorders>
              <w:top w:val="single" w:color="auto" w:sz="2" w:space="0"/>
              <w:left w:val="single" w:color="auto" w:sz="2" w:space="0"/>
              <w:bottom w:val="single" w:color="auto" w:sz="2" w:space="0"/>
              <w:right w:val="single" w:color="auto" w:sz="2" w:space="0"/>
            </w:tcBorders>
            <w:vAlign w:val="center"/>
          </w:tcPr>
          <w:p w14:paraId="1DFE708B">
            <w:pPr>
              <w:spacing w:before="0" w:after="0" w:line="240" w:lineRule="exact"/>
              <w:jc w:val="right"/>
              <w:rPr>
                <w:rFonts w:ascii="宋体" w:hAnsi="宋体" w:eastAsia="宋体" w:cs="宋体"/>
                <w:sz w:val="18"/>
                <w:szCs w:val="18"/>
              </w:rPr>
            </w:pPr>
            <w:r>
              <w:rPr>
                <w:rFonts w:ascii="宋体" w:hAnsi="宋体" w:eastAsia="宋体" w:cs="宋体"/>
                <w:sz w:val="18"/>
                <w:szCs w:val="18"/>
              </w:rPr>
              <w:t>1,767,752.88</w:t>
            </w:r>
          </w:p>
        </w:tc>
      </w:tr>
    </w:tbl>
    <w:p w14:paraId="49787107">
      <w:pPr>
        <w:keepNext/>
        <w:keepLines/>
        <w:spacing w:before="300" w:after="300" w:line="280" w:lineRule="exact"/>
        <w:jc w:val="left"/>
        <w:outlineLvl w:val="4"/>
        <w:rPr>
          <w:rFonts w:ascii="宋体" w:hAnsi="宋体" w:eastAsia="宋体" w:cs="宋体"/>
          <w:b/>
          <w:bCs/>
          <w:sz w:val="21"/>
          <w:szCs w:val="21"/>
        </w:rPr>
      </w:pPr>
      <w:bookmarkStart w:id="274" w:name="_Toc989161"/>
      <w:r>
        <w:rPr>
          <w:rFonts w:ascii="宋体" w:hAnsi="宋体" w:eastAsia="宋体" w:cs="宋体"/>
          <w:b/>
          <w:bCs/>
          <w:sz w:val="21"/>
          <w:szCs w:val="21"/>
        </w:rPr>
        <w:t>2） 按账龄披露</w:t>
      </w:r>
      <w:bookmarkEnd w:id="274"/>
    </w:p>
    <w:p w14:paraId="0322DE1D">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70901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FE5C0B7">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DA8D19A">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B57A55B">
            <w:pPr>
              <w:spacing w:before="40" w:after="40" w:line="240" w:lineRule="exact"/>
              <w:jc w:val="center"/>
              <w:rPr>
                <w:rFonts w:ascii="宋体" w:hAnsi="宋体" w:eastAsia="宋体" w:cs="宋体"/>
                <w:sz w:val="18"/>
                <w:szCs w:val="18"/>
              </w:rPr>
            </w:pPr>
            <w:r>
              <w:rPr>
                <w:rFonts w:ascii="宋体" w:hAnsi="宋体" w:eastAsia="宋体" w:cs="宋体"/>
                <w:sz w:val="18"/>
                <w:szCs w:val="18"/>
              </w:rPr>
              <w:t>期初账面余额</w:t>
            </w:r>
          </w:p>
        </w:tc>
      </w:tr>
      <w:tr w14:paraId="49DB0E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BADFE49">
            <w:pPr>
              <w:spacing w:before="40" w:after="40" w:line="240" w:lineRule="exact"/>
              <w:jc w:val="left"/>
              <w:rPr>
                <w:rFonts w:ascii="宋体" w:hAnsi="宋体" w:eastAsia="宋体" w:cs="宋体"/>
                <w:sz w:val="18"/>
                <w:szCs w:val="18"/>
              </w:rPr>
            </w:pPr>
            <w:r>
              <w:rPr>
                <w:rFonts w:ascii="宋体" w:hAnsi="宋体" w:eastAsia="宋体" w:cs="宋体"/>
                <w:sz w:val="18"/>
                <w:szCs w:val="18"/>
              </w:rPr>
              <w:t>1年以内（含1年）</w:t>
            </w:r>
          </w:p>
        </w:tc>
        <w:tc>
          <w:tcPr>
            <w:tcW w:w="3213" w:type="dxa"/>
            <w:tcBorders>
              <w:top w:val="single" w:color="auto" w:sz="2" w:space="0"/>
              <w:left w:val="single" w:color="auto" w:sz="2" w:space="0"/>
              <w:bottom w:val="single" w:color="auto" w:sz="2" w:space="0"/>
              <w:right w:val="single" w:color="auto" w:sz="2" w:space="0"/>
            </w:tcBorders>
            <w:vAlign w:val="center"/>
          </w:tcPr>
          <w:p w14:paraId="1A8C4550">
            <w:pPr>
              <w:spacing w:before="0" w:after="0" w:line="240" w:lineRule="exact"/>
              <w:jc w:val="right"/>
              <w:rPr>
                <w:rFonts w:ascii="宋体" w:hAnsi="宋体" w:eastAsia="宋体" w:cs="宋体"/>
                <w:sz w:val="18"/>
                <w:szCs w:val="18"/>
              </w:rPr>
            </w:pPr>
            <w:r>
              <w:rPr>
                <w:rFonts w:ascii="宋体" w:hAnsi="宋体" w:eastAsia="宋体" w:cs="宋体"/>
                <w:sz w:val="18"/>
                <w:szCs w:val="18"/>
              </w:rPr>
              <w:t>3,595,631.28</w:t>
            </w:r>
          </w:p>
        </w:tc>
        <w:tc>
          <w:tcPr>
            <w:tcW w:w="3213" w:type="dxa"/>
            <w:tcBorders>
              <w:top w:val="single" w:color="auto" w:sz="2" w:space="0"/>
              <w:left w:val="single" w:color="auto" w:sz="2" w:space="0"/>
              <w:bottom w:val="single" w:color="auto" w:sz="2" w:space="0"/>
              <w:right w:val="single" w:color="auto" w:sz="2" w:space="0"/>
            </w:tcBorders>
            <w:vAlign w:val="center"/>
          </w:tcPr>
          <w:p w14:paraId="0B28C95F">
            <w:pPr>
              <w:spacing w:before="0" w:after="0" w:line="240" w:lineRule="exact"/>
              <w:jc w:val="right"/>
              <w:rPr>
                <w:rFonts w:ascii="宋体" w:hAnsi="宋体" w:eastAsia="宋体" w:cs="宋体"/>
                <w:sz w:val="18"/>
                <w:szCs w:val="18"/>
              </w:rPr>
            </w:pPr>
            <w:r>
              <w:rPr>
                <w:rFonts w:ascii="宋体" w:hAnsi="宋体" w:eastAsia="宋体" w:cs="宋体"/>
                <w:sz w:val="18"/>
                <w:szCs w:val="18"/>
              </w:rPr>
              <w:t>1,067,622.88</w:t>
            </w:r>
          </w:p>
        </w:tc>
      </w:tr>
      <w:tr w14:paraId="4957EF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84AD2EC">
            <w:pPr>
              <w:spacing w:before="40" w:after="40" w:line="240" w:lineRule="exact"/>
              <w:jc w:val="left"/>
              <w:rPr>
                <w:rFonts w:ascii="宋体" w:hAnsi="宋体" w:eastAsia="宋体" w:cs="宋体"/>
                <w:sz w:val="18"/>
                <w:szCs w:val="18"/>
              </w:rPr>
            </w:pPr>
            <w:r>
              <w:rPr>
                <w:rFonts w:ascii="宋体" w:hAnsi="宋体" w:eastAsia="宋体" w:cs="宋体"/>
                <w:sz w:val="18"/>
                <w:szCs w:val="18"/>
              </w:rPr>
              <w:t>1至2年</w:t>
            </w:r>
          </w:p>
        </w:tc>
        <w:tc>
          <w:tcPr>
            <w:tcW w:w="3213" w:type="dxa"/>
            <w:tcBorders>
              <w:top w:val="single" w:color="auto" w:sz="2" w:space="0"/>
              <w:left w:val="single" w:color="auto" w:sz="2" w:space="0"/>
              <w:bottom w:val="single" w:color="auto" w:sz="2" w:space="0"/>
              <w:right w:val="single" w:color="auto" w:sz="2" w:space="0"/>
            </w:tcBorders>
            <w:vAlign w:val="center"/>
          </w:tcPr>
          <w:p w14:paraId="362A6512">
            <w:pPr>
              <w:spacing w:before="0" w:after="0" w:line="240" w:lineRule="exact"/>
              <w:jc w:val="right"/>
              <w:rPr>
                <w:rFonts w:ascii="宋体" w:hAnsi="宋体" w:eastAsia="宋体" w:cs="宋体"/>
                <w:sz w:val="18"/>
                <w:szCs w:val="18"/>
              </w:rPr>
            </w:pPr>
            <w:r>
              <w:rPr>
                <w:rFonts w:ascii="宋体" w:hAnsi="宋体" w:eastAsia="宋体" w:cs="宋体"/>
                <w:sz w:val="18"/>
                <w:szCs w:val="18"/>
              </w:rPr>
              <w:t>852,896.00</w:t>
            </w:r>
          </w:p>
        </w:tc>
        <w:tc>
          <w:tcPr>
            <w:tcW w:w="3213" w:type="dxa"/>
            <w:tcBorders>
              <w:top w:val="single" w:color="auto" w:sz="2" w:space="0"/>
              <w:left w:val="single" w:color="auto" w:sz="2" w:space="0"/>
              <w:bottom w:val="single" w:color="auto" w:sz="2" w:space="0"/>
              <w:right w:val="single" w:color="auto" w:sz="2" w:space="0"/>
            </w:tcBorders>
            <w:vAlign w:val="center"/>
          </w:tcPr>
          <w:p w14:paraId="2042B3A9">
            <w:pPr>
              <w:spacing w:before="0" w:after="0" w:line="240" w:lineRule="exact"/>
              <w:jc w:val="right"/>
              <w:rPr>
                <w:rFonts w:ascii="宋体" w:hAnsi="宋体" w:eastAsia="宋体" w:cs="宋体"/>
                <w:sz w:val="18"/>
                <w:szCs w:val="18"/>
              </w:rPr>
            </w:pPr>
            <w:r>
              <w:rPr>
                <w:rFonts w:ascii="宋体" w:hAnsi="宋体" w:eastAsia="宋体" w:cs="宋体"/>
                <w:sz w:val="18"/>
                <w:szCs w:val="18"/>
              </w:rPr>
              <w:t>28,000.00</w:t>
            </w:r>
          </w:p>
        </w:tc>
      </w:tr>
      <w:tr w14:paraId="12B704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CAF22EF">
            <w:pPr>
              <w:spacing w:before="40" w:after="40" w:line="240" w:lineRule="exact"/>
              <w:jc w:val="left"/>
              <w:rPr>
                <w:rFonts w:ascii="宋体" w:hAnsi="宋体" w:eastAsia="宋体" w:cs="宋体"/>
                <w:sz w:val="18"/>
                <w:szCs w:val="18"/>
              </w:rPr>
            </w:pPr>
            <w:r>
              <w:rPr>
                <w:rFonts w:ascii="宋体" w:hAnsi="宋体" w:eastAsia="宋体" w:cs="宋体"/>
                <w:sz w:val="18"/>
                <w:szCs w:val="18"/>
              </w:rPr>
              <w:t>2至3年</w:t>
            </w:r>
          </w:p>
        </w:tc>
        <w:tc>
          <w:tcPr>
            <w:tcW w:w="3213" w:type="dxa"/>
            <w:tcBorders>
              <w:top w:val="single" w:color="auto" w:sz="2" w:space="0"/>
              <w:left w:val="single" w:color="auto" w:sz="2" w:space="0"/>
              <w:bottom w:val="single" w:color="auto" w:sz="2" w:space="0"/>
              <w:right w:val="single" w:color="auto" w:sz="2" w:space="0"/>
            </w:tcBorders>
            <w:vAlign w:val="center"/>
          </w:tcPr>
          <w:p w14:paraId="1B6CA9BE">
            <w:pPr>
              <w:spacing w:before="0" w:after="0" w:line="240" w:lineRule="exact"/>
              <w:jc w:val="right"/>
              <w:rPr>
                <w:rFonts w:ascii="宋体" w:hAnsi="宋体" w:eastAsia="宋体" w:cs="宋体"/>
                <w:sz w:val="18"/>
                <w:szCs w:val="18"/>
              </w:rPr>
            </w:pPr>
            <w:r>
              <w:rPr>
                <w:rFonts w:ascii="宋体" w:hAnsi="宋体" w:eastAsia="宋体" w:cs="宋体"/>
                <w:sz w:val="18"/>
                <w:szCs w:val="18"/>
              </w:rPr>
              <w:t>28,000.00</w:t>
            </w:r>
          </w:p>
        </w:tc>
        <w:tc>
          <w:tcPr>
            <w:tcW w:w="3213" w:type="dxa"/>
            <w:tcBorders>
              <w:top w:val="single" w:color="auto" w:sz="2" w:space="0"/>
              <w:left w:val="single" w:color="auto" w:sz="2" w:space="0"/>
              <w:bottom w:val="single" w:color="auto" w:sz="2" w:space="0"/>
              <w:right w:val="single" w:color="auto" w:sz="2" w:space="0"/>
            </w:tcBorders>
            <w:vAlign w:val="center"/>
          </w:tcPr>
          <w:p w14:paraId="27029704">
            <w:pPr>
              <w:spacing w:before="0" w:after="0" w:line="240" w:lineRule="exact"/>
              <w:jc w:val="right"/>
              <w:rPr>
                <w:rFonts w:ascii="宋体" w:hAnsi="宋体" w:eastAsia="宋体" w:cs="宋体"/>
                <w:sz w:val="18"/>
                <w:szCs w:val="18"/>
              </w:rPr>
            </w:pPr>
            <w:r>
              <w:rPr>
                <w:rFonts w:ascii="宋体" w:hAnsi="宋体" w:eastAsia="宋体" w:cs="宋体"/>
                <w:sz w:val="18"/>
                <w:szCs w:val="18"/>
              </w:rPr>
              <w:t>360,000.00</w:t>
            </w:r>
          </w:p>
        </w:tc>
      </w:tr>
      <w:tr w14:paraId="2635E5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992BF9C">
            <w:pPr>
              <w:spacing w:before="40" w:after="40" w:line="240" w:lineRule="exact"/>
              <w:jc w:val="left"/>
              <w:rPr>
                <w:rFonts w:ascii="宋体" w:hAnsi="宋体" w:eastAsia="宋体" w:cs="宋体"/>
                <w:sz w:val="18"/>
                <w:szCs w:val="18"/>
              </w:rPr>
            </w:pPr>
            <w:r>
              <w:rPr>
                <w:rFonts w:ascii="宋体" w:hAnsi="宋体" w:eastAsia="宋体" w:cs="宋体"/>
                <w:sz w:val="18"/>
                <w:szCs w:val="18"/>
              </w:rPr>
              <w:t>3年以上</w:t>
            </w:r>
          </w:p>
        </w:tc>
        <w:tc>
          <w:tcPr>
            <w:tcW w:w="3213" w:type="dxa"/>
            <w:tcBorders>
              <w:top w:val="single" w:color="auto" w:sz="2" w:space="0"/>
              <w:left w:val="single" w:color="auto" w:sz="2" w:space="0"/>
              <w:bottom w:val="single" w:color="auto" w:sz="2" w:space="0"/>
              <w:right w:val="single" w:color="auto" w:sz="2" w:space="0"/>
            </w:tcBorders>
            <w:vAlign w:val="center"/>
          </w:tcPr>
          <w:p w14:paraId="14AFC033">
            <w:pPr>
              <w:spacing w:before="0" w:after="0" w:line="240" w:lineRule="exact"/>
              <w:jc w:val="right"/>
              <w:rPr>
                <w:rFonts w:ascii="宋体" w:hAnsi="宋体" w:eastAsia="宋体" w:cs="宋体"/>
                <w:sz w:val="18"/>
                <w:szCs w:val="18"/>
              </w:rPr>
            </w:pPr>
            <w:r>
              <w:rPr>
                <w:rFonts w:ascii="宋体" w:hAnsi="宋体" w:eastAsia="宋体" w:cs="宋体"/>
                <w:sz w:val="18"/>
                <w:szCs w:val="18"/>
              </w:rPr>
              <w:t>342,130.00</w:t>
            </w:r>
          </w:p>
        </w:tc>
        <w:tc>
          <w:tcPr>
            <w:tcW w:w="3213" w:type="dxa"/>
            <w:tcBorders>
              <w:top w:val="single" w:color="auto" w:sz="2" w:space="0"/>
              <w:left w:val="single" w:color="auto" w:sz="2" w:space="0"/>
              <w:bottom w:val="single" w:color="auto" w:sz="2" w:space="0"/>
              <w:right w:val="single" w:color="auto" w:sz="2" w:space="0"/>
            </w:tcBorders>
            <w:vAlign w:val="center"/>
          </w:tcPr>
          <w:p w14:paraId="4472BC30">
            <w:pPr>
              <w:spacing w:before="0" w:after="0" w:line="240" w:lineRule="exact"/>
              <w:jc w:val="right"/>
              <w:rPr>
                <w:rFonts w:ascii="宋体" w:hAnsi="宋体" w:eastAsia="宋体" w:cs="宋体"/>
                <w:sz w:val="18"/>
                <w:szCs w:val="18"/>
              </w:rPr>
            </w:pPr>
            <w:r>
              <w:rPr>
                <w:rFonts w:ascii="宋体" w:hAnsi="宋体" w:eastAsia="宋体" w:cs="宋体"/>
                <w:sz w:val="18"/>
                <w:szCs w:val="18"/>
              </w:rPr>
              <w:t>312,130.00</w:t>
            </w:r>
          </w:p>
        </w:tc>
      </w:tr>
      <w:tr w14:paraId="59E996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965290F">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3至4年</w:t>
            </w:r>
          </w:p>
        </w:tc>
        <w:tc>
          <w:tcPr>
            <w:tcW w:w="3213" w:type="dxa"/>
            <w:tcBorders>
              <w:top w:val="single" w:color="auto" w:sz="2" w:space="0"/>
              <w:left w:val="single" w:color="auto" w:sz="2" w:space="0"/>
              <w:bottom w:val="single" w:color="auto" w:sz="2" w:space="0"/>
              <w:right w:val="single" w:color="auto" w:sz="2" w:space="0"/>
            </w:tcBorders>
            <w:vAlign w:val="center"/>
          </w:tcPr>
          <w:p w14:paraId="2A856E38">
            <w:pPr>
              <w:spacing w:before="0" w:after="0" w:line="240" w:lineRule="exact"/>
              <w:jc w:val="right"/>
              <w:rPr>
                <w:rFonts w:ascii="宋体" w:hAnsi="宋体" w:eastAsia="宋体" w:cs="宋体"/>
                <w:sz w:val="18"/>
                <w:szCs w:val="18"/>
              </w:rPr>
            </w:pPr>
            <w:r>
              <w:rPr>
                <w:rFonts w:ascii="宋体" w:hAnsi="宋体" w:eastAsia="宋体" w:cs="宋体"/>
                <w:sz w:val="18"/>
                <w:szCs w:val="18"/>
              </w:rPr>
              <w:t>30,000.00</w:t>
            </w:r>
          </w:p>
        </w:tc>
        <w:tc>
          <w:tcPr>
            <w:tcW w:w="3213" w:type="dxa"/>
            <w:tcBorders>
              <w:top w:val="single" w:color="auto" w:sz="2" w:space="0"/>
              <w:left w:val="single" w:color="auto" w:sz="2" w:space="0"/>
              <w:bottom w:val="single" w:color="auto" w:sz="2" w:space="0"/>
              <w:right w:val="single" w:color="auto" w:sz="2" w:space="0"/>
            </w:tcBorders>
            <w:vAlign w:val="center"/>
          </w:tcPr>
          <w:p w14:paraId="208D609F">
            <w:pPr>
              <w:spacing w:before="0" w:after="0" w:line="240" w:lineRule="exact"/>
              <w:jc w:val="right"/>
              <w:rPr>
                <w:rFonts w:ascii="宋体" w:hAnsi="宋体" w:eastAsia="宋体" w:cs="宋体"/>
                <w:sz w:val="18"/>
                <w:szCs w:val="18"/>
              </w:rPr>
            </w:pPr>
            <w:r>
              <w:rPr>
                <w:rFonts w:ascii="宋体" w:hAnsi="宋体" w:eastAsia="宋体" w:cs="宋体"/>
                <w:sz w:val="18"/>
                <w:szCs w:val="18"/>
              </w:rPr>
              <w:t>100,350.00</w:t>
            </w:r>
          </w:p>
        </w:tc>
      </w:tr>
      <w:tr w14:paraId="1E8876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49439B9">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4至5年</w:t>
            </w:r>
          </w:p>
        </w:tc>
        <w:tc>
          <w:tcPr>
            <w:tcW w:w="3213" w:type="dxa"/>
            <w:tcBorders>
              <w:top w:val="single" w:color="auto" w:sz="2" w:space="0"/>
              <w:left w:val="single" w:color="auto" w:sz="2" w:space="0"/>
              <w:bottom w:val="single" w:color="auto" w:sz="2" w:space="0"/>
              <w:right w:val="single" w:color="auto" w:sz="2" w:space="0"/>
            </w:tcBorders>
            <w:vAlign w:val="center"/>
          </w:tcPr>
          <w:p w14:paraId="48A10F8B">
            <w:pPr>
              <w:spacing w:before="0" w:after="0" w:line="240" w:lineRule="exact"/>
              <w:jc w:val="right"/>
              <w:rPr>
                <w:rFonts w:ascii="宋体" w:hAnsi="宋体" w:eastAsia="宋体" w:cs="宋体"/>
                <w:sz w:val="18"/>
                <w:szCs w:val="18"/>
              </w:rPr>
            </w:pPr>
            <w:r>
              <w:rPr>
                <w:rFonts w:ascii="宋体" w:hAnsi="宋体" w:eastAsia="宋体" w:cs="宋体"/>
                <w:sz w:val="18"/>
                <w:szCs w:val="18"/>
              </w:rPr>
              <w:t>100,350.00</w:t>
            </w:r>
          </w:p>
        </w:tc>
        <w:tc>
          <w:tcPr>
            <w:tcW w:w="3213" w:type="dxa"/>
            <w:tcBorders>
              <w:top w:val="single" w:color="auto" w:sz="2" w:space="0"/>
              <w:left w:val="single" w:color="auto" w:sz="2" w:space="0"/>
              <w:bottom w:val="single" w:color="auto" w:sz="2" w:space="0"/>
              <w:right w:val="single" w:color="auto" w:sz="2" w:space="0"/>
            </w:tcBorders>
            <w:vAlign w:val="center"/>
          </w:tcPr>
          <w:p w14:paraId="0A2B9574">
            <w:pPr>
              <w:spacing w:before="0" w:after="0" w:line="240" w:lineRule="exact"/>
              <w:jc w:val="right"/>
              <w:rPr>
                <w:rFonts w:ascii="宋体" w:hAnsi="宋体" w:eastAsia="宋体" w:cs="宋体"/>
                <w:sz w:val="18"/>
                <w:szCs w:val="18"/>
              </w:rPr>
            </w:pPr>
          </w:p>
        </w:tc>
      </w:tr>
      <w:tr w14:paraId="5B86A8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CC048A9">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5年以上</w:t>
            </w:r>
          </w:p>
        </w:tc>
        <w:tc>
          <w:tcPr>
            <w:tcW w:w="3213" w:type="dxa"/>
            <w:tcBorders>
              <w:top w:val="single" w:color="auto" w:sz="2" w:space="0"/>
              <w:left w:val="single" w:color="auto" w:sz="2" w:space="0"/>
              <w:bottom w:val="single" w:color="auto" w:sz="2" w:space="0"/>
              <w:right w:val="single" w:color="auto" w:sz="2" w:space="0"/>
            </w:tcBorders>
            <w:vAlign w:val="center"/>
          </w:tcPr>
          <w:p w14:paraId="1C6D7BEA">
            <w:pPr>
              <w:spacing w:before="0" w:after="0" w:line="240" w:lineRule="exact"/>
              <w:jc w:val="right"/>
              <w:rPr>
                <w:rFonts w:ascii="宋体" w:hAnsi="宋体" w:eastAsia="宋体" w:cs="宋体"/>
                <w:sz w:val="18"/>
                <w:szCs w:val="18"/>
              </w:rPr>
            </w:pPr>
            <w:r>
              <w:rPr>
                <w:rFonts w:ascii="宋体" w:hAnsi="宋体" w:eastAsia="宋体" w:cs="宋体"/>
                <w:sz w:val="18"/>
                <w:szCs w:val="18"/>
              </w:rPr>
              <w:t>211,780.00</w:t>
            </w:r>
          </w:p>
        </w:tc>
        <w:tc>
          <w:tcPr>
            <w:tcW w:w="3213" w:type="dxa"/>
            <w:tcBorders>
              <w:top w:val="single" w:color="auto" w:sz="2" w:space="0"/>
              <w:left w:val="single" w:color="auto" w:sz="2" w:space="0"/>
              <w:bottom w:val="single" w:color="auto" w:sz="2" w:space="0"/>
              <w:right w:val="single" w:color="auto" w:sz="2" w:space="0"/>
            </w:tcBorders>
            <w:vAlign w:val="center"/>
          </w:tcPr>
          <w:p w14:paraId="39E403EC">
            <w:pPr>
              <w:spacing w:before="0" w:after="0" w:line="240" w:lineRule="exact"/>
              <w:jc w:val="right"/>
              <w:rPr>
                <w:rFonts w:ascii="宋体" w:hAnsi="宋体" w:eastAsia="宋体" w:cs="宋体"/>
                <w:sz w:val="18"/>
                <w:szCs w:val="18"/>
              </w:rPr>
            </w:pPr>
            <w:r>
              <w:rPr>
                <w:rFonts w:ascii="宋体" w:hAnsi="宋体" w:eastAsia="宋体" w:cs="宋体"/>
                <w:sz w:val="18"/>
                <w:szCs w:val="18"/>
              </w:rPr>
              <w:t>211,780.00</w:t>
            </w:r>
          </w:p>
        </w:tc>
      </w:tr>
      <w:tr w14:paraId="522C36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672FDA3">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387590B1">
            <w:pPr>
              <w:spacing w:before="0" w:after="0" w:line="240" w:lineRule="exact"/>
              <w:jc w:val="right"/>
              <w:rPr>
                <w:rFonts w:ascii="宋体" w:hAnsi="宋体" w:eastAsia="宋体" w:cs="宋体"/>
                <w:sz w:val="18"/>
                <w:szCs w:val="18"/>
              </w:rPr>
            </w:pPr>
            <w:r>
              <w:rPr>
                <w:rFonts w:ascii="宋体" w:hAnsi="宋体" w:eastAsia="宋体" w:cs="宋体"/>
                <w:sz w:val="18"/>
                <w:szCs w:val="18"/>
              </w:rPr>
              <w:t>4,818,657.28</w:t>
            </w:r>
          </w:p>
        </w:tc>
        <w:tc>
          <w:tcPr>
            <w:tcW w:w="3213" w:type="dxa"/>
            <w:tcBorders>
              <w:top w:val="single" w:color="auto" w:sz="2" w:space="0"/>
              <w:left w:val="single" w:color="auto" w:sz="2" w:space="0"/>
              <w:bottom w:val="single" w:color="auto" w:sz="2" w:space="0"/>
              <w:right w:val="single" w:color="auto" w:sz="2" w:space="0"/>
            </w:tcBorders>
            <w:vAlign w:val="center"/>
          </w:tcPr>
          <w:p w14:paraId="18309E97">
            <w:pPr>
              <w:spacing w:before="0" w:after="0" w:line="240" w:lineRule="exact"/>
              <w:jc w:val="right"/>
              <w:rPr>
                <w:rFonts w:ascii="宋体" w:hAnsi="宋体" w:eastAsia="宋体" w:cs="宋体"/>
                <w:sz w:val="18"/>
                <w:szCs w:val="18"/>
              </w:rPr>
            </w:pPr>
            <w:r>
              <w:rPr>
                <w:rFonts w:ascii="宋体" w:hAnsi="宋体" w:eastAsia="宋体" w:cs="宋体"/>
                <w:sz w:val="18"/>
                <w:szCs w:val="18"/>
              </w:rPr>
              <w:t>1,767,752.88</w:t>
            </w:r>
          </w:p>
        </w:tc>
      </w:tr>
    </w:tbl>
    <w:p w14:paraId="02050C25">
      <w:pPr>
        <w:keepNext/>
        <w:keepLines/>
        <w:spacing w:before="300" w:after="300" w:line="280" w:lineRule="exact"/>
        <w:jc w:val="left"/>
        <w:outlineLvl w:val="4"/>
        <w:rPr>
          <w:rFonts w:ascii="宋体" w:hAnsi="宋体" w:eastAsia="宋体" w:cs="宋体"/>
          <w:b/>
          <w:bCs/>
          <w:sz w:val="21"/>
          <w:szCs w:val="21"/>
        </w:rPr>
      </w:pPr>
      <w:bookmarkStart w:id="275" w:name="_Toc989162"/>
      <w:r>
        <w:rPr>
          <w:rFonts w:ascii="宋体" w:hAnsi="宋体" w:eastAsia="宋体" w:cs="宋体"/>
          <w:b/>
          <w:bCs/>
          <w:sz w:val="21"/>
          <w:szCs w:val="21"/>
        </w:rPr>
        <w:t>3） 按坏账计提方法分类披露</w:t>
      </w:r>
      <w:bookmarkEnd w:id="275"/>
    </w:p>
    <w:p w14:paraId="4C5D43BA">
      <w:pPr>
        <w:spacing w:before="40" w:after="4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132EE06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76"/>
        <w:gridCol w:w="876"/>
        <w:gridCol w:w="876"/>
        <w:gridCol w:w="876"/>
        <w:gridCol w:w="876"/>
        <w:gridCol w:w="876"/>
        <w:gridCol w:w="876"/>
        <w:gridCol w:w="876"/>
        <w:gridCol w:w="876"/>
      </w:tblGrid>
      <w:tr w14:paraId="6971CE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97C75C2">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5B241E69">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558F4BE3">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B7D6C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47FE383"/>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34C46B9">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DF7D9EA">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019E619">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63CA64B">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1B715C5">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5CB476B">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05C302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000CD8B"/>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F604300">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AF977EB">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F732588">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15E7D26">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8FEA1DC"/>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C0A674F">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941991E">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DC17BE7">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ABB75E0">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5D37E06"/>
        </w:tc>
      </w:tr>
      <w:tr w14:paraId="60FB2F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4A2D4A3">
            <w:pPr>
              <w:spacing w:before="40" w:after="40" w:line="240" w:lineRule="exact"/>
              <w:jc w:val="left"/>
              <w:rPr>
                <w:rFonts w:ascii="宋体" w:hAnsi="宋体" w:eastAsia="宋体" w:cs="宋体"/>
                <w:sz w:val="18"/>
                <w:szCs w:val="18"/>
              </w:rPr>
            </w:pPr>
            <w:r>
              <w:rPr>
                <w:rFonts w:ascii="宋体" w:hAnsi="宋体" w:eastAsia="宋体" w:cs="宋体"/>
                <w:sz w:val="18"/>
                <w:szCs w:val="18"/>
              </w:rPr>
              <w:t>按单项计提坏账准备</w:t>
            </w:r>
          </w:p>
        </w:tc>
        <w:tc>
          <w:tcPr>
            <w:tcW w:w="876" w:type="dxa"/>
            <w:tcBorders>
              <w:top w:val="single" w:color="auto" w:sz="2" w:space="0"/>
              <w:left w:val="single" w:color="auto" w:sz="2" w:space="0"/>
              <w:bottom w:val="single" w:color="auto" w:sz="2" w:space="0"/>
              <w:right w:val="single" w:color="auto" w:sz="2" w:space="0"/>
            </w:tcBorders>
            <w:vAlign w:val="center"/>
          </w:tcPr>
          <w:p w14:paraId="6693E21C">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876" w:type="dxa"/>
            <w:tcBorders>
              <w:top w:val="single" w:color="auto" w:sz="2" w:space="0"/>
              <w:left w:val="single" w:color="auto" w:sz="2" w:space="0"/>
              <w:bottom w:val="single" w:color="auto" w:sz="2" w:space="0"/>
              <w:right w:val="single" w:color="auto" w:sz="2" w:space="0"/>
            </w:tcBorders>
            <w:vAlign w:val="center"/>
          </w:tcPr>
          <w:p w14:paraId="4488BA2F">
            <w:pPr>
              <w:spacing w:before="0" w:after="0" w:line="240" w:lineRule="exact"/>
              <w:jc w:val="right"/>
              <w:rPr>
                <w:rFonts w:ascii="宋体" w:hAnsi="宋体" w:eastAsia="宋体" w:cs="宋体"/>
                <w:sz w:val="18"/>
                <w:szCs w:val="18"/>
              </w:rPr>
            </w:pPr>
            <w:r>
              <w:rPr>
                <w:rFonts w:ascii="宋体" w:hAnsi="宋体" w:eastAsia="宋体" w:cs="宋体"/>
                <w:sz w:val="18"/>
                <w:szCs w:val="18"/>
              </w:rPr>
              <w:t>10.38%</w:t>
            </w:r>
          </w:p>
        </w:tc>
        <w:tc>
          <w:tcPr>
            <w:tcW w:w="876" w:type="dxa"/>
            <w:tcBorders>
              <w:top w:val="single" w:color="auto" w:sz="2" w:space="0"/>
              <w:left w:val="single" w:color="auto" w:sz="2" w:space="0"/>
              <w:bottom w:val="single" w:color="auto" w:sz="2" w:space="0"/>
              <w:right w:val="single" w:color="auto" w:sz="2" w:space="0"/>
            </w:tcBorders>
            <w:vAlign w:val="center"/>
          </w:tcPr>
          <w:p w14:paraId="7821C504">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876" w:type="dxa"/>
            <w:tcBorders>
              <w:top w:val="single" w:color="auto" w:sz="2" w:space="0"/>
              <w:left w:val="single" w:color="auto" w:sz="2" w:space="0"/>
              <w:bottom w:val="single" w:color="auto" w:sz="2" w:space="0"/>
              <w:right w:val="single" w:color="auto" w:sz="2" w:space="0"/>
            </w:tcBorders>
            <w:vAlign w:val="center"/>
          </w:tcPr>
          <w:p w14:paraId="589FFEC8">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6D99E40D">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232CB778">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876" w:type="dxa"/>
            <w:tcBorders>
              <w:top w:val="single" w:color="auto" w:sz="2" w:space="0"/>
              <w:left w:val="single" w:color="auto" w:sz="2" w:space="0"/>
              <w:bottom w:val="single" w:color="auto" w:sz="2" w:space="0"/>
              <w:right w:val="single" w:color="auto" w:sz="2" w:space="0"/>
            </w:tcBorders>
            <w:vAlign w:val="center"/>
          </w:tcPr>
          <w:p w14:paraId="67E55D66">
            <w:pPr>
              <w:spacing w:before="0" w:after="0" w:line="240" w:lineRule="exact"/>
              <w:jc w:val="right"/>
              <w:rPr>
                <w:rFonts w:ascii="宋体" w:hAnsi="宋体" w:eastAsia="宋体" w:cs="宋体"/>
                <w:sz w:val="18"/>
                <w:szCs w:val="18"/>
              </w:rPr>
            </w:pPr>
            <w:r>
              <w:rPr>
                <w:rFonts w:ascii="宋体" w:hAnsi="宋体" w:eastAsia="宋体" w:cs="宋体"/>
                <w:sz w:val="18"/>
                <w:szCs w:val="18"/>
              </w:rPr>
              <w:t>28.28%</w:t>
            </w:r>
          </w:p>
        </w:tc>
        <w:tc>
          <w:tcPr>
            <w:tcW w:w="876" w:type="dxa"/>
            <w:tcBorders>
              <w:top w:val="single" w:color="auto" w:sz="2" w:space="0"/>
              <w:left w:val="single" w:color="auto" w:sz="2" w:space="0"/>
              <w:bottom w:val="single" w:color="auto" w:sz="2" w:space="0"/>
              <w:right w:val="single" w:color="auto" w:sz="2" w:space="0"/>
            </w:tcBorders>
            <w:vAlign w:val="center"/>
          </w:tcPr>
          <w:p w14:paraId="1C42295C">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c>
          <w:tcPr>
            <w:tcW w:w="876" w:type="dxa"/>
            <w:tcBorders>
              <w:top w:val="single" w:color="auto" w:sz="2" w:space="0"/>
              <w:left w:val="single" w:color="auto" w:sz="2" w:space="0"/>
              <w:bottom w:val="single" w:color="auto" w:sz="2" w:space="0"/>
              <w:right w:val="single" w:color="auto" w:sz="2" w:space="0"/>
            </w:tcBorders>
            <w:vAlign w:val="center"/>
          </w:tcPr>
          <w:p w14:paraId="70F6C8EE">
            <w:pPr>
              <w:spacing w:before="0" w:after="0" w:line="240" w:lineRule="exact"/>
              <w:jc w:val="right"/>
              <w:rPr>
                <w:rFonts w:ascii="宋体" w:hAnsi="宋体" w:eastAsia="宋体" w:cs="宋体"/>
                <w:sz w:val="18"/>
                <w:szCs w:val="18"/>
              </w:rPr>
            </w:pPr>
            <w:r>
              <w:rPr>
                <w:rFonts w:ascii="宋体" w:hAnsi="宋体" w:eastAsia="宋体" w:cs="宋体"/>
                <w:sz w:val="18"/>
                <w:szCs w:val="18"/>
              </w:rPr>
              <w:t>50.00%</w:t>
            </w:r>
          </w:p>
        </w:tc>
        <w:tc>
          <w:tcPr>
            <w:tcW w:w="876" w:type="dxa"/>
            <w:tcBorders>
              <w:top w:val="single" w:color="auto" w:sz="2" w:space="0"/>
              <w:left w:val="single" w:color="auto" w:sz="2" w:space="0"/>
              <w:bottom w:val="single" w:color="auto" w:sz="2" w:space="0"/>
              <w:right w:val="single" w:color="auto" w:sz="2" w:space="0"/>
            </w:tcBorders>
            <w:vAlign w:val="center"/>
          </w:tcPr>
          <w:p w14:paraId="2E6556B7">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r>
      <w:tr w14:paraId="0814C0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1"/>
            <w:tcBorders>
              <w:top w:val="single" w:color="auto" w:sz="2" w:space="0"/>
              <w:left w:val="single" w:color="auto" w:sz="2" w:space="0"/>
              <w:bottom w:val="single" w:color="auto" w:sz="2" w:space="0"/>
              <w:right w:val="single" w:color="auto" w:sz="2" w:space="0"/>
            </w:tcBorders>
            <w:shd w:val="clear" w:color="auto" w:fill="D3D3D3"/>
            <w:vAlign w:val="center"/>
          </w:tcPr>
          <w:p w14:paraId="2A769C21">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r>
      <w:tr w14:paraId="576A34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D67F506">
            <w:pPr>
              <w:spacing w:before="40" w:after="40" w:line="240" w:lineRule="exact"/>
              <w:jc w:val="left"/>
              <w:rPr>
                <w:rFonts w:ascii="宋体" w:hAnsi="宋体" w:eastAsia="宋体" w:cs="宋体"/>
                <w:sz w:val="18"/>
                <w:szCs w:val="18"/>
              </w:rPr>
            </w:pPr>
            <w:r>
              <w:rPr>
                <w:rFonts w:ascii="宋体" w:hAnsi="宋体" w:eastAsia="宋体" w:cs="宋体"/>
                <w:sz w:val="18"/>
                <w:szCs w:val="18"/>
              </w:rPr>
              <w:t>按组合计提坏账准备</w:t>
            </w:r>
          </w:p>
        </w:tc>
        <w:tc>
          <w:tcPr>
            <w:tcW w:w="876" w:type="dxa"/>
            <w:tcBorders>
              <w:top w:val="single" w:color="auto" w:sz="2" w:space="0"/>
              <w:left w:val="single" w:color="auto" w:sz="2" w:space="0"/>
              <w:bottom w:val="single" w:color="auto" w:sz="2" w:space="0"/>
              <w:right w:val="single" w:color="auto" w:sz="2" w:space="0"/>
            </w:tcBorders>
            <w:vAlign w:val="center"/>
          </w:tcPr>
          <w:p w14:paraId="09EF36CE">
            <w:pPr>
              <w:spacing w:before="0" w:after="0" w:line="240" w:lineRule="exact"/>
              <w:jc w:val="right"/>
              <w:rPr>
                <w:rFonts w:ascii="宋体" w:hAnsi="宋体" w:eastAsia="宋体" w:cs="宋体"/>
                <w:sz w:val="18"/>
                <w:szCs w:val="18"/>
              </w:rPr>
            </w:pPr>
            <w:r>
              <w:rPr>
                <w:rFonts w:ascii="宋体" w:hAnsi="宋体" w:eastAsia="宋体" w:cs="宋体"/>
                <w:sz w:val="18"/>
                <w:szCs w:val="18"/>
              </w:rPr>
              <w:t>4,318,657.28</w:t>
            </w:r>
          </w:p>
        </w:tc>
        <w:tc>
          <w:tcPr>
            <w:tcW w:w="876" w:type="dxa"/>
            <w:tcBorders>
              <w:top w:val="single" w:color="auto" w:sz="2" w:space="0"/>
              <w:left w:val="single" w:color="auto" w:sz="2" w:space="0"/>
              <w:bottom w:val="single" w:color="auto" w:sz="2" w:space="0"/>
              <w:right w:val="single" w:color="auto" w:sz="2" w:space="0"/>
            </w:tcBorders>
            <w:vAlign w:val="center"/>
          </w:tcPr>
          <w:p w14:paraId="60C276FC">
            <w:pPr>
              <w:spacing w:before="0" w:after="0" w:line="240" w:lineRule="exact"/>
              <w:jc w:val="right"/>
              <w:rPr>
                <w:rFonts w:ascii="宋体" w:hAnsi="宋体" w:eastAsia="宋体" w:cs="宋体"/>
                <w:sz w:val="18"/>
                <w:szCs w:val="18"/>
              </w:rPr>
            </w:pPr>
            <w:r>
              <w:rPr>
                <w:rFonts w:ascii="宋体" w:hAnsi="宋体" w:eastAsia="宋体" w:cs="宋体"/>
                <w:sz w:val="18"/>
                <w:szCs w:val="18"/>
              </w:rPr>
              <w:t>89.62%</w:t>
            </w:r>
          </w:p>
        </w:tc>
        <w:tc>
          <w:tcPr>
            <w:tcW w:w="876" w:type="dxa"/>
            <w:tcBorders>
              <w:top w:val="single" w:color="auto" w:sz="2" w:space="0"/>
              <w:left w:val="single" w:color="auto" w:sz="2" w:space="0"/>
              <w:bottom w:val="single" w:color="auto" w:sz="2" w:space="0"/>
              <w:right w:val="single" w:color="auto" w:sz="2" w:space="0"/>
            </w:tcBorders>
            <w:vAlign w:val="center"/>
          </w:tcPr>
          <w:p w14:paraId="3A52F3A3">
            <w:pPr>
              <w:spacing w:before="0" w:after="0" w:line="240" w:lineRule="exact"/>
              <w:jc w:val="right"/>
              <w:rPr>
                <w:rFonts w:ascii="宋体" w:hAnsi="宋体" w:eastAsia="宋体" w:cs="宋体"/>
                <w:sz w:val="18"/>
                <w:szCs w:val="18"/>
              </w:rPr>
            </w:pPr>
            <w:r>
              <w:rPr>
                <w:rFonts w:ascii="宋体" w:hAnsi="宋体" w:eastAsia="宋体" w:cs="宋体"/>
                <w:sz w:val="18"/>
                <w:szCs w:val="18"/>
              </w:rPr>
              <w:t>30,871.29</w:t>
            </w:r>
          </w:p>
        </w:tc>
        <w:tc>
          <w:tcPr>
            <w:tcW w:w="876" w:type="dxa"/>
            <w:tcBorders>
              <w:top w:val="single" w:color="auto" w:sz="2" w:space="0"/>
              <w:left w:val="single" w:color="auto" w:sz="2" w:space="0"/>
              <w:bottom w:val="single" w:color="auto" w:sz="2" w:space="0"/>
              <w:right w:val="single" w:color="auto" w:sz="2" w:space="0"/>
            </w:tcBorders>
            <w:vAlign w:val="center"/>
          </w:tcPr>
          <w:p w14:paraId="2B5FDE85">
            <w:pPr>
              <w:spacing w:before="0" w:after="0" w:line="240" w:lineRule="exact"/>
              <w:jc w:val="right"/>
              <w:rPr>
                <w:rFonts w:ascii="宋体" w:hAnsi="宋体" w:eastAsia="宋体" w:cs="宋体"/>
                <w:sz w:val="18"/>
                <w:szCs w:val="18"/>
              </w:rPr>
            </w:pPr>
            <w:r>
              <w:rPr>
                <w:rFonts w:ascii="宋体" w:hAnsi="宋体" w:eastAsia="宋体" w:cs="宋体"/>
                <w:sz w:val="18"/>
                <w:szCs w:val="18"/>
              </w:rPr>
              <w:t>0.71%</w:t>
            </w:r>
          </w:p>
        </w:tc>
        <w:tc>
          <w:tcPr>
            <w:tcW w:w="876" w:type="dxa"/>
            <w:tcBorders>
              <w:top w:val="single" w:color="auto" w:sz="2" w:space="0"/>
              <w:left w:val="single" w:color="auto" w:sz="2" w:space="0"/>
              <w:bottom w:val="single" w:color="auto" w:sz="2" w:space="0"/>
              <w:right w:val="single" w:color="auto" w:sz="2" w:space="0"/>
            </w:tcBorders>
            <w:vAlign w:val="center"/>
          </w:tcPr>
          <w:p w14:paraId="61EA437B">
            <w:pPr>
              <w:spacing w:before="0" w:after="0" w:line="240" w:lineRule="exact"/>
              <w:jc w:val="right"/>
              <w:rPr>
                <w:rFonts w:ascii="宋体" w:hAnsi="宋体" w:eastAsia="宋体" w:cs="宋体"/>
                <w:sz w:val="18"/>
                <w:szCs w:val="18"/>
              </w:rPr>
            </w:pPr>
            <w:r>
              <w:rPr>
                <w:rFonts w:ascii="宋体" w:hAnsi="宋体" w:eastAsia="宋体" w:cs="宋体"/>
                <w:sz w:val="18"/>
                <w:szCs w:val="18"/>
              </w:rPr>
              <w:t>4,287,785.99</w:t>
            </w:r>
          </w:p>
        </w:tc>
        <w:tc>
          <w:tcPr>
            <w:tcW w:w="876" w:type="dxa"/>
            <w:tcBorders>
              <w:top w:val="single" w:color="auto" w:sz="2" w:space="0"/>
              <w:left w:val="single" w:color="auto" w:sz="2" w:space="0"/>
              <w:bottom w:val="single" w:color="auto" w:sz="2" w:space="0"/>
              <w:right w:val="single" w:color="auto" w:sz="2" w:space="0"/>
            </w:tcBorders>
            <w:vAlign w:val="center"/>
          </w:tcPr>
          <w:p w14:paraId="269E94D0">
            <w:pPr>
              <w:spacing w:before="0" w:after="0" w:line="240" w:lineRule="exact"/>
              <w:jc w:val="right"/>
              <w:rPr>
                <w:rFonts w:ascii="宋体" w:hAnsi="宋体" w:eastAsia="宋体" w:cs="宋体"/>
                <w:sz w:val="18"/>
                <w:szCs w:val="18"/>
              </w:rPr>
            </w:pPr>
            <w:r>
              <w:rPr>
                <w:rFonts w:ascii="宋体" w:hAnsi="宋体" w:eastAsia="宋体" w:cs="宋体"/>
                <w:sz w:val="18"/>
                <w:szCs w:val="18"/>
              </w:rPr>
              <w:t>1,267,752.88</w:t>
            </w:r>
          </w:p>
        </w:tc>
        <w:tc>
          <w:tcPr>
            <w:tcW w:w="876" w:type="dxa"/>
            <w:tcBorders>
              <w:top w:val="single" w:color="auto" w:sz="2" w:space="0"/>
              <w:left w:val="single" w:color="auto" w:sz="2" w:space="0"/>
              <w:bottom w:val="single" w:color="auto" w:sz="2" w:space="0"/>
              <w:right w:val="single" w:color="auto" w:sz="2" w:space="0"/>
            </w:tcBorders>
            <w:vAlign w:val="center"/>
          </w:tcPr>
          <w:p w14:paraId="4A9AC971">
            <w:pPr>
              <w:spacing w:before="0" w:after="0" w:line="240" w:lineRule="exact"/>
              <w:jc w:val="right"/>
              <w:rPr>
                <w:rFonts w:ascii="宋体" w:hAnsi="宋体" w:eastAsia="宋体" w:cs="宋体"/>
                <w:sz w:val="18"/>
                <w:szCs w:val="18"/>
              </w:rPr>
            </w:pPr>
            <w:r>
              <w:rPr>
                <w:rFonts w:ascii="宋体" w:hAnsi="宋体" w:eastAsia="宋体" w:cs="宋体"/>
                <w:sz w:val="18"/>
                <w:szCs w:val="18"/>
              </w:rPr>
              <w:t>71.72%</w:t>
            </w:r>
          </w:p>
        </w:tc>
        <w:tc>
          <w:tcPr>
            <w:tcW w:w="876" w:type="dxa"/>
            <w:tcBorders>
              <w:top w:val="single" w:color="auto" w:sz="2" w:space="0"/>
              <w:left w:val="single" w:color="auto" w:sz="2" w:space="0"/>
              <w:bottom w:val="single" w:color="auto" w:sz="2" w:space="0"/>
              <w:right w:val="single" w:color="auto" w:sz="2" w:space="0"/>
            </w:tcBorders>
            <w:vAlign w:val="center"/>
          </w:tcPr>
          <w:p w14:paraId="4519F1F1">
            <w:pPr>
              <w:spacing w:before="0" w:after="0" w:line="240" w:lineRule="exact"/>
              <w:jc w:val="right"/>
              <w:rPr>
                <w:rFonts w:ascii="宋体" w:hAnsi="宋体" w:eastAsia="宋体" w:cs="宋体"/>
                <w:sz w:val="18"/>
                <w:szCs w:val="18"/>
              </w:rPr>
            </w:pPr>
            <w:r>
              <w:rPr>
                <w:rFonts w:ascii="宋体" w:hAnsi="宋体" w:eastAsia="宋体" w:cs="宋体"/>
                <w:sz w:val="18"/>
                <w:szCs w:val="18"/>
              </w:rPr>
              <w:t>29,777.83</w:t>
            </w:r>
          </w:p>
        </w:tc>
        <w:tc>
          <w:tcPr>
            <w:tcW w:w="876" w:type="dxa"/>
            <w:tcBorders>
              <w:top w:val="single" w:color="auto" w:sz="2" w:space="0"/>
              <w:left w:val="single" w:color="auto" w:sz="2" w:space="0"/>
              <w:bottom w:val="single" w:color="auto" w:sz="2" w:space="0"/>
              <w:right w:val="single" w:color="auto" w:sz="2" w:space="0"/>
            </w:tcBorders>
            <w:vAlign w:val="center"/>
          </w:tcPr>
          <w:p w14:paraId="5642D663">
            <w:pPr>
              <w:spacing w:before="0" w:after="0" w:line="240" w:lineRule="exact"/>
              <w:jc w:val="right"/>
              <w:rPr>
                <w:rFonts w:ascii="宋体" w:hAnsi="宋体" w:eastAsia="宋体" w:cs="宋体"/>
                <w:sz w:val="18"/>
                <w:szCs w:val="18"/>
              </w:rPr>
            </w:pPr>
            <w:r>
              <w:rPr>
                <w:rFonts w:ascii="宋体" w:hAnsi="宋体" w:eastAsia="宋体" w:cs="宋体"/>
                <w:sz w:val="18"/>
                <w:szCs w:val="18"/>
              </w:rPr>
              <w:t>2.35%</w:t>
            </w:r>
          </w:p>
        </w:tc>
        <w:tc>
          <w:tcPr>
            <w:tcW w:w="876" w:type="dxa"/>
            <w:tcBorders>
              <w:top w:val="single" w:color="auto" w:sz="2" w:space="0"/>
              <w:left w:val="single" w:color="auto" w:sz="2" w:space="0"/>
              <w:bottom w:val="single" w:color="auto" w:sz="2" w:space="0"/>
              <w:right w:val="single" w:color="auto" w:sz="2" w:space="0"/>
            </w:tcBorders>
            <w:vAlign w:val="center"/>
          </w:tcPr>
          <w:p w14:paraId="182A3443">
            <w:pPr>
              <w:spacing w:before="0" w:after="0" w:line="240" w:lineRule="exact"/>
              <w:jc w:val="right"/>
              <w:rPr>
                <w:rFonts w:ascii="宋体" w:hAnsi="宋体" w:eastAsia="宋体" w:cs="宋体"/>
                <w:sz w:val="18"/>
                <w:szCs w:val="18"/>
              </w:rPr>
            </w:pPr>
            <w:r>
              <w:rPr>
                <w:rFonts w:ascii="宋体" w:hAnsi="宋体" w:eastAsia="宋体" w:cs="宋体"/>
                <w:sz w:val="18"/>
                <w:szCs w:val="18"/>
              </w:rPr>
              <w:t>1,237,975.05</w:t>
            </w:r>
          </w:p>
        </w:tc>
      </w:tr>
      <w:tr w14:paraId="4D3536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1"/>
            <w:tcBorders>
              <w:top w:val="single" w:color="auto" w:sz="2" w:space="0"/>
              <w:left w:val="single" w:color="auto" w:sz="2" w:space="0"/>
              <w:bottom w:val="single" w:color="auto" w:sz="2" w:space="0"/>
              <w:right w:val="single" w:color="auto" w:sz="2" w:space="0"/>
            </w:tcBorders>
            <w:shd w:val="clear" w:color="auto" w:fill="D3D3D3"/>
            <w:vAlign w:val="center"/>
          </w:tcPr>
          <w:p w14:paraId="653EC3B4">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r>
      <w:tr w14:paraId="321773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131E8EF0">
            <w:pPr>
              <w:spacing w:before="0" w:after="0" w:line="240" w:lineRule="exact"/>
              <w:jc w:val="left"/>
              <w:rPr>
                <w:rFonts w:ascii="宋体" w:hAnsi="宋体" w:eastAsia="宋体" w:cs="宋体"/>
                <w:sz w:val="18"/>
                <w:szCs w:val="18"/>
              </w:rPr>
            </w:pPr>
            <w:r>
              <w:rPr>
                <w:rFonts w:ascii="宋体" w:hAnsi="宋体" w:eastAsia="宋体" w:cs="宋体"/>
                <w:sz w:val="18"/>
                <w:szCs w:val="18"/>
              </w:rPr>
              <w:t>押金、保证金、员工备用金组合</w:t>
            </w:r>
          </w:p>
        </w:tc>
        <w:tc>
          <w:tcPr>
            <w:tcW w:w="876" w:type="dxa"/>
            <w:tcBorders>
              <w:top w:val="single" w:color="auto" w:sz="2" w:space="0"/>
              <w:left w:val="single" w:color="auto" w:sz="2" w:space="0"/>
              <w:bottom w:val="single" w:color="auto" w:sz="2" w:space="0"/>
              <w:right w:val="single" w:color="auto" w:sz="2" w:space="0"/>
            </w:tcBorders>
            <w:vAlign w:val="center"/>
          </w:tcPr>
          <w:p w14:paraId="6D1FAAC8">
            <w:pPr>
              <w:spacing w:before="0" w:after="0" w:line="240" w:lineRule="exact"/>
              <w:jc w:val="right"/>
              <w:rPr>
                <w:rFonts w:ascii="宋体" w:hAnsi="宋体" w:eastAsia="宋体" w:cs="宋体"/>
                <w:sz w:val="18"/>
                <w:szCs w:val="18"/>
              </w:rPr>
            </w:pPr>
            <w:r>
              <w:rPr>
                <w:rFonts w:ascii="宋体" w:hAnsi="宋体" w:eastAsia="宋体" w:cs="宋体"/>
                <w:sz w:val="18"/>
                <w:szCs w:val="18"/>
              </w:rPr>
              <w:t>3,755,951.31</w:t>
            </w:r>
          </w:p>
        </w:tc>
        <w:tc>
          <w:tcPr>
            <w:tcW w:w="876" w:type="dxa"/>
            <w:tcBorders>
              <w:top w:val="single" w:color="auto" w:sz="2" w:space="0"/>
              <w:left w:val="single" w:color="auto" w:sz="2" w:space="0"/>
              <w:bottom w:val="single" w:color="auto" w:sz="2" w:space="0"/>
              <w:right w:val="single" w:color="auto" w:sz="2" w:space="0"/>
            </w:tcBorders>
            <w:vAlign w:val="center"/>
          </w:tcPr>
          <w:p w14:paraId="711C5D04">
            <w:pPr>
              <w:spacing w:before="0" w:after="0" w:line="240" w:lineRule="exact"/>
              <w:jc w:val="right"/>
              <w:rPr>
                <w:rFonts w:ascii="宋体" w:hAnsi="宋体" w:eastAsia="宋体" w:cs="宋体"/>
                <w:sz w:val="18"/>
                <w:szCs w:val="18"/>
              </w:rPr>
            </w:pPr>
            <w:r>
              <w:rPr>
                <w:rFonts w:ascii="宋体" w:hAnsi="宋体" w:eastAsia="宋体" w:cs="宋体"/>
                <w:sz w:val="18"/>
                <w:szCs w:val="18"/>
              </w:rPr>
              <w:t>77.95%</w:t>
            </w:r>
          </w:p>
        </w:tc>
        <w:tc>
          <w:tcPr>
            <w:tcW w:w="876" w:type="dxa"/>
            <w:tcBorders>
              <w:top w:val="single" w:color="auto" w:sz="2" w:space="0"/>
              <w:left w:val="single" w:color="auto" w:sz="2" w:space="0"/>
              <w:bottom w:val="single" w:color="auto" w:sz="2" w:space="0"/>
              <w:right w:val="single" w:color="auto" w:sz="2" w:space="0"/>
            </w:tcBorders>
            <w:vAlign w:val="center"/>
          </w:tcPr>
          <w:p w14:paraId="565FFE59">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5061E6CF">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3FC953AE">
            <w:pPr>
              <w:spacing w:before="0" w:after="0" w:line="240" w:lineRule="exact"/>
              <w:jc w:val="right"/>
              <w:rPr>
                <w:rFonts w:ascii="宋体" w:hAnsi="宋体" w:eastAsia="宋体" w:cs="宋体"/>
                <w:sz w:val="18"/>
                <w:szCs w:val="18"/>
              </w:rPr>
            </w:pPr>
            <w:r>
              <w:rPr>
                <w:rFonts w:ascii="宋体" w:hAnsi="宋体" w:eastAsia="宋体" w:cs="宋体"/>
                <w:sz w:val="18"/>
                <w:szCs w:val="18"/>
              </w:rPr>
              <w:t>3,755,951.31</w:t>
            </w:r>
          </w:p>
        </w:tc>
        <w:tc>
          <w:tcPr>
            <w:tcW w:w="876" w:type="dxa"/>
            <w:tcBorders>
              <w:top w:val="single" w:color="auto" w:sz="2" w:space="0"/>
              <w:left w:val="single" w:color="auto" w:sz="2" w:space="0"/>
              <w:bottom w:val="single" w:color="auto" w:sz="2" w:space="0"/>
              <w:right w:val="single" w:color="auto" w:sz="2" w:space="0"/>
            </w:tcBorders>
            <w:vAlign w:val="center"/>
          </w:tcPr>
          <w:p w14:paraId="6A229970">
            <w:pPr>
              <w:spacing w:before="0" w:after="0" w:line="240" w:lineRule="exact"/>
              <w:jc w:val="right"/>
              <w:rPr>
                <w:rFonts w:ascii="宋体" w:hAnsi="宋体" w:eastAsia="宋体" w:cs="宋体"/>
                <w:sz w:val="18"/>
                <w:szCs w:val="18"/>
              </w:rPr>
            </w:pPr>
            <w:r>
              <w:rPr>
                <w:rFonts w:ascii="宋体" w:hAnsi="宋体" w:eastAsia="宋体" w:cs="宋体"/>
                <w:sz w:val="18"/>
                <w:szCs w:val="18"/>
              </w:rPr>
              <w:t>726,916.43</w:t>
            </w:r>
          </w:p>
        </w:tc>
        <w:tc>
          <w:tcPr>
            <w:tcW w:w="876" w:type="dxa"/>
            <w:tcBorders>
              <w:top w:val="single" w:color="auto" w:sz="2" w:space="0"/>
              <w:left w:val="single" w:color="auto" w:sz="2" w:space="0"/>
              <w:bottom w:val="single" w:color="auto" w:sz="2" w:space="0"/>
              <w:right w:val="single" w:color="auto" w:sz="2" w:space="0"/>
            </w:tcBorders>
            <w:vAlign w:val="center"/>
          </w:tcPr>
          <w:p w14:paraId="384794CA">
            <w:pPr>
              <w:spacing w:before="0" w:after="0" w:line="240" w:lineRule="exact"/>
              <w:jc w:val="right"/>
              <w:rPr>
                <w:rFonts w:ascii="宋体" w:hAnsi="宋体" w:eastAsia="宋体" w:cs="宋体"/>
                <w:sz w:val="18"/>
                <w:szCs w:val="18"/>
              </w:rPr>
            </w:pPr>
            <w:r>
              <w:rPr>
                <w:rFonts w:ascii="宋体" w:hAnsi="宋体" w:eastAsia="宋体" w:cs="宋体"/>
                <w:sz w:val="18"/>
                <w:szCs w:val="18"/>
              </w:rPr>
              <w:t>41.12%</w:t>
            </w:r>
          </w:p>
        </w:tc>
        <w:tc>
          <w:tcPr>
            <w:tcW w:w="876" w:type="dxa"/>
            <w:tcBorders>
              <w:top w:val="single" w:color="auto" w:sz="2" w:space="0"/>
              <w:left w:val="single" w:color="auto" w:sz="2" w:space="0"/>
              <w:bottom w:val="single" w:color="auto" w:sz="2" w:space="0"/>
              <w:right w:val="single" w:color="auto" w:sz="2" w:space="0"/>
            </w:tcBorders>
            <w:vAlign w:val="center"/>
          </w:tcPr>
          <w:p w14:paraId="34CCAFB7">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464BC4E4">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766859A2">
            <w:pPr>
              <w:spacing w:before="0" w:after="0" w:line="240" w:lineRule="exact"/>
              <w:jc w:val="right"/>
              <w:rPr>
                <w:rFonts w:ascii="宋体" w:hAnsi="宋体" w:eastAsia="宋体" w:cs="宋体"/>
                <w:sz w:val="18"/>
                <w:szCs w:val="18"/>
              </w:rPr>
            </w:pPr>
            <w:r>
              <w:rPr>
                <w:rFonts w:ascii="宋体" w:hAnsi="宋体" w:eastAsia="宋体" w:cs="宋体"/>
                <w:sz w:val="18"/>
                <w:szCs w:val="18"/>
              </w:rPr>
              <w:t>726,916.43</w:t>
            </w:r>
          </w:p>
        </w:tc>
      </w:tr>
      <w:tr w14:paraId="651485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1EC53BD7">
            <w:pPr>
              <w:spacing w:before="0" w:after="0" w:line="240" w:lineRule="exact"/>
              <w:jc w:val="left"/>
              <w:rPr>
                <w:rFonts w:ascii="宋体" w:hAnsi="宋体" w:eastAsia="宋体" w:cs="宋体"/>
                <w:sz w:val="18"/>
                <w:szCs w:val="18"/>
              </w:rPr>
            </w:pPr>
            <w:r>
              <w:rPr>
                <w:rFonts w:ascii="宋体" w:hAnsi="宋体" w:eastAsia="宋体" w:cs="宋体"/>
                <w:sz w:val="18"/>
                <w:szCs w:val="18"/>
              </w:rPr>
              <w:t>信用组合</w:t>
            </w:r>
          </w:p>
        </w:tc>
        <w:tc>
          <w:tcPr>
            <w:tcW w:w="876" w:type="dxa"/>
            <w:tcBorders>
              <w:top w:val="single" w:color="auto" w:sz="2" w:space="0"/>
              <w:left w:val="single" w:color="auto" w:sz="2" w:space="0"/>
              <w:bottom w:val="single" w:color="auto" w:sz="2" w:space="0"/>
              <w:right w:val="single" w:color="auto" w:sz="2" w:space="0"/>
            </w:tcBorders>
            <w:vAlign w:val="center"/>
          </w:tcPr>
          <w:p w14:paraId="21560075">
            <w:pPr>
              <w:spacing w:before="0" w:after="0" w:line="240" w:lineRule="exact"/>
              <w:jc w:val="right"/>
              <w:rPr>
                <w:rFonts w:ascii="宋体" w:hAnsi="宋体" w:eastAsia="宋体" w:cs="宋体"/>
                <w:sz w:val="18"/>
                <w:szCs w:val="18"/>
              </w:rPr>
            </w:pPr>
            <w:r>
              <w:rPr>
                <w:rFonts w:ascii="宋体" w:hAnsi="宋体" w:eastAsia="宋体" w:cs="宋体"/>
                <w:sz w:val="18"/>
                <w:szCs w:val="18"/>
              </w:rPr>
              <w:t>562,705.97</w:t>
            </w:r>
          </w:p>
        </w:tc>
        <w:tc>
          <w:tcPr>
            <w:tcW w:w="876" w:type="dxa"/>
            <w:tcBorders>
              <w:top w:val="single" w:color="auto" w:sz="2" w:space="0"/>
              <w:left w:val="single" w:color="auto" w:sz="2" w:space="0"/>
              <w:bottom w:val="single" w:color="auto" w:sz="2" w:space="0"/>
              <w:right w:val="single" w:color="auto" w:sz="2" w:space="0"/>
            </w:tcBorders>
            <w:vAlign w:val="center"/>
          </w:tcPr>
          <w:p w14:paraId="19A3CCAB">
            <w:pPr>
              <w:spacing w:before="0" w:after="0" w:line="240" w:lineRule="exact"/>
              <w:jc w:val="right"/>
              <w:rPr>
                <w:rFonts w:ascii="宋体" w:hAnsi="宋体" w:eastAsia="宋体" w:cs="宋体"/>
                <w:sz w:val="18"/>
                <w:szCs w:val="18"/>
              </w:rPr>
            </w:pPr>
            <w:r>
              <w:rPr>
                <w:rFonts w:ascii="宋体" w:hAnsi="宋体" w:eastAsia="宋体" w:cs="宋体"/>
                <w:sz w:val="18"/>
                <w:szCs w:val="18"/>
              </w:rPr>
              <w:t>11.68%</w:t>
            </w:r>
          </w:p>
        </w:tc>
        <w:tc>
          <w:tcPr>
            <w:tcW w:w="876" w:type="dxa"/>
            <w:tcBorders>
              <w:top w:val="single" w:color="auto" w:sz="2" w:space="0"/>
              <w:left w:val="single" w:color="auto" w:sz="2" w:space="0"/>
              <w:bottom w:val="single" w:color="auto" w:sz="2" w:space="0"/>
              <w:right w:val="single" w:color="auto" w:sz="2" w:space="0"/>
            </w:tcBorders>
            <w:vAlign w:val="center"/>
          </w:tcPr>
          <w:p w14:paraId="2AF9660E">
            <w:pPr>
              <w:spacing w:before="0" w:after="0" w:line="240" w:lineRule="exact"/>
              <w:jc w:val="right"/>
              <w:rPr>
                <w:rFonts w:ascii="宋体" w:hAnsi="宋体" w:eastAsia="宋体" w:cs="宋体"/>
                <w:sz w:val="18"/>
                <w:szCs w:val="18"/>
              </w:rPr>
            </w:pPr>
            <w:r>
              <w:rPr>
                <w:rFonts w:ascii="宋体" w:hAnsi="宋体" w:eastAsia="宋体" w:cs="宋体"/>
                <w:sz w:val="18"/>
                <w:szCs w:val="18"/>
              </w:rPr>
              <w:t>30,871.29</w:t>
            </w:r>
          </w:p>
        </w:tc>
        <w:tc>
          <w:tcPr>
            <w:tcW w:w="876" w:type="dxa"/>
            <w:tcBorders>
              <w:top w:val="single" w:color="auto" w:sz="2" w:space="0"/>
              <w:left w:val="single" w:color="auto" w:sz="2" w:space="0"/>
              <w:bottom w:val="single" w:color="auto" w:sz="2" w:space="0"/>
              <w:right w:val="single" w:color="auto" w:sz="2" w:space="0"/>
            </w:tcBorders>
            <w:vAlign w:val="center"/>
          </w:tcPr>
          <w:p w14:paraId="652ED9CC">
            <w:pPr>
              <w:spacing w:before="0" w:after="0" w:line="240" w:lineRule="exact"/>
              <w:jc w:val="right"/>
              <w:rPr>
                <w:rFonts w:ascii="宋体" w:hAnsi="宋体" w:eastAsia="宋体" w:cs="宋体"/>
                <w:sz w:val="18"/>
                <w:szCs w:val="18"/>
              </w:rPr>
            </w:pPr>
            <w:r>
              <w:rPr>
                <w:rFonts w:ascii="宋体" w:hAnsi="宋体" w:eastAsia="宋体" w:cs="宋体"/>
                <w:sz w:val="18"/>
                <w:szCs w:val="18"/>
              </w:rPr>
              <w:t>5.49%</w:t>
            </w:r>
          </w:p>
        </w:tc>
        <w:tc>
          <w:tcPr>
            <w:tcW w:w="876" w:type="dxa"/>
            <w:tcBorders>
              <w:top w:val="single" w:color="auto" w:sz="2" w:space="0"/>
              <w:left w:val="single" w:color="auto" w:sz="2" w:space="0"/>
              <w:bottom w:val="single" w:color="auto" w:sz="2" w:space="0"/>
              <w:right w:val="single" w:color="auto" w:sz="2" w:space="0"/>
            </w:tcBorders>
            <w:vAlign w:val="center"/>
          </w:tcPr>
          <w:p w14:paraId="7D55E687">
            <w:pPr>
              <w:spacing w:before="0" w:after="0" w:line="240" w:lineRule="exact"/>
              <w:jc w:val="right"/>
              <w:rPr>
                <w:rFonts w:ascii="宋体" w:hAnsi="宋体" w:eastAsia="宋体" w:cs="宋体"/>
                <w:sz w:val="18"/>
                <w:szCs w:val="18"/>
              </w:rPr>
            </w:pPr>
            <w:r>
              <w:rPr>
                <w:rFonts w:ascii="宋体" w:hAnsi="宋体" w:eastAsia="宋体" w:cs="宋体"/>
                <w:sz w:val="18"/>
                <w:szCs w:val="18"/>
              </w:rPr>
              <w:t>531,834.68</w:t>
            </w:r>
          </w:p>
        </w:tc>
        <w:tc>
          <w:tcPr>
            <w:tcW w:w="876" w:type="dxa"/>
            <w:tcBorders>
              <w:top w:val="single" w:color="auto" w:sz="2" w:space="0"/>
              <w:left w:val="single" w:color="auto" w:sz="2" w:space="0"/>
              <w:bottom w:val="single" w:color="auto" w:sz="2" w:space="0"/>
              <w:right w:val="single" w:color="auto" w:sz="2" w:space="0"/>
            </w:tcBorders>
            <w:vAlign w:val="center"/>
          </w:tcPr>
          <w:p w14:paraId="238A418B">
            <w:pPr>
              <w:spacing w:before="0" w:after="0" w:line="240" w:lineRule="exact"/>
              <w:jc w:val="right"/>
              <w:rPr>
                <w:rFonts w:ascii="宋体" w:hAnsi="宋体" w:eastAsia="宋体" w:cs="宋体"/>
                <w:sz w:val="18"/>
                <w:szCs w:val="18"/>
              </w:rPr>
            </w:pPr>
            <w:r>
              <w:rPr>
                <w:rFonts w:ascii="宋体" w:hAnsi="宋体" w:eastAsia="宋体" w:cs="宋体"/>
                <w:sz w:val="18"/>
                <w:szCs w:val="18"/>
              </w:rPr>
              <w:t>540,836.45</w:t>
            </w:r>
          </w:p>
        </w:tc>
        <w:tc>
          <w:tcPr>
            <w:tcW w:w="876" w:type="dxa"/>
            <w:tcBorders>
              <w:top w:val="single" w:color="auto" w:sz="2" w:space="0"/>
              <w:left w:val="single" w:color="auto" w:sz="2" w:space="0"/>
              <w:bottom w:val="single" w:color="auto" w:sz="2" w:space="0"/>
              <w:right w:val="single" w:color="auto" w:sz="2" w:space="0"/>
            </w:tcBorders>
            <w:vAlign w:val="center"/>
          </w:tcPr>
          <w:p w14:paraId="2D91579F">
            <w:pPr>
              <w:spacing w:before="0" w:after="0" w:line="240" w:lineRule="exact"/>
              <w:jc w:val="right"/>
              <w:rPr>
                <w:rFonts w:ascii="宋体" w:hAnsi="宋体" w:eastAsia="宋体" w:cs="宋体"/>
                <w:sz w:val="18"/>
                <w:szCs w:val="18"/>
              </w:rPr>
            </w:pPr>
            <w:r>
              <w:rPr>
                <w:rFonts w:ascii="宋体" w:hAnsi="宋体" w:eastAsia="宋体" w:cs="宋体"/>
                <w:sz w:val="18"/>
                <w:szCs w:val="18"/>
              </w:rPr>
              <w:t>30.59%</w:t>
            </w:r>
          </w:p>
        </w:tc>
        <w:tc>
          <w:tcPr>
            <w:tcW w:w="876" w:type="dxa"/>
            <w:tcBorders>
              <w:top w:val="single" w:color="auto" w:sz="2" w:space="0"/>
              <w:left w:val="single" w:color="auto" w:sz="2" w:space="0"/>
              <w:bottom w:val="single" w:color="auto" w:sz="2" w:space="0"/>
              <w:right w:val="single" w:color="auto" w:sz="2" w:space="0"/>
            </w:tcBorders>
            <w:vAlign w:val="center"/>
          </w:tcPr>
          <w:p w14:paraId="27320B06">
            <w:pPr>
              <w:spacing w:before="0" w:after="0" w:line="240" w:lineRule="exact"/>
              <w:jc w:val="right"/>
              <w:rPr>
                <w:rFonts w:ascii="宋体" w:hAnsi="宋体" w:eastAsia="宋体" w:cs="宋体"/>
                <w:sz w:val="18"/>
                <w:szCs w:val="18"/>
              </w:rPr>
            </w:pPr>
            <w:r>
              <w:rPr>
                <w:rFonts w:ascii="宋体" w:hAnsi="宋体" w:eastAsia="宋体" w:cs="宋体"/>
                <w:sz w:val="18"/>
                <w:szCs w:val="18"/>
              </w:rPr>
              <w:t>29,777.83</w:t>
            </w:r>
          </w:p>
        </w:tc>
        <w:tc>
          <w:tcPr>
            <w:tcW w:w="876" w:type="dxa"/>
            <w:tcBorders>
              <w:top w:val="single" w:color="auto" w:sz="2" w:space="0"/>
              <w:left w:val="single" w:color="auto" w:sz="2" w:space="0"/>
              <w:bottom w:val="single" w:color="auto" w:sz="2" w:space="0"/>
              <w:right w:val="single" w:color="auto" w:sz="2" w:space="0"/>
            </w:tcBorders>
            <w:vAlign w:val="center"/>
          </w:tcPr>
          <w:p w14:paraId="767E6DB8">
            <w:pPr>
              <w:spacing w:before="0" w:after="0" w:line="240" w:lineRule="exact"/>
              <w:jc w:val="right"/>
              <w:rPr>
                <w:rFonts w:ascii="宋体" w:hAnsi="宋体" w:eastAsia="宋体" w:cs="宋体"/>
                <w:sz w:val="18"/>
                <w:szCs w:val="18"/>
              </w:rPr>
            </w:pPr>
            <w:r>
              <w:rPr>
                <w:rFonts w:ascii="宋体" w:hAnsi="宋体" w:eastAsia="宋体" w:cs="宋体"/>
                <w:sz w:val="18"/>
                <w:szCs w:val="18"/>
              </w:rPr>
              <w:t>5.51%</w:t>
            </w:r>
          </w:p>
        </w:tc>
        <w:tc>
          <w:tcPr>
            <w:tcW w:w="876" w:type="dxa"/>
            <w:tcBorders>
              <w:top w:val="single" w:color="auto" w:sz="2" w:space="0"/>
              <w:left w:val="single" w:color="auto" w:sz="2" w:space="0"/>
              <w:bottom w:val="single" w:color="auto" w:sz="2" w:space="0"/>
              <w:right w:val="single" w:color="auto" w:sz="2" w:space="0"/>
            </w:tcBorders>
            <w:vAlign w:val="center"/>
          </w:tcPr>
          <w:p w14:paraId="37F88963">
            <w:pPr>
              <w:spacing w:before="0" w:after="0" w:line="240" w:lineRule="exact"/>
              <w:jc w:val="right"/>
              <w:rPr>
                <w:rFonts w:ascii="宋体" w:hAnsi="宋体" w:eastAsia="宋体" w:cs="宋体"/>
                <w:sz w:val="18"/>
                <w:szCs w:val="18"/>
              </w:rPr>
            </w:pPr>
            <w:r>
              <w:rPr>
                <w:rFonts w:ascii="宋体" w:hAnsi="宋体" w:eastAsia="宋体" w:cs="宋体"/>
                <w:sz w:val="18"/>
                <w:szCs w:val="18"/>
              </w:rPr>
              <w:t>511,058.62</w:t>
            </w:r>
          </w:p>
        </w:tc>
      </w:tr>
      <w:tr w14:paraId="61637B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829422E">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876" w:type="dxa"/>
            <w:tcBorders>
              <w:top w:val="single" w:color="auto" w:sz="2" w:space="0"/>
              <w:left w:val="single" w:color="auto" w:sz="2" w:space="0"/>
              <w:bottom w:val="single" w:color="auto" w:sz="2" w:space="0"/>
              <w:right w:val="single" w:color="auto" w:sz="2" w:space="0"/>
            </w:tcBorders>
            <w:vAlign w:val="center"/>
          </w:tcPr>
          <w:p w14:paraId="097AA262">
            <w:pPr>
              <w:spacing w:before="0" w:after="0" w:line="240" w:lineRule="exact"/>
              <w:jc w:val="right"/>
              <w:rPr>
                <w:rFonts w:ascii="宋体" w:hAnsi="宋体" w:eastAsia="宋体" w:cs="宋体"/>
                <w:sz w:val="18"/>
                <w:szCs w:val="18"/>
              </w:rPr>
            </w:pPr>
            <w:r>
              <w:rPr>
                <w:rFonts w:ascii="宋体" w:hAnsi="宋体" w:eastAsia="宋体" w:cs="宋体"/>
                <w:sz w:val="18"/>
                <w:szCs w:val="18"/>
              </w:rPr>
              <w:t>4,818,657.28</w:t>
            </w:r>
          </w:p>
        </w:tc>
        <w:tc>
          <w:tcPr>
            <w:tcW w:w="876" w:type="dxa"/>
            <w:tcBorders>
              <w:top w:val="single" w:color="auto" w:sz="2" w:space="0"/>
              <w:left w:val="single" w:color="auto" w:sz="2" w:space="0"/>
              <w:bottom w:val="single" w:color="auto" w:sz="2" w:space="0"/>
              <w:right w:val="single" w:color="auto" w:sz="2" w:space="0"/>
            </w:tcBorders>
            <w:vAlign w:val="center"/>
          </w:tcPr>
          <w:p w14:paraId="66955E38">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645587F4">
            <w:pPr>
              <w:spacing w:before="0" w:after="0" w:line="240" w:lineRule="exact"/>
              <w:jc w:val="right"/>
              <w:rPr>
                <w:rFonts w:ascii="宋体" w:hAnsi="宋体" w:eastAsia="宋体" w:cs="宋体"/>
                <w:sz w:val="18"/>
                <w:szCs w:val="18"/>
              </w:rPr>
            </w:pPr>
            <w:r>
              <w:rPr>
                <w:rFonts w:ascii="宋体" w:hAnsi="宋体" w:eastAsia="宋体" w:cs="宋体"/>
                <w:sz w:val="18"/>
                <w:szCs w:val="18"/>
              </w:rPr>
              <w:t>530,871.29</w:t>
            </w:r>
          </w:p>
        </w:tc>
        <w:tc>
          <w:tcPr>
            <w:tcW w:w="876" w:type="dxa"/>
            <w:tcBorders>
              <w:top w:val="single" w:color="auto" w:sz="2" w:space="0"/>
              <w:left w:val="single" w:color="auto" w:sz="2" w:space="0"/>
              <w:bottom w:val="single" w:color="auto" w:sz="2" w:space="0"/>
              <w:right w:val="single" w:color="auto" w:sz="2" w:space="0"/>
            </w:tcBorders>
            <w:vAlign w:val="center"/>
          </w:tcPr>
          <w:p w14:paraId="54ACEFBE">
            <w:pPr>
              <w:spacing w:before="0" w:after="0" w:line="240" w:lineRule="exact"/>
              <w:jc w:val="right"/>
              <w:rPr>
                <w:rFonts w:ascii="宋体" w:hAnsi="宋体" w:eastAsia="宋体" w:cs="宋体"/>
                <w:sz w:val="18"/>
                <w:szCs w:val="18"/>
              </w:rPr>
            </w:pPr>
            <w:r>
              <w:rPr>
                <w:rFonts w:ascii="宋体" w:hAnsi="宋体" w:eastAsia="宋体" w:cs="宋体"/>
                <w:sz w:val="18"/>
                <w:szCs w:val="18"/>
              </w:rPr>
              <w:t>11.02%</w:t>
            </w:r>
          </w:p>
        </w:tc>
        <w:tc>
          <w:tcPr>
            <w:tcW w:w="876" w:type="dxa"/>
            <w:tcBorders>
              <w:top w:val="single" w:color="auto" w:sz="2" w:space="0"/>
              <w:left w:val="single" w:color="auto" w:sz="2" w:space="0"/>
              <w:bottom w:val="single" w:color="auto" w:sz="2" w:space="0"/>
              <w:right w:val="single" w:color="auto" w:sz="2" w:space="0"/>
            </w:tcBorders>
            <w:vAlign w:val="center"/>
          </w:tcPr>
          <w:p w14:paraId="0DFABDAD">
            <w:pPr>
              <w:spacing w:before="0" w:after="0" w:line="240" w:lineRule="exact"/>
              <w:jc w:val="right"/>
              <w:rPr>
                <w:rFonts w:ascii="宋体" w:hAnsi="宋体" w:eastAsia="宋体" w:cs="宋体"/>
                <w:sz w:val="18"/>
                <w:szCs w:val="18"/>
              </w:rPr>
            </w:pPr>
            <w:r>
              <w:rPr>
                <w:rFonts w:ascii="宋体" w:hAnsi="宋体" w:eastAsia="宋体" w:cs="宋体"/>
                <w:sz w:val="18"/>
                <w:szCs w:val="18"/>
              </w:rPr>
              <w:t>4,287,785.99</w:t>
            </w:r>
          </w:p>
        </w:tc>
        <w:tc>
          <w:tcPr>
            <w:tcW w:w="876" w:type="dxa"/>
            <w:tcBorders>
              <w:top w:val="single" w:color="auto" w:sz="2" w:space="0"/>
              <w:left w:val="single" w:color="auto" w:sz="2" w:space="0"/>
              <w:bottom w:val="single" w:color="auto" w:sz="2" w:space="0"/>
              <w:right w:val="single" w:color="auto" w:sz="2" w:space="0"/>
            </w:tcBorders>
            <w:vAlign w:val="center"/>
          </w:tcPr>
          <w:p w14:paraId="2C8FF279">
            <w:pPr>
              <w:spacing w:before="0" w:after="0" w:line="240" w:lineRule="exact"/>
              <w:jc w:val="right"/>
              <w:rPr>
                <w:rFonts w:ascii="宋体" w:hAnsi="宋体" w:eastAsia="宋体" w:cs="宋体"/>
                <w:sz w:val="18"/>
                <w:szCs w:val="18"/>
              </w:rPr>
            </w:pPr>
            <w:r>
              <w:rPr>
                <w:rFonts w:ascii="宋体" w:hAnsi="宋体" w:eastAsia="宋体" w:cs="宋体"/>
                <w:sz w:val="18"/>
                <w:szCs w:val="18"/>
              </w:rPr>
              <w:t>1,767,752.88</w:t>
            </w:r>
          </w:p>
        </w:tc>
        <w:tc>
          <w:tcPr>
            <w:tcW w:w="876" w:type="dxa"/>
            <w:tcBorders>
              <w:top w:val="single" w:color="auto" w:sz="2" w:space="0"/>
              <w:left w:val="single" w:color="auto" w:sz="2" w:space="0"/>
              <w:bottom w:val="single" w:color="auto" w:sz="2" w:space="0"/>
              <w:right w:val="single" w:color="auto" w:sz="2" w:space="0"/>
            </w:tcBorders>
            <w:vAlign w:val="center"/>
          </w:tcPr>
          <w:p w14:paraId="5AC7DF1D">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45E0A73F">
            <w:pPr>
              <w:spacing w:before="0" w:after="0" w:line="240" w:lineRule="exact"/>
              <w:jc w:val="right"/>
              <w:rPr>
                <w:rFonts w:ascii="宋体" w:hAnsi="宋体" w:eastAsia="宋体" w:cs="宋体"/>
                <w:sz w:val="18"/>
                <w:szCs w:val="18"/>
              </w:rPr>
            </w:pPr>
            <w:r>
              <w:rPr>
                <w:rFonts w:ascii="宋体" w:hAnsi="宋体" w:eastAsia="宋体" w:cs="宋体"/>
                <w:sz w:val="18"/>
                <w:szCs w:val="18"/>
              </w:rPr>
              <w:t>279,777.83</w:t>
            </w:r>
          </w:p>
        </w:tc>
        <w:tc>
          <w:tcPr>
            <w:tcW w:w="876" w:type="dxa"/>
            <w:tcBorders>
              <w:top w:val="single" w:color="auto" w:sz="2" w:space="0"/>
              <w:left w:val="single" w:color="auto" w:sz="2" w:space="0"/>
              <w:bottom w:val="single" w:color="auto" w:sz="2" w:space="0"/>
              <w:right w:val="single" w:color="auto" w:sz="2" w:space="0"/>
            </w:tcBorders>
            <w:vAlign w:val="center"/>
          </w:tcPr>
          <w:p w14:paraId="25161225">
            <w:pPr>
              <w:spacing w:before="0" w:after="0" w:line="240" w:lineRule="exact"/>
              <w:jc w:val="right"/>
              <w:rPr>
                <w:rFonts w:ascii="宋体" w:hAnsi="宋体" w:eastAsia="宋体" w:cs="宋体"/>
                <w:sz w:val="18"/>
                <w:szCs w:val="18"/>
              </w:rPr>
            </w:pPr>
            <w:r>
              <w:rPr>
                <w:rFonts w:ascii="宋体" w:hAnsi="宋体" w:eastAsia="宋体" w:cs="宋体"/>
                <w:sz w:val="18"/>
                <w:szCs w:val="18"/>
              </w:rPr>
              <w:t>15.83%</w:t>
            </w:r>
          </w:p>
        </w:tc>
        <w:tc>
          <w:tcPr>
            <w:tcW w:w="876" w:type="dxa"/>
            <w:tcBorders>
              <w:top w:val="single" w:color="auto" w:sz="2" w:space="0"/>
              <w:left w:val="single" w:color="auto" w:sz="2" w:space="0"/>
              <w:bottom w:val="single" w:color="auto" w:sz="2" w:space="0"/>
              <w:right w:val="single" w:color="auto" w:sz="2" w:space="0"/>
            </w:tcBorders>
            <w:vAlign w:val="center"/>
          </w:tcPr>
          <w:p w14:paraId="24B68C86">
            <w:pPr>
              <w:spacing w:before="0" w:after="0" w:line="240" w:lineRule="exact"/>
              <w:jc w:val="right"/>
              <w:rPr>
                <w:rFonts w:ascii="宋体" w:hAnsi="宋体" w:eastAsia="宋体" w:cs="宋体"/>
                <w:sz w:val="18"/>
                <w:szCs w:val="18"/>
              </w:rPr>
            </w:pPr>
            <w:r>
              <w:rPr>
                <w:rFonts w:ascii="宋体" w:hAnsi="宋体" w:eastAsia="宋体" w:cs="宋体"/>
                <w:sz w:val="18"/>
                <w:szCs w:val="18"/>
              </w:rPr>
              <w:t>1,487,975.05</w:t>
            </w:r>
          </w:p>
        </w:tc>
      </w:tr>
    </w:tbl>
    <w:p w14:paraId="7DBCE5F1">
      <w:pPr>
        <w:spacing w:before="0" w:after="0" w:line="240" w:lineRule="exact"/>
        <w:jc w:val="left"/>
        <w:rPr>
          <w:rFonts w:ascii="宋体" w:hAnsi="宋体" w:eastAsia="宋体" w:cs="宋体"/>
          <w:sz w:val="18"/>
          <w:szCs w:val="18"/>
        </w:rPr>
      </w:pPr>
      <w:r>
        <w:rPr>
          <w:rFonts w:ascii="宋体" w:hAnsi="宋体" w:eastAsia="宋体" w:cs="宋体"/>
          <w:sz w:val="18"/>
          <w:szCs w:val="18"/>
        </w:rPr>
        <w:t>按单项计提坏账准备：</w:t>
      </w:r>
    </w:p>
    <w:p w14:paraId="71295AF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72D26A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19418D6">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44A85A97">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18EEBC83">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7D689B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ECFA37B"/>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D508800">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AC9671F">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604E3A5">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BCEE7C2">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6959E7B">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7C7F491">
            <w:pPr>
              <w:spacing w:before="40" w:after="40" w:line="240" w:lineRule="exact"/>
              <w:jc w:val="center"/>
              <w:rPr>
                <w:rFonts w:ascii="宋体" w:hAnsi="宋体" w:eastAsia="宋体" w:cs="宋体"/>
                <w:sz w:val="18"/>
                <w:szCs w:val="18"/>
              </w:rPr>
            </w:pPr>
            <w:r>
              <w:rPr>
                <w:rFonts w:ascii="宋体" w:hAnsi="宋体" w:eastAsia="宋体" w:cs="宋体"/>
                <w:sz w:val="18"/>
                <w:szCs w:val="18"/>
              </w:rPr>
              <w:t>计提理由</w:t>
            </w:r>
          </w:p>
        </w:tc>
      </w:tr>
      <w:tr w14:paraId="512EA3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B6E6CDE">
            <w:pPr>
              <w:spacing w:before="0" w:after="0" w:line="240" w:lineRule="exact"/>
              <w:jc w:val="left"/>
              <w:rPr>
                <w:rFonts w:ascii="宋体" w:hAnsi="宋体" w:eastAsia="宋体" w:cs="宋体"/>
                <w:sz w:val="18"/>
                <w:szCs w:val="18"/>
              </w:rPr>
            </w:pPr>
            <w:r>
              <w:rPr>
                <w:rFonts w:ascii="宋体" w:hAnsi="宋体" w:eastAsia="宋体" w:cs="宋体"/>
                <w:sz w:val="18"/>
                <w:szCs w:val="18"/>
              </w:rPr>
              <w:t>上海观合医药科技股份有限公司</w:t>
            </w:r>
          </w:p>
        </w:tc>
        <w:tc>
          <w:tcPr>
            <w:tcW w:w="1377" w:type="dxa"/>
            <w:tcBorders>
              <w:top w:val="single" w:color="auto" w:sz="2" w:space="0"/>
              <w:left w:val="single" w:color="auto" w:sz="2" w:space="0"/>
              <w:bottom w:val="single" w:color="auto" w:sz="2" w:space="0"/>
              <w:right w:val="single" w:color="auto" w:sz="2" w:space="0"/>
            </w:tcBorders>
            <w:vAlign w:val="center"/>
          </w:tcPr>
          <w:p w14:paraId="2E68BC4C">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1377" w:type="dxa"/>
            <w:tcBorders>
              <w:top w:val="single" w:color="auto" w:sz="2" w:space="0"/>
              <w:left w:val="single" w:color="auto" w:sz="2" w:space="0"/>
              <w:bottom w:val="single" w:color="auto" w:sz="2" w:space="0"/>
              <w:right w:val="single" w:color="auto" w:sz="2" w:space="0"/>
            </w:tcBorders>
            <w:vAlign w:val="center"/>
          </w:tcPr>
          <w:p w14:paraId="35E7D2A8">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c>
          <w:tcPr>
            <w:tcW w:w="1377" w:type="dxa"/>
            <w:tcBorders>
              <w:top w:val="single" w:color="auto" w:sz="2" w:space="0"/>
              <w:left w:val="single" w:color="auto" w:sz="2" w:space="0"/>
              <w:bottom w:val="single" w:color="auto" w:sz="2" w:space="0"/>
              <w:right w:val="single" w:color="auto" w:sz="2" w:space="0"/>
            </w:tcBorders>
            <w:vAlign w:val="center"/>
          </w:tcPr>
          <w:p w14:paraId="1D87686C">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1377" w:type="dxa"/>
            <w:tcBorders>
              <w:top w:val="single" w:color="auto" w:sz="2" w:space="0"/>
              <w:left w:val="single" w:color="auto" w:sz="2" w:space="0"/>
              <w:bottom w:val="single" w:color="auto" w:sz="2" w:space="0"/>
              <w:right w:val="single" w:color="auto" w:sz="2" w:space="0"/>
            </w:tcBorders>
            <w:vAlign w:val="center"/>
          </w:tcPr>
          <w:p w14:paraId="4C569EA3">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1377" w:type="dxa"/>
            <w:tcBorders>
              <w:top w:val="single" w:color="auto" w:sz="2" w:space="0"/>
              <w:left w:val="single" w:color="auto" w:sz="2" w:space="0"/>
              <w:bottom w:val="single" w:color="auto" w:sz="2" w:space="0"/>
              <w:right w:val="single" w:color="auto" w:sz="2" w:space="0"/>
            </w:tcBorders>
            <w:vAlign w:val="center"/>
          </w:tcPr>
          <w:p w14:paraId="31321EE5">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377" w:type="dxa"/>
            <w:tcBorders>
              <w:top w:val="single" w:color="auto" w:sz="2" w:space="0"/>
              <w:left w:val="single" w:color="auto" w:sz="2" w:space="0"/>
              <w:bottom w:val="single" w:color="auto" w:sz="2" w:space="0"/>
              <w:right w:val="single" w:color="auto" w:sz="2" w:space="0"/>
            </w:tcBorders>
            <w:vAlign w:val="center"/>
          </w:tcPr>
          <w:p w14:paraId="59879DCF">
            <w:pPr>
              <w:spacing w:before="0" w:after="0" w:line="240" w:lineRule="exact"/>
              <w:jc w:val="left"/>
              <w:rPr>
                <w:rFonts w:ascii="宋体" w:hAnsi="宋体" w:eastAsia="宋体" w:cs="宋体"/>
                <w:sz w:val="18"/>
                <w:szCs w:val="18"/>
              </w:rPr>
            </w:pPr>
            <w:r>
              <w:rPr>
                <w:rFonts w:hint="eastAsia" w:ascii="宋体" w:hAnsi="宋体" w:eastAsia="宋体" w:cs="宋体"/>
                <w:sz w:val="18"/>
                <w:szCs w:val="18"/>
              </w:rPr>
              <w:t>预计无法收回</w:t>
            </w:r>
          </w:p>
        </w:tc>
      </w:tr>
      <w:tr w14:paraId="22F53E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C2831DB">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4624A0D0">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1377" w:type="dxa"/>
            <w:tcBorders>
              <w:top w:val="single" w:color="auto" w:sz="2" w:space="0"/>
              <w:left w:val="single" w:color="auto" w:sz="2" w:space="0"/>
              <w:bottom w:val="single" w:color="auto" w:sz="2" w:space="0"/>
              <w:right w:val="single" w:color="auto" w:sz="2" w:space="0"/>
            </w:tcBorders>
            <w:vAlign w:val="center"/>
          </w:tcPr>
          <w:p w14:paraId="3B530C6D">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c>
          <w:tcPr>
            <w:tcW w:w="1377" w:type="dxa"/>
            <w:tcBorders>
              <w:top w:val="single" w:color="auto" w:sz="2" w:space="0"/>
              <w:left w:val="single" w:color="auto" w:sz="2" w:space="0"/>
              <w:bottom w:val="single" w:color="auto" w:sz="2" w:space="0"/>
              <w:right w:val="single" w:color="auto" w:sz="2" w:space="0"/>
            </w:tcBorders>
            <w:vAlign w:val="center"/>
          </w:tcPr>
          <w:p w14:paraId="0FBF1483">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1377" w:type="dxa"/>
            <w:tcBorders>
              <w:top w:val="single" w:color="auto" w:sz="2" w:space="0"/>
              <w:left w:val="single" w:color="auto" w:sz="2" w:space="0"/>
              <w:bottom w:val="single" w:color="auto" w:sz="2" w:space="0"/>
              <w:right w:val="single" w:color="auto" w:sz="2" w:space="0"/>
            </w:tcBorders>
            <w:vAlign w:val="center"/>
          </w:tcPr>
          <w:p w14:paraId="68144D8A">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9D42902"/>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36024E2"/>
        </w:tc>
      </w:tr>
    </w:tbl>
    <w:p w14:paraId="7FDA5FFB">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按组合计提坏账准备：（1）信用组合</w:t>
      </w:r>
    </w:p>
    <w:p w14:paraId="3339FF00">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70B315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536D36D">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779DC2AF">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340438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232D1BB"/>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D8D4F09">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4DB749C">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4B1F69C">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14:paraId="105273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8330B2B">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2410" w:type="dxa"/>
            <w:tcBorders>
              <w:top w:val="single" w:color="auto" w:sz="2" w:space="0"/>
              <w:left w:val="single" w:color="auto" w:sz="2" w:space="0"/>
              <w:bottom w:val="single" w:color="auto" w:sz="2" w:space="0"/>
              <w:right w:val="single" w:color="auto" w:sz="2" w:space="0"/>
            </w:tcBorders>
            <w:vAlign w:val="center"/>
          </w:tcPr>
          <w:p w14:paraId="34740DEF">
            <w:pPr>
              <w:spacing w:before="0" w:after="0" w:line="240" w:lineRule="exact"/>
              <w:jc w:val="right"/>
              <w:rPr>
                <w:rFonts w:ascii="宋体" w:hAnsi="宋体" w:eastAsia="宋体" w:cs="宋体"/>
                <w:sz w:val="18"/>
                <w:szCs w:val="18"/>
              </w:rPr>
            </w:pPr>
            <w:r>
              <w:rPr>
                <w:rFonts w:ascii="宋体" w:hAnsi="宋体" w:eastAsia="宋体" w:cs="宋体"/>
                <w:sz w:val="18"/>
                <w:szCs w:val="18"/>
              </w:rPr>
              <w:t>559,825.97</w:t>
            </w:r>
          </w:p>
        </w:tc>
        <w:tc>
          <w:tcPr>
            <w:tcW w:w="2410" w:type="dxa"/>
            <w:tcBorders>
              <w:top w:val="single" w:color="auto" w:sz="2" w:space="0"/>
              <w:left w:val="single" w:color="auto" w:sz="2" w:space="0"/>
              <w:bottom w:val="single" w:color="auto" w:sz="2" w:space="0"/>
              <w:right w:val="single" w:color="auto" w:sz="2" w:space="0"/>
            </w:tcBorders>
            <w:vAlign w:val="center"/>
          </w:tcPr>
          <w:p w14:paraId="6F6673E4">
            <w:pPr>
              <w:spacing w:before="0" w:after="0" w:line="240" w:lineRule="exact"/>
              <w:jc w:val="right"/>
              <w:rPr>
                <w:rFonts w:ascii="宋体" w:hAnsi="宋体" w:eastAsia="宋体" w:cs="宋体"/>
                <w:sz w:val="18"/>
                <w:szCs w:val="18"/>
              </w:rPr>
            </w:pPr>
            <w:r>
              <w:rPr>
                <w:rFonts w:ascii="宋体" w:hAnsi="宋体" w:eastAsia="宋体" w:cs="宋体"/>
                <w:sz w:val="18"/>
                <w:szCs w:val="18"/>
              </w:rPr>
              <w:t>27,991.29</w:t>
            </w:r>
          </w:p>
        </w:tc>
        <w:tc>
          <w:tcPr>
            <w:tcW w:w="2410" w:type="dxa"/>
            <w:tcBorders>
              <w:top w:val="single" w:color="auto" w:sz="2" w:space="0"/>
              <w:left w:val="single" w:color="auto" w:sz="2" w:space="0"/>
              <w:bottom w:val="single" w:color="auto" w:sz="2" w:space="0"/>
              <w:right w:val="single" w:color="auto" w:sz="2" w:space="0"/>
            </w:tcBorders>
            <w:vAlign w:val="center"/>
          </w:tcPr>
          <w:p w14:paraId="4A5F1F9E">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r>
      <w:tr w14:paraId="1FCE48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9A2F081">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2410" w:type="dxa"/>
            <w:tcBorders>
              <w:top w:val="single" w:color="auto" w:sz="2" w:space="0"/>
              <w:left w:val="single" w:color="auto" w:sz="2" w:space="0"/>
              <w:bottom w:val="single" w:color="auto" w:sz="2" w:space="0"/>
              <w:right w:val="single" w:color="auto" w:sz="2" w:space="0"/>
            </w:tcBorders>
            <w:vAlign w:val="center"/>
          </w:tcPr>
          <w:p w14:paraId="066B27EC">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D762E19">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447DBAF">
            <w:pPr>
              <w:spacing w:before="0" w:after="0" w:line="240" w:lineRule="exact"/>
              <w:jc w:val="right"/>
              <w:rPr>
                <w:rFonts w:ascii="宋体" w:hAnsi="宋体" w:eastAsia="宋体" w:cs="宋体"/>
                <w:sz w:val="18"/>
                <w:szCs w:val="18"/>
              </w:rPr>
            </w:pPr>
          </w:p>
        </w:tc>
      </w:tr>
      <w:tr w14:paraId="45576A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7B8371C">
            <w:pPr>
              <w:spacing w:before="0" w:after="0" w:line="240" w:lineRule="exact"/>
              <w:jc w:val="left"/>
              <w:rPr>
                <w:rFonts w:ascii="宋体" w:hAnsi="宋体" w:eastAsia="宋体" w:cs="宋体"/>
                <w:sz w:val="18"/>
                <w:szCs w:val="18"/>
              </w:rPr>
            </w:pPr>
            <w:r>
              <w:rPr>
                <w:rFonts w:ascii="宋体" w:hAnsi="宋体" w:eastAsia="宋体" w:cs="宋体"/>
                <w:sz w:val="18"/>
                <w:szCs w:val="18"/>
              </w:rPr>
              <w:t>2－3年</w:t>
            </w:r>
          </w:p>
        </w:tc>
        <w:tc>
          <w:tcPr>
            <w:tcW w:w="2410" w:type="dxa"/>
            <w:tcBorders>
              <w:top w:val="single" w:color="auto" w:sz="2" w:space="0"/>
              <w:left w:val="single" w:color="auto" w:sz="2" w:space="0"/>
              <w:bottom w:val="single" w:color="auto" w:sz="2" w:space="0"/>
              <w:right w:val="single" w:color="auto" w:sz="2" w:space="0"/>
            </w:tcBorders>
            <w:vAlign w:val="center"/>
          </w:tcPr>
          <w:p w14:paraId="7BA7A80F">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D192992">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FCAC89F">
            <w:pPr>
              <w:spacing w:before="0" w:after="0" w:line="240" w:lineRule="exact"/>
              <w:jc w:val="right"/>
              <w:rPr>
                <w:rFonts w:ascii="宋体" w:hAnsi="宋体" w:eastAsia="宋体" w:cs="宋体"/>
                <w:sz w:val="18"/>
                <w:szCs w:val="18"/>
              </w:rPr>
            </w:pPr>
          </w:p>
        </w:tc>
      </w:tr>
      <w:tr w14:paraId="4BCC73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7B0B7C4">
            <w:pPr>
              <w:spacing w:before="0" w:after="0" w:line="240" w:lineRule="exact"/>
              <w:jc w:val="left"/>
              <w:rPr>
                <w:rFonts w:ascii="宋体" w:hAnsi="宋体" w:eastAsia="宋体" w:cs="宋体"/>
                <w:sz w:val="18"/>
                <w:szCs w:val="18"/>
              </w:rPr>
            </w:pPr>
            <w:r>
              <w:rPr>
                <w:rFonts w:ascii="宋体" w:hAnsi="宋体" w:eastAsia="宋体" w:cs="宋体"/>
                <w:sz w:val="18"/>
                <w:szCs w:val="18"/>
              </w:rPr>
              <w:t>3－4年</w:t>
            </w:r>
          </w:p>
        </w:tc>
        <w:tc>
          <w:tcPr>
            <w:tcW w:w="2410" w:type="dxa"/>
            <w:tcBorders>
              <w:top w:val="single" w:color="auto" w:sz="2" w:space="0"/>
              <w:left w:val="single" w:color="auto" w:sz="2" w:space="0"/>
              <w:bottom w:val="single" w:color="auto" w:sz="2" w:space="0"/>
              <w:right w:val="single" w:color="auto" w:sz="2" w:space="0"/>
            </w:tcBorders>
            <w:vAlign w:val="center"/>
          </w:tcPr>
          <w:p w14:paraId="39A97222">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54FCEFB">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513960C">
            <w:pPr>
              <w:spacing w:before="0" w:after="0" w:line="240" w:lineRule="exact"/>
              <w:jc w:val="right"/>
              <w:rPr>
                <w:rFonts w:ascii="宋体" w:hAnsi="宋体" w:eastAsia="宋体" w:cs="宋体"/>
                <w:sz w:val="18"/>
                <w:szCs w:val="18"/>
              </w:rPr>
            </w:pPr>
          </w:p>
        </w:tc>
      </w:tr>
      <w:tr w14:paraId="3825D2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95955DD">
            <w:pPr>
              <w:spacing w:before="0" w:after="0" w:line="240" w:lineRule="exact"/>
              <w:jc w:val="left"/>
              <w:rPr>
                <w:rFonts w:ascii="宋体" w:hAnsi="宋体" w:eastAsia="宋体" w:cs="宋体"/>
                <w:sz w:val="18"/>
                <w:szCs w:val="18"/>
              </w:rPr>
            </w:pPr>
            <w:r>
              <w:rPr>
                <w:rFonts w:ascii="宋体" w:hAnsi="宋体" w:eastAsia="宋体" w:cs="宋体"/>
                <w:sz w:val="18"/>
                <w:szCs w:val="18"/>
              </w:rPr>
              <w:t>4－5年</w:t>
            </w:r>
          </w:p>
        </w:tc>
        <w:tc>
          <w:tcPr>
            <w:tcW w:w="2410" w:type="dxa"/>
            <w:tcBorders>
              <w:top w:val="single" w:color="auto" w:sz="2" w:space="0"/>
              <w:left w:val="single" w:color="auto" w:sz="2" w:space="0"/>
              <w:bottom w:val="single" w:color="auto" w:sz="2" w:space="0"/>
              <w:right w:val="single" w:color="auto" w:sz="2" w:space="0"/>
            </w:tcBorders>
            <w:vAlign w:val="center"/>
          </w:tcPr>
          <w:p w14:paraId="4862B9C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0E203C1">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2FBCBAA">
            <w:pPr>
              <w:spacing w:before="0" w:after="0" w:line="240" w:lineRule="exact"/>
              <w:jc w:val="right"/>
              <w:rPr>
                <w:rFonts w:ascii="宋体" w:hAnsi="宋体" w:eastAsia="宋体" w:cs="宋体"/>
                <w:sz w:val="18"/>
                <w:szCs w:val="18"/>
              </w:rPr>
            </w:pPr>
          </w:p>
        </w:tc>
      </w:tr>
      <w:tr w14:paraId="708D2C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2FBD9FE">
            <w:pPr>
              <w:spacing w:before="0" w:after="0" w:line="240" w:lineRule="exact"/>
              <w:jc w:val="left"/>
              <w:rPr>
                <w:rFonts w:ascii="宋体" w:hAnsi="宋体" w:eastAsia="宋体" w:cs="宋体"/>
                <w:sz w:val="18"/>
                <w:szCs w:val="18"/>
              </w:rPr>
            </w:pPr>
            <w:r>
              <w:rPr>
                <w:rFonts w:ascii="宋体" w:hAnsi="宋体" w:eastAsia="宋体" w:cs="宋体"/>
                <w:sz w:val="18"/>
                <w:szCs w:val="18"/>
              </w:rPr>
              <w:t>5年以上</w:t>
            </w:r>
          </w:p>
        </w:tc>
        <w:tc>
          <w:tcPr>
            <w:tcW w:w="2410" w:type="dxa"/>
            <w:tcBorders>
              <w:top w:val="single" w:color="auto" w:sz="2" w:space="0"/>
              <w:left w:val="single" w:color="auto" w:sz="2" w:space="0"/>
              <w:bottom w:val="single" w:color="auto" w:sz="2" w:space="0"/>
              <w:right w:val="single" w:color="auto" w:sz="2" w:space="0"/>
            </w:tcBorders>
            <w:vAlign w:val="center"/>
          </w:tcPr>
          <w:p w14:paraId="461A7FCC">
            <w:pPr>
              <w:spacing w:before="0" w:after="0" w:line="240" w:lineRule="exact"/>
              <w:jc w:val="right"/>
              <w:rPr>
                <w:rFonts w:ascii="宋体" w:hAnsi="宋体" w:eastAsia="宋体" w:cs="宋体"/>
                <w:sz w:val="18"/>
                <w:szCs w:val="18"/>
              </w:rPr>
            </w:pPr>
            <w:r>
              <w:rPr>
                <w:rFonts w:ascii="宋体" w:hAnsi="宋体" w:eastAsia="宋体" w:cs="宋体"/>
                <w:sz w:val="18"/>
                <w:szCs w:val="18"/>
              </w:rPr>
              <w:t>2,880.00</w:t>
            </w:r>
          </w:p>
        </w:tc>
        <w:tc>
          <w:tcPr>
            <w:tcW w:w="2410" w:type="dxa"/>
            <w:tcBorders>
              <w:top w:val="single" w:color="auto" w:sz="2" w:space="0"/>
              <w:left w:val="single" w:color="auto" w:sz="2" w:space="0"/>
              <w:bottom w:val="single" w:color="auto" w:sz="2" w:space="0"/>
              <w:right w:val="single" w:color="auto" w:sz="2" w:space="0"/>
            </w:tcBorders>
            <w:vAlign w:val="center"/>
          </w:tcPr>
          <w:p w14:paraId="6FDD9B08">
            <w:pPr>
              <w:spacing w:before="0" w:after="0" w:line="240" w:lineRule="exact"/>
              <w:jc w:val="right"/>
              <w:rPr>
                <w:rFonts w:ascii="宋体" w:hAnsi="宋体" w:eastAsia="宋体" w:cs="宋体"/>
                <w:sz w:val="18"/>
                <w:szCs w:val="18"/>
              </w:rPr>
            </w:pPr>
            <w:r>
              <w:rPr>
                <w:rFonts w:ascii="宋体" w:hAnsi="宋体" w:eastAsia="宋体" w:cs="宋体"/>
                <w:sz w:val="18"/>
                <w:szCs w:val="18"/>
              </w:rPr>
              <w:t>2,880.00</w:t>
            </w:r>
          </w:p>
        </w:tc>
        <w:tc>
          <w:tcPr>
            <w:tcW w:w="2410" w:type="dxa"/>
            <w:tcBorders>
              <w:top w:val="single" w:color="auto" w:sz="2" w:space="0"/>
              <w:left w:val="single" w:color="auto" w:sz="2" w:space="0"/>
              <w:bottom w:val="single" w:color="auto" w:sz="2" w:space="0"/>
              <w:right w:val="single" w:color="auto" w:sz="2" w:space="0"/>
            </w:tcBorders>
            <w:vAlign w:val="center"/>
          </w:tcPr>
          <w:p w14:paraId="04E6E28E">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r>
      <w:tr w14:paraId="11C33B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031F39C">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208EF10B">
            <w:pPr>
              <w:spacing w:before="0" w:after="0" w:line="240" w:lineRule="exact"/>
              <w:jc w:val="right"/>
              <w:rPr>
                <w:rFonts w:ascii="宋体" w:hAnsi="宋体" w:eastAsia="宋体" w:cs="宋体"/>
                <w:sz w:val="18"/>
                <w:szCs w:val="18"/>
              </w:rPr>
            </w:pPr>
            <w:r>
              <w:rPr>
                <w:rFonts w:ascii="宋体" w:hAnsi="宋体" w:eastAsia="宋体" w:cs="宋体"/>
                <w:sz w:val="18"/>
                <w:szCs w:val="18"/>
              </w:rPr>
              <w:t>562,705.97</w:t>
            </w:r>
          </w:p>
        </w:tc>
        <w:tc>
          <w:tcPr>
            <w:tcW w:w="2410" w:type="dxa"/>
            <w:tcBorders>
              <w:top w:val="single" w:color="auto" w:sz="2" w:space="0"/>
              <w:left w:val="single" w:color="auto" w:sz="2" w:space="0"/>
              <w:bottom w:val="single" w:color="auto" w:sz="2" w:space="0"/>
              <w:right w:val="single" w:color="auto" w:sz="2" w:space="0"/>
            </w:tcBorders>
            <w:vAlign w:val="center"/>
          </w:tcPr>
          <w:p w14:paraId="2B887518">
            <w:pPr>
              <w:spacing w:before="0" w:after="0" w:line="240" w:lineRule="exact"/>
              <w:jc w:val="right"/>
              <w:rPr>
                <w:rFonts w:ascii="宋体" w:hAnsi="宋体" w:eastAsia="宋体" w:cs="宋体"/>
                <w:sz w:val="18"/>
                <w:szCs w:val="18"/>
              </w:rPr>
            </w:pPr>
            <w:r>
              <w:rPr>
                <w:rFonts w:ascii="宋体" w:hAnsi="宋体" w:eastAsia="宋体" w:cs="宋体"/>
                <w:sz w:val="18"/>
                <w:szCs w:val="18"/>
              </w:rPr>
              <w:t>30,871.29</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19AD9F7"/>
        </w:tc>
      </w:tr>
    </w:tbl>
    <w:p w14:paraId="634698E4">
      <w:pPr>
        <w:spacing w:before="100" w:after="100" w:line="240" w:lineRule="exact"/>
        <w:jc w:val="left"/>
        <w:rPr>
          <w:rFonts w:ascii="宋体" w:hAnsi="宋体" w:eastAsia="宋体" w:cs="宋体"/>
          <w:sz w:val="18"/>
          <w:szCs w:val="18"/>
        </w:rPr>
      </w:pPr>
      <w:r>
        <w:rPr>
          <w:rFonts w:ascii="宋体" w:hAnsi="宋体" w:eastAsia="宋体" w:cs="宋体"/>
          <w:sz w:val="18"/>
          <w:szCs w:val="18"/>
        </w:rPr>
        <w:t>确定该组合依据的说明：</w:t>
      </w:r>
    </w:p>
    <w:p w14:paraId="0BAC0679">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按组合计提坏账准备：押金、保证金、员工备用金组合</w:t>
      </w:r>
    </w:p>
    <w:p w14:paraId="6BDA87D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1ECF56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734056C">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75E91531">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1C8D05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9620711"/>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0E16AC6">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3A3D5DF">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AF74E1C">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14:paraId="6E4C53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0C32B1C">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2410" w:type="dxa"/>
            <w:tcBorders>
              <w:top w:val="single" w:color="auto" w:sz="2" w:space="0"/>
              <w:left w:val="single" w:color="auto" w:sz="2" w:space="0"/>
              <w:bottom w:val="single" w:color="auto" w:sz="2" w:space="0"/>
              <w:right w:val="single" w:color="auto" w:sz="2" w:space="0"/>
            </w:tcBorders>
            <w:vAlign w:val="center"/>
          </w:tcPr>
          <w:p w14:paraId="2CBDDCCB">
            <w:pPr>
              <w:spacing w:before="0" w:after="0" w:line="240" w:lineRule="exact"/>
              <w:jc w:val="right"/>
              <w:rPr>
                <w:rFonts w:ascii="宋体" w:hAnsi="宋体" w:eastAsia="宋体" w:cs="宋体"/>
                <w:sz w:val="18"/>
                <w:szCs w:val="18"/>
              </w:rPr>
            </w:pPr>
            <w:r>
              <w:rPr>
                <w:rFonts w:ascii="宋体" w:hAnsi="宋体" w:eastAsia="宋体" w:cs="宋体"/>
                <w:sz w:val="18"/>
                <w:szCs w:val="18"/>
              </w:rPr>
              <w:t>3,035,805.31</w:t>
            </w:r>
          </w:p>
        </w:tc>
        <w:tc>
          <w:tcPr>
            <w:tcW w:w="2410" w:type="dxa"/>
            <w:tcBorders>
              <w:top w:val="single" w:color="auto" w:sz="2" w:space="0"/>
              <w:left w:val="single" w:color="auto" w:sz="2" w:space="0"/>
              <w:bottom w:val="single" w:color="auto" w:sz="2" w:space="0"/>
              <w:right w:val="single" w:color="auto" w:sz="2" w:space="0"/>
            </w:tcBorders>
            <w:vAlign w:val="center"/>
          </w:tcPr>
          <w:p w14:paraId="3B45A42D">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027DEE3">
            <w:pPr>
              <w:spacing w:before="0" w:after="0" w:line="240" w:lineRule="exact"/>
              <w:jc w:val="right"/>
              <w:rPr>
                <w:rFonts w:ascii="宋体" w:hAnsi="宋体" w:eastAsia="宋体" w:cs="宋体"/>
                <w:sz w:val="18"/>
                <w:szCs w:val="18"/>
              </w:rPr>
            </w:pPr>
          </w:p>
        </w:tc>
      </w:tr>
      <w:tr w14:paraId="140DE5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625641E">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2410" w:type="dxa"/>
            <w:tcBorders>
              <w:top w:val="single" w:color="auto" w:sz="2" w:space="0"/>
              <w:left w:val="single" w:color="auto" w:sz="2" w:space="0"/>
              <w:bottom w:val="single" w:color="auto" w:sz="2" w:space="0"/>
              <w:right w:val="single" w:color="auto" w:sz="2" w:space="0"/>
            </w:tcBorders>
            <w:vAlign w:val="center"/>
          </w:tcPr>
          <w:p w14:paraId="1421CA4D">
            <w:pPr>
              <w:spacing w:before="0" w:after="0" w:line="240" w:lineRule="exact"/>
              <w:jc w:val="right"/>
              <w:rPr>
                <w:rFonts w:ascii="宋体" w:hAnsi="宋体" w:eastAsia="宋体" w:cs="宋体"/>
                <w:sz w:val="18"/>
                <w:szCs w:val="18"/>
              </w:rPr>
            </w:pPr>
            <w:r>
              <w:rPr>
                <w:rFonts w:ascii="宋体" w:hAnsi="宋体" w:eastAsia="宋体" w:cs="宋体"/>
                <w:sz w:val="18"/>
                <w:szCs w:val="18"/>
              </w:rPr>
              <w:t>352,896.00</w:t>
            </w:r>
          </w:p>
        </w:tc>
        <w:tc>
          <w:tcPr>
            <w:tcW w:w="2410" w:type="dxa"/>
            <w:tcBorders>
              <w:top w:val="single" w:color="auto" w:sz="2" w:space="0"/>
              <w:left w:val="single" w:color="auto" w:sz="2" w:space="0"/>
              <w:bottom w:val="single" w:color="auto" w:sz="2" w:space="0"/>
              <w:right w:val="single" w:color="auto" w:sz="2" w:space="0"/>
            </w:tcBorders>
            <w:vAlign w:val="center"/>
          </w:tcPr>
          <w:p w14:paraId="514F549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44F0B837">
            <w:pPr>
              <w:spacing w:before="0" w:after="0" w:line="240" w:lineRule="exact"/>
              <w:jc w:val="right"/>
              <w:rPr>
                <w:rFonts w:ascii="宋体" w:hAnsi="宋体" w:eastAsia="宋体" w:cs="宋体"/>
                <w:sz w:val="18"/>
                <w:szCs w:val="18"/>
              </w:rPr>
            </w:pPr>
          </w:p>
        </w:tc>
      </w:tr>
      <w:tr w14:paraId="4A9143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4B81CACC">
            <w:pPr>
              <w:spacing w:before="0" w:after="0" w:line="240" w:lineRule="exact"/>
              <w:jc w:val="left"/>
              <w:rPr>
                <w:rFonts w:ascii="宋体" w:hAnsi="宋体" w:eastAsia="宋体" w:cs="宋体"/>
                <w:sz w:val="18"/>
                <w:szCs w:val="18"/>
              </w:rPr>
            </w:pPr>
            <w:r>
              <w:rPr>
                <w:rFonts w:ascii="宋体" w:hAnsi="宋体" w:eastAsia="宋体" w:cs="宋体"/>
                <w:sz w:val="18"/>
                <w:szCs w:val="18"/>
              </w:rPr>
              <w:t>2－3年</w:t>
            </w:r>
          </w:p>
        </w:tc>
        <w:tc>
          <w:tcPr>
            <w:tcW w:w="2410" w:type="dxa"/>
            <w:tcBorders>
              <w:top w:val="single" w:color="auto" w:sz="2" w:space="0"/>
              <w:left w:val="single" w:color="auto" w:sz="2" w:space="0"/>
              <w:bottom w:val="single" w:color="auto" w:sz="2" w:space="0"/>
              <w:right w:val="single" w:color="auto" w:sz="2" w:space="0"/>
            </w:tcBorders>
            <w:vAlign w:val="center"/>
          </w:tcPr>
          <w:p w14:paraId="61CE658E">
            <w:pPr>
              <w:spacing w:before="0" w:after="0" w:line="240" w:lineRule="exact"/>
              <w:jc w:val="right"/>
              <w:rPr>
                <w:rFonts w:ascii="宋体" w:hAnsi="宋体" w:eastAsia="宋体" w:cs="宋体"/>
                <w:sz w:val="18"/>
                <w:szCs w:val="18"/>
              </w:rPr>
            </w:pPr>
            <w:r>
              <w:rPr>
                <w:rFonts w:ascii="宋体" w:hAnsi="宋体" w:eastAsia="宋体" w:cs="宋体"/>
                <w:sz w:val="18"/>
                <w:szCs w:val="18"/>
              </w:rPr>
              <w:t>28,000.00</w:t>
            </w:r>
          </w:p>
        </w:tc>
        <w:tc>
          <w:tcPr>
            <w:tcW w:w="2410" w:type="dxa"/>
            <w:tcBorders>
              <w:top w:val="single" w:color="auto" w:sz="2" w:space="0"/>
              <w:left w:val="single" w:color="auto" w:sz="2" w:space="0"/>
              <w:bottom w:val="single" w:color="auto" w:sz="2" w:space="0"/>
              <w:right w:val="single" w:color="auto" w:sz="2" w:space="0"/>
            </w:tcBorders>
            <w:vAlign w:val="center"/>
          </w:tcPr>
          <w:p w14:paraId="2418F420">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330A1F0">
            <w:pPr>
              <w:spacing w:before="0" w:after="0" w:line="240" w:lineRule="exact"/>
              <w:jc w:val="right"/>
              <w:rPr>
                <w:rFonts w:ascii="宋体" w:hAnsi="宋体" w:eastAsia="宋体" w:cs="宋体"/>
                <w:sz w:val="18"/>
                <w:szCs w:val="18"/>
              </w:rPr>
            </w:pPr>
          </w:p>
        </w:tc>
      </w:tr>
      <w:tr w14:paraId="38931F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F311AC0">
            <w:pPr>
              <w:spacing w:before="0" w:after="0" w:line="240" w:lineRule="exact"/>
              <w:jc w:val="left"/>
              <w:rPr>
                <w:rFonts w:ascii="宋体" w:hAnsi="宋体" w:eastAsia="宋体" w:cs="宋体"/>
                <w:sz w:val="18"/>
                <w:szCs w:val="18"/>
              </w:rPr>
            </w:pPr>
            <w:r>
              <w:rPr>
                <w:rFonts w:ascii="宋体" w:hAnsi="宋体" w:eastAsia="宋体" w:cs="宋体"/>
                <w:sz w:val="18"/>
                <w:szCs w:val="18"/>
              </w:rPr>
              <w:t>3－4年</w:t>
            </w:r>
          </w:p>
        </w:tc>
        <w:tc>
          <w:tcPr>
            <w:tcW w:w="2410" w:type="dxa"/>
            <w:tcBorders>
              <w:top w:val="single" w:color="auto" w:sz="2" w:space="0"/>
              <w:left w:val="single" w:color="auto" w:sz="2" w:space="0"/>
              <w:bottom w:val="single" w:color="auto" w:sz="2" w:space="0"/>
              <w:right w:val="single" w:color="auto" w:sz="2" w:space="0"/>
            </w:tcBorders>
            <w:vAlign w:val="center"/>
          </w:tcPr>
          <w:p w14:paraId="07D648B8">
            <w:pPr>
              <w:spacing w:before="0" w:after="0" w:line="240" w:lineRule="exact"/>
              <w:jc w:val="right"/>
              <w:rPr>
                <w:rFonts w:ascii="宋体" w:hAnsi="宋体" w:eastAsia="宋体" w:cs="宋体"/>
                <w:sz w:val="18"/>
                <w:szCs w:val="18"/>
              </w:rPr>
            </w:pPr>
            <w:r>
              <w:rPr>
                <w:rFonts w:ascii="宋体" w:hAnsi="宋体" w:eastAsia="宋体" w:cs="宋体"/>
                <w:sz w:val="18"/>
                <w:szCs w:val="18"/>
              </w:rPr>
              <w:t>30,000.00</w:t>
            </w:r>
          </w:p>
        </w:tc>
        <w:tc>
          <w:tcPr>
            <w:tcW w:w="2410" w:type="dxa"/>
            <w:tcBorders>
              <w:top w:val="single" w:color="auto" w:sz="2" w:space="0"/>
              <w:left w:val="single" w:color="auto" w:sz="2" w:space="0"/>
              <w:bottom w:val="single" w:color="auto" w:sz="2" w:space="0"/>
              <w:right w:val="single" w:color="auto" w:sz="2" w:space="0"/>
            </w:tcBorders>
            <w:vAlign w:val="center"/>
          </w:tcPr>
          <w:p w14:paraId="7C803BAD">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08F5353">
            <w:pPr>
              <w:spacing w:before="0" w:after="0" w:line="240" w:lineRule="exact"/>
              <w:jc w:val="right"/>
              <w:rPr>
                <w:rFonts w:ascii="宋体" w:hAnsi="宋体" w:eastAsia="宋体" w:cs="宋体"/>
                <w:sz w:val="18"/>
                <w:szCs w:val="18"/>
              </w:rPr>
            </w:pPr>
          </w:p>
        </w:tc>
      </w:tr>
      <w:tr w14:paraId="549CAF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8926C6D">
            <w:pPr>
              <w:spacing w:before="0" w:after="0" w:line="240" w:lineRule="exact"/>
              <w:jc w:val="left"/>
              <w:rPr>
                <w:rFonts w:ascii="宋体" w:hAnsi="宋体" w:eastAsia="宋体" w:cs="宋体"/>
                <w:sz w:val="18"/>
                <w:szCs w:val="18"/>
              </w:rPr>
            </w:pPr>
            <w:r>
              <w:rPr>
                <w:rFonts w:ascii="宋体" w:hAnsi="宋体" w:eastAsia="宋体" w:cs="宋体"/>
                <w:sz w:val="18"/>
                <w:szCs w:val="18"/>
              </w:rPr>
              <w:t>4－5年</w:t>
            </w:r>
          </w:p>
        </w:tc>
        <w:tc>
          <w:tcPr>
            <w:tcW w:w="2410" w:type="dxa"/>
            <w:tcBorders>
              <w:top w:val="single" w:color="auto" w:sz="2" w:space="0"/>
              <w:left w:val="single" w:color="auto" w:sz="2" w:space="0"/>
              <w:bottom w:val="single" w:color="auto" w:sz="2" w:space="0"/>
              <w:right w:val="single" w:color="auto" w:sz="2" w:space="0"/>
            </w:tcBorders>
            <w:vAlign w:val="center"/>
          </w:tcPr>
          <w:p w14:paraId="320C165F">
            <w:pPr>
              <w:spacing w:before="0" w:after="0" w:line="240" w:lineRule="exact"/>
              <w:jc w:val="right"/>
              <w:rPr>
                <w:rFonts w:ascii="宋体" w:hAnsi="宋体" w:eastAsia="宋体" w:cs="宋体"/>
                <w:sz w:val="18"/>
                <w:szCs w:val="18"/>
              </w:rPr>
            </w:pPr>
            <w:r>
              <w:rPr>
                <w:rFonts w:ascii="宋体" w:hAnsi="宋体" w:eastAsia="宋体" w:cs="宋体"/>
                <w:sz w:val="18"/>
                <w:szCs w:val="18"/>
              </w:rPr>
              <w:t>100,350.00</w:t>
            </w:r>
          </w:p>
        </w:tc>
        <w:tc>
          <w:tcPr>
            <w:tcW w:w="2410" w:type="dxa"/>
            <w:tcBorders>
              <w:top w:val="single" w:color="auto" w:sz="2" w:space="0"/>
              <w:left w:val="single" w:color="auto" w:sz="2" w:space="0"/>
              <w:bottom w:val="single" w:color="auto" w:sz="2" w:space="0"/>
              <w:right w:val="single" w:color="auto" w:sz="2" w:space="0"/>
            </w:tcBorders>
            <w:vAlign w:val="center"/>
          </w:tcPr>
          <w:p w14:paraId="42143F4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E41F6EF">
            <w:pPr>
              <w:spacing w:before="0" w:after="0" w:line="240" w:lineRule="exact"/>
              <w:jc w:val="right"/>
              <w:rPr>
                <w:rFonts w:ascii="宋体" w:hAnsi="宋体" w:eastAsia="宋体" w:cs="宋体"/>
                <w:sz w:val="18"/>
                <w:szCs w:val="18"/>
              </w:rPr>
            </w:pPr>
          </w:p>
        </w:tc>
      </w:tr>
      <w:tr w14:paraId="4135A6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B832128">
            <w:pPr>
              <w:spacing w:before="0" w:after="0" w:line="240" w:lineRule="exact"/>
              <w:jc w:val="left"/>
              <w:rPr>
                <w:rFonts w:ascii="宋体" w:hAnsi="宋体" w:eastAsia="宋体" w:cs="宋体"/>
                <w:sz w:val="18"/>
                <w:szCs w:val="18"/>
              </w:rPr>
            </w:pPr>
            <w:r>
              <w:rPr>
                <w:rFonts w:ascii="宋体" w:hAnsi="宋体" w:eastAsia="宋体" w:cs="宋体"/>
                <w:sz w:val="18"/>
                <w:szCs w:val="18"/>
              </w:rPr>
              <w:t>5年以上</w:t>
            </w:r>
          </w:p>
        </w:tc>
        <w:tc>
          <w:tcPr>
            <w:tcW w:w="2410" w:type="dxa"/>
            <w:tcBorders>
              <w:top w:val="single" w:color="auto" w:sz="2" w:space="0"/>
              <w:left w:val="single" w:color="auto" w:sz="2" w:space="0"/>
              <w:bottom w:val="single" w:color="auto" w:sz="2" w:space="0"/>
              <w:right w:val="single" w:color="auto" w:sz="2" w:space="0"/>
            </w:tcBorders>
            <w:vAlign w:val="center"/>
          </w:tcPr>
          <w:p w14:paraId="163CB2F0">
            <w:pPr>
              <w:spacing w:before="0" w:after="0" w:line="240" w:lineRule="exact"/>
              <w:jc w:val="right"/>
              <w:rPr>
                <w:rFonts w:ascii="宋体" w:hAnsi="宋体" w:eastAsia="宋体" w:cs="宋体"/>
                <w:sz w:val="18"/>
                <w:szCs w:val="18"/>
              </w:rPr>
            </w:pPr>
            <w:r>
              <w:rPr>
                <w:rFonts w:ascii="宋体" w:hAnsi="宋体" w:eastAsia="宋体" w:cs="宋体"/>
                <w:sz w:val="18"/>
                <w:szCs w:val="18"/>
              </w:rPr>
              <w:t>208,900.00</w:t>
            </w:r>
          </w:p>
        </w:tc>
        <w:tc>
          <w:tcPr>
            <w:tcW w:w="2410" w:type="dxa"/>
            <w:tcBorders>
              <w:top w:val="single" w:color="auto" w:sz="2" w:space="0"/>
              <w:left w:val="single" w:color="auto" w:sz="2" w:space="0"/>
              <w:bottom w:val="single" w:color="auto" w:sz="2" w:space="0"/>
              <w:right w:val="single" w:color="auto" w:sz="2" w:space="0"/>
            </w:tcBorders>
            <w:vAlign w:val="center"/>
          </w:tcPr>
          <w:p w14:paraId="000F7AFD">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AE21B43">
            <w:pPr>
              <w:spacing w:before="0" w:after="0" w:line="240" w:lineRule="exact"/>
              <w:jc w:val="right"/>
              <w:rPr>
                <w:rFonts w:ascii="宋体" w:hAnsi="宋体" w:eastAsia="宋体" w:cs="宋体"/>
                <w:sz w:val="18"/>
                <w:szCs w:val="18"/>
              </w:rPr>
            </w:pPr>
          </w:p>
        </w:tc>
      </w:tr>
      <w:tr w14:paraId="3E5DDB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9306A9B">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25450EC0">
            <w:pPr>
              <w:spacing w:before="0" w:after="0" w:line="240" w:lineRule="exact"/>
              <w:jc w:val="right"/>
              <w:rPr>
                <w:rFonts w:ascii="宋体" w:hAnsi="宋体" w:eastAsia="宋体" w:cs="宋体"/>
                <w:sz w:val="18"/>
                <w:szCs w:val="18"/>
              </w:rPr>
            </w:pPr>
            <w:r>
              <w:rPr>
                <w:rFonts w:ascii="宋体" w:hAnsi="宋体" w:eastAsia="宋体" w:cs="宋体"/>
                <w:sz w:val="18"/>
                <w:szCs w:val="18"/>
              </w:rPr>
              <w:t>3,755,951.31</w:t>
            </w:r>
          </w:p>
        </w:tc>
        <w:tc>
          <w:tcPr>
            <w:tcW w:w="2410" w:type="dxa"/>
            <w:tcBorders>
              <w:top w:val="single" w:color="auto" w:sz="2" w:space="0"/>
              <w:left w:val="single" w:color="auto" w:sz="2" w:space="0"/>
              <w:bottom w:val="single" w:color="auto" w:sz="2" w:space="0"/>
              <w:right w:val="single" w:color="auto" w:sz="2" w:space="0"/>
            </w:tcBorders>
            <w:vAlign w:val="center"/>
          </w:tcPr>
          <w:p w14:paraId="163A3C0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C284BE9"/>
        </w:tc>
      </w:tr>
    </w:tbl>
    <w:p w14:paraId="62A70F37">
      <w:pPr>
        <w:spacing w:before="100" w:after="100" w:line="240" w:lineRule="exact"/>
        <w:jc w:val="left"/>
        <w:rPr>
          <w:rFonts w:ascii="宋体" w:hAnsi="宋体" w:eastAsia="宋体" w:cs="宋体"/>
          <w:sz w:val="18"/>
          <w:szCs w:val="18"/>
        </w:rPr>
      </w:pPr>
      <w:r>
        <w:rPr>
          <w:rFonts w:ascii="宋体" w:hAnsi="宋体" w:eastAsia="宋体" w:cs="宋体"/>
          <w:sz w:val="18"/>
          <w:szCs w:val="18"/>
        </w:rPr>
        <w:t>确定该组合依据的说明：</w:t>
      </w:r>
    </w:p>
    <w:p w14:paraId="471D6DA8">
      <w:pPr>
        <w:spacing w:before="0" w:after="0" w:line="240" w:lineRule="exact"/>
        <w:jc w:val="left"/>
        <w:rPr>
          <w:rFonts w:ascii="宋体" w:hAnsi="宋体" w:eastAsia="宋体" w:cs="宋体"/>
          <w:sz w:val="18"/>
          <w:szCs w:val="18"/>
        </w:rPr>
      </w:pPr>
      <w:r>
        <w:rPr>
          <w:rFonts w:ascii="宋体" w:hAnsi="宋体" w:eastAsia="宋体" w:cs="宋体"/>
          <w:sz w:val="18"/>
          <w:szCs w:val="18"/>
        </w:rPr>
        <w:t>按预期信用损失一般模型计提坏账准备：</w:t>
      </w:r>
    </w:p>
    <w:p w14:paraId="4B1A0B0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29A6C6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A9DF9A2">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AD7D9B8">
            <w:pPr>
              <w:spacing w:before="40" w:after="40" w:line="240" w:lineRule="exact"/>
              <w:jc w:val="center"/>
              <w:rPr>
                <w:rFonts w:ascii="宋体" w:hAnsi="宋体" w:eastAsia="宋体" w:cs="宋体"/>
                <w:sz w:val="18"/>
                <w:szCs w:val="18"/>
              </w:rPr>
            </w:pPr>
            <w:r>
              <w:rPr>
                <w:rFonts w:ascii="宋体" w:hAnsi="宋体" w:eastAsia="宋体" w:cs="宋体"/>
                <w:sz w:val="18"/>
                <w:szCs w:val="18"/>
              </w:rPr>
              <w:t>第一阶段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39D0CE5">
            <w:pPr>
              <w:spacing w:before="40" w:after="40" w:line="240" w:lineRule="exact"/>
              <w:jc w:val="center"/>
              <w:rPr>
                <w:rFonts w:ascii="宋体" w:hAnsi="宋体" w:eastAsia="宋体" w:cs="宋体"/>
                <w:sz w:val="18"/>
                <w:szCs w:val="18"/>
              </w:rPr>
            </w:pPr>
            <w:r>
              <w:rPr>
                <w:rFonts w:ascii="宋体" w:hAnsi="宋体" w:eastAsia="宋体" w:cs="宋体"/>
                <w:sz w:val="18"/>
                <w:szCs w:val="18"/>
              </w:rPr>
              <w:t>第二阶段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03DD75F">
            <w:pPr>
              <w:spacing w:before="40" w:after="40" w:line="240" w:lineRule="exact"/>
              <w:jc w:val="center"/>
              <w:rPr>
                <w:rFonts w:ascii="宋体" w:hAnsi="宋体" w:eastAsia="宋体" w:cs="宋体"/>
                <w:sz w:val="18"/>
                <w:szCs w:val="18"/>
              </w:rPr>
            </w:pPr>
            <w:r>
              <w:rPr>
                <w:rFonts w:ascii="宋体" w:hAnsi="宋体" w:eastAsia="宋体" w:cs="宋体"/>
                <w:sz w:val="18"/>
                <w:szCs w:val="18"/>
              </w:rPr>
              <w:t>第三阶段</w:t>
            </w:r>
          </w:p>
        </w:tc>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BAE70E4">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2008D6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6C76F30"/>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768D420">
            <w:pPr>
              <w:spacing w:before="40" w:after="40" w:line="240" w:lineRule="exact"/>
              <w:jc w:val="center"/>
              <w:rPr>
                <w:rFonts w:ascii="宋体" w:hAnsi="宋体" w:eastAsia="宋体" w:cs="宋体"/>
                <w:sz w:val="18"/>
                <w:szCs w:val="18"/>
              </w:rPr>
            </w:pPr>
            <w:r>
              <w:rPr>
                <w:rFonts w:ascii="宋体" w:hAnsi="宋体" w:eastAsia="宋体" w:cs="宋体"/>
                <w:sz w:val="18"/>
                <w:szCs w:val="18"/>
              </w:rPr>
              <w:t>未来12个月预期信用损失</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3E8EF7A">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整个存续期预期信用损失(未发生信用减值)</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28C7BB5">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整个存续期预期信用损失(已发生信用减值)</w:t>
            </w:r>
          </w:p>
        </w:tc>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2CEAF7E"/>
        </w:tc>
      </w:tr>
      <w:tr w14:paraId="2D9DC3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8F93CDD">
            <w:pPr>
              <w:spacing w:before="40" w:after="40" w:line="240" w:lineRule="exact"/>
              <w:jc w:val="left"/>
              <w:rPr>
                <w:rFonts w:ascii="宋体" w:hAnsi="宋体" w:eastAsia="宋体" w:cs="宋体"/>
                <w:sz w:val="18"/>
                <w:szCs w:val="18"/>
              </w:rPr>
            </w:pPr>
            <w:r>
              <w:rPr>
                <w:rFonts w:ascii="宋体" w:hAnsi="宋体" w:eastAsia="宋体" w:cs="宋体"/>
                <w:sz w:val="18"/>
                <w:szCs w:val="18"/>
              </w:rPr>
              <w:t>2024年1月1日余额</w:t>
            </w:r>
          </w:p>
        </w:tc>
        <w:tc>
          <w:tcPr>
            <w:tcW w:w="1928" w:type="dxa"/>
            <w:tcBorders>
              <w:top w:val="single" w:color="auto" w:sz="2" w:space="0"/>
              <w:left w:val="single" w:color="auto" w:sz="2" w:space="0"/>
              <w:bottom w:val="single" w:color="auto" w:sz="2" w:space="0"/>
              <w:right w:val="single" w:color="auto" w:sz="2" w:space="0"/>
            </w:tcBorders>
            <w:vAlign w:val="center"/>
          </w:tcPr>
          <w:p w14:paraId="4BC41D00">
            <w:pPr>
              <w:spacing w:before="0" w:after="0" w:line="240" w:lineRule="exact"/>
              <w:jc w:val="right"/>
              <w:rPr>
                <w:rFonts w:ascii="宋体" w:hAnsi="宋体" w:eastAsia="宋体" w:cs="宋体"/>
                <w:sz w:val="18"/>
                <w:szCs w:val="18"/>
              </w:rPr>
            </w:pPr>
            <w:r>
              <w:rPr>
                <w:rFonts w:ascii="宋体" w:hAnsi="宋体" w:eastAsia="宋体" w:cs="宋体"/>
                <w:sz w:val="18"/>
                <w:szCs w:val="18"/>
              </w:rPr>
              <w:t>27,397.83</w:t>
            </w:r>
          </w:p>
        </w:tc>
        <w:tc>
          <w:tcPr>
            <w:tcW w:w="1928" w:type="dxa"/>
            <w:tcBorders>
              <w:top w:val="single" w:color="auto" w:sz="2" w:space="0"/>
              <w:left w:val="single" w:color="auto" w:sz="2" w:space="0"/>
              <w:bottom w:val="single" w:color="auto" w:sz="2" w:space="0"/>
              <w:right w:val="single" w:color="auto" w:sz="2" w:space="0"/>
            </w:tcBorders>
            <w:vAlign w:val="center"/>
          </w:tcPr>
          <w:p w14:paraId="4C1AE49D">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1F591CE6">
            <w:pPr>
              <w:spacing w:before="0" w:after="0" w:line="240" w:lineRule="exact"/>
              <w:jc w:val="right"/>
              <w:rPr>
                <w:rFonts w:ascii="宋体" w:hAnsi="宋体" w:eastAsia="宋体" w:cs="宋体"/>
                <w:sz w:val="18"/>
                <w:szCs w:val="18"/>
              </w:rPr>
            </w:pPr>
            <w:r>
              <w:rPr>
                <w:rFonts w:ascii="宋体" w:hAnsi="宋体" w:eastAsia="宋体" w:cs="宋体"/>
                <w:sz w:val="18"/>
                <w:szCs w:val="18"/>
              </w:rPr>
              <w:t>252,380.00</w:t>
            </w:r>
          </w:p>
        </w:tc>
        <w:tc>
          <w:tcPr>
            <w:tcW w:w="1928" w:type="dxa"/>
            <w:tcBorders>
              <w:top w:val="single" w:color="auto" w:sz="2" w:space="0"/>
              <w:left w:val="single" w:color="auto" w:sz="2" w:space="0"/>
              <w:bottom w:val="single" w:color="auto" w:sz="2" w:space="0"/>
              <w:right w:val="single" w:color="auto" w:sz="2" w:space="0"/>
            </w:tcBorders>
            <w:vAlign w:val="center"/>
          </w:tcPr>
          <w:p w14:paraId="1E12BBE5">
            <w:pPr>
              <w:spacing w:before="0" w:after="0" w:line="240" w:lineRule="exact"/>
              <w:jc w:val="right"/>
              <w:rPr>
                <w:rFonts w:ascii="宋体" w:hAnsi="宋体" w:eastAsia="宋体" w:cs="宋体"/>
                <w:sz w:val="18"/>
                <w:szCs w:val="18"/>
              </w:rPr>
            </w:pPr>
            <w:r>
              <w:rPr>
                <w:rFonts w:ascii="宋体" w:hAnsi="宋体" w:eastAsia="宋体" w:cs="宋体"/>
                <w:sz w:val="18"/>
                <w:szCs w:val="18"/>
              </w:rPr>
              <w:t>279,794.19</w:t>
            </w:r>
          </w:p>
        </w:tc>
      </w:tr>
      <w:tr w14:paraId="65C3FD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918AA4B">
            <w:pPr>
              <w:spacing w:before="40" w:after="40" w:line="240" w:lineRule="exact"/>
              <w:jc w:val="left"/>
              <w:rPr>
                <w:rFonts w:ascii="宋体" w:hAnsi="宋体" w:eastAsia="宋体" w:cs="宋体"/>
                <w:sz w:val="18"/>
                <w:szCs w:val="18"/>
              </w:rPr>
            </w:pPr>
            <w:r>
              <w:rPr>
                <w:rFonts w:ascii="宋体" w:hAnsi="宋体" w:eastAsia="宋体" w:cs="宋体"/>
                <w:sz w:val="18"/>
                <w:szCs w:val="18"/>
              </w:rPr>
              <w:t>2024年1月1日余额在本期</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B0F824D"/>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9E5AC47"/>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64D7998"/>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7D16DBC"/>
        </w:tc>
      </w:tr>
      <w:tr w14:paraId="41DC7D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0E6D4D7">
            <w:pPr>
              <w:spacing w:before="40" w:after="40" w:line="240" w:lineRule="exact"/>
              <w:jc w:val="left"/>
              <w:rPr>
                <w:rFonts w:ascii="宋体" w:hAnsi="宋体" w:eastAsia="宋体" w:cs="宋体"/>
                <w:sz w:val="18"/>
                <w:szCs w:val="18"/>
              </w:rPr>
            </w:pPr>
            <w:r>
              <w:rPr>
                <w:rFonts w:ascii="宋体" w:hAnsi="宋体" w:eastAsia="宋体" w:cs="宋体"/>
                <w:sz w:val="18"/>
                <w:szCs w:val="18"/>
              </w:rPr>
              <w:t>本期计提</w:t>
            </w:r>
          </w:p>
        </w:tc>
        <w:tc>
          <w:tcPr>
            <w:tcW w:w="1928" w:type="dxa"/>
            <w:tcBorders>
              <w:top w:val="single" w:color="auto" w:sz="2" w:space="0"/>
              <w:left w:val="single" w:color="auto" w:sz="2" w:space="0"/>
              <w:bottom w:val="single" w:color="auto" w:sz="2" w:space="0"/>
              <w:right w:val="single" w:color="auto" w:sz="2" w:space="0"/>
            </w:tcBorders>
            <w:vAlign w:val="center"/>
          </w:tcPr>
          <w:p w14:paraId="123A61AC">
            <w:pPr>
              <w:spacing w:before="0" w:after="0" w:line="240" w:lineRule="exact"/>
              <w:jc w:val="right"/>
              <w:rPr>
                <w:rFonts w:ascii="宋体" w:hAnsi="宋体" w:eastAsia="宋体" w:cs="宋体"/>
                <w:sz w:val="18"/>
                <w:szCs w:val="18"/>
              </w:rPr>
            </w:pPr>
            <w:r>
              <w:rPr>
                <w:rFonts w:ascii="宋体" w:hAnsi="宋体" w:eastAsia="宋体" w:cs="宋体"/>
                <w:sz w:val="18"/>
                <w:szCs w:val="18"/>
              </w:rPr>
              <w:t>1,898.17</w:t>
            </w:r>
          </w:p>
        </w:tc>
        <w:tc>
          <w:tcPr>
            <w:tcW w:w="1928" w:type="dxa"/>
            <w:tcBorders>
              <w:top w:val="single" w:color="auto" w:sz="2" w:space="0"/>
              <w:left w:val="single" w:color="auto" w:sz="2" w:space="0"/>
              <w:bottom w:val="single" w:color="auto" w:sz="2" w:space="0"/>
              <w:right w:val="single" w:color="auto" w:sz="2" w:space="0"/>
            </w:tcBorders>
            <w:vAlign w:val="center"/>
          </w:tcPr>
          <w:p w14:paraId="7BC730B8">
            <w:pPr>
              <w:spacing w:before="0" w:after="0" w:line="240" w:lineRule="exact"/>
              <w:jc w:val="right"/>
              <w:rPr>
                <w:rFonts w:ascii="宋体" w:hAnsi="宋体" w:eastAsia="宋体" w:cs="宋体"/>
                <w:sz w:val="18"/>
                <w:szCs w:val="18"/>
              </w:rPr>
            </w:pPr>
            <w:r>
              <w:rPr>
                <w:rFonts w:ascii="宋体" w:hAnsi="宋体" w:eastAsia="宋体" w:cs="宋体"/>
                <w:sz w:val="18"/>
                <w:szCs w:val="18"/>
              </w:rPr>
              <w:t>500.00</w:t>
            </w:r>
          </w:p>
        </w:tc>
        <w:tc>
          <w:tcPr>
            <w:tcW w:w="1928" w:type="dxa"/>
            <w:tcBorders>
              <w:top w:val="single" w:color="auto" w:sz="2" w:space="0"/>
              <w:left w:val="single" w:color="auto" w:sz="2" w:space="0"/>
              <w:bottom w:val="single" w:color="auto" w:sz="2" w:space="0"/>
              <w:right w:val="single" w:color="auto" w:sz="2" w:space="0"/>
            </w:tcBorders>
            <w:vAlign w:val="center"/>
          </w:tcPr>
          <w:p w14:paraId="0E0D7BD7">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c>
          <w:tcPr>
            <w:tcW w:w="1928" w:type="dxa"/>
            <w:tcBorders>
              <w:top w:val="single" w:color="auto" w:sz="2" w:space="0"/>
              <w:left w:val="single" w:color="auto" w:sz="2" w:space="0"/>
              <w:bottom w:val="single" w:color="auto" w:sz="2" w:space="0"/>
              <w:right w:val="single" w:color="auto" w:sz="2" w:space="0"/>
            </w:tcBorders>
            <w:vAlign w:val="center"/>
          </w:tcPr>
          <w:p w14:paraId="1FC871E5">
            <w:pPr>
              <w:spacing w:before="0" w:after="0" w:line="240" w:lineRule="exact"/>
              <w:jc w:val="right"/>
              <w:rPr>
                <w:rFonts w:ascii="宋体" w:hAnsi="宋体" w:eastAsia="宋体" w:cs="宋体"/>
                <w:sz w:val="18"/>
                <w:szCs w:val="18"/>
              </w:rPr>
            </w:pPr>
            <w:r>
              <w:rPr>
                <w:rFonts w:ascii="宋体" w:hAnsi="宋体" w:eastAsia="宋体" w:cs="宋体"/>
                <w:sz w:val="18"/>
                <w:szCs w:val="18"/>
              </w:rPr>
              <w:t>251,093.46</w:t>
            </w:r>
          </w:p>
        </w:tc>
      </w:tr>
      <w:tr w14:paraId="456A1F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BBF9815">
            <w:pPr>
              <w:spacing w:before="40" w:after="40" w:line="240" w:lineRule="exact"/>
              <w:jc w:val="left"/>
              <w:rPr>
                <w:rFonts w:ascii="宋体" w:hAnsi="宋体" w:eastAsia="宋体" w:cs="宋体"/>
                <w:sz w:val="18"/>
                <w:szCs w:val="18"/>
              </w:rPr>
            </w:pPr>
            <w:r>
              <w:rPr>
                <w:rFonts w:ascii="宋体" w:hAnsi="宋体" w:eastAsia="宋体" w:cs="宋体"/>
                <w:sz w:val="18"/>
                <w:szCs w:val="18"/>
              </w:rPr>
              <w:t>本期转回</w:t>
            </w:r>
          </w:p>
        </w:tc>
        <w:tc>
          <w:tcPr>
            <w:tcW w:w="1928" w:type="dxa"/>
            <w:tcBorders>
              <w:top w:val="single" w:color="auto" w:sz="2" w:space="0"/>
              <w:left w:val="single" w:color="auto" w:sz="2" w:space="0"/>
              <w:bottom w:val="single" w:color="auto" w:sz="2" w:space="0"/>
              <w:right w:val="single" w:color="auto" w:sz="2" w:space="0"/>
            </w:tcBorders>
            <w:vAlign w:val="center"/>
          </w:tcPr>
          <w:p w14:paraId="2EE93AC6">
            <w:pPr>
              <w:spacing w:before="0" w:after="0" w:line="240" w:lineRule="exact"/>
              <w:jc w:val="right"/>
              <w:rPr>
                <w:rFonts w:ascii="宋体" w:hAnsi="宋体" w:eastAsia="宋体" w:cs="宋体"/>
                <w:sz w:val="18"/>
                <w:szCs w:val="18"/>
              </w:rPr>
            </w:pPr>
            <w:r>
              <w:rPr>
                <w:rFonts w:ascii="宋体" w:hAnsi="宋体" w:eastAsia="宋体" w:cs="宋体"/>
                <w:sz w:val="18"/>
                <w:szCs w:val="18"/>
              </w:rPr>
              <w:t>1,304.71</w:t>
            </w:r>
          </w:p>
        </w:tc>
        <w:tc>
          <w:tcPr>
            <w:tcW w:w="1928" w:type="dxa"/>
            <w:tcBorders>
              <w:top w:val="single" w:color="auto" w:sz="2" w:space="0"/>
              <w:left w:val="single" w:color="auto" w:sz="2" w:space="0"/>
              <w:bottom w:val="single" w:color="auto" w:sz="2" w:space="0"/>
              <w:right w:val="single" w:color="auto" w:sz="2" w:space="0"/>
            </w:tcBorders>
            <w:vAlign w:val="center"/>
          </w:tcPr>
          <w:p w14:paraId="6E07FD66">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49AED8ED">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4BCC9DEE">
            <w:pPr>
              <w:spacing w:before="0" w:after="0" w:line="240" w:lineRule="exact"/>
              <w:jc w:val="right"/>
              <w:rPr>
                <w:rFonts w:ascii="宋体" w:hAnsi="宋体" w:eastAsia="宋体" w:cs="宋体"/>
                <w:sz w:val="18"/>
                <w:szCs w:val="18"/>
              </w:rPr>
            </w:pPr>
          </w:p>
        </w:tc>
      </w:tr>
      <w:tr w14:paraId="610C6A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3EBE168">
            <w:pPr>
              <w:spacing w:before="40" w:after="40" w:line="240" w:lineRule="exact"/>
              <w:jc w:val="left"/>
              <w:rPr>
                <w:rFonts w:ascii="宋体" w:hAnsi="宋体" w:eastAsia="宋体" w:cs="宋体"/>
                <w:sz w:val="18"/>
                <w:szCs w:val="18"/>
              </w:rPr>
            </w:pPr>
            <w:r>
              <w:rPr>
                <w:rFonts w:ascii="宋体" w:hAnsi="宋体" w:eastAsia="宋体" w:cs="宋体"/>
                <w:sz w:val="18"/>
                <w:szCs w:val="18"/>
              </w:rPr>
              <w:t>2024年12月31日余额</w:t>
            </w:r>
          </w:p>
        </w:tc>
        <w:tc>
          <w:tcPr>
            <w:tcW w:w="1928" w:type="dxa"/>
            <w:tcBorders>
              <w:top w:val="single" w:color="auto" w:sz="2" w:space="0"/>
              <w:left w:val="single" w:color="auto" w:sz="2" w:space="0"/>
              <w:bottom w:val="single" w:color="auto" w:sz="2" w:space="0"/>
              <w:right w:val="single" w:color="auto" w:sz="2" w:space="0"/>
            </w:tcBorders>
            <w:vAlign w:val="center"/>
          </w:tcPr>
          <w:p w14:paraId="6D5BB885">
            <w:pPr>
              <w:spacing w:before="0" w:after="0" w:line="240" w:lineRule="exact"/>
              <w:jc w:val="right"/>
              <w:rPr>
                <w:rFonts w:ascii="宋体" w:hAnsi="宋体" w:eastAsia="宋体" w:cs="宋体"/>
                <w:sz w:val="18"/>
                <w:szCs w:val="18"/>
              </w:rPr>
            </w:pPr>
            <w:r>
              <w:rPr>
                <w:rFonts w:ascii="宋体" w:hAnsi="宋体" w:eastAsia="宋体" w:cs="宋体"/>
                <w:sz w:val="18"/>
                <w:szCs w:val="18"/>
              </w:rPr>
              <w:t>27,991.29</w:t>
            </w:r>
          </w:p>
        </w:tc>
        <w:tc>
          <w:tcPr>
            <w:tcW w:w="1928" w:type="dxa"/>
            <w:tcBorders>
              <w:top w:val="single" w:color="auto" w:sz="2" w:space="0"/>
              <w:left w:val="single" w:color="auto" w:sz="2" w:space="0"/>
              <w:bottom w:val="single" w:color="auto" w:sz="2" w:space="0"/>
              <w:right w:val="single" w:color="auto" w:sz="2" w:space="0"/>
            </w:tcBorders>
            <w:vAlign w:val="center"/>
          </w:tcPr>
          <w:p w14:paraId="56CCA6FB">
            <w:pPr>
              <w:spacing w:before="0" w:after="0" w:line="240" w:lineRule="exact"/>
              <w:jc w:val="right"/>
              <w:rPr>
                <w:rFonts w:ascii="宋体" w:hAnsi="宋体" w:eastAsia="宋体" w:cs="宋体"/>
                <w:sz w:val="18"/>
                <w:szCs w:val="18"/>
              </w:rPr>
            </w:pPr>
            <w:r>
              <w:rPr>
                <w:rFonts w:ascii="宋体" w:hAnsi="宋体" w:eastAsia="宋体" w:cs="宋体"/>
                <w:sz w:val="18"/>
                <w:szCs w:val="18"/>
              </w:rPr>
              <w:t>500.00</w:t>
            </w:r>
          </w:p>
        </w:tc>
        <w:tc>
          <w:tcPr>
            <w:tcW w:w="1928" w:type="dxa"/>
            <w:tcBorders>
              <w:top w:val="single" w:color="auto" w:sz="2" w:space="0"/>
              <w:left w:val="single" w:color="auto" w:sz="2" w:space="0"/>
              <w:bottom w:val="single" w:color="auto" w:sz="2" w:space="0"/>
              <w:right w:val="single" w:color="auto" w:sz="2" w:space="0"/>
            </w:tcBorders>
            <w:vAlign w:val="center"/>
          </w:tcPr>
          <w:p w14:paraId="4B0F66A0">
            <w:pPr>
              <w:spacing w:before="0" w:after="0" w:line="240" w:lineRule="exact"/>
              <w:jc w:val="right"/>
              <w:rPr>
                <w:rFonts w:ascii="宋体" w:hAnsi="宋体" w:eastAsia="宋体" w:cs="宋体"/>
                <w:sz w:val="18"/>
                <w:szCs w:val="18"/>
              </w:rPr>
            </w:pPr>
            <w:r>
              <w:rPr>
                <w:rFonts w:ascii="宋体" w:hAnsi="宋体" w:eastAsia="宋体" w:cs="宋体"/>
                <w:sz w:val="18"/>
                <w:szCs w:val="18"/>
              </w:rPr>
              <w:t>502,380.00</w:t>
            </w:r>
          </w:p>
        </w:tc>
        <w:tc>
          <w:tcPr>
            <w:tcW w:w="1928" w:type="dxa"/>
            <w:tcBorders>
              <w:top w:val="single" w:color="auto" w:sz="2" w:space="0"/>
              <w:left w:val="single" w:color="auto" w:sz="2" w:space="0"/>
              <w:bottom w:val="single" w:color="auto" w:sz="2" w:space="0"/>
              <w:right w:val="single" w:color="auto" w:sz="2" w:space="0"/>
            </w:tcBorders>
            <w:vAlign w:val="center"/>
          </w:tcPr>
          <w:p w14:paraId="5B88D201">
            <w:pPr>
              <w:spacing w:before="0" w:after="0" w:line="240" w:lineRule="exact"/>
              <w:jc w:val="right"/>
              <w:rPr>
                <w:rFonts w:ascii="宋体" w:hAnsi="宋体" w:eastAsia="宋体" w:cs="宋体"/>
                <w:sz w:val="18"/>
                <w:szCs w:val="18"/>
              </w:rPr>
            </w:pPr>
            <w:r>
              <w:rPr>
                <w:rFonts w:ascii="宋体" w:hAnsi="宋体" w:eastAsia="宋体" w:cs="宋体"/>
                <w:sz w:val="18"/>
                <w:szCs w:val="18"/>
              </w:rPr>
              <w:t>530,871.29</w:t>
            </w:r>
          </w:p>
        </w:tc>
      </w:tr>
    </w:tbl>
    <w:p w14:paraId="3955EAC6">
      <w:pPr>
        <w:spacing w:before="100" w:after="100" w:line="240" w:lineRule="exact"/>
        <w:jc w:val="left"/>
        <w:rPr>
          <w:rFonts w:ascii="宋体" w:hAnsi="宋体" w:eastAsia="宋体" w:cs="宋体"/>
          <w:sz w:val="18"/>
          <w:szCs w:val="18"/>
        </w:rPr>
      </w:pPr>
      <w:r>
        <w:rPr>
          <w:rFonts w:ascii="宋体" w:hAnsi="宋体" w:eastAsia="宋体" w:cs="宋体"/>
          <w:sz w:val="18"/>
          <w:szCs w:val="18"/>
        </w:rPr>
        <w:t>各阶段划分依据和坏账准备计提比例</w:t>
      </w:r>
    </w:p>
    <w:p w14:paraId="3C40DE20">
      <w:pPr>
        <w:spacing w:before="100" w:after="100" w:line="240" w:lineRule="exact"/>
        <w:jc w:val="left"/>
        <w:rPr>
          <w:rFonts w:ascii="宋体" w:hAnsi="宋体" w:eastAsia="宋体" w:cs="宋体"/>
          <w:sz w:val="18"/>
          <w:szCs w:val="18"/>
        </w:rPr>
      </w:pPr>
      <w:r>
        <w:rPr>
          <w:rFonts w:ascii="宋体" w:hAnsi="宋体" w:eastAsia="宋体" w:cs="宋体"/>
          <w:sz w:val="18"/>
          <w:szCs w:val="18"/>
        </w:rPr>
        <w:t>损失准备本期变动金额重大的账面余额变动情况</w:t>
      </w:r>
    </w:p>
    <w:p w14:paraId="725AADC8">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B6EC535">
      <w:pPr>
        <w:keepNext/>
        <w:keepLines/>
        <w:spacing w:before="300" w:after="300" w:line="280" w:lineRule="exact"/>
        <w:jc w:val="left"/>
        <w:outlineLvl w:val="4"/>
        <w:rPr>
          <w:rFonts w:ascii="宋体" w:hAnsi="宋体" w:eastAsia="宋体" w:cs="宋体"/>
          <w:b/>
          <w:bCs/>
          <w:sz w:val="21"/>
          <w:szCs w:val="21"/>
        </w:rPr>
      </w:pPr>
      <w:bookmarkStart w:id="276" w:name="_Toc989163"/>
      <w:r>
        <w:rPr>
          <w:rFonts w:ascii="宋体" w:hAnsi="宋体" w:eastAsia="宋体" w:cs="宋体"/>
          <w:b/>
          <w:bCs/>
          <w:sz w:val="21"/>
          <w:szCs w:val="21"/>
        </w:rPr>
        <w:t>4） 本期计提、收回或转回的坏账准备情况</w:t>
      </w:r>
      <w:bookmarkEnd w:id="276"/>
    </w:p>
    <w:p w14:paraId="7F834034">
      <w:pPr>
        <w:spacing w:before="100" w:after="100" w:line="240" w:lineRule="exact"/>
        <w:jc w:val="left"/>
        <w:rPr>
          <w:rFonts w:ascii="宋体" w:hAnsi="宋体" w:eastAsia="宋体" w:cs="宋体"/>
          <w:sz w:val="18"/>
          <w:szCs w:val="18"/>
        </w:rPr>
      </w:pPr>
      <w:r>
        <w:rPr>
          <w:rFonts w:ascii="宋体" w:hAnsi="宋体" w:eastAsia="宋体" w:cs="宋体"/>
          <w:sz w:val="18"/>
          <w:szCs w:val="18"/>
        </w:rPr>
        <w:t>本期计提坏账准备情况：</w:t>
      </w:r>
    </w:p>
    <w:p w14:paraId="42E965E6">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27EB70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B9E3671">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37ABEC9">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1AB0FAE0">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4DA385A">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6D04B6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559655B"/>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800F928"/>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74E22AA">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A4CE629">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711B46A">
            <w:pPr>
              <w:spacing w:before="40" w:after="40" w:line="240" w:lineRule="exact"/>
              <w:jc w:val="center"/>
              <w:rPr>
                <w:rFonts w:ascii="宋体" w:hAnsi="宋体" w:eastAsia="宋体" w:cs="宋体"/>
                <w:sz w:val="18"/>
                <w:szCs w:val="18"/>
              </w:rPr>
            </w:pPr>
            <w:r>
              <w:rPr>
                <w:rFonts w:ascii="宋体" w:hAnsi="宋体" w:eastAsia="宋体" w:cs="宋体"/>
                <w:sz w:val="18"/>
                <w:szCs w:val="18"/>
              </w:rPr>
              <w:t>转销或核销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C45F122">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5DDCF2E"/>
        </w:tc>
      </w:tr>
      <w:tr w14:paraId="19CB68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511623AC">
            <w:pPr>
              <w:spacing w:before="0" w:after="0" w:line="240" w:lineRule="exact"/>
              <w:jc w:val="left"/>
              <w:rPr>
                <w:rFonts w:ascii="宋体" w:hAnsi="宋体" w:eastAsia="宋体" w:cs="宋体"/>
                <w:sz w:val="18"/>
                <w:szCs w:val="18"/>
              </w:rPr>
            </w:pPr>
            <w:r>
              <w:rPr>
                <w:rFonts w:ascii="宋体" w:hAnsi="宋体" w:eastAsia="宋体" w:cs="宋体"/>
                <w:sz w:val="18"/>
                <w:szCs w:val="18"/>
              </w:rPr>
              <w:t>按单项计提坏账准备</w:t>
            </w:r>
          </w:p>
        </w:tc>
        <w:tc>
          <w:tcPr>
            <w:tcW w:w="1377" w:type="dxa"/>
            <w:tcBorders>
              <w:top w:val="single" w:color="auto" w:sz="2" w:space="0"/>
              <w:left w:val="single" w:color="auto" w:sz="2" w:space="0"/>
              <w:bottom w:val="single" w:color="auto" w:sz="2" w:space="0"/>
              <w:right w:val="single" w:color="auto" w:sz="2" w:space="0"/>
            </w:tcBorders>
            <w:vAlign w:val="center"/>
          </w:tcPr>
          <w:p w14:paraId="72EAA827">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c>
          <w:tcPr>
            <w:tcW w:w="1377" w:type="dxa"/>
            <w:tcBorders>
              <w:top w:val="single" w:color="auto" w:sz="2" w:space="0"/>
              <w:left w:val="single" w:color="auto" w:sz="2" w:space="0"/>
              <w:bottom w:val="single" w:color="auto" w:sz="2" w:space="0"/>
              <w:right w:val="single" w:color="auto" w:sz="2" w:space="0"/>
            </w:tcBorders>
            <w:vAlign w:val="center"/>
          </w:tcPr>
          <w:p w14:paraId="5B0C2DB6">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c>
          <w:tcPr>
            <w:tcW w:w="1377" w:type="dxa"/>
            <w:tcBorders>
              <w:top w:val="single" w:color="auto" w:sz="2" w:space="0"/>
              <w:left w:val="single" w:color="auto" w:sz="2" w:space="0"/>
              <w:bottom w:val="single" w:color="auto" w:sz="2" w:space="0"/>
              <w:right w:val="single" w:color="auto" w:sz="2" w:space="0"/>
            </w:tcBorders>
            <w:vAlign w:val="center"/>
          </w:tcPr>
          <w:p w14:paraId="0AC64B4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9DBCD4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30CB9E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E1C9F5C">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r>
      <w:tr w14:paraId="2465A1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235FC766">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按组合计提坏账准备</w:t>
            </w:r>
          </w:p>
        </w:tc>
        <w:tc>
          <w:tcPr>
            <w:tcW w:w="1377" w:type="dxa"/>
            <w:tcBorders>
              <w:top w:val="single" w:color="auto" w:sz="2" w:space="0"/>
              <w:left w:val="single" w:color="auto" w:sz="2" w:space="0"/>
              <w:bottom w:val="single" w:color="auto" w:sz="2" w:space="0"/>
              <w:right w:val="single" w:color="auto" w:sz="2" w:space="0"/>
            </w:tcBorders>
            <w:vAlign w:val="center"/>
          </w:tcPr>
          <w:p w14:paraId="156448C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45E0E2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560351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A3F17C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0E0CEF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EE4C720">
            <w:pPr>
              <w:spacing w:before="0" w:after="0" w:line="240" w:lineRule="exact"/>
              <w:jc w:val="right"/>
              <w:rPr>
                <w:rFonts w:ascii="宋体" w:hAnsi="宋体" w:eastAsia="宋体" w:cs="宋体"/>
                <w:sz w:val="18"/>
                <w:szCs w:val="18"/>
              </w:rPr>
            </w:pPr>
          </w:p>
        </w:tc>
      </w:tr>
      <w:tr w14:paraId="38CCD7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1404520A">
            <w:pPr>
              <w:spacing w:before="0" w:after="0" w:line="240" w:lineRule="exact"/>
              <w:jc w:val="left"/>
              <w:rPr>
                <w:rFonts w:ascii="宋体" w:hAnsi="宋体" w:eastAsia="宋体" w:cs="宋体"/>
                <w:sz w:val="18"/>
                <w:szCs w:val="18"/>
              </w:rPr>
            </w:pPr>
            <w:r>
              <w:rPr>
                <w:rFonts w:ascii="宋体" w:hAnsi="宋体" w:eastAsia="宋体" w:cs="宋体"/>
                <w:sz w:val="18"/>
                <w:szCs w:val="18"/>
              </w:rPr>
              <w:t>其中：押金、保证金、员工备用金组合</w:t>
            </w:r>
          </w:p>
        </w:tc>
        <w:tc>
          <w:tcPr>
            <w:tcW w:w="1377" w:type="dxa"/>
            <w:tcBorders>
              <w:top w:val="single" w:color="auto" w:sz="2" w:space="0"/>
              <w:left w:val="single" w:color="auto" w:sz="2" w:space="0"/>
              <w:bottom w:val="single" w:color="auto" w:sz="2" w:space="0"/>
              <w:right w:val="single" w:color="auto" w:sz="2" w:space="0"/>
            </w:tcBorders>
            <w:vAlign w:val="center"/>
          </w:tcPr>
          <w:p w14:paraId="09BBDC0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BF3446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133CAF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63B2C1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E8E05D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B051DE0">
            <w:pPr>
              <w:spacing w:before="0" w:after="0" w:line="240" w:lineRule="exact"/>
              <w:jc w:val="right"/>
              <w:rPr>
                <w:rFonts w:ascii="宋体" w:hAnsi="宋体" w:eastAsia="宋体" w:cs="宋体"/>
                <w:sz w:val="18"/>
                <w:szCs w:val="18"/>
              </w:rPr>
            </w:pPr>
          </w:p>
        </w:tc>
      </w:tr>
      <w:tr w14:paraId="717096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46D7BE2B">
            <w:pPr>
              <w:spacing w:before="0" w:after="0" w:line="240" w:lineRule="exact"/>
              <w:jc w:val="left"/>
              <w:rPr>
                <w:rFonts w:ascii="宋体" w:hAnsi="宋体" w:eastAsia="宋体" w:cs="宋体"/>
                <w:sz w:val="18"/>
                <w:szCs w:val="18"/>
              </w:rPr>
            </w:pPr>
            <w:r>
              <w:rPr>
                <w:rFonts w:ascii="宋体" w:hAnsi="宋体" w:eastAsia="宋体" w:cs="宋体"/>
                <w:sz w:val="18"/>
                <w:szCs w:val="18"/>
              </w:rPr>
              <w:t>信用组合</w:t>
            </w:r>
          </w:p>
        </w:tc>
        <w:tc>
          <w:tcPr>
            <w:tcW w:w="1377" w:type="dxa"/>
            <w:tcBorders>
              <w:top w:val="single" w:color="auto" w:sz="2" w:space="0"/>
              <w:left w:val="single" w:color="auto" w:sz="2" w:space="0"/>
              <w:bottom w:val="single" w:color="auto" w:sz="2" w:space="0"/>
              <w:right w:val="single" w:color="auto" w:sz="2" w:space="0"/>
            </w:tcBorders>
            <w:vAlign w:val="center"/>
          </w:tcPr>
          <w:p w14:paraId="2C42848A">
            <w:pPr>
              <w:spacing w:before="0" w:after="0" w:line="240" w:lineRule="exact"/>
              <w:jc w:val="right"/>
              <w:rPr>
                <w:rFonts w:ascii="宋体" w:hAnsi="宋体" w:eastAsia="宋体" w:cs="宋体"/>
                <w:sz w:val="18"/>
                <w:szCs w:val="18"/>
              </w:rPr>
            </w:pPr>
            <w:r>
              <w:rPr>
                <w:rFonts w:ascii="宋体" w:hAnsi="宋体" w:eastAsia="宋体" w:cs="宋体"/>
                <w:sz w:val="18"/>
                <w:szCs w:val="18"/>
              </w:rPr>
              <w:t>29,777.83</w:t>
            </w:r>
          </w:p>
        </w:tc>
        <w:tc>
          <w:tcPr>
            <w:tcW w:w="1377" w:type="dxa"/>
            <w:tcBorders>
              <w:top w:val="single" w:color="auto" w:sz="2" w:space="0"/>
              <w:left w:val="single" w:color="auto" w:sz="2" w:space="0"/>
              <w:bottom w:val="single" w:color="auto" w:sz="2" w:space="0"/>
              <w:right w:val="single" w:color="auto" w:sz="2" w:space="0"/>
            </w:tcBorders>
            <w:vAlign w:val="center"/>
          </w:tcPr>
          <w:p w14:paraId="634DE65D">
            <w:pPr>
              <w:spacing w:before="0" w:after="0" w:line="240" w:lineRule="exact"/>
              <w:jc w:val="right"/>
              <w:rPr>
                <w:rFonts w:ascii="宋体" w:hAnsi="宋体" w:eastAsia="宋体" w:cs="宋体"/>
                <w:sz w:val="18"/>
                <w:szCs w:val="18"/>
              </w:rPr>
            </w:pPr>
            <w:r>
              <w:rPr>
                <w:rFonts w:ascii="宋体" w:hAnsi="宋体" w:eastAsia="宋体" w:cs="宋体"/>
                <w:sz w:val="18"/>
                <w:szCs w:val="18"/>
              </w:rPr>
              <w:t>2,398.17</w:t>
            </w:r>
          </w:p>
        </w:tc>
        <w:tc>
          <w:tcPr>
            <w:tcW w:w="1377" w:type="dxa"/>
            <w:tcBorders>
              <w:top w:val="single" w:color="auto" w:sz="2" w:space="0"/>
              <w:left w:val="single" w:color="auto" w:sz="2" w:space="0"/>
              <w:bottom w:val="single" w:color="auto" w:sz="2" w:space="0"/>
              <w:right w:val="single" w:color="auto" w:sz="2" w:space="0"/>
            </w:tcBorders>
            <w:vAlign w:val="center"/>
          </w:tcPr>
          <w:p w14:paraId="58884041">
            <w:pPr>
              <w:spacing w:before="0" w:after="0" w:line="240" w:lineRule="exact"/>
              <w:jc w:val="right"/>
              <w:rPr>
                <w:rFonts w:ascii="宋体" w:hAnsi="宋体" w:eastAsia="宋体" w:cs="宋体"/>
                <w:sz w:val="18"/>
                <w:szCs w:val="18"/>
              </w:rPr>
            </w:pPr>
            <w:r>
              <w:rPr>
                <w:rFonts w:ascii="宋体" w:hAnsi="宋体" w:eastAsia="宋体" w:cs="宋体"/>
                <w:sz w:val="18"/>
                <w:szCs w:val="18"/>
              </w:rPr>
              <w:t>1,304.71</w:t>
            </w:r>
          </w:p>
        </w:tc>
        <w:tc>
          <w:tcPr>
            <w:tcW w:w="1377" w:type="dxa"/>
            <w:tcBorders>
              <w:top w:val="single" w:color="auto" w:sz="2" w:space="0"/>
              <w:left w:val="single" w:color="auto" w:sz="2" w:space="0"/>
              <w:bottom w:val="single" w:color="auto" w:sz="2" w:space="0"/>
              <w:right w:val="single" w:color="auto" w:sz="2" w:space="0"/>
            </w:tcBorders>
            <w:vAlign w:val="center"/>
          </w:tcPr>
          <w:p w14:paraId="732FD19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0F7504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C41733E">
            <w:pPr>
              <w:spacing w:before="0" w:after="0" w:line="240" w:lineRule="exact"/>
              <w:jc w:val="right"/>
              <w:rPr>
                <w:rFonts w:ascii="宋体" w:hAnsi="宋体" w:eastAsia="宋体" w:cs="宋体"/>
                <w:sz w:val="18"/>
                <w:szCs w:val="18"/>
              </w:rPr>
            </w:pPr>
            <w:r>
              <w:rPr>
                <w:rFonts w:ascii="宋体" w:hAnsi="宋体" w:eastAsia="宋体" w:cs="宋体"/>
                <w:sz w:val="18"/>
                <w:szCs w:val="18"/>
              </w:rPr>
              <w:t>30,871.29</w:t>
            </w:r>
          </w:p>
        </w:tc>
      </w:tr>
      <w:tr w14:paraId="624769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D6F1CE6">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3257ED36">
            <w:pPr>
              <w:spacing w:before="0" w:after="0" w:line="240" w:lineRule="exact"/>
              <w:jc w:val="right"/>
              <w:rPr>
                <w:rFonts w:ascii="宋体" w:hAnsi="宋体" w:eastAsia="宋体" w:cs="宋体"/>
                <w:sz w:val="18"/>
                <w:szCs w:val="18"/>
              </w:rPr>
            </w:pPr>
            <w:r>
              <w:rPr>
                <w:rFonts w:ascii="宋体" w:hAnsi="宋体" w:eastAsia="宋体" w:cs="宋体"/>
                <w:sz w:val="18"/>
                <w:szCs w:val="18"/>
              </w:rPr>
              <w:t>279,777.83</w:t>
            </w:r>
          </w:p>
        </w:tc>
        <w:tc>
          <w:tcPr>
            <w:tcW w:w="1377" w:type="dxa"/>
            <w:tcBorders>
              <w:top w:val="single" w:color="auto" w:sz="2" w:space="0"/>
              <w:left w:val="single" w:color="auto" w:sz="2" w:space="0"/>
              <w:bottom w:val="single" w:color="auto" w:sz="2" w:space="0"/>
              <w:right w:val="single" w:color="auto" w:sz="2" w:space="0"/>
            </w:tcBorders>
            <w:vAlign w:val="center"/>
          </w:tcPr>
          <w:p w14:paraId="7A8C081A">
            <w:pPr>
              <w:spacing w:before="0" w:after="0" w:line="240" w:lineRule="exact"/>
              <w:jc w:val="right"/>
              <w:rPr>
                <w:rFonts w:ascii="宋体" w:hAnsi="宋体" w:eastAsia="宋体" w:cs="宋体"/>
                <w:sz w:val="18"/>
                <w:szCs w:val="18"/>
              </w:rPr>
            </w:pPr>
            <w:r>
              <w:rPr>
                <w:rFonts w:ascii="宋体" w:hAnsi="宋体" w:eastAsia="宋体" w:cs="宋体"/>
                <w:sz w:val="18"/>
                <w:szCs w:val="18"/>
              </w:rPr>
              <w:t>252,398.17</w:t>
            </w:r>
          </w:p>
        </w:tc>
        <w:tc>
          <w:tcPr>
            <w:tcW w:w="1377" w:type="dxa"/>
            <w:tcBorders>
              <w:top w:val="single" w:color="auto" w:sz="2" w:space="0"/>
              <w:left w:val="single" w:color="auto" w:sz="2" w:space="0"/>
              <w:bottom w:val="single" w:color="auto" w:sz="2" w:space="0"/>
              <w:right w:val="single" w:color="auto" w:sz="2" w:space="0"/>
            </w:tcBorders>
            <w:vAlign w:val="center"/>
          </w:tcPr>
          <w:p w14:paraId="3B9A90A7">
            <w:pPr>
              <w:spacing w:before="0" w:after="0" w:line="240" w:lineRule="exact"/>
              <w:jc w:val="right"/>
              <w:rPr>
                <w:rFonts w:ascii="宋体" w:hAnsi="宋体" w:eastAsia="宋体" w:cs="宋体"/>
                <w:sz w:val="18"/>
                <w:szCs w:val="18"/>
              </w:rPr>
            </w:pPr>
            <w:r>
              <w:rPr>
                <w:rFonts w:ascii="宋体" w:hAnsi="宋体" w:eastAsia="宋体" w:cs="宋体"/>
                <w:sz w:val="18"/>
                <w:szCs w:val="18"/>
              </w:rPr>
              <w:t>1,304.71</w:t>
            </w:r>
          </w:p>
        </w:tc>
        <w:tc>
          <w:tcPr>
            <w:tcW w:w="1377" w:type="dxa"/>
            <w:tcBorders>
              <w:top w:val="single" w:color="auto" w:sz="2" w:space="0"/>
              <w:left w:val="single" w:color="auto" w:sz="2" w:space="0"/>
              <w:bottom w:val="single" w:color="auto" w:sz="2" w:space="0"/>
              <w:right w:val="single" w:color="auto" w:sz="2" w:space="0"/>
            </w:tcBorders>
            <w:vAlign w:val="center"/>
          </w:tcPr>
          <w:p w14:paraId="42F0D7B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66DC5C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4105E3D">
            <w:pPr>
              <w:spacing w:before="0" w:after="0" w:line="240" w:lineRule="exact"/>
              <w:jc w:val="right"/>
              <w:rPr>
                <w:rFonts w:ascii="宋体" w:hAnsi="宋体" w:eastAsia="宋体" w:cs="宋体"/>
                <w:sz w:val="18"/>
                <w:szCs w:val="18"/>
              </w:rPr>
            </w:pPr>
            <w:r>
              <w:rPr>
                <w:rFonts w:ascii="宋体" w:hAnsi="宋体" w:eastAsia="宋体" w:cs="宋体"/>
                <w:sz w:val="18"/>
                <w:szCs w:val="18"/>
              </w:rPr>
              <w:t>530,871.29</w:t>
            </w:r>
          </w:p>
        </w:tc>
      </w:tr>
    </w:tbl>
    <w:p w14:paraId="0ED10ECB">
      <w:pPr>
        <w:spacing w:before="100" w:after="100" w:line="240" w:lineRule="exact"/>
        <w:jc w:val="left"/>
        <w:rPr>
          <w:rFonts w:ascii="宋体" w:hAnsi="宋体" w:eastAsia="宋体" w:cs="宋体"/>
          <w:sz w:val="18"/>
          <w:szCs w:val="18"/>
        </w:rPr>
      </w:pPr>
      <w:r>
        <w:rPr>
          <w:rFonts w:ascii="宋体" w:hAnsi="宋体" w:eastAsia="宋体" w:cs="宋体"/>
          <w:sz w:val="18"/>
          <w:szCs w:val="18"/>
        </w:rPr>
        <w:t>其中本期坏账准备转回或收回金额重要的：</w:t>
      </w:r>
    </w:p>
    <w:p w14:paraId="0A9B2F71">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5FFE69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F525DFB">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C24B59B">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5F19ECB">
            <w:pPr>
              <w:spacing w:before="40" w:after="40" w:line="240" w:lineRule="exact"/>
              <w:jc w:val="center"/>
              <w:rPr>
                <w:rFonts w:ascii="宋体" w:hAnsi="宋体" w:eastAsia="宋体" w:cs="宋体"/>
                <w:sz w:val="18"/>
                <w:szCs w:val="18"/>
              </w:rPr>
            </w:pPr>
            <w:r>
              <w:rPr>
                <w:rFonts w:ascii="宋体" w:hAnsi="宋体" w:eastAsia="宋体" w:cs="宋体"/>
                <w:sz w:val="18"/>
                <w:szCs w:val="18"/>
              </w:rPr>
              <w:t>转回原因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7B686D3">
            <w:pPr>
              <w:spacing w:before="40" w:after="40" w:line="240" w:lineRule="exact"/>
              <w:jc w:val="center"/>
              <w:rPr>
                <w:rFonts w:ascii="宋体" w:hAnsi="宋体" w:eastAsia="宋体" w:cs="宋体"/>
                <w:sz w:val="18"/>
                <w:szCs w:val="18"/>
              </w:rPr>
            </w:pPr>
            <w:r>
              <w:rPr>
                <w:rFonts w:ascii="宋体" w:hAnsi="宋体" w:eastAsia="宋体" w:cs="宋体"/>
                <w:sz w:val="18"/>
                <w:szCs w:val="18"/>
              </w:rPr>
              <w:t>收回方式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F4D4CDF">
            <w:pPr>
              <w:spacing w:before="40" w:after="40" w:line="240" w:lineRule="exact"/>
              <w:jc w:val="center"/>
              <w:rPr>
                <w:rFonts w:ascii="宋体" w:hAnsi="宋体" w:eastAsia="宋体" w:cs="宋体"/>
                <w:sz w:val="18"/>
                <w:szCs w:val="18"/>
              </w:rPr>
            </w:pPr>
            <w:r>
              <w:rPr>
                <w:rFonts w:ascii="宋体" w:hAnsi="宋体" w:eastAsia="宋体" w:cs="宋体"/>
                <w:sz w:val="18"/>
                <w:szCs w:val="18"/>
              </w:rPr>
              <w:t>确定原坏账准备计提比例的依据及其合理性</w:t>
            </w:r>
          </w:p>
        </w:tc>
      </w:tr>
    </w:tbl>
    <w:p w14:paraId="44A239F7">
      <w:pPr>
        <w:keepNext/>
        <w:keepLines/>
        <w:spacing w:before="300" w:after="300" w:line="280" w:lineRule="exact"/>
        <w:jc w:val="left"/>
        <w:outlineLvl w:val="4"/>
        <w:rPr>
          <w:rFonts w:ascii="宋体" w:hAnsi="宋体" w:eastAsia="宋体" w:cs="宋体"/>
          <w:b/>
          <w:bCs/>
          <w:sz w:val="21"/>
          <w:szCs w:val="21"/>
        </w:rPr>
      </w:pPr>
      <w:bookmarkStart w:id="277" w:name="_Toc989164"/>
      <w:r>
        <w:rPr>
          <w:rFonts w:ascii="宋体" w:hAnsi="宋体" w:eastAsia="宋体" w:cs="宋体"/>
          <w:b/>
          <w:bCs/>
          <w:sz w:val="21"/>
          <w:szCs w:val="21"/>
        </w:rPr>
        <w:t>5） 本期实际核销的其他应收款情况</w:t>
      </w:r>
      <w:bookmarkEnd w:id="277"/>
    </w:p>
    <w:p w14:paraId="13FB667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342DB8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6ACE5F5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6ED4754A">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5EBC83B9">
      <w:pPr>
        <w:spacing w:before="100" w:after="100" w:line="240" w:lineRule="exact"/>
        <w:jc w:val="left"/>
        <w:rPr>
          <w:rFonts w:ascii="宋体" w:hAnsi="宋体" w:eastAsia="宋体" w:cs="宋体"/>
          <w:sz w:val="18"/>
          <w:szCs w:val="18"/>
        </w:rPr>
      </w:pPr>
      <w:r>
        <w:rPr>
          <w:rFonts w:ascii="宋体" w:hAnsi="宋体" w:eastAsia="宋体" w:cs="宋体"/>
          <w:sz w:val="18"/>
          <w:szCs w:val="18"/>
        </w:rPr>
        <w:t>其中重要的其他应收款核销情况：</w:t>
      </w:r>
    </w:p>
    <w:p w14:paraId="6A2130DB">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00D0DB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52E9613">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BCAE44A">
            <w:pPr>
              <w:spacing w:before="40" w:after="40" w:line="240" w:lineRule="exact"/>
              <w:jc w:val="center"/>
              <w:rPr>
                <w:rFonts w:ascii="宋体" w:hAnsi="宋体" w:eastAsia="宋体" w:cs="宋体"/>
                <w:sz w:val="18"/>
                <w:szCs w:val="18"/>
              </w:rPr>
            </w:pPr>
            <w:r>
              <w:rPr>
                <w:rFonts w:ascii="宋体" w:hAnsi="宋体" w:eastAsia="宋体" w:cs="宋体"/>
                <w:sz w:val="18"/>
                <w:szCs w:val="18"/>
              </w:rPr>
              <w:t>其他应收款性质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3607A1D">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0CB112B">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0284595">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9806AD9">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6B2E2430">
      <w:pPr>
        <w:spacing w:before="100" w:after="100" w:line="240" w:lineRule="exact"/>
        <w:jc w:val="left"/>
        <w:rPr>
          <w:rFonts w:ascii="宋体" w:hAnsi="宋体" w:eastAsia="宋体" w:cs="宋体"/>
          <w:sz w:val="18"/>
          <w:szCs w:val="18"/>
        </w:rPr>
      </w:pPr>
      <w:r>
        <w:rPr>
          <w:rFonts w:ascii="宋体" w:hAnsi="宋体" w:eastAsia="宋体" w:cs="宋体"/>
          <w:sz w:val="18"/>
          <w:szCs w:val="18"/>
        </w:rPr>
        <w:t>其他应收款核销说明：</w:t>
      </w:r>
    </w:p>
    <w:p w14:paraId="29D03CF5">
      <w:pPr>
        <w:keepNext/>
        <w:keepLines/>
        <w:spacing w:before="300" w:after="300" w:line="280" w:lineRule="exact"/>
        <w:jc w:val="left"/>
        <w:outlineLvl w:val="4"/>
        <w:rPr>
          <w:rFonts w:ascii="宋体" w:hAnsi="宋体" w:eastAsia="宋体" w:cs="宋体"/>
          <w:b/>
          <w:bCs/>
          <w:sz w:val="21"/>
          <w:szCs w:val="21"/>
        </w:rPr>
      </w:pPr>
      <w:bookmarkStart w:id="278" w:name="_Toc989165"/>
      <w:r>
        <w:rPr>
          <w:rFonts w:ascii="宋体" w:hAnsi="宋体" w:eastAsia="宋体" w:cs="宋体"/>
          <w:b/>
          <w:bCs/>
          <w:sz w:val="21"/>
          <w:szCs w:val="21"/>
        </w:rPr>
        <w:t>6） 按欠款方归集的期末余额前五名的其他应收款情况</w:t>
      </w:r>
      <w:bookmarkEnd w:id="278"/>
    </w:p>
    <w:p w14:paraId="49A7B80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17C5D7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9E09153">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DBAA538">
            <w:pPr>
              <w:spacing w:before="40" w:after="40" w:line="240" w:lineRule="exact"/>
              <w:jc w:val="center"/>
              <w:rPr>
                <w:rFonts w:ascii="宋体" w:hAnsi="宋体" w:eastAsia="宋体" w:cs="宋体"/>
                <w:sz w:val="18"/>
                <w:szCs w:val="18"/>
              </w:rPr>
            </w:pPr>
            <w:r>
              <w:rPr>
                <w:rFonts w:ascii="宋体" w:hAnsi="宋体" w:eastAsia="宋体" w:cs="宋体"/>
                <w:sz w:val="18"/>
                <w:szCs w:val="18"/>
              </w:rPr>
              <w:t>款项的性质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C367FE1">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5412932">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AA70CA1">
            <w:pPr>
              <w:spacing w:before="40" w:after="40" w:line="240" w:lineRule="exact"/>
              <w:jc w:val="center"/>
              <w:rPr>
                <w:rFonts w:ascii="宋体" w:hAnsi="宋体" w:eastAsia="宋体" w:cs="宋体"/>
                <w:sz w:val="18"/>
                <w:szCs w:val="18"/>
              </w:rPr>
            </w:pPr>
            <w:r>
              <w:rPr>
                <w:rFonts w:ascii="宋体" w:hAnsi="宋体" w:eastAsia="宋体" w:cs="宋体"/>
                <w:sz w:val="18"/>
                <w:szCs w:val="18"/>
              </w:rPr>
              <w:t>占其他应收款期末余额合计数的比例</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AC99D1F">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坏账准备期末余额</w:t>
            </w:r>
          </w:p>
        </w:tc>
      </w:tr>
      <w:tr w14:paraId="04C0C2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460C969D">
            <w:pPr>
              <w:spacing w:before="0" w:after="0" w:line="240" w:lineRule="exact"/>
              <w:jc w:val="left"/>
              <w:rPr>
                <w:rFonts w:ascii="宋体" w:hAnsi="宋体" w:eastAsia="宋体" w:cs="宋体"/>
                <w:sz w:val="18"/>
                <w:szCs w:val="18"/>
              </w:rPr>
            </w:pPr>
            <w:r>
              <w:rPr>
                <w:rFonts w:ascii="宋体" w:hAnsi="宋体" w:eastAsia="宋体" w:cs="宋体"/>
                <w:sz w:val="18"/>
                <w:szCs w:val="18"/>
              </w:rPr>
              <w:t>歌礼药业(浙江)有限公司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37ADF3AE">
            <w:pPr>
              <w:spacing w:before="0" w:after="0" w:line="240" w:lineRule="exact"/>
              <w:jc w:val="left"/>
              <w:rPr>
                <w:rFonts w:ascii="宋体" w:hAnsi="宋体" w:eastAsia="宋体" w:cs="宋体"/>
                <w:sz w:val="18"/>
                <w:szCs w:val="18"/>
              </w:rPr>
            </w:pPr>
            <w:r>
              <w:rPr>
                <w:rFonts w:ascii="宋体" w:hAnsi="宋体" w:eastAsia="宋体" w:cs="宋体"/>
                <w:sz w:val="18"/>
                <w:szCs w:val="18"/>
              </w:rPr>
              <w:t>保证金、押金及员工备用金</w:t>
            </w:r>
          </w:p>
        </w:tc>
        <w:tc>
          <w:tcPr>
            <w:tcW w:w="1606" w:type="dxa"/>
            <w:tcBorders>
              <w:top w:val="single" w:color="auto" w:sz="2" w:space="0"/>
              <w:left w:val="single" w:color="auto" w:sz="2" w:space="0"/>
              <w:bottom w:val="single" w:color="auto" w:sz="2" w:space="0"/>
              <w:right w:val="single" w:color="auto" w:sz="2" w:space="0"/>
            </w:tcBorders>
            <w:vAlign w:val="center"/>
          </w:tcPr>
          <w:p w14:paraId="75F21867">
            <w:pPr>
              <w:spacing w:before="0" w:after="0" w:line="240" w:lineRule="exact"/>
              <w:jc w:val="right"/>
              <w:rPr>
                <w:rFonts w:ascii="宋体" w:hAnsi="宋体" w:eastAsia="宋体" w:cs="宋体"/>
                <w:sz w:val="18"/>
                <w:szCs w:val="18"/>
              </w:rPr>
            </w:pPr>
            <w:r>
              <w:rPr>
                <w:rFonts w:ascii="宋体" w:hAnsi="宋体" w:eastAsia="宋体" w:cs="宋体"/>
                <w:sz w:val="18"/>
                <w:szCs w:val="18"/>
              </w:rPr>
              <w:t>3,028,855.31</w:t>
            </w:r>
          </w:p>
        </w:tc>
        <w:tc>
          <w:tcPr>
            <w:tcW w:w="1606" w:type="dxa"/>
            <w:tcBorders>
              <w:top w:val="single" w:color="auto" w:sz="2" w:space="0"/>
              <w:left w:val="single" w:color="auto" w:sz="2" w:space="0"/>
              <w:bottom w:val="single" w:color="auto" w:sz="2" w:space="0"/>
              <w:right w:val="single" w:color="auto" w:sz="2" w:space="0"/>
            </w:tcBorders>
            <w:vAlign w:val="center"/>
          </w:tcPr>
          <w:p w14:paraId="03D7C80E">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1606" w:type="dxa"/>
            <w:tcBorders>
              <w:top w:val="single" w:color="auto" w:sz="2" w:space="0"/>
              <w:left w:val="single" w:color="auto" w:sz="2" w:space="0"/>
              <w:bottom w:val="single" w:color="auto" w:sz="2" w:space="0"/>
              <w:right w:val="single" w:color="auto" w:sz="2" w:space="0"/>
            </w:tcBorders>
            <w:vAlign w:val="center"/>
          </w:tcPr>
          <w:p w14:paraId="01554A28">
            <w:pPr>
              <w:spacing w:before="0" w:after="0" w:line="240" w:lineRule="exact"/>
              <w:jc w:val="right"/>
              <w:rPr>
                <w:rFonts w:ascii="宋体" w:hAnsi="宋体" w:eastAsia="宋体" w:cs="宋体"/>
                <w:sz w:val="18"/>
                <w:szCs w:val="18"/>
              </w:rPr>
            </w:pPr>
            <w:r>
              <w:rPr>
                <w:rFonts w:ascii="宋体" w:hAnsi="宋体" w:eastAsia="宋体" w:cs="宋体"/>
                <w:sz w:val="18"/>
                <w:szCs w:val="18"/>
              </w:rPr>
              <w:t>62.86%</w:t>
            </w:r>
          </w:p>
        </w:tc>
        <w:tc>
          <w:tcPr>
            <w:tcW w:w="1606" w:type="dxa"/>
            <w:tcBorders>
              <w:top w:val="single" w:color="auto" w:sz="2" w:space="0"/>
              <w:left w:val="single" w:color="auto" w:sz="2" w:space="0"/>
              <w:bottom w:val="single" w:color="auto" w:sz="2" w:space="0"/>
              <w:right w:val="single" w:color="auto" w:sz="2" w:space="0"/>
            </w:tcBorders>
            <w:vAlign w:val="center"/>
          </w:tcPr>
          <w:p w14:paraId="0C5C1DF7">
            <w:pPr>
              <w:spacing w:before="0" w:after="0" w:line="240" w:lineRule="exact"/>
              <w:jc w:val="right"/>
              <w:rPr>
                <w:rFonts w:ascii="宋体" w:hAnsi="宋体" w:eastAsia="宋体" w:cs="宋体"/>
                <w:sz w:val="18"/>
                <w:szCs w:val="18"/>
              </w:rPr>
            </w:pPr>
          </w:p>
        </w:tc>
      </w:tr>
      <w:tr w14:paraId="734D8C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2F3B9354">
            <w:pPr>
              <w:spacing w:before="0" w:after="0" w:line="240" w:lineRule="exact"/>
              <w:jc w:val="left"/>
              <w:rPr>
                <w:rFonts w:ascii="宋体" w:hAnsi="宋体" w:eastAsia="宋体" w:cs="宋体"/>
                <w:sz w:val="18"/>
                <w:szCs w:val="18"/>
              </w:rPr>
            </w:pPr>
            <w:r>
              <w:rPr>
                <w:rFonts w:ascii="宋体" w:hAnsi="宋体" w:eastAsia="宋体" w:cs="宋体"/>
                <w:sz w:val="18"/>
                <w:szCs w:val="18"/>
              </w:rPr>
              <w:t>上海观合医药科技股份有限公司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67C91B55">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1606" w:type="dxa"/>
            <w:tcBorders>
              <w:top w:val="single" w:color="auto" w:sz="2" w:space="0"/>
              <w:left w:val="single" w:color="auto" w:sz="2" w:space="0"/>
              <w:bottom w:val="single" w:color="auto" w:sz="2" w:space="0"/>
              <w:right w:val="single" w:color="auto" w:sz="2" w:space="0"/>
            </w:tcBorders>
            <w:vAlign w:val="center"/>
          </w:tcPr>
          <w:p w14:paraId="17C1C304">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1606" w:type="dxa"/>
            <w:tcBorders>
              <w:top w:val="single" w:color="auto" w:sz="2" w:space="0"/>
              <w:left w:val="single" w:color="auto" w:sz="2" w:space="0"/>
              <w:bottom w:val="single" w:color="auto" w:sz="2" w:space="0"/>
              <w:right w:val="single" w:color="auto" w:sz="2" w:space="0"/>
            </w:tcBorders>
            <w:vAlign w:val="center"/>
          </w:tcPr>
          <w:p w14:paraId="47E75706">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1606" w:type="dxa"/>
            <w:tcBorders>
              <w:top w:val="single" w:color="auto" w:sz="2" w:space="0"/>
              <w:left w:val="single" w:color="auto" w:sz="2" w:space="0"/>
              <w:bottom w:val="single" w:color="auto" w:sz="2" w:space="0"/>
              <w:right w:val="single" w:color="auto" w:sz="2" w:space="0"/>
            </w:tcBorders>
            <w:vAlign w:val="center"/>
          </w:tcPr>
          <w:p w14:paraId="09DC3F25">
            <w:pPr>
              <w:spacing w:before="0" w:after="0" w:line="240" w:lineRule="exact"/>
              <w:jc w:val="right"/>
              <w:rPr>
                <w:rFonts w:ascii="宋体" w:hAnsi="宋体" w:eastAsia="宋体" w:cs="宋体"/>
                <w:sz w:val="18"/>
                <w:szCs w:val="18"/>
              </w:rPr>
            </w:pPr>
            <w:r>
              <w:rPr>
                <w:rFonts w:ascii="宋体" w:hAnsi="宋体" w:eastAsia="宋体" w:cs="宋体"/>
                <w:sz w:val="18"/>
                <w:szCs w:val="18"/>
              </w:rPr>
              <w:t>10.38%</w:t>
            </w:r>
          </w:p>
        </w:tc>
        <w:tc>
          <w:tcPr>
            <w:tcW w:w="1606" w:type="dxa"/>
            <w:tcBorders>
              <w:top w:val="single" w:color="auto" w:sz="2" w:space="0"/>
              <w:left w:val="single" w:color="auto" w:sz="2" w:space="0"/>
              <w:bottom w:val="single" w:color="auto" w:sz="2" w:space="0"/>
              <w:right w:val="single" w:color="auto" w:sz="2" w:space="0"/>
            </w:tcBorders>
            <w:vAlign w:val="center"/>
          </w:tcPr>
          <w:p w14:paraId="14C909EB">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r>
      <w:tr w14:paraId="7ABC84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D991146">
            <w:pPr>
              <w:spacing w:before="0" w:after="0" w:line="240" w:lineRule="exact"/>
              <w:jc w:val="left"/>
              <w:rPr>
                <w:rFonts w:ascii="宋体" w:hAnsi="宋体" w:eastAsia="宋体" w:cs="宋体"/>
                <w:sz w:val="18"/>
                <w:szCs w:val="18"/>
              </w:rPr>
            </w:pPr>
            <w:r>
              <w:rPr>
                <w:rFonts w:ascii="宋体" w:hAnsi="宋体" w:eastAsia="宋体" w:cs="宋体"/>
                <w:sz w:val="18"/>
                <w:szCs w:val="18"/>
              </w:rPr>
              <w:t>广州空港阿里健康大药房有限公司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06DA3299">
            <w:pPr>
              <w:spacing w:before="0" w:after="0" w:line="240" w:lineRule="exact"/>
              <w:jc w:val="left"/>
              <w:rPr>
                <w:rFonts w:ascii="宋体" w:hAnsi="宋体" w:eastAsia="宋体" w:cs="宋体"/>
                <w:sz w:val="18"/>
                <w:szCs w:val="18"/>
              </w:rPr>
            </w:pPr>
            <w:r>
              <w:rPr>
                <w:rFonts w:ascii="宋体" w:hAnsi="宋体" w:eastAsia="宋体" w:cs="宋体"/>
                <w:sz w:val="18"/>
                <w:szCs w:val="18"/>
              </w:rPr>
              <w:t>保证金、押金及员工备用金</w:t>
            </w:r>
          </w:p>
        </w:tc>
        <w:tc>
          <w:tcPr>
            <w:tcW w:w="1606" w:type="dxa"/>
            <w:tcBorders>
              <w:top w:val="single" w:color="auto" w:sz="2" w:space="0"/>
              <w:left w:val="single" w:color="auto" w:sz="2" w:space="0"/>
              <w:bottom w:val="single" w:color="auto" w:sz="2" w:space="0"/>
              <w:right w:val="single" w:color="auto" w:sz="2" w:space="0"/>
            </w:tcBorders>
            <w:vAlign w:val="center"/>
          </w:tcPr>
          <w:p w14:paraId="796E43A4">
            <w:pPr>
              <w:spacing w:before="0" w:after="0" w:line="240" w:lineRule="exact"/>
              <w:jc w:val="right"/>
              <w:rPr>
                <w:rFonts w:ascii="宋体" w:hAnsi="宋体" w:eastAsia="宋体" w:cs="宋体"/>
                <w:sz w:val="18"/>
                <w:szCs w:val="18"/>
              </w:rPr>
            </w:pPr>
            <w:r>
              <w:rPr>
                <w:rFonts w:ascii="宋体" w:hAnsi="宋体" w:eastAsia="宋体" w:cs="宋体"/>
                <w:sz w:val="18"/>
                <w:szCs w:val="18"/>
              </w:rPr>
              <w:t>330,000.00</w:t>
            </w:r>
          </w:p>
        </w:tc>
        <w:tc>
          <w:tcPr>
            <w:tcW w:w="1606" w:type="dxa"/>
            <w:tcBorders>
              <w:top w:val="single" w:color="auto" w:sz="2" w:space="0"/>
              <w:left w:val="single" w:color="auto" w:sz="2" w:space="0"/>
              <w:bottom w:val="single" w:color="auto" w:sz="2" w:space="0"/>
              <w:right w:val="single" w:color="auto" w:sz="2" w:space="0"/>
            </w:tcBorders>
            <w:vAlign w:val="center"/>
          </w:tcPr>
          <w:p w14:paraId="1C992418">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1606" w:type="dxa"/>
            <w:tcBorders>
              <w:top w:val="single" w:color="auto" w:sz="2" w:space="0"/>
              <w:left w:val="single" w:color="auto" w:sz="2" w:space="0"/>
              <w:bottom w:val="single" w:color="auto" w:sz="2" w:space="0"/>
              <w:right w:val="single" w:color="auto" w:sz="2" w:space="0"/>
            </w:tcBorders>
            <w:vAlign w:val="center"/>
          </w:tcPr>
          <w:p w14:paraId="3448C4E1">
            <w:pPr>
              <w:spacing w:before="0" w:after="0" w:line="240" w:lineRule="exact"/>
              <w:jc w:val="right"/>
              <w:rPr>
                <w:rFonts w:ascii="宋体" w:hAnsi="宋体" w:eastAsia="宋体" w:cs="宋体"/>
                <w:sz w:val="18"/>
                <w:szCs w:val="18"/>
              </w:rPr>
            </w:pPr>
            <w:r>
              <w:rPr>
                <w:rFonts w:ascii="宋体" w:hAnsi="宋体" w:eastAsia="宋体" w:cs="宋体"/>
                <w:sz w:val="18"/>
                <w:szCs w:val="18"/>
              </w:rPr>
              <w:t>6.85%</w:t>
            </w:r>
          </w:p>
        </w:tc>
        <w:tc>
          <w:tcPr>
            <w:tcW w:w="1606" w:type="dxa"/>
            <w:tcBorders>
              <w:top w:val="single" w:color="auto" w:sz="2" w:space="0"/>
              <w:left w:val="single" w:color="auto" w:sz="2" w:space="0"/>
              <w:bottom w:val="single" w:color="auto" w:sz="2" w:space="0"/>
              <w:right w:val="single" w:color="auto" w:sz="2" w:space="0"/>
            </w:tcBorders>
            <w:vAlign w:val="center"/>
          </w:tcPr>
          <w:p w14:paraId="663633EF">
            <w:pPr>
              <w:spacing w:before="0" w:after="0" w:line="240" w:lineRule="exact"/>
              <w:jc w:val="right"/>
              <w:rPr>
                <w:rFonts w:ascii="宋体" w:hAnsi="宋体" w:eastAsia="宋体" w:cs="宋体"/>
                <w:sz w:val="18"/>
                <w:szCs w:val="18"/>
              </w:rPr>
            </w:pPr>
          </w:p>
        </w:tc>
      </w:tr>
      <w:tr w14:paraId="710840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6BFAAFCF">
            <w:pPr>
              <w:spacing w:before="0" w:after="0" w:line="240" w:lineRule="exact"/>
              <w:jc w:val="left"/>
              <w:rPr>
                <w:rFonts w:ascii="宋体" w:hAnsi="宋体" w:eastAsia="宋体" w:cs="宋体"/>
                <w:sz w:val="18"/>
                <w:szCs w:val="18"/>
              </w:rPr>
            </w:pPr>
            <w:r>
              <w:rPr>
                <w:rFonts w:ascii="宋体" w:hAnsi="宋体" w:eastAsia="宋体" w:cs="宋体"/>
                <w:sz w:val="18"/>
                <w:szCs w:val="18"/>
              </w:rPr>
              <w:t>镇江华润燃气有限公司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2926F9E5">
            <w:pPr>
              <w:spacing w:before="0" w:after="0" w:line="240" w:lineRule="exact"/>
              <w:jc w:val="left"/>
              <w:rPr>
                <w:rFonts w:ascii="宋体" w:hAnsi="宋体" w:eastAsia="宋体" w:cs="宋体"/>
                <w:sz w:val="18"/>
                <w:szCs w:val="18"/>
              </w:rPr>
            </w:pPr>
            <w:r>
              <w:rPr>
                <w:rFonts w:ascii="宋体" w:hAnsi="宋体" w:eastAsia="宋体" w:cs="宋体"/>
                <w:sz w:val="18"/>
                <w:szCs w:val="18"/>
              </w:rPr>
              <w:t>保证金、押金及员工备用金</w:t>
            </w:r>
          </w:p>
        </w:tc>
        <w:tc>
          <w:tcPr>
            <w:tcW w:w="1606" w:type="dxa"/>
            <w:tcBorders>
              <w:top w:val="single" w:color="auto" w:sz="2" w:space="0"/>
              <w:left w:val="single" w:color="auto" w:sz="2" w:space="0"/>
              <w:bottom w:val="single" w:color="auto" w:sz="2" w:space="0"/>
              <w:right w:val="single" w:color="auto" w:sz="2" w:space="0"/>
            </w:tcBorders>
            <w:vAlign w:val="center"/>
          </w:tcPr>
          <w:p w14:paraId="78757C7B">
            <w:pPr>
              <w:spacing w:before="0" w:after="0" w:line="240" w:lineRule="exact"/>
              <w:jc w:val="right"/>
              <w:rPr>
                <w:rFonts w:ascii="宋体" w:hAnsi="宋体" w:eastAsia="宋体" w:cs="宋体"/>
                <w:sz w:val="18"/>
                <w:szCs w:val="18"/>
              </w:rPr>
            </w:pPr>
            <w:r>
              <w:rPr>
                <w:rFonts w:ascii="宋体" w:hAnsi="宋体" w:eastAsia="宋体" w:cs="宋体"/>
                <w:sz w:val="18"/>
                <w:szCs w:val="18"/>
              </w:rPr>
              <w:t>174,000.00</w:t>
            </w:r>
          </w:p>
        </w:tc>
        <w:tc>
          <w:tcPr>
            <w:tcW w:w="1606" w:type="dxa"/>
            <w:tcBorders>
              <w:top w:val="single" w:color="auto" w:sz="2" w:space="0"/>
              <w:left w:val="single" w:color="auto" w:sz="2" w:space="0"/>
              <w:bottom w:val="single" w:color="auto" w:sz="2" w:space="0"/>
              <w:right w:val="single" w:color="auto" w:sz="2" w:space="0"/>
            </w:tcBorders>
            <w:vAlign w:val="center"/>
          </w:tcPr>
          <w:p w14:paraId="3D414AD8">
            <w:pPr>
              <w:spacing w:before="0" w:after="0" w:line="240" w:lineRule="exact"/>
              <w:jc w:val="left"/>
              <w:rPr>
                <w:rFonts w:ascii="宋体" w:hAnsi="宋体" w:eastAsia="宋体" w:cs="宋体"/>
                <w:sz w:val="18"/>
                <w:szCs w:val="18"/>
              </w:rPr>
            </w:pPr>
            <w:r>
              <w:rPr>
                <w:rFonts w:ascii="宋体" w:hAnsi="宋体" w:eastAsia="宋体" w:cs="宋体"/>
                <w:sz w:val="18"/>
                <w:szCs w:val="18"/>
              </w:rPr>
              <w:t>5年以上</w:t>
            </w:r>
          </w:p>
        </w:tc>
        <w:tc>
          <w:tcPr>
            <w:tcW w:w="1606" w:type="dxa"/>
            <w:tcBorders>
              <w:top w:val="single" w:color="auto" w:sz="2" w:space="0"/>
              <w:left w:val="single" w:color="auto" w:sz="2" w:space="0"/>
              <w:bottom w:val="single" w:color="auto" w:sz="2" w:space="0"/>
              <w:right w:val="single" w:color="auto" w:sz="2" w:space="0"/>
            </w:tcBorders>
            <w:vAlign w:val="center"/>
          </w:tcPr>
          <w:p w14:paraId="33051AE0">
            <w:pPr>
              <w:spacing w:before="0" w:after="0" w:line="240" w:lineRule="exact"/>
              <w:jc w:val="right"/>
              <w:rPr>
                <w:rFonts w:ascii="宋体" w:hAnsi="宋体" w:eastAsia="宋体" w:cs="宋体"/>
                <w:sz w:val="18"/>
                <w:szCs w:val="18"/>
              </w:rPr>
            </w:pPr>
            <w:r>
              <w:rPr>
                <w:rFonts w:ascii="宋体" w:hAnsi="宋体" w:eastAsia="宋体" w:cs="宋体"/>
                <w:sz w:val="18"/>
                <w:szCs w:val="18"/>
              </w:rPr>
              <w:t>3.61%</w:t>
            </w:r>
          </w:p>
        </w:tc>
        <w:tc>
          <w:tcPr>
            <w:tcW w:w="1606" w:type="dxa"/>
            <w:tcBorders>
              <w:top w:val="single" w:color="auto" w:sz="2" w:space="0"/>
              <w:left w:val="single" w:color="auto" w:sz="2" w:space="0"/>
              <w:bottom w:val="single" w:color="auto" w:sz="2" w:space="0"/>
              <w:right w:val="single" w:color="auto" w:sz="2" w:space="0"/>
            </w:tcBorders>
            <w:vAlign w:val="center"/>
          </w:tcPr>
          <w:p w14:paraId="4A99A464">
            <w:pPr>
              <w:spacing w:before="0" w:after="0" w:line="240" w:lineRule="exact"/>
              <w:jc w:val="right"/>
              <w:rPr>
                <w:rFonts w:ascii="宋体" w:hAnsi="宋体" w:eastAsia="宋体" w:cs="宋体"/>
                <w:sz w:val="18"/>
                <w:szCs w:val="18"/>
              </w:rPr>
            </w:pPr>
          </w:p>
        </w:tc>
      </w:tr>
      <w:tr w14:paraId="68F493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61B76411">
            <w:pPr>
              <w:spacing w:before="0" w:after="0" w:line="240" w:lineRule="exact"/>
              <w:jc w:val="left"/>
              <w:rPr>
                <w:rFonts w:ascii="宋体" w:hAnsi="宋体" w:eastAsia="宋体" w:cs="宋体"/>
                <w:sz w:val="18"/>
                <w:szCs w:val="18"/>
              </w:rPr>
            </w:pPr>
            <w:r>
              <w:rPr>
                <w:rFonts w:ascii="宋体" w:hAnsi="宋体" w:eastAsia="宋体" w:cs="宋体"/>
                <w:sz w:val="18"/>
                <w:szCs w:val="18"/>
              </w:rPr>
              <w:t>京东大药房（青岛）连锁有限公司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3D44C43F">
            <w:pPr>
              <w:spacing w:before="0" w:after="0" w:line="240" w:lineRule="exact"/>
              <w:jc w:val="left"/>
              <w:rPr>
                <w:rFonts w:ascii="宋体" w:hAnsi="宋体" w:eastAsia="宋体" w:cs="宋体"/>
                <w:sz w:val="18"/>
                <w:szCs w:val="18"/>
              </w:rPr>
            </w:pPr>
            <w:r>
              <w:rPr>
                <w:rFonts w:ascii="宋体" w:hAnsi="宋体" w:eastAsia="宋体" w:cs="宋体"/>
                <w:sz w:val="18"/>
                <w:szCs w:val="18"/>
              </w:rPr>
              <w:t>保证金、押金及员工备用金</w:t>
            </w:r>
          </w:p>
        </w:tc>
        <w:tc>
          <w:tcPr>
            <w:tcW w:w="1606" w:type="dxa"/>
            <w:tcBorders>
              <w:top w:val="single" w:color="auto" w:sz="2" w:space="0"/>
              <w:left w:val="single" w:color="auto" w:sz="2" w:space="0"/>
              <w:bottom w:val="single" w:color="auto" w:sz="2" w:space="0"/>
              <w:right w:val="single" w:color="auto" w:sz="2" w:space="0"/>
            </w:tcBorders>
            <w:vAlign w:val="center"/>
          </w:tcPr>
          <w:p w14:paraId="070C2741">
            <w:pPr>
              <w:spacing w:before="0" w:after="0" w:line="240" w:lineRule="exact"/>
              <w:jc w:val="right"/>
              <w:rPr>
                <w:rFonts w:ascii="宋体" w:hAnsi="宋体" w:eastAsia="宋体" w:cs="宋体"/>
                <w:sz w:val="18"/>
                <w:szCs w:val="18"/>
              </w:rPr>
            </w:pPr>
            <w:r>
              <w:rPr>
                <w:rFonts w:ascii="宋体" w:hAnsi="宋体" w:eastAsia="宋体" w:cs="宋体"/>
                <w:sz w:val="18"/>
                <w:szCs w:val="18"/>
              </w:rPr>
              <w:t>50,000.00</w:t>
            </w:r>
          </w:p>
        </w:tc>
        <w:tc>
          <w:tcPr>
            <w:tcW w:w="1606" w:type="dxa"/>
            <w:tcBorders>
              <w:top w:val="single" w:color="auto" w:sz="2" w:space="0"/>
              <w:left w:val="single" w:color="auto" w:sz="2" w:space="0"/>
              <w:bottom w:val="single" w:color="auto" w:sz="2" w:space="0"/>
              <w:right w:val="single" w:color="auto" w:sz="2" w:space="0"/>
            </w:tcBorders>
            <w:vAlign w:val="center"/>
          </w:tcPr>
          <w:p w14:paraId="0456D87D">
            <w:pPr>
              <w:spacing w:before="0" w:after="0" w:line="240" w:lineRule="exact"/>
              <w:jc w:val="left"/>
              <w:rPr>
                <w:rFonts w:ascii="宋体" w:hAnsi="宋体" w:eastAsia="宋体" w:cs="宋体"/>
                <w:sz w:val="18"/>
                <w:szCs w:val="18"/>
              </w:rPr>
            </w:pPr>
            <w:r>
              <w:rPr>
                <w:rFonts w:ascii="宋体" w:hAnsi="宋体" w:eastAsia="宋体" w:cs="宋体"/>
                <w:sz w:val="18"/>
                <w:szCs w:val="18"/>
              </w:rPr>
              <w:t>2-3年、3-4年</w:t>
            </w:r>
          </w:p>
        </w:tc>
        <w:tc>
          <w:tcPr>
            <w:tcW w:w="1606" w:type="dxa"/>
            <w:tcBorders>
              <w:top w:val="single" w:color="auto" w:sz="2" w:space="0"/>
              <w:left w:val="single" w:color="auto" w:sz="2" w:space="0"/>
              <w:bottom w:val="single" w:color="auto" w:sz="2" w:space="0"/>
              <w:right w:val="single" w:color="auto" w:sz="2" w:space="0"/>
            </w:tcBorders>
            <w:vAlign w:val="center"/>
          </w:tcPr>
          <w:p w14:paraId="00C6AAFA">
            <w:pPr>
              <w:spacing w:before="0" w:after="0" w:line="240" w:lineRule="exact"/>
              <w:jc w:val="right"/>
              <w:rPr>
                <w:rFonts w:ascii="宋体" w:hAnsi="宋体" w:eastAsia="宋体" w:cs="宋体"/>
                <w:sz w:val="18"/>
                <w:szCs w:val="18"/>
              </w:rPr>
            </w:pPr>
            <w:r>
              <w:rPr>
                <w:rFonts w:ascii="宋体" w:hAnsi="宋体" w:eastAsia="宋体" w:cs="宋体"/>
                <w:sz w:val="18"/>
                <w:szCs w:val="18"/>
              </w:rPr>
              <w:t>1.04%</w:t>
            </w:r>
          </w:p>
        </w:tc>
        <w:tc>
          <w:tcPr>
            <w:tcW w:w="1606" w:type="dxa"/>
            <w:tcBorders>
              <w:top w:val="single" w:color="auto" w:sz="2" w:space="0"/>
              <w:left w:val="single" w:color="auto" w:sz="2" w:space="0"/>
              <w:bottom w:val="single" w:color="auto" w:sz="2" w:space="0"/>
              <w:right w:val="single" w:color="auto" w:sz="2" w:space="0"/>
            </w:tcBorders>
            <w:vAlign w:val="center"/>
          </w:tcPr>
          <w:p w14:paraId="18F01ECE">
            <w:pPr>
              <w:spacing w:before="0" w:after="0" w:line="240" w:lineRule="exact"/>
              <w:jc w:val="right"/>
              <w:rPr>
                <w:rFonts w:ascii="宋体" w:hAnsi="宋体" w:eastAsia="宋体" w:cs="宋体"/>
                <w:sz w:val="18"/>
                <w:szCs w:val="18"/>
              </w:rPr>
            </w:pPr>
          </w:p>
        </w:tc>
      </w:tr>
      <w:tr w14:paraId="2A0316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592844B">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108E6C1"/>
        </w:tc>
        <w:tc>
          <w:tcPr>
            <w:tcW w:w="1606" w:type="dxa"/>
            <w:tcBorders>
              <w:top w:val="single" w:color="auto" w:sz="2" w:space="0"/>
              <w:left w:val="single" w:color="auto" w:sz="2" w:space="0"/>
              <w:bottom w:val="single" w:color="auto" w:sz="2" w:space="0"/>
              <w:right w:val="single" w:color="auto" w:sz="2" w:space="0"/>
            </w:tcBorders>
            <w:vAlign w:val="center"/>
          </w:tcPr>
          <w:p w14:paraId="67FB9C4A">
            <w:pPr>
              <w:spacing w:before="0" w:after="0" w:line="240" w:lineRule="exact"/>
              <w:jc w:val="right"/>
              <w:rPr>
                <w:rFonts w:ascii="宋体" w:hAnsi="宋体" w:eastAsia="宋体" w:cs="宋体"/>
                <w:sz w:val="18"/>
                <w:szCs w:val="18"/>
              </w:rPr>
            </w:pPr>
            <w:r>
              <w:rPr>
                <w:rFonts w:ascii="宋体" w:hAnsi="宋体" w:eastAsia="宋体" w:cs="宋体"/>
                <w:sz w:val="18"/>
                <w:szCs w:val="18"/>
              </w:rPr>
              <w:t>4,082,855.31</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BA0A13E"/>
        </w:tc>
        <w:tc>
          <w:tcPr>
            <w:tcW w:w="1606" w:type="dxa"/>
            <w:tcBorders>
              <w:top w:val="single" w:color="auto" w:sz="2" w:space="0"/>
              <w:left w:val="single" w:color="auto" w:sz="2" w:space="0"/>
              <w:bottom w:val="single" w:color="auto" w:sz="2" w:space="0"/>
              <w:right w:val="single" w:color="auto" w:sz="2" w:space="0"/>
            </w:tcBorders>
            <w:vAlign w:val="center"/>
          </w:tcPr>
          <w:p w14:paraId="5E29B198">
            <w:pPr>
              <w:spacing w:before="0" w:after="0" w:line="240" w:lineRule="exact"/>
              <w:jc w:val="right"/>
              <w:rPr>
                <w:rFonts w:ascii="宋体" w:hAnsi="宋体" w:eastAsia="宋体" w:cs="宋体"/>
                <w:sz w:val="18"/>
                <w:szCs w:val="18"/>
              </w:rPr>
            </w:pPr>
            <w:r>
              <w:rPr>
                <w:rFonts w:ascii="宋体" w:hAnsi="宋体" w:eastAsia="宋体" w:cs="宋体"/>
                <w:sz w:val="18"/>
                <w:szCs w:val="18"/>
              </w:rPr>
              <w:t>84.73%</w:t>
            </w:r>
          </w:p>
        </w:tc>
        <w:tc>
          <w:tcPr>
            <w:tcW w:w="1606" w:type="dxa"/>
            <w:tcBorders>
              <w:top w:val="single" w:color="auto" w:sz="2" w:space="0"/>
              <w:left w:val="single" w:color="auto" w:sz="2" w:space="0"/>
              <w:bottom w:val="single" w:color="auto" w:sz="2" w:space="0"/>
              <w:right w:val="single" w:color="auto" w:sz="2" w:space="0"/>
            </w:tcBorders>
            <w:vAlign w:val="center"/>
          </w:tcPr>
          <w:p w14:paraId="389D5646">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r>
    </w:tbl>
    <w:p w14:paraId="7A4A36F9">
      <w:pPr>
        <w:keepNext/>
        <w:keepLines/>
        <w:spacing w:before="300" w:after="300" w:line="280" w:lineRule="exact"/>
        <w:jc w:val="left"/>
        <w:outlineLvl w:val="4"/>
        <w:rPr>
          <w:rFonts w:ascii="宋体" w:hAnsi="宋体" w:eastAsia="宋体" w:cs="宋体"/>
          <w:b/>
          <w:bCs/>
          <w:sz w:val="21"/>
          <w:szCs w:val="21"/>
        </w:rPr>
      </w:pPr>
      <w:bookmarkStart w:id="279" w:name="_Toc989166"/>
      <w:r>
        <w:rPr>
          <w:rFonts w:ascii="宋体" w:hAnsi="宋体" w:eastAsia="宋体" w:cs="宋体"/>
          <w:b/>
          <w:bCs/>
          <w:sz w:val="21"/>
          <w:szCs w:val="21"/>
        </w:rPr>
        <w:t>7） 因资金集中管理而列报于其他应收款</w:t>
      </w:r>
      <w:bookmarkEnd w:id="279"/>
    </w:p>
    <w:p w14:paraId="00D0DE1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p w14:paraId="1D2EC7BA">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43CFE8BA">
      <w:pPr>
        <w:keepNext/>
        <w:keepLines/>
        <w:spacing w:before="300" w:after="300" w:line="280" w:lineRule="exact"/>
        <w:jc w:val="left"/>
        <w:outlineLvl w:val="2"/>
        <w:rPr>
          <w:rFonts w:ascii="宋体" w:hAnsi="宋体" w:eastAsia="宋体" w:cs="宋体"/>
          <w:b/>
          <w:bCs/>
          <w:sz w:val="21"/>
          <w:szCs w:val="21"/>
        </w:rPr>
      </w:pPr>
      <w:bookmarkStart w:id="280" w:name="_Toc989167"/>
      <w:r>
        <w:rPr>
          <w:rFonts w:ascii="宋体" w:hAnsi="宋体" w:eastAsia="宋体" w:cs="宋体"/>
          <w:b/>
          <w:bCs/>
          <w:sz w:val="21"/>
          <w:szCs w:val="21"/>
        </w:rPr>
        <w:t>9、预付款项</w:t>
      </w:r>
      <w:bookmarkEnd w:id="280"/>
    </w:p>
    <w:p w14:paraId="145AF12B">
      <w:pPr>
        <w:keepNext/>
        <w:keepLines/>
        <w:spacing w:before="300" w:after="300" w:line="280" w:lineRule="exact"/>
        <w:jc w:val="left"/>
        <w:outlineLvl w:val="3"/>
        <w:rPr>
          <w:rFonts w:ascii="宋体" w:hAnsi="宋体" w:eastAsia="宋体" w:cs="宋体"/>
          <w:b/>
          <w:bCs/>
          <w:sz w:val="21"/>
          <w:szCs w:val="21"/>
        </w:rPr>
      </w:pPr>
      <w:bookmarkStart w:id="281" w:name="_Toc989168"/>
      <w:r>
        <w:rPr>
          <w:rFonts w:ascii="宋体" w:hAnsi="宋体" w:eastAsia="宋体" w:cs="宋体"/>
          <w:b/>
          <w:bCs/>
          <w:sz w:val="21"/>
          <w:szCs w:val="21"/>
        </w:rPr>
        <w:t>（1） 预付款项按账龄列示</w:t>
      </w:r>
      <w:bookmarkEnd w:id="281"/>
    </w:p>
    <w:p w14:paraId="679D88B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50EE11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217A152">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26384AE">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5E66DF7">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7D60AF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F7FD6E0"/>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F5B3D4F">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57896C6">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B1B907C">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131A218">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r>
      <w:tr w14:paraId="61AADC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994BAD0">
            <w:pPr>
              <w:spacing w:before="40" w:after="40" w:line="240" w:lineRule="exact"/>
              <w:jc w:val="left"/>
              <w:rPr>
                <w:rFonts w:ascii="宋体" w:hAnsi="宋体" w:eastAsia="宋体" w:cs="宋体"/>
                <w:sz w:val="18"/>
                <w:szCs w:val="18"/>
              </w:rPr>
            </w:pPr>
            <w:r>
              <w:rPr>
                <w:rFonts w:ascii="宋体" w:hAnsi="宋体" w:eastAsia="宋体" w:cs="宋体"/>
                <w:sz w:val="18"/>
                <w:szCs w:val="18"/>
              </w:rPr>
              <w:t>1年以内</w:t>
            </w:r>
          </w:p>
        </w:tc>
        <w:tc>
          <w:tcPr>
            <w:tcW w:w="1928" w:type="dxa"/>
            <w:tcBorders>
              <w:top w:val="single" w:color="auto" w:sz="2" w:space="0"/>
              <w:left w:val="single" w:color="auto" w:sz="2" w:space="0"/>
              <w:bottom w:val="single" w:color="auto" w:sz="2" w:space="0"/>
              <w:right w:val="single" w:color="auto" w:sz="2" w:space="0"/>
            </w:tcBorders>
            <w:vAlign w:val="center"/>
          </w:tcPr>
          <w:p w14:paraId="6965DB48">
            <w:pPr>
              <w:spacing w:before="0" w:after="0" w:line="240" w:lineRule="exact"/>
              <w:jc w:val="right"/>
              <w:rPr>
                <w:rFonts w:ascii="宋体" w:hAnsi="宋体" w:eastAsia="宋体" w:cs="宋体"/>
                <w:sz w:val="18"/>
                <w:szCs w:val="18"/>
              </w:rPr>
            </w:pPr>
            <w:r>
              <w:rPr>
                <w:rFonts w:ascii="宋体" w:hAnsi="宋体" w:eastAsia="宋体" w:cs="宋体"/>
                <w:sz w:val="18"/>
                <w:szCs w:val="18"/>
              </w:rPr>
              <w:t>4,079,413.36</w:t>
            </w:r>
          </w:p>
        </w:tc>
        <w:tc>
          <w:tcPr>
            <w:tcW w:w="1928" w:type="dxa"/>
            <w:tcBorders>
              <w:top w:val="single" w:color="auto" w:sz="2" w:space="0"/>
              <w:left w:val="single" w:color="auto" w:sz="2" w:space="0"/>
              <w:bottom w:val="single" w:color="auto" w:sz="2" w:space="0"/>
              <w:right w:val="single" w:color="auto" w:sz="2" w:space="0"/>
            </w:tcBorders>
            <w:vAlign w:val="center"/>
          </w:tcPr>
          <w:p w14:paraId="0C1090EC">
            <w:pPr>
              <w:spacing w:before="0" w:after="0" w:line="240" w:lineRule="exact"/>
              <w:jc w:val="right"/>
              <w:rPr>
                <w:rFonts w:ascii="宋体" w:hAnsi="宋体" w:eastAsia="宋体" w:cs="宋体"/>
                <w:sz w:val="18"/>
                <w:szCs w:val="18"/>
              </w:rPr>
            </w:pPr>
            <w:r>
              <w:rPr>
                <w:rFonts w:ascii="宋体" w:hAnsi="宋体" w:eastAsia="宋体" w:cs="宋体"/>
                <w:sz w:val="18"/>
                <w:szCs w:val="18"/>
              </w:rPr>
              <w:t>28.41%</w:t>
            </w:r>
          </w:p>
        </w:tc>
        <w:tc>
          <w:tcPr>
            <w:tcW w:w="1928" w:type="dxa"/>
            <w:tcBorders>
              <w:top w:val="single" w:color="auto" w:sz="2" w:space="0"/>
              <w:left w:val="single" w:color="auto" w:sz="2" w:space="0"/>
              <w:bottom w:val="single" w:color="auto" w:sz="2" w:space="0"/>
              <w:right w:val="single" w:color="auto" w:sz="2" w:space="0"/>
            </w:tcBorders>
            <w:vAlign w:val="center"/>
          </w:tcPr>
          <w:p w14:paraId="70B3696B">
            <w:pPr>
              <w:spacing w:before="0" w:after="0" w:line="240" w:lineRule="exact"/>
              <w:jc w:val="right"/>
              <w:rPr>
                <w:rFonts w:ascii="宋体" w:hAnsi="宋体" w:eastAsia="宋体" w:cs="宋体"/>
                <w:sz w:val="18"/>
                <w:szCs w:val="18"/>
              </w:rPr>
            </w:pPr>
            <w:r>
              <w:rPr>
                <w:rFonts w:ascii="宋体" w:hAnsi="宋体" w:eastAsia="宋体" w:cs="宋体"/>
                <w:sz w:val="18"/>
                <w:szCs w:val="18"/>
              </w:rPr>
              <w:t>16,768,059.58</w:t>
            </w:r>
          </w:p>
        </w:tc>
        <w:tc>
          <w:tcPr>
            <w:tcW w:w="1928" w:type="dxa"/>
            <w:tcBorders>
              <w:top w:val="single" w:color="auto" w:sz="2" w:space="0"/>
              <w:left w:val="single" w:color="auto" w:sz="2" w:space="0"/>
              <w:bottom w:val="single" w:color="auto" w:sz="2" w:space="0"/>
              <w:right w:val="single" w:color="auto" w:sz="2" w:space="0"/>
            </w:tcBorders>
            <w:vAlign w:val="center"/>
          </w:tcPr>
          <w:p w14:paraId="4FFAD3C9">
            <w:pPr>
              <w:spacing w:before="0" w:after="0" w:line="240" w:lineRule="exact"/>
              <w:jc w:val="right"/>
              <w:rPr>
                <w:rFonts w:ascii="宋体" w:hAnsi="宋体" w:eastAsia="宋体" w:cs="宋体"/>
                <w:sz w:val="18"/>
                <w:szCs w:val="18"/>
              </w:rPr>
            </w:pPr>
            <w:r>
              <w:rPr>
                <w:rFonts w:ascii="宋体" w:hAnsi="宋体" w:eastAsia="宋体" w:cs="宋体"/>
                <w:sz w:val="18"/>
                <w:szCs w:val="18"/>
              </w:rPr>
              <w:t>98.13%</w:t>
            </w:r>
          </w:p>
        </w:tc>
      </w:tr>
      <w:tr w14:paraId="37630C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F9974F6">
            <w:pPr>
              <w:spacing w:before="40" w:after="40" w:line="240" w:lineRule="exact"/>
              <w:jc w:val="left"/>
              <w:rPr>
                <w:rFonts w:ascii="宋体" w:hAnsi="宋体" w:eastAsia="宋体" w:cs="宋体"/>
                <w:sz w:val="18"/>
                <w:szCs w:val="18"/>
              </w:rPr>
            </w:pPr>
            <w:r>
              <w:rPr>
                <w:rFonts w:ascii="宋体" w:hAnsi="宋体" w:eastAsia="宋体" w:cs="宋体"/>
                <w:sz w:val="18"/>
                <w:szCs w:val="18"/>
              </w:rPr>
              <w:t>1至2年</w:t>
            </w:r>
          </w:p>
        </w:tc>
        <w:tc>
          <w:tcPr>
            <w:tcW w:w="1928" w:type="dxa"/>
            <w:tcBorders>
              <w:top w:val="single" w:color="auto" w:sz="2" w:space="0"/>
              <w:left w:val="single" w:color="auto" w:sz="2" w:space="0"/>
              <w:bottom w:val="single" w:color="auto" w:sz="2" w:space="0"/>
              <w:right w:val="single" w:color="auto" w:sz="2" w:space="0"/>
            </w:tcBorders>
            <w:vAlign w:val="center"/>
          </w:tcPr>
          <w:p w14:paraId="4EAC98EC">
            <w:pPr>
              <w:spacing w:before="0" w:after="0" w:line="240" w:lineRule="exact"/>
              <w:jc w:val="right"/>
              <w:rPr>
                <w:rFonts w:ascii="宋体" w:hAnsi="宋体" w:eastAsia="宋体" w:cs="宋体"/>
                <w:sz w:val="18"/>
                <w:szCs w:val="18"/>
              </w:rPr>
            </w:pPr>
            <w:r>
              <w:rPr>
                <w:rFonts w:ascii="宋体" w:hAnsi="宋体" w:eastAsia="宋体" w:cs="宋体"/>
                <w:sz w:val="18"/>
                <w:szCs w:val="18"/>
              </w:rPr>
              <w:t>10,003,072.90</w:t>
            </w:r>
          </w:p>
        </w:tc>
        <w:tc>
          <w:tcPr>
            <w:tcW w:w="1928" w:type="dxa"/>
            <w:tcBorders>
              <w:top w:val="single" w:color="auto" w:sz="2" w:space="0"/>
              <w:left w:val="single" w:color="auto" w:sz="2" w:space="0"/>
              <w:bottom w:val="single" w:color="auto" w:sz="2" w:space="0"/>
              <w:right w:val="single" w:color="auto" w:sz="2" w:space="0"/>
            </w:tcBorders>
            <w:vAlign w:val="center"/>
          </w:tcPr>
          <w:p w14:paraId="4F4B14F3">
            <w:pPr>
              <w:spacing w:before="0" w:after="0" w:line="240" w:lineRule="exact"/>
              <w:jc w:val="right"/>
              <w:rPr>
                <w:rFonts w:ascii="宋体" w:hAnsi="宋体" w:eastAsia="宋体" w:cs="宋体"/>
                <w:sz w:val="18"/>
                <w:szCs w:val="18"/>
              </w:rPr>
            </w:pPr>
            <w:r>
              <w:rPr>
                <w:rFonts w:ascii="宋体" w:hAnsi="宋体" w:eastAsia="宋体" w:cs="宋体"/>
                <w:sz w:val="18"/>
                <w:szCs w:val="18"/>
              </w:rPr>
              <w:t>69.65%</w:t>
            </w:r>
          </w:p>
        </w:tc>
        <w:tc>
          <w:tcPr>
            <w:tcW w:w="1928" w:type="dxa"/>
            <w:tcBorders>
              <w:top w:val="single" w:color="auto" w:sz="2" w:space="0"/>
              <w:left w:val="single" w:color="auto" w:sz="2" w:space="0"/>
              <w:bottom w:val="single" w:color="auto" w:sz="2" w:space="0"/>
              <w:right w:val="single" w:color="auto" w:sz="2" w:space="0"/>
            </w:tcBorders>
            <w:vAlign w:val="center"/>
          </w:tcPr>
          <w:p w14:paraId="2F26C0F6">
            <w:pPr>
              <w:spacing w:before="0" w:after="0" w:line="240" w:lineRule="exact"/>
              <w:jc w:val="right"/>
              <w:rPr>
                <w:rFonts w:ascii="宋体" w:hAnsi="宋体" w:eastAsia="宋体" w:cs="宋体"/>
                <w:sz w:val="18"/>
                <w:szCs w:val="18"/>
              </w:rPr>
            </w:pPr>
            <w:r>
              <w:rPr>
                <w:rFonts w:ascii="宋体" w:hAnsi="宋体" w:eastAsia="宋体" w:cs="宋体"/>
                <w:sz w:val="18"/>
                <w:szCs w:val="18"/>
              </w:rPr>
              <w:t>239,401.00</w:t>
            </w:r>
          </w:p>
        </w:tc>
        <w:tc>
          <w:tcPr>
            <w:tcW w:w="1928" w:type="dxa"/>
            <w:tcBorders>
              <w:top w:val="single" w:color="auto" w:sz="2" w:space="0"/>
              <w:left w:val="single" w:color="auto" w:sz="2" w:space="0"/>
              <w:bottom w:val="single" w:color="auto" w:sz="2" w:space="0"/>
              <w:right w:val="single" w:color="auto" w:sz="2" w:space="0"/>
            </w:tcBorders>
            <w:vAlign w:val="center"/>
          </w:tcPr>
          <w:p w14:paraId="200870D9">
            <w:pPr>
              <w:spacing w:before="0" w:after="0" w:line="240" w:lineRule="exact"/>
              <w:jc w:val="right"/>
              <w:rPr>
                <w:rFonts w:ascii="宋体" w:hAnsi="宋体" w:eastAsia="宋体" w:cs="宋体"/>
                <w:sz w:val="18"/>
                <w:szCs w:val="18"/>
              </w:rPr>
            </w:pPr>
            <w:r>
              <w:rPr>
                <w:rFonts w:ascii="宋体" w:hAnsi="宋体" w:eastAsia="宋体" w:cs="宋体"/>
                <w:sz w:val="18"/>
                <w:szCs w:val="18"/>
              </w:rPr>
              <w:t>1.40%</w:t>
            </w:r>
          </w:p>
        </w:tc>
      </w:tr>
      <w:tr w14:paraId="459197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7028C65">
            <w:pPr>
              <w:spacing w:before="40" w:after="40" w:line="240" w:lineRule="exact"/>
              <w:jc w:val="left"/>
              <w:rPr>
                <w:rFonts w:ascii="宋体" w:hAnsi="宋体" w:eastAsia="宋体" w:cs="宋体"/>
                <w:sz w:val="18"/>
                <w:szCs w:val="18"/>
              </w:rPr>
            </w:pPr>
            <w:r>
              <w:rPr>
                <w:rFonts w:ascii="宋体" w:hAnsi="宋体" w:eastAsia="宋体" w:cs="宋体"/>
                <w:sz w:val="18"/>
                <w:szCs w:val="18"/>
              </w:rPr>
              <w:t>2至3年</w:t>
            </w:r>
          </w:p>
        </w:tc>
        <w:tc>
          <w:tcPr>
            <w:tcW w:w="1928" w:type="dxa"/>
            <w:tcBorders>
              <w:top w:val="single" w:color="auto" w:sz="2" w:space="0"/>
              <w:left w:val="single" w:color="auto" w:sz="2" w:space="0"/>
              <w:bottom w:val="single" w:color="auto" w:sz="2" w:space="0"/>
              <w:right w:val="single" w:color="auto" w:sz="2" w:space="0"/>
            </w:tcBorders>
            <w:vAlign w:val="center"/>
          </w:tcPr>
          <w:p w14:paraId="65CE96A4">
            <w:pPr>
              <w:spacing w:before="0" w:after="0" w:line="240" w:lineRule="exact"/>
              <w:jc w:val="right"/>
              <w:rPr>
                <w:rFonts w:ascii="宋体" w:hAnsi="宋体" w:eastAsia="宋体" w:cs="宋体"/>
                <w:sz w:val="18"/>
                <w:szCs w:val="18"/>
              </w:rPr>
            </w:pPr>
            <w:r>
              <w:rPr>
                <w:rFonts w:ascii="宋体" w:hAnsi="宋体" w:eastAsia="宋体" w:cs="宋体"/>
                <w:sz w:val="18"/>
                <w:szCs w:val="18"/>
              </w:rPr>
              <w:t>229,002.42</w:t>
            </w:r>
          </w:p>
        </w:tc>
        <w:tc>
          <w:tcPr>
            <w:tcW w:w="1928" w:type="dxa"/>
            <w:tcBorders>
              <w:top w:val="single" w:color="auto" w:sz="2" w:space="0"/>
              <w:left w:val="single" w:color="auto" w:sz="2" w:space="0"/>
              <w:bottom w:val="single" w:color="auto" w:sz="2" w:space="0"/>
              <w:right w:val="single" w:color="auto" w:sz="2" w:space="0"/>
            </w:tcBorders>
            <w:vAlign w:val="center"/>
          </w:tcPr>
          <w:p w14:paraId="1184CA05">
            <w:pPr>
              <w:spacing w:before="0" w:after="0" w:line="240" w:lineRule="exact"/>
              <w:jc w:val="right"/>
              <w:rPr>
                <w:rFonts w:ascii="宋体" w:hAnsi="宋体" w:eastAsia="宋体" w:cs="宋体"/>
                <w:sz w:val="18"/>
                <w:szCs w:val="18"/>
              </w:rPr>
            </w:pPr>
            <w:r>
              <w:rPr>
                <w:rFonts w:ascii="宋体" w:hAnsi="宋体" w:eastAsia="宋体" w:cs="宋体"/>
                <w:sz w:val="18"/>
                <w:szCs w:val="18"/>
              </w:rPr>
              <w:t>1.59%</w:t>
            </w:r>
          </w:p>
        </w:tc>
        <w:tc>
          <w:tcPr>
            <w:tcW w:w="1928" w:type="dxa"/>
            <w:tcBorders>
              <w:top w:val="single" w:color="auto" w:sz="2" w:space="0"/>
              <w:left w:val="single" w:color="auto" w:sz="2" w:space="0"/>
              <w:bottom w:val="single" w:color="auto" w:sz="2" w:space="0"/>
              <w:right w:val="single" w:color="auto" w:sz="2" w:space="0"/>
            </w:tcBorders>
            <w:vAlign w:val="center"/>
          </w:tcPr>
          <w:p w14:paraId="0363C99B">
            <w:pPr>
              <w:spacing w:before="0" w:after="0" w:line="240" w:lineRule="exact"/>
              <w:jc w:val="right"/>
              <w:rPr>
                <w:rFonts w:ascii="宋体" w:hAnsi="宋体" w:eastAsia="宋体" w:cs="宋体"/>
                <w:sz w:val="18"/>
                <w:szCs w:val="18"/>
              </w:rPr>
            </w:pPr>
            <w:r>
              <w:rPr>
                <w:rFonts w:ascii="宋体" w:hAnsi="宋体" w:eastAsia="宋体" w:cs="宋体"/>
                <w:sz w:val="18"/>
                <w:szCs w:val="18"/>
              </w:rPr>
              <w:t>58,829.18</w:t>
            </w:r>
          </w:p>
        </w:tc>
        <w:tc>
          <w:tcPr>
            <w:tcW w:w="1928" w:type="dxa"/>
            <w:tcBorders>
              <w:top w:val="single" w:color="auto" w:sz="2" w:space="0"/>
              <w:left w:val="single" w:color="auto" w:sz="2" w:space="0"/>
              <w:bottom w:val="single" w:color="auto" w:sz="2" w:space="0"/>
              <w:right w:val="single" w:color="auto" w:sz="2" w:space="0"/>
            </w:tcBorders>
            <w:vAlign w:val="center"/>
          </w:tcPr>
          <w:p w14:paraId="4BFC4652">
            <w:pPr>
              <w:spacing w:before="0" w:after="0" w:line="240" w:lineRule="exact"/>
              <w:jc w:val="right"/>
              <w:rPr>
                <w:rFonts w:ascii="宋体" w:hAnsi="宋体" w:eastAsia="宋体" w:cs="宋体"/>
                <w:sz w:val="18"/>
                <w:szCs w:val="18"/>
              </w:rPr>
            </w:pPr>
            <w:r>
              <w:rPr>
                <w:rFonts w:ascii="宋体" w:hAnsi="宋体" w:eastAsia="宋体" w:cs="宋体"/>
                <w:sz w:val="18"/>
                <w:szCs w:val="18"/>
              </w:rPr>
              <w:t>0.35%</w:t>
            </w:r>
          </w:p>
        </w:tc>
      </w:tr>
      <w:tr w14:paraId="72FADD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E926994">
            <w:pPr>
              <w:spacing w:before="40" w:after="40" w:line="240" w:lineRule="exact"/>
              <w:jc w:val="left"/>
              <w:rPr>
                <w:rFonts w:ascii="宋体" w:hAnsi="宋体" w:eastAsia="宋体" w:cs="宋体"/>
                <w:sz w:val="18"/>
                <w:szCs w:val="18"/>
              </w:rPr>
            </w:pPr>
            <w:r>
              <w:rPr>
                <w:rFonts w:ascii="宋体" w:hAnsi="宋体" w:eastAsia="宋体" w:cs="宋体"/>
                <w:sz w:val="18"/>
                <w:szCs w:val="18"/>
              </w:rPr>
              <w:t>3年以上</w:t>
            </w:r>
          </w:p>
        </w:tc>
        <w:tc>
          <w:tcPr>
            <w:tcW w:w="1928" w:type="dxa"/>
            <w:tcBorders>
              <w:top w:val="single" w:color="auto" w:sz="2" w:space="0"/>
              <w:left w:val="single" w:color="auto" w:sz="2" w:space="0"/>
              <w:bottom w:val="single" w:color="auto" w:sz="2" w:space="0"/>
              <w:right w:val="single" w:color="auto" w:sz="2" w:space="0"/>
            </w:tcBorders>
            <w:vAlign w:val="center"/>
          </w:tcPr>
          <w:p w14:paraId="5DC41CC2">
            <w:pPr>
              <w:spacing w:before="0" w:after="0" w:line="240" w:lineRule="exact"/>
              <w:jc w:val="right"/>
              <w:rPr>
                <w:rFonts w:ascii="宋体" w:hAnsi="宋体" w:eastAsia="宋体" w:cs="宋体"/>
                <w:sz w:val="18"/>
                <w:szCs w:val="18"/>
              </w:rPr>
            </w:pPr>
            <w:r>
              <w:rPr>
                <w:rFonts w:ascii="宋体" w:hAnsi="宋体" w:eastAsia="宋体" w:cs="宋体"/>
                <w:sz w:val="18"/>
                <w:szCs w:val="18"/>
              </w:rPr>
              <w:t>49,576.21</w:t>
            </w:r>
          </w:p>
        </w:tc>
        <w:tc>
          <w:tcPr>
            <w:tcW w:w="1928" w:type="dxa"/>
            <w:tcBorders>
              <w:top w:val="single" w:color="auto" w:sz="2" w:space="0"/>
              <w:left w:val="single" w:color="auto" w:sz="2" w:space="0"/>
              <w:bottom w:val="single" w:color="auto" w:sz="2" w:space="0"/>
              <w:right w:val="single" w:color="auto" w:sz="2" w:space="0"/>
            </w:tcBorders>
            <w:vAlign w:val="center"/>
          </w:tcPr>
          <w:p w14:paraId="0DD4F104">
            <w:pPr>
              <w:spacing w:before="0" w:after="0" w:line="240" w:lineRule="exact"/>
              <w:jc w:val="right"/>
              <w:rPr>
                <w:rFonts w:ascii="宋体" w:hAnsi="宋体" w:eastAsia="宋体" w:cs="宋体"/>
                <w:sz w:val="18"/>
                <w:szCs w:val="18"/>
              </w:rPr>
            </w:pPr>
            <w:r>
              <w:rPr>
                <w:rFonts w:ascii="宋体" w:hAnsi="宋体" w:eastAsia="宋体" w:cs="宋体"/>
                <w:sz w:val="18"/>
                <w:szCs w:val="18"/>
              </w:rPr>
              <w:t>0.35%</w:t>
            </w:r>
          </w:p>
        </w:tc>
        <w:tc>
          <w:tcPr>
            <w:tcW w:w="1928" w:type="dxa"/>
            <w:tcBorders>
              <w:top w:val="single" w:color="auto" w:sz="2" w:space="0"/>
              <w:left w:val="single" w:color="auto" w:sz="2" w:space="0"/>
              <w:bottom w:val="single" w:color="auto" w:sz="2" w:space="0"/>
              <w:right w:val="single" w:color="auto" w:sz="2" w:space="0"/>
            </w:tcBorders>
            <w:vAlign w:val="center"/>
          </w:tcPr>
          <w:p w14:paraId="561117A7">
            <w:pPr>
              <w:spacing w:before="0" w:after="0" w:line="240" w:lineRule="exact"/>
              <w:jc w:val="right"/>
              <w:rPr>
                <w:rFonts w:ascii="宋体" w:hAnsi="宋体" w:eastAsia="宋体" w:cs="宋体"/>
                <w:sz w:val="18"/>
                <w:szCs w:val="18"/>
              </w:rPr>
            </w:pPr>
            <w:r>
              <w:rPr>
                <w:rFonts w:ascii="宋体" w:hAnsi="宋体" w:eastAsia="宋体" w:cs="宋体"/>
                <w:sz w:val="18"/>
                <w:szCs w:val="18"/>
              </w:rPr>
              <w:t>20,450.00</w:t>
            </w:r>
          </w:p>
        </w:tc>
        <w:tc>
          <w:tcPr>
            <w:tcW w:w="1928" w:type="dxa"/>
            <w:tcBorders>
              <w:top w:val="single" w:color="auto" w:sz="2" w:space="0"/>
              <w:left w:val="single" w:color="auto" w:sz="2" w:space="0"/>
              <w:bottom w:val="single" w:color="auto" w:sz="2" w:space="0"/>
              <w:right w:val="single" w:color="auto" w:sz="2" w:space="0"/>
            </w:tcBorders>
            <w:vAlign w:val="center"/>
          </w:tcPr>
          <w:p w14:paraId="75B03CE7">
            <w:pPr>
              <w:spacing w:before="0" w:after="0" w:line="240" w:lineRule="exact"/>
              <w:jc w:val="right"/>
              <w:rPr>
                <w:rFonts w:ascii="宋体" w:hAnsi="宋体" w:eastAsia="宋体" w:cs="宋体"/>
                <w:sz w:val="18"/>
                <w:szCs w:val="18"/>
              </w:rPr>
            </w:pPr>
            <w:r>
              <w:rPr>
                <w:rFonts w:ascii="宋体" w:hAnsi="宋体" w:eastAsia="宋体" w:cs="宋体"/>
                <w:sz w:val="18"/>
                <w:szCs w:val="18"/>
              </w:rPr>
              <w:t>0.12%</w:t>
            </w:r>
          </w:p>
        </w:tc>
      </w:tr>
      <w:tr w14:paraId="7EEE42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3D9579C">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14:paraId="6657248B">
            <w:pPr>
              <w:spacing w:before="0" w:after="0" w:line="240" w:lineRule="exact"/>
              <w:jc w:val="right"/>
              <w:rPr>
                <w:rFonts w:ascii="宋体" w:hAnsi="宋体" w:eastAsia="宋体" w:cs="宋体"/>
                <w:sz w:val="18"/>
                <w:szCs w:val="18"/>
              </w:rPr>
            </w:pPr>
            <w:r>
              <w:rPr>
                <w:rFonts w:ascii="宋体" w:hAnsi="宋体" w:eastAsia="宋体" w:cs="宋体"/>
                <w:sz w:val="18"/>
                <w:szCs w:val="18"/>
              </w:rPr>
              <w:t>14,361,064.89</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7EC1DA8"/>
        </w:tc>
        <w:tc>
          <w:tcPr>
            <w:tcW w:w="1928" w:type="dxa"/>
            <w:tcBorders>
              <w:top w:val="single" w:color="auto" w:sz="2" w:space="0"/>
              <w:left w:val="single" w:color="auto" w:sz="2" w:space="0"/>
              <w:bottom w:val="single" w:color="auto" w:sz="2" w:space="0"/>
              <w:right w:val="single" w:color="auto" w:sz="2" w:space="0"/>
            </w:tcBorders>
            <w:vAlign w:val="center"/>
          </w:tcPr>
          <w:p w14:paraId="472F42C1">
            <w:pPr>
              <w:spacing w:before="0" w:after="0" w:line="240" w:lineRule="exact"/>
              <w:jc w:val="right"/>
              <w:rPr>
                <w:rFonts w:ascii="宋体" w:hAnsi="宋体" w:eastAsia="宋体" w:cs="宋体"/>
                <w:sz w:val="18"/>
                <w:szCs w:val="18"/>
              </w:rPr>
            </w:pPr>
            <w:r>
              <w:rPr>
                <w:rFonts w:ascii="宋体" w:hAnsi="宋体" w:eastAsia="宋体" w:cs="宋体"/>
                <w:sz w:val="18"/>
                <w:szCs w:val="18"/>
              </w:rPr>
              <w:t>17,086,739.76</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165C3D3"/>
        </w:tc>
      </w:tr>
    </w:tbl>
    <w:p w14:paraId="0481A91B">
      <w:pPr>
        <w:spacing w:before="100" w:after="100" w:line="240" w:lineRule="exact"/>
        <w:jc w:val="left"/>
        <w:rPr>
          <w:rFonts w:ascii="宋体" w:hAnsi="宋体" w:eastAsia="宋体" w:cs="宋体"/>
          <w:sz w:val="18"/>
          <w:szCs w:val="18"/>
        </w:rPr>
      </w:pPr>
      <w:r>
        <w:rPr>
          <w:rFonts w:ascii="宋体" w:hAnsi="宋体" w:eastAsia="宋体" w:cs="宋体"/>
          <w:sz w:val="18"/>
          <w:szCs w:val="18"/>
        </w:rPr>
        <w:t>账龄超过1年且金额重要的预付款项未及时结算原因的说明：</w:t>
      </w:r>
    </w:p>
    <w:tbl>
      <w:tblPr>
        <w:tblStyle w:val="3"/>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710"/>
        <w:gridCol w:w="1639"/>
        <w:gridCol w:w="1095"/>
        <w:gridCol w:w="2883"/>
      </w:tblGrid>
      <w:tr w14:paraId="6915CA9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710" w:type="dxa"/>
            <w:tcBorders>
              <w:top w:val="single" w:color="auto" w:sz="8" w:space="0"/>
              <w:left w:val="single" w:color="auto" w:sz="8" w:space="0"/>
              <w:bottom w:val="single" w:color="auto" w:sz="8" w:space="0"/>
              <w:right w:val="single" w:color="auto" w:sz="8" w:space="0"/>
            </w:tcBorders>
            <w:shd w:val="clear" w:color="auto" w:fill="auto"/>
            <w:vAlign w:val="top"/>
          </w:tcPr>
          <w:p w14:paraId="23EE24D8">
            <w:pPr>
              <w:pStyle w:val="2"/>
              <w:keepNext w:val="0"/>
              <w:keepLines w:val="0"/>
              <w:widowControl/>
              <w:suppressLineNumbers w:val="0"/>
              <w:spacing w:before="64" w:beforeAutospacing="0" w:after="0" w:afterAutospacing="0"/>
              <w:ind w:left="224" w:right="89"/>
              <w:jc w:val="center"/>
              <w:rPr>
                <w:rFonts w:ascii="Arial Narrow" w:hAnsi="Arial Narrow" w:eastAsia="Arial Narrow" w:cs="Arial Narrow"/>
                <w:sz w:val="22"/>
                <w:szCs w:val="22"/>
              </w:rPr>
            </w:pPr>
            <w:r>
              <w:rPr>
                <w:rFonts w:hint="eastAsia" w:ascii="宋体" w:hAnsi="宋体" w:eastAsia="宋体" w:cs="宋体"/>
                <w:sz w:val="18"/>
                <w:szCs w:val="18"/>
              </w:rPr>
              <w:t xml:space="preserve">单位名称 </w:t>
            </w:r>
          </w:p>
        </w:tc>
        <w:tc>
          <w:tcPr>
            <w:tcW w:w="1639" w:type="dxa"/>
            <w:tcBorders>
              <w:top w:val="single" w:color="auto" w:sz="8" w:space="0"/>
              <w:left w:val="nil"/>
              <w:bottom w:val="single" w:color="auto" w:sz="8" w:space="0"/>
              <w:right w:val="single" w:color="auto" w:sz="8" w:space="0"/>
            </w:tcBorders>
            <w:shd w:val="clear" w:color="auto" w:fill="auto"/>
            <w:vAlign w:val="top"/>
          </w:tcPr>
          <w:p w14:paraId="35478EFB">
            <w:pPr>
              <w:pStyle w:val="2"/>
              <w:keepNext w:val="0"/>
              <w:keepLines w:val="0"/>
              <w:widowControl/>
              <w:suppressLineNumbers w:val="0"/>
              <w:spacing w:before="64" w:beforeAutospacing="0" w:after="0" w:afterAutospacing="0"/>
              <w:ind w:left="467" w:right="0"/>
              <w:rPr>
                <w:rFonts w:hint="default" w:ascii="Arial Narrow" w:hAnsi="Arial Narrow" w:eastAsia="Arial Narrow" w:cs="Arial Narrow"/>
                <w:sz w:val="22"/>
                <w:szCs w:val="22"/>
              </w:rPr>
            </w:pPr>
            <w:r>
              <w:rPr>
                <w:rFonts w:hint="eastAsia" w:ascii="宋体" w:hAnsi="宋体" w:eastAsia="宋体" w:cs="宋体"/>
                <w:sz w:val="18"/>
                <w:szCs w:val="18"/>
              </w:rPr>
              <w:t xml:space="preserve">期末余额 </w:t>
            </w:r>
          </w:p>
        </w:tc>
        <w:tc>
          <w:tcPr>
            <w:tcW w:w="1095" w:type="dxa"/>
            <w:tcBorders>
              <w:top w:val="single" w:color="auto" w:sz="8" w:space="0"/>
              <w:left w:val="nil"/>
              <w:bottom w:val="single" w:color="auto" w:sz="8" w:space="0"/>
              <w:right w:val="single" w:color="auto" w:sz="8" w:space="0"/>
            </w:tcBorders>
            <w:shd w:val="clear" w:color="auto" w:fill="auto"/>
            <w:vAlign w:val="top"/>
          </w:tcPr>
          <w:p w14:paraId="0ED94DBE">
            <w:pPr>
              <w:pStyle w:val="2"/>
              <w:keepNext w:val="0"/>
              <w:keepLines w:val="0"/>
              <w:widowControl/>
              <w:suppressLineNumbers w:val="0"/>
              <w:spacing w:before="64" w:beforeAutospacing="0" w:after="0" w:afterAutospacing="0"/>
              <w:ind w:left="377" w:right="0"/>
              <w:rPr>
                <w:rFonts w:hint="default" w:ascii="Arial Narrow" w:hAnsi="Arial Narrow" w:eastAsia="Arial Narrow" w:cs="Arial Narrow"/>
                <w:sz w:val="22"/>
                <w:szCs w:val="22"/>
              </w:rPr>
            </w:pPr>
            <w:r>
              <w:rPr>
                <w:rFonts w:hint="eastAsia" w:ascii="宋体" w:hAnsi="宋体" w:eastAsia="宋体" w:cs="宋体"/>
                <w:sz w:val="18"/>
                <w:szCs w:val="18"/>
              </w:rPr>
              <w:t xml:space="preserve">账龄 </w:t>
            </w:r>
          </w:p>
        </w:tc>
        <w:tc>
          <w:tcPr>
            <w:tcW w:w="2883" w:type="dxa"/>
            <w:tcBorders>
              <w:top w:val="single" w:color="auto" w:sz="8" w:space="0"/>
              <w:left w:val="nil"/>
              <w:bottom w:val="single" w:color="auto" w:sz="8" w:space="0"/>
              <w:right w:val="single" w:color="auto" w:sz="8" w:space="0"/>
            </w:tcBorders>
            <w:shd w:val="clear" w:color="auto" w:fill="auto"/>
            <w:vAlign w:val="top"/>
          </w:tcPr>
          <w:p w14:paraId="7DD4F07E">
            <w:pPr>
              <w:pStyle w:val="2"/>
              <w:keepNext w:val="0"/>
              <w:keepLines w:val="0"/>
              <w:widowControl/>
              <w:suppressLineNumbers w:val="0"/>
              <w:spacing w:before="64" w:beforeAutospacing="0" w:after="0" w:afterAutospacing="0"/>
              <w:ind w:left="820" w:right="0"/>
              <w:rPr>
                <w:rFonts w:hint="default" w:ascii="Arial Narrow" w:hAnsi="Arial Narrow" w:eastAsia="Arial Narrow" w:cs="Arial Narrow"/>
                <w:sz w:val="22"/>
                <w:szCs w:val="22"/>
              </w:rPr>
            </w:pPr>
            <w:r>
              <w:rPr>
                <w:rFonts w:hint="eastAsia" w:ascii="宋体" w:hAnsi="宋体" w:eastAsia="宋体" w:cs="宋体"/>
                <w:sz w:val="18"/>
                <w:szCs w:val="18"/>
              </w:rPr>
              <w:t xml:space="preserve">未及时结算原因 </w:t>
            </w:r>
          </w:p>
        </w:tc>
      </w:tr>
      <w:tr w14:paraId="7E8F1C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710" w:type="dxa"/>
            <w:tcBorders>
              <w:top w:val="nil"/>
              <w:left w:val="single" w:color="auto" w:sz="8" w:space="0"/>
              <w:bottom w:val="single" w:color="auto" w:sz="8" w:space="0"/>
              <w:right w:val="single" w:color="auto" w:sz="8" w:space="0"/>
            </w:tcBorders>
            <w:shd w:val="clear" w:color="auto" w:fill="auto"/>
            <w:vAlign w:val="center"/>
          </w:tcPr>
          <w:p w14:paraId="381F2947">
            <w:pPr>
              <w:pStyle w:val="2"/>
              <w:keepNext w:val="0"/>
              <w:keepLines w:val="0"/>
              <w:widowControl/>
              <w:suppressLineNumbers w:val="0"/>
              <w:spacing w:before="0" w:beforeAutospacing="0" w:after="0" w:afterAutospacing="0"/>
              <w:ind w:left="0" w:right="0"/>
              <w:textAlignment w:val="center"/>
              <w:rPr>
                <w:rFonts w:hint="default" w:ascii="Times New Roman" w:hAnsi="Times New Roman" w:cs="Times New Roman"/>
                <w:sz w:val="21"/>
                <w:szCs w:val="21"/>
              </w:rPr>
            </w:pPr>
            <w:r>
              <w:rPr>
                <w:rFonts w:hint="default" w:ascii="Arial Narrow" w:hAnsi="Arial Narrow" w:eastAsia="Arial Narrow" w:cs="Arial Narrow"/>
                <w:color w:val="000000"/>
                <w:sz w:val="18"/>
                <w:szCs w:val="18"/>
              </w:rPr>
              <w:t>歌礼药业（浙江）有限公司</w:t>
            </w:r>
          </w:p>
        </w:tc>
        <w:tc>
          <w:tcPr>
            <w:tcW w:w="1639" w:type="dxa"/>
            <w:tcBorders>
              <w:top w:val="nil"/>
              <w:left w:val="nil"/>
              <w:bottom w:val="single" w:color="auto" w:sz="8" w:space="0"/>
              <w:right w:val="single" w:color="auto" w:sz="8" w:space="0"/>
            </w:tcBorders>
            <w:shd w:val="clear" w:color="auto" w:fill="auto"/>
            <w:vAlign w:val="center"/>
          </w:tcPr>
          <w:p w14:paraId="6D5A7DFA">
            <w:pPr>
              <w:pStyle w:val="2"/>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sz w:val="21"/>
                <w:szCs w:val="21"/>
              </w:rPr>
            </w:pPr>
            <w:r>
              <w:rPr>
                <w:rFonts w:hint="default" w:ascii="Arial Narrow" w:hAnsi="Arial Narrow" w:eastAsia="Arial Narrow" w:cs="Arial Narrow"/>
                <w:color w:val="000000"/>
                <w:sz w:val="18"/>
                <w:szCs w:val="18"/>
              </w:rPr>
              <w:t xml:space="preserve"> 8,198,771.93 </w:t>
            </w:r>
          </w:p>
        </w:tc>
        <w:tc>
          <w:tcPr>
            <w:tcW w:w="1095" w:type="dxa"/>
            <w:tcBorders>
              <w:top w:val="nil"/>
              <w:left w:val="nil"/>
              <w:bottom w:val="single" w:color="auto" w:sz="8" w:space="0"/>
              <w:right w:val="single" w:color="auto" w:sz="8" w:space="0"/>
            </w:tcBorders>
            <w:shd w:val="clear" w:color="auto" w:fill="auto"/>
            <w:vAlign w:val="center"/>
          </w:tcPr>
          <w:p w14:paraId="42BBA8C4">
            <w:pPr>
              <w:pStyle w:val="2"/>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Arial Narrow" w:hAnsi="Arial Narrow" w:eastAsia="Arial Narrow" w:cs="Arial Narrow"/>
                <w:color w:val="000000"/>
                <w:sz w:val="18"/>
                <w:szCs w:val="18"/>
              </w:rPr>
              <w:t>1-2年</w:t>
            </w:r>
          </w:p>
        </w:tc>
        <w:tc>
          <w:tcPr>
            <w:tcW w:w="2883" w:type="dxa"/>
            <w:tcBorders>
              <w:top w:val="nil"/>
              <w:left w:val="nil"/>
              <w:bottom w:val="single" w:color="auto" w:sz="8" w:space="0"/>
              <w:right w:val="single" w:color="auto" w:sz="8" w:space="0"/>
            </w:tcBorders>
            <w:shd w:val="clear" w:color="auto" w:fill="auto"/>
            <w:vAlign w:val="center"/>
          </w:tcPr>
          <w:p w14:paraId="4420FDBD">
            <w:pPr>
              <w:pStyle w:val="2"/>
              <w:keepNext w:val="0"/>
              <w:keepLines w:val="0"/>
              <w:widowControl/>
              <w:suppressLineNumbers w:val="0"/>
              <w:spacing w:before="0" w:beforeAutospacing="0" w:after="0" w:afterAutospacing="0"/>
              <w:ind w:left="0" w:right="0"/>
              <w:textAlignment w:val="center"/>
              <w:rPr>
                <w:rFonts w:hint="default" w:ascii="Times New Roman" w:hAnsi="Times New Roman" w:cs="Times New Roman"/>
                <w:sz w:val="21"/>
                <w:szCs w:val="21"/>
              </w:rPr>
            </w:pPr>
            <w:r>
              <w:rPr>
                <w:rFonts w:hint="eastAsia" w:ascii="宋体" w:hAnsi="宋体" w:eastAsia="宋体" w:cs="宋体"/>
                <w:color w:val="000000"/>
                <w:sz w:val="18"/>
                <w:szCs w:val="18"/>
              </w:rPr>
              <w:t>仲裁未裁决</w:t>
            </w:r>
          </w:p>
        </w:tc>
      </w:tr>
      <w:tr w14:paraId="2DD01D6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710" w:type="dxa"/>
            <w:tcBorders>
              <w:top w:val="nil"/>
              <w:left w:val="single" w:color="auto" w:sz="8" w:space="0"/>
              <w:bottom w:val="single" w:color="auto" w:sz="8" w:space="0"/>
              <w:right w:val="single" w:color="auto" w:sz="8" w:space="0"/>
            </w:tcBorders>
            <w:shd w:val="clear" w:color="auto" w:fill="auto"/>
            <w:vAlign w:val="center"/>
          </w:tcPr>
          <w:p w14:paraId="65EE15CE">
            <w:pPr>
              <w:pStyle w:val="2"/>
              <w:keepNext w:val="0"/>
              <w:keepLines w:val="0"/>
              <w:widowControl/>
              <w:suppressLineNumbers w:val="0"/>
              <w:spacing w:before="0" w:beforeAutospacing="0" w:after="0" w:afterAutospacing="0"/>
              <w:ind w:left="0" w:right="0"/>
              <w:textAlignment w:val="center"/>
              <w:rPr>
                <w:rFonts w:hint="default" w:ascii="Times New Roman" w:hAnsi="Times New Roman" w:cs="Times New Roman"/>
                <w:sz w:val="21"/>
                <w:szCs w:val="21"/>
              </w:rPr>
            </w:pPr>
            <w:r>
              <w:rPr>
                <w:rFonts w:hint="default" w:ascii="Arial Narrow" w:hAnsi="Arial Narrow" w:eastAsia="Arial Narrow" w:cs="Arial Narrow"/>
                <w:color w:val="000000"/>
                <w:sz w:val="18"/>
                <w:szCs w:val="18"/>
              </w:rPr>
              <w:t>宁夏蓝博思化学技术有限公司</w:t>
            </w:r>
          </w:p>
        </w:tc>
        <w:tc>
          <w:tcPr>
            <w:tcW w:w="1639" w:type="dxa"/>
            <w:tcBorders>
              <w:top w:val="nil"/>
              <w:left w:val="nil"/>
              <w:bottom w:val="single" w:color="auto" w:sz="8" w:space="0"/>
              <w:right w:val="single" w:color="auto" w:sz="8" w:space="0"/>
            </w:tcBorders>
            <w:shd w:val="clear" w:color="auto" w:fill="auto"/>
            <w:vAlign w:val="center"/>
          </w:tcPr>
          <w:p w14:paraId="74ADEDF9">
            <w:pPr>
              <w:pStyle w:val="2"/>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sz w:val="21"/>
                <w:szCs w:val="21"/>
              </w:rPr>
            </w:pPr>
            <w:r>
              <w:rPr>
                <w:rFonts w:hint="default" w:ascii="Arial Narrow" w:hAnsi="Arial Narrow" w:eastAsia="Arial Narrow" w:cs="Arial Narrow"/>
                <w:color w:val="000000"/>
                <w:sz w:val="18"/>
                <w:szCs w:val="18"/>
              </w:rPr>
              <w:t xml:space="preserve"> 1,781,305.31 </w:t>
            </w:r>
          </w:p>
        </w:tc>
        <w:tc>
          <w:tcPr>
            <w:tcW w:w="1095" w:type="dxa"/>
            <w:tcBorders>
              <w:top w:val="nil"/>
              <w:left w:val="nil"/>
              <w:bottom w:val="single" w:color="auto" w:sz="8" w:space="0"/>
              <w:right w:val="single" w:color="auto" w:sz="8" w:space="0"/>
            </w:tcBorders>
            <w:shd w:val="clear" w:color="auto" w:fill="auto"/>
            <w:vAlign w:val="center"/>
          </w:tcPr>
          <w:p w14:paraId="1151308C">
            <w:pPr>
              <w:pStyle w:val="2"/>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Arial Narrow" w:hAnsi="Arial Narrow" w:eastAsia="Arial Narrow" w:cs="Arial Narrow"/>
                <w:color w:val="000000"/>
                <w:sz w:val="18"/>
                <w:szCs w:val="18"/>
              </w:rPr>
              <w:t>1-2年</w:t>
            </w:r>
          </w:p>
        </w:tc>
        <w:tc>
          <w:tcPr>
            <w:tcW w:w="2883" w:type="dxa"/>
            <w:tcBorders>
              <w:top w:val="nil"/>
              <w:left w:val="nil"/>
              <w:bottom w:val="single" w:color="auto" w:sz="8" w:space="0"/>
              <w:right w:val="single" w:color="auto" w:sz="8" w:space="0"/>
            </w:tcBorders>
            <w:shd w:val="clear" w:color="auto" w:fill="auto"/>
            <w:vAlign w:val="center"/>
          </w:tcPr>
          <w:p w14:paraId="5DF1AEEC">
            <w:pPr>
              <w:pStyle w:val="2"/>
              <w:keepNext w:val="0"/>
              <w:keepLines w:val="0"/>
              <w:widowControl/>
              <w:suppressLineNumbers w:val="0"/>
              <w:spacing w:before="0" w:beforeAutospacing="0" w:after="0" w:afterAutospacing="0"/>
              <w:ind w:left="0" w:right="0"/>
              <w:textAlignment w:val="center"/>
              <w:rPr>
                <w:rFonts w:hint="default" w:ascii="Times New Roman" w:hAnsi="Times New Roman" w:cs="Times New Roman"/>
                <w:sz w:val="21"/>
                <w:szCs w:val="21"/>
              </w:rPr>
            </w:pPr>
            <w:r>
              <w:rPr>
                <w:rFonts w:hint="eastAsia" w:ascii="宋体" w:hAnsi="宋体" w:eastAsia="宋体" w:cs="宋体"/>
                <w:color w:val="000000"/>
                <w:sz w:val="18"/>
                <w:szCs w:val="18"/>
              </w:rPr>
              <w:t>计划换母公司采购，待退款</w:t>
            </w:r>
          </w:p>
        </w:tc>
      </w:tr>
      <w:tr w14:paraId="74E6B11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710" w:type="dxa"/>
            <w:tcBorders>
              <w:top w:val="nil"/>
              <w:left w:val="single" w:color="auto" w:sz="8" w:space="0"/>
              <w:bottom w:val="single" w:color="auto" w:sz="8" w:space="0"/>
              <w:right w:val="single" w:color="auto" w:sz="8" w:space="0"/>
            </w:tcBorders>
            <w:shd w:val="clear" w:color="auto" w:fill="auto"/>
            <w:vAlign w:val="center"/>
          </w:tcPr>
          <w:p w14:paraId="6FC8BA99">
            <w:pPr>
              <w:pStyle w:val="2"/>
              <w:keepNext w:val="0"/>
              <w:keepLines w:val="0"/>
              <w:widowControl/>
              <w:suppressLineNumbers w:val="0"/>
              <w:spacing w:before="0" w:beforeAutospacing="0" w:after="0" w:afterAutospacing="0"/>
              <w:ind w:left="0" w:right="0"/>
              <w:textAlignment w:val="center"/>
              <w:rPr>
                <w:rFonts w:hint="default" w:ascii="Times New Roman" w:hAnsi="Times New Roman" w:cs="Times New Roman"/>
                <w:sz w:val="21"/>
                <w:szCs w:val="21"/>
              </w:rPr>
            </w:pPr>
            <w:r>
              <w:rPr>
                <w:rFonts w:hint="default" w:ascii="Arial Narrow" w:hAnsi="Arial Narrow" w:eastAsia="Arial Narrow" w:cs="Arial Narrow"/>
                <w:color w:val="000000"/>
                <w:sz w:val="18"/>
                <w:szCs w:val="18"/>
              </w:rPr>
              <w:t>石家庄鑫富达医药包装有限公司</w:t>
            </w:r>
          </w:p>
        </w:tc>
        <w:tc>
          <w:tcPr>
            <w:tcW w:w="1639" w:type="dxa"/>
            <w:tcBorders>
              <w:top w:val="nil"/>
              <w:left w:val="nil"/>
              <w:bottom w:val="single" w:color="auto" w:sz="8" w:space="0"/>
              <w:right w:val="single" w:color="auto" w:sz="8" w:space="0"/>
            </w:tcBorders>
            <w:shd w:val="clear" w:color="auto" w:fill="auto"/>
            <w:vAlign w:val="center"/>
          </w:tcPr>
          <w:p w14:paraId="54DE8FFD">
            <w:pPr>
              <w:pStyle w:val="2"/>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sz w:val="21"/>
                <w:szCs w:val="21"/>
              </w:rPr>
            </w:pPr>
            <w:r>
              <w:rPr>
                <w:rFonts w:hint="default" w:ascii="Arial Narrow" w:hAnsi="Arial Narrow" w:eastAsia="Arial Narrow" w:cs="Arial Narrow"/>
                <w:color w:val="000000"/>
                <w:sz w:val="18"/>
                <w:szCs w:val="18"/>
              </w:rPr>
              <w:t xml:space="preserve"> 170,750.00 </w:t>
            </w:r>
          </w:p>
        </w:tc>
        <w:tc>
          <w:tcPr>
            <w:tcW w:w="1095" w:type="dxa"/>
            <w:tcBorders>
              <w:top w:val="nil"/>
              <w:left w:val="nil"/>
              <w:bottom w:val="single" w:color="auto" w:sz="8" w:space="0"/>
              <w:right w:val="single" w:color="auto" w:sz="8" w:space="0"/>
            </w:tcBorders>
            <w:shd w:val="clear" w:color="auto" w:fill="auto"/>
            <w:vAlign w:val="center"/>
          </w:tcPr>
          <w:p w14:paraId="45A80B02">
            <w:pPr>
              <w:pStyle w:val="2"/>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Arial Narrow" w:hAnsi="Arial Narrow" w:eastAsia="Arial Narrow" w:cs="Arial Narrow"/>
                <w:color w:val="000000"/>
                <w:sz w:val="18"/>
                <w:szCs w:val="18"/>
              </w:rPr>
              <w:t>2-3</w:t>
            </w:r>
            <w:r>
              <w:rPr>
                <w:rFonts w:hint="eastAsia" w:ascii="宋体" w:hAnsi="宋体" w:eastAsia="宋体" w:cs="宋体"/>
                <w:color w:val="000000"/>
                <w:sz w:val="18"/>
                <w:szCs w:val="18"/>
              </w:rPr>
              <w:t>年</w:t>
            </w:r>
          </w:p>
        </w:tc>
        <w:tc>
          <w:tcPr>
            <w:tcW w:w="2883" w:type="dxa"/>
            <w:tcBorders>
              <w:top w:val="nil"/>
              <w:left w:val="nil"/>
              <w:bottom w:val="single" w:color="auto" w:sz="8" w:space="0"/>
              <w:right w:val="single" w:color="auto" w:sz="8" w:space="0"/>
            </w:tcBorders>
            <w:shd w:val="clear" w:color="auto" w:fill="auto"/>
            <w:vAlign w:val="center"/>
          </w:tcPr>
          <w:p w14:paraId="35A1095D">
            <w:pPr>
              <w:pStyle w:val="2"/>
              <w:keepNext w:val="0"/>
              <w:keepLines w:val="0"/>
              <w:widowControl/>
              <w:suppressLineNumbers w:val="0"/>
              <w:spacing w:before="0" w:beforeAutospacing="0" w:after="0" w:afterAutospacing="0"/>
              <w:ind w:left="0" w:right="0"/>
              <w:textAlignment w:val="center"/>
              <w:rPr>
                <w:rFonts w:hint="default" w:ascii="Times New Roman" w:hAnsi="Times New Roman" w:cs="Times New Roman"/>
                <w:sz w:val="21"/>
                <w:szCs w:val="21"/>
              </w:rPr>
            </w:pPr>
            <w:r>
              <w:rPr>
                <w:rFonts w:hint="default" w:ascii="Arial Narrow" w:hAnsi="Arial Narrow" w:eastAsia="Arial Narrow" w:cs="Arial Narrow"/>
                <w:color w:val="000000"/>
                <w:sz w:val="18"/>
                <w:szCs w:val="18"/>
              </w:rPr>
              <w:t>模具款，未达结算时间</w:t>
            </w:r>
          </w:p>
        </w:tc>
      </w:tr>
      <w:tr w14:paraId="5014E3D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2" w:hRule="atLeast"/>
        </w:trPr>
        <w:tc>
          <w:tcPr>
            <w:tcW w:w="2710" w:type="dxa"/>
            <w:tcBorders>
              <w:top w:val="nil"/>
              <w:left w:val="single" w:color="auto" w:sz="8" w:space="0"/>
              <w:bottom w:val="single" w:color="auto" w:sz="8" w:space="0"/>
              <w:right w:val="single" w:color="auto" w:sz="8" w:space="0"/>
            </w:tcBorders>
            <w:shd w:val="clear" w:color="auto" w:fill="auto"/>
            <w:vAlign w:val="center"/>
          </w:tcPr>
          <w:p w14:paraId="4E0A5B28">
            <w:pPr>
              <w:pStyle w:val="2"/>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18"/>
                <w:szCs w:val="18"/>
              </w:rPr>
              <w:t>合计</w:t>
            </w:r>
          </w:p>
        </w:tc>
        <w:tc>
          <w:tcPr>
            <w:tcW w:w="1639" w:type="dxa"/>
            <w:tcBorders>
              <w:top w:val="nil"/>
              <w:left w:val="nil"/>
              <w:bottom w:val="single" w:color="auto" w:sz="8" w:space="0"/>
              <w:right w:val="single" w:color="auto" w:sz="8" w:space="0"/>
            </w:tcBorders>
            <w:shd w:val="clear" w:color="auto" w:fill="auto"/>
            <w:vAlign w:val="center"/>
          </w:tcPr>
          <w:p w14:paraId="106DBE17">
            <w:pPr>
              <w:pStyle w:val="2"/>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sz w:val="21"/>
                <w:szCs w:val="21"/>
              </w:rPr>
            </w:pPr>
            <w:r>
              <w:rPr>
                <w:rFonts w:hint="default" w:ascii="Arial Narrow" w:hAnsi="Arial Narrow" w:eastAsia="Arial Narrow" w:cs="Arial Narrow"/>
                <w:color w:val="000000"/>
                <w:sz w:val="18"/>
                <w:szCs w:val="18"/>
              </w:rPr>
              <w:t xml:space="preserve"> 10,150,827.24 </w:t>
            </w:r>
          </w:p>
        </w:tc>
        <w:tc>
          <w:tcPr>
            <w:tcW w:w="1095" w:type="dxa"/>
            <w:tcBorders>
              <w:top w:val="nil"/>
              <w:left w:val="nil"/>
              <w:bottom w:val="single" w:color="auto" w:sz="8" w:space="0"/>
              <w:right w:val="single" w:color="auto" w:sz="8" w:space="0"/>
            </w:tcBorders>
            <w:shd w:val="clear" w:color="auto" w:fill="auto"/>
            <w:vAlign w:val="center"/>
          </w:tcPr>
          <w:p w14:paraId="547171F7">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ascii="Calibri" w:hAnsi="Calibri" w:cs="Calibri"/>
                <w:sz w:val="18"/>
                <w:szCs w:val="18"/>
              </w:rPr>
              <w:t> </w:t>
            </w:r>
          </w:p>
        </w:tc>
        <w:tc>
          <w:tcPr>
            <w:tcW w:w="2883" w:type="dxa"/>
            <w:tcBorders>
              <w:top w:val="nil"/>
              <w:left w:val="nil"/>
              <w:bottom w:val="single" w:color="auto" w:sz="8" w:space="0"/>
              <w:right w:val="single" w:color="auto" w:sz="8" w:space="0"/>
            </w:tcBorders>
            <w:shd w:val="clear" w:color="auto" w:fill="auto"/>
            <w:vAlign w:val="center"/>
          </w:tcPr>
          <w:p w14:paraId="3D6DADFE">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Calibri" w:hAnsi="Calibri" w:cs="Calibri"/>
                <w:sz w:val="18"/>
                <w:szCs w:val="18"/>
              </w:rPr>
              <w:t> </w:t>
            </w:r>
          </w:p>
        </w:tc>
      </w:tr>
    </w:tbl>
    <w:p w14:paraId="6F6D3085">
      <w:pPr>
        <w:keepNext/>
        <w:keepLines/>
        <w:spacing w:before="300" w:after="300" w:line="280" w:lineRule="exact"/>
        <w:jc w:val="left"/>
        <w:outlineLvl w:val="3"/>
        <w:rPr>
          <w:rFonts w:ascii="宋体" w:hAnsi="宋体" w:eastAsia="宋体" w:cs="宋体"/>
          <w:b/>
          <w:bCs/>
          <w:sz w:val="21"/>
          <w:szCs w:val="21"/>
        </w:rPr>
      </w:pPr>
      <w:bookmarkStart w:id="282" w:name="_Toc989169"/>
      <w:r>
        <w:rPr>
          <w:rFonts w:ascii="宋体" w:hAnsi="宋体" w:eastAsia="宋体" w:cs="宋体"/>
          <w:b/>
          <w:bCs/>
          <w:sz w:val="21"/>
          <w:szCs w:val="21"/>
        </w:rPr>
        <w:t>（2） 按预付对象归集的期末余额前五名的预付款情况</w:t>
      </w:r>
      <w:bookmarkEnd w:id="282"/>
    </w:p>
    <w:tbl>
      <w:tblPr>
        <w:tblStyle w:val="3"/>
        <w:tblW w:w="97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760"/>
        <w:gridCol w:w="2440"/>
        <w:gridCol w:w="2200"/>
        <w:gridCol w:w="1720"/>
        <w:gridCol w:w="1660"/>
      </w:tblGrid>
      <w:tr w14:paraId="103E2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17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DA462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单位名称 </w:t>
            </w:r>
          </w:p>
        </w:tc>
        <w:tc>
          <w:tcPr>
            <w:tcW w:w="2440" w:type="dxa"/>
            <w:tcBorders>
              <w:top w:val="single" w:color="auto" w:sz="8" w:space="0"/>
              <w:left w:val="nil"/>
              <w:bottom w:val="single" w:color="auto" w:sz="8" w:space="0"/>
              <w:right w:val="single" w:color="auto" w:sz="8" w:space="0"/>
            </w:tcBorders>
            <w:shd w:val="clear" w:color="auto" w:fill="auto"/>
            <w:tcMar>
              <w:top w:w="10" w:type="dxa"/>
              <w:left w:w="10" w:type="dxa"/>
              <w:right w:w="10" w:type="dxa"/>
            </w:tcMar>
            <w:vAlign w:val="center"/>
          </w:tcPr>
          <w:p w14:paraId="2B1C35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期末余额 </w:t>
            </w:r>
          </w:p>
        </w:tc>
        <w:tc>
          <w:tcPr>
            <w:tcW w:w="2200" w:type="dxa"/>
            <w:tcBorders>
              <w:top w:val="single" w:color="auto" w:sz="8" w:space="0"/>
              <w:left w:val="nil"/>
              <w:bottom w:val="single" w:color="auto" w:sz="8" w:space="0"/>
              <w:right w:val="single" w:color="auto" w:sz="8" w:space="0"/>
            </w:tcBorders>
            <w:shd w:val="clear" w:color="auto" w:fill="auto"/>
            <w:tcMar>
              <w:top w:w="10" w:type="dxa"/>
              <w:left w:w="10" w:type="dxa"/>
              <w:right w:w="10" w:type="dxa"/>
            </w:tcMar>
            <w:vAlign w:val="center"/>
          </w:tcPr>
          <w:p w14:paraId="02B0D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占预付款项总额的比例(%) </w:t>
            </w:r>
          </w:p>
        </w:tc>
        <w:tc>
          <w:tcPr>
            <w:tcW w:w="1720" w:type="dxa"/>
            <w:tcBorders>
              <w:top w:val="single" w:color="auto" w:sz="8" w:space="0"/>
              <w:left w:val="nil"/>
              <w:bottom w:val="single" w:color="auto" w:sz="8" w:space="0"/>
              <w:right w:val="single" w:color="auto" w:sz="8" w:space="0"/>
            </w:tcBorders>
            <w:shd w:val="clear" w:color="auto" w:fill="auto"/>
            <w:tcMar>
              <w:top w:w="10" w:type="dxa"/>
              <w:left w:w="10" w:type="dxa"/>
              <w:right w:w="10" w:type="dxa"/>
            </w:tcMar>
            <w:vAlign w:val="center"/>
          </w:tcPr>
          <w:p w14:paraId="3EB18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预付款时间 </w:t>
            </w:r>
          </w:p>
        </w:tc>
        <w:tc>
          <w:tcPr>
            <w:tcW w:w="1660" w:type="dxa"/>
            <w:tcBorders>
              <w:top w:val="single" w:color="auto" w:sz="8" w:space="0"/>
              <w:left w:val="nil"/>
              <w:bottom w:val="single" w:color="auto" w:sz="8" w:space="0"/>
              <w:right w:val="single" w:color="auto" w:sz="8" w:space="0"/>
            </w:tcBorders>
            <w:shd w:val="clear" w:color="auto" w:fill="auto"/>
            <w:tcMar>
              <w:top w:w="10" w:type="dxa"/>
              <w:left w:w="10" w:type="dxa"/>
              <w:right w:w="10" w:type="dxa"/>
            </w:tcMar>
            <w:vAlign w:val="center"/>
          </w:tcPr>
          <w:p w14:paraId="4411F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未结算原因 </w:t>
            </w:r>
          </w:p>
        </w:tc>
      </w:tr>
      <w:tr w14:paraId="580C2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1760" w:type="dxa"/>
            <w:tcBorders>
              <w:top w:val="nil"/>
              <w:left w:val="single" w:color="auto" w:sz="8" w:space="0"/>
              <w:bottom w:val="single" w:color="auto" w:sz="8" w:space="0"/>
              <w:right w:val="single" w:color="auto" w:sz="8" w:space="0"/>
            </w:tcBorders>
            <w:shd w:val="clear" w:color="auto" w:fill="auto"/>
            <w:tcMar>
              <w:top w:w="10" w:type="dxa"/>
              <w:left w:w="10" w:type="dxa"/>
              <w:right w:w="10" w:type="dxa"/>
            </w:tcMar>
            <w:vAlign w:val="center"/>
          </w:tcPr>
          <w:p w14:paraId="3B089474">
            <w:pPr>
              <w:keepNext w:val="0"/>
              <w:keepLines w:val="0"/>
              <w:widowControl/>
              <w:suppressLineNumbers w:val="0"/>
              <w:jc w:val="left"/>
              <w:textAlignment w:val="center"/>
              <w:rPr>
                <w:rFonts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歌礼药业（浙江）有限公司</w:t>
            </w:r>
          </w:p>
        </w:tc>
        <w:tc>
          <w:tcPr>
            <w:tcW w:w="244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26A6A0FB">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8,198,771.93</w:t>
            </w:r>
          </w:p>
        </w:tc>
        <w:tc>
          <w:tcPr>
            <w:tcW w:w="220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21767387">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57.09</w:t>
            </w:r>
          </w:p>
        </w:tc>
        <w:tc>
          <w:tcPr>
            <w:tcW w:w="172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51DB4B53">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1-2年</w:t>
            </w:r>
          </w:p>
        </w:tc>
        <w:tc>
          <w:tcPr>
            <w:tcW w:w="166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55947C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仲裁未裁决</w:t>
            </w:r>
          </w:p>
        </w:tc>
      </w:tr>
      <w:tr w14:paraId="5E1C3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5" w:hRule="atLeast"/>
        </w:trPr>
        <w:tc>
          <w:tcPr>
            <w:tcW w:w="1760" w:type="dxa"/>
            <w:tcBorders>
              <w:top w:val="nil"/>
              <w:left w:val="single" w:color="auto" w:sz="8" w:space="0"/>
              <w:bottom w:val="single" w:color="auto" w:sz="8" w:space="0"/>
              <w:right w:val="single" w:color="auto" w:sz="8" w:space="0"/>
            </w:tcBorders>
            <w:shd w:val="clear" w:color="auto" w:fill="auto"/>
            <w:tcMar>
              <w:top w:w="10" w:type="dxa"/>
              <w:left w:w="10" w:type="dxa"/>
              <w:right w:w="10" w:type="dxa"/>
            </w:tcMar>
            <w:vAlign w:val="center"/>
          </w:tcPr>
          <w:p w14:paraId="3F277959">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宁夏蓝博思化学技术有限公司</w:t>
            </w:r>
          </w:p>
        </w:tc>
        <w:tc>
          <w:tcPr>
            <w:tcW w:w="244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3E75DAD8">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4,306,177.00</w:t>
            </w:r>
          </w:p>
        </w:tc>
        <w:tc>
          <w:tcPr>
            <w:tcW w:w="220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5A5A9E1E">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29.99</w:t>
            </w:r>
          </w:p>
        </w:tc>
        <w:tc>
          <w:tcPr>
            <w:tcW w:w="172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10EE5E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包含一年内及1-2年</w:t>
            </w:r>
          </w:p>
        </w:tc>
        <w:tc>
          <w:tcPr>
            <w:tcW w:w="166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5EA171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按合同预付；计划换母公司采购，待退款</w:t>
            </w:r>
          </w:p>
        </w:tc>
      </w:tr>
      <w:tr w14:paraId="62E2E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1760" w:type="dxa"/>
            <w:tcBorders>
              <w:top w:val="nil"/>
              <w:left w:val="single" w:color="auto" w:sz="8" w:space="0"/>
              <w:bottom w:val="single" w:color="auto" w:sz="8" w:space="0"/>
              <w:right w:val="single" w:color="auto" w:sz="8" w:space="0"/>
            </w:tcBorders>
            <w:shd w:val="clear" w:color="auto" w:fill="auto"/>
            <w:tcMar>
              <w:top w:w="10" w:type="dxa"/>
              <w:left w:w="10" w:type="dxa"/>
              <w:right w:w="10" w:type="dxa"/>
            </w:tcMar>
            <w:vAlign w:val="center"/>
          </w:tcPr>
          <w:p w14:paraId="54DA44F7">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博雅智汇大健康咨询（北京）有限公司</w:t>
            </w:r>
          </w:p>
        </w:tc>
        <w:tc>
          <w:tcPr>
            <w:tcW w:w="244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4A8670E8">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350,000.00</w:t>
            </w:r>
          </w:p>
        </w:tc>
        <w:tc>
          <w:tcPr>
            <w:tcW w:w="220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38C3A23B">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2.44</w:t>
            </w:r>
          </w:p>
        </w:tc>
        <w:tc>
          <w:tcPr>
            <w:tcW w:w="172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67A923E5">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1年内</w:t>
            </w:r>
          </w:p>
        </w:tc>
        <w:tc>
          <w:tcPr>
            <w:tcW w:w="166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7206FA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按合同预付</w:t>
            </w:r>
          </w:p>
        </w:tc>
      </w:tr>
      <w:tr w14:paraId="77B09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1760" w:type="dxa"/>
            <w:tcBorders>
              <w:top w:val="nil"/>
              <w:left w:val="single" w:color="auto" w:sz="8" w:space="0"/>
              <w:bottom w:val="single" w:color="auto" w:sz="8" w:space="0"/>
              <w:right w:val="single" w:color="auto" w:sz="8" w:space="0"/>
            </w:tcBorders>
            <w:shd w:val="clear" w:color="auto" w:fill="auto"/>
            <w:tcMar>
              <w:top w:w="10" w:type="dxa"/>
              <w:left w:w="10" w:type="dxa"/>
              <w:right w:w="10" w:type="dxa"/>
            </w:tcMar>
            <w:vAlign w:val="center"/>
          </w:tcPr>
          <w:p w14:paraId="062EBDCA">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石家庄鑫富达医药包装有限公司</w:t>
            </w:r>
          </w:p>
        </w:tc>
        <w:tc>
          <w:tcPr>
            <w:tcW w:w="244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29AB7775">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170,750.00</w:t>
            </w:r>
          </w:p>
        </w:tc>
        <w:tc>
          <w:tcPr>
            <w:tcW w:w="220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19CD4CFA">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1.19</w:t>
            </w:r>
          </w:p>
        </w:tc>
        <w:tc>
          <w:tcPr>
            <w:tcW w:w="172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51236FBF">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2-3</w:t>
            </w:r>
            <w:r>
              <w:rPr>
                <w:rFonts w:hint="eastAsia" w:ascii="宋体" w:hAnsi="宋体" w:eastAsia="宋体" w:cs="宋体"/>
                <w:i w:val="0"/>
                <w:iCs w:val="0"/>
                <w:color w:val="000000"/>
                <w:kern w:val="0"/>
                <w:sz w:val="18"/>
                <w:szCs w:val="18"/>
                <w:u w:val="none"/>
                <w:lang w:val="en-US" w:eastAsia="zh-CN" w:bidi="ar"/>
              </w:rPr>
              <w:t>年</w:t>
            </w:r>
          </w:p>
        </w:tc>
        <w:tc>
          <w:tcPr>
            <w:tcW w:w="166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3F734A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尚未达到结算时间</w:t>
            </w:r>
          </w:p>
        </w:tc>
      </w:tr>
      <w:tr w14:paraId="21D5F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trPr>
        <w:tc>
          <w:tcPr>
            <w:tcW w:w="1760" w:type="dxa"/>
            <w:tcBorders>
              <w:top w:val="nil"/>
              <w:left w:val="single" w:color="auto" w:sz="8" w:space="0"/>
              <w:bottom w:val="single" w:color="auto" w:sz="8" w:space="0"/>
              <w:right w:val="single" w:color="auto" w:sz="8" w:space="0"/>
            </w:tcBorders>
            <w:shd w:val="clear" w:color="auto" w:fill="auto"/>
            <w:tcMar>
              <w:top w:w="10" w:type="dxa"/>
              <w:left w:w="10" w:type="dxa"/>
              <w:right w:w="10" w:type="dxa"/>
            </w:tcMar>
            <w:vAlign w:val="center"/>
          </w:tcPr>
          <w:p w14:paraId="02C4359C">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中国人民财产保险股份有限公司上海市分公司</w:t>
            </w:r>
          </w:p>
        </w:tc>
        <w:tc>
          <w:tcPr>
            <w:tcW w:w="244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4081385C">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117,924.51</w:t>
            </w:r>
          </w:p>
        </w:tc>
        <w:tc>
          <w:tcPr>
            <w:tcW w:w="220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2A9BAA3E">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0.82</w:t>
            </w:r>
          </w:p>
        </w:tc>
        <w:tc>
          <w:tcPr>
            <w:tcW w:w="172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33C08641">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1年内</w:t>
            </w:r>
          </w:p>
        </w:tc>
        <w:tc>
          <w:tcPr>
            <w:tcW w:w="166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6A457E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按合同预付</w:t>
            </w:r>
          </w:p>
        </w:tc>
      </w:tr>
      <w:tr w14:paraId="46EFA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760" w:type="dxa"/>
            <w:tcBorders>
              <w:top w:val="nil"/>
              <w:left w:val="single" w:color="auto" w:sz="8" w:space="0"/>
              <w:bottom w:val="single" w:color="auto" w:sz="8" w:space="0"/>
              <w:right w:val="single" w:color="auto" w:sz="8" w:space="0"/>
            </w:tcBorders>
            <w:shd w:val="clear" w:color="auto" w:fill="auto"/>
            <w:tcMar>
              <w:top w:w="10" w:type="dxa"/>
              <w:left w:w="10" w:type="dxa"/>
              <w:right w:w="10" w:type="dxa"/>
            </w:tcMar>
            <w:vAlign w:val="center"/>
          </w:tcPr>
          <w:p w14:paraId="385B5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244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4AD21B4C">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13,143,623.44</w:t>
            </w:r>
          </w:p>
        </w:tc>
        <w:tc>
          <w:tcPr>
            <w:tcW w:w="220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4A2F7A5C">
            <w:pPr>
              <w:keepNext w:val="0"/>
              <w:keepLines w:val="0"/>
              <w:widowControl/>
              <w:suppressLineNumbers w:val="0"/>
              <w:jc w:val="righ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91.52</w:t>
            </w:r>
          </w:p>
        </w:tc>
        <w:tc>
          <w:tcPr>
            <w:tcW w:w="172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73B2A9B7">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　</w:t>
            </w:r>
          </w:p>
        </w:tc>
        <w:tc>
          <w:tcPr>
            <w:tcW w:w="1660" w:type="dxa"/>
            <w:tcBorders>
              <w:top w:val="nil"/>
              <w:left w:val="nil"/>
              <w:bottom w:val="single" w:color="auto" w:sz="8" w:space="0"/>
              <w:right w:val="single" w:color="auto" w:sz="8" w:space="0"/>
            </w:tcBorders>
            <w:shd w:val="clear" w:color="auto" w:fill="auto"/>
            <w:tcMar>
              <w:top w:w="10" w:type="dxa"/>
              <w:left w:w="10" w:type="dxa"/>
              <w:right w:w="10" w:type="dxa"/>
            </w:tcMar>
            <w:vAlign w:val="center"/>
          </w:tcPr>
          <w:p w14:paraId="28E7F216">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　</w:t>
            </w:r>
          </w:p>
        </w:tc>
      </w:tr>
    </w:tbl>
    <w:p w14:paraId="31151AC7">
      <w:pPr>
        <w:pStyle w:val="2"/>
        <w:keepNext w:val="0"/>
        <w:keepLines w:val="0"/>
        <w:widowControl/>
        <w:suppressLineNumbers w:val="0"/>
      </w:pPr>
      <w:r>
        <w:rPr>
          <w:rFonts w:hint="eastAsia" w:ascii="宋体" w:hAnsi="宋体" w:eastAsia="宋体" w:cs="宋体"/>
          <w:sz w:val="18"/>
          <w:szCs w:val="18"/>
        </w:rPr>
        <w:t> </w:t>
      </w:r>
    </w:p>
    <w:p w14:paraId="14492F1D">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722A4DE">
      <w:pPr>
        <w:keepNext/>
        <w:keepLines/>
        <w:spacing w:before="300" w:after="300" w:line="280" w:lineRule="exact"/>
        <w:jc w:val="left"/>
        <w:outlineLvl w:val="2"/>
        <w:rPr>
          <w:rFonts w:ascii="宋体" w:hAnsi="宋体" w:eastAsia="宋体" w:cs="宋体"/>
          <w:b/>
          <w:bCs/>
          <w:sz w:val="21"/>
          <w:szCs w:val="21"/>
        </w:rPr>
      </w:pPr>
      <w:bookmarkStart w:id="283" w:name="_Toc989170"/>
      <w:r>
        <w:rPr>
          <w:rFonts w:ascii="宋体" w:hAnsi="宋体" w:eastAsia="宋体" w:cs="宋体"/>
          <w:b/>
          <w:bCs/>
          <w:sz w:val="21"/>
          <w:szCs w:val="21"/>
        </w:rPr>
        <w:t>10、存货</w:t>
      </w:r>
      <w:bookmarkEnd w:id="283"/>
    </w:p>
    <w:p w14:paraId="033B01F2">
      <w:pPr>
        <w:spacing w:before="100" w:after="100" w:line="240" w:lineRule="exact"/>
        <w:jc w:val="left"/>
        <w:rPr>
          <w:rFonts w:ascii="宋体" w:hAnsi="宋体" w:eastAsia="宋体" w:cs="宋体"/>
          <w:sz w:val="18"/>
          <w:szCs w:val="18"/>
        </w:rPr>
      </w:pPr>
      <w:r>
        <w:rPr>
          <w:rFonts w:ascii="宋体" w:hAnsi="宋体" w:eastAsia="宋体" w:cs="宋体"/>
          <w:sz w:val="18"/>
          <w:szCs w:val="18"/>
        </w:rPr>
        <w:t>公司是否需要遵守房地产行业的披露要求</w:t>
      </w:r>
    </w:p>
    <w:p w14:paraId="6843960E">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p w14:paraId="63F0CECB">
      <w:pPr>
        <w:keepNext/>
        <w:keepLines/>
        <w:spacing w:before="300" w:after="300" w:line="280" w:lineRule="exact"/>
        <w:jc w:val="left"/>
        <w:outlineLvl w:val="3"/>
        <w:rPr>
          <w:rFonts w:ascii="宋体" w:hAnsi="宋体" w:eastAsia="宋体" w:cs="宋体"/>
          <w:b/>
          <w:bCs/>
          <w:sz w:val="21"/>
          <w:szCs w:val="21"/>
        </w:rPr>
      </w:pPr>
      <w:bookmarkStart w:id="284" w:name="_Toc989171"/>
      <w:r>
        <w:rPr>
          <w:rFonts w:ascii="宋体" w:hAnsi="宋体" w:eastAsia="宋体" w:cs="宋体"/>
          <w:b/>
          <w:bCs/>
          <w:sz w:val="21"/>
          <w:szCs w:val="21"/>
        </w:rPr>
        <w:t>（1） 存货分类</w:t>
      </w:r>
      <w:bookmarkEnd w:id="284"/>
    </w:p>
    <w:p w14:paraId="75E88EF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2EAA1D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4B55B9A">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12C9279E">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48C0C7F4">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5C873B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276D662"/>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E46123C">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DD46736">
            <w:pPr>
              <w:spacing w:before="40" w:after="40" w:line="240" w:lineRule="exact"/>
              <w:jc w:val="center"/>
              <w:rPr>
                <w:rFonts w:ascii="宋体" w:hAnsi="宋体" w:eastAsia="宋体" w:cs="宋体"/>
                <w:sz w:val="18"/>
                <w:szCs w:val="18"/>
              </w:rPr>
            </w:pPr>
            <w:r>
              <w:rPr>
                <w:rFonts w:ascii="宋体" w:hAnsi="宋体" w:eastAsia="宋体" w:cs="宋体"/>
                <w:sz w:val="18"/>
                <w:szCs w:val="18"/>
              </w:rPr>
              <w:t>存货跌价准备或合同履约成本减值准备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55B5290">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8F33A72">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2AA871C">
            <w:pPr>
              <w:spacing w:before="40" w:after="40" w:line="240" w:lineRule="exact"/>
              <w:jc w:val="center"/>
              <w:rPr>
                <w:rFonts w:ascii="宋体" w:hAnsi="宋体" w:eastAsia="宋体" w:cs="宋体"/>
                <w:sz w:val="18"/>
                <w:szCs w:val="18"/>
              </w:rPr>
            </w:pPr>
            <w:r>
              <w:rPr>
                <w:rFonts w:ascii="宋体" w:hAnsi="宋体" w:eastAsia="宋体" w:cs="宋体"/>
                <w:sz w:val="18"/>
                <w:szCs w:val="18"/>
              </w:rPr>
              <w:t>存货跌价准备或合同履约成本减值准备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7453410">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1A65E6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23E42D8">
            <w:pPr>
              <w:spacing w:before="0" w:after="0" w:line="240" w:lineRule="exact"/>
              <w:jc w:val="left"/>
              <w:rPr>
                <w:rFonts w:ascii="宋体" w:hAnsi="宋体" w:eastAsia="宋体" w:cs="宋体"/>
                <w:sz w:val="18"/>
                <w:szCs w:val="18"/>
              </w:rPr>
            </w:pPr>
            <w:r>
              <w:rPr>
                <w:rFonts w:ascii="宋体" w:hAnsi="宋体" w:eastAsia="宋体" w:cs="宋体"/>
                <w:sz w:val="18"/>
                <w:szCs w:val="18"/>
              </w:rPr>
              <w:t>原材料</w:t>
            </w:r>
          </w:p>
        </w:tc>
        <w:tc>
          <w:tcPr>
            <w:tcW w:w="1377" w:type="dxa"/>
            <w:tcBorders>
              <w:top w:val="single" w:color="auto" w:sz="2" w:space="0"/>
              <w:left w:val="single" w:color="auto" w:sz="2" w:space="0"/>
              <w:bottom w:val="single" w:color="auto" w:sz="2" w:space="0"/>
              <w:right w:val="single" w:color="auto" w:sz="2" w:space="0"/>
            </w:tcBorders>
            <w:vAlign w:val="center"/>
          </w:tcPr>
          <w:p w14:paraId="777C1FDC">
            <w:pPr>
              <w:spacing w:before="0" w:after="0" w:line="240" w:lineRule="exact"/>
              <w:jc w:val="right"/>
              <w:rPr>
                <w:rFonts w:ascii="宋体" w:hAnsi="宋体" w:eastAsia="宋体" w:cs="宋体"/>
                <w:sz w:val="18"/>
                <w:szCs w:val="18"/>
              </w:rPr>
            </w:pPr>
            <w:r>
              <w:rPr>
                <w:rFonts w:ascii="宋体" w:hAnsi="宋体" w:eastAsia="宋体" w:cs="宋体"/>
                <w:sz w:val="18"/>
                <w:szCs w:val="18"/>
              </w:rPr>
              <w:t>16,648,511.30</w:t>
            </w:r>
          </w:p>
        </w:tc>
        <w:tc>
          <w:tcPr>
            <w:tcW w:w="1377" w:type="dxa"/>
            <w:tcBorders>
              <w:top w:val="single" w:color="auto" w:sz="2" w:space="0"/>
              <w:left w:val="single" w:color="auto" w:sz="2" w:space="0"/>
              <w:bottom w:val="single" w:color="auto" w:sz="2" w:space="0"/>
              <w:right w:val="single" w:color="auto" w:sz="2" w:space="0"/>
            </w:tcBorders>
            <w:vAlign w:val="center"/>
          </w:tcPr>
          <w:p w14:paraId="532BFA27">
            <w:pPr>
              <w:spacing w:before="0" w:after="0" w:line="240" w:lineRule="exact"/>
              <w:jc w:val="right"/>
              <w:rPr>
                <w:rFonts w:ascii="宋体" w:hAnsi="宋体" w:eastAsia="宋体" w:cs="宋体"/>
                <w:sz w:val="18"/>
                <w:szCs w:val="18"/>
              </w:rPr>
            </w:pPr>
            <w:r>
              <w:rPr>
                <w:rFonts w:ascii="宋体" w:hAnsi="宋体" w:eastAsia="宋体" w:cs="宋体"/>
                <w:sz w:val="18"/>
                <w:szCs w:val="18"/>
              </w:rPr>
              <w:t>333,256.49</w:t>
            </w:r>
          </w:p>
        </w:tc>
        <w:tc>
          <w:tcPr>
            <w:tcW w:w="1377" w:type="dxa"/>
            <w:tcBorders>
              <w:top w:val="single" w:color="auto" w:sz="2" w:space="0"/>
              <w:left w:val="single" w:color="auto" w:sz="2" w:space="0"/>
              <w:bottom w:val="single" w:color="auto" w:sz="2" w:space="0"/>
              <w:right w:val="single" w:color="auto" w:sz="2" w:space="0"/>
            </w:tcBorders>
            <w:vAlign w:val="center"/>
          </w:tcPr>
          <w:p w14:paraId="48772C8B">
            <w:pPr>
              <w:spacing w:before="0" w:after="0" w:line="240" w:lineRule="exact"/>
              <w:jc w:val="right"/>
              <w:rPr>
                <w:rFonts w:ascii="宋体" w:hAnsi="宋体" w:eastAsia="宋体" w:cs="宋体"/>
                <w:sz w:val="18"/>
                <w:szCs w:val="18"/>
              </w:rPr>
            </w:pPr>
            <w:r>
              <w:rPr>
                <w:rFonts w:ascii="宋体" w:hAnsi="宋体" w:eastAsia="宋体" w:cs="宋体"/>
                <w:sz w:val="18"/>
                <w:szCs w:val="18"/>
              </w:rPr>
              <w:t>16,315,254.81</w:t>
            </w:r>
          </w:p>
        </w:tc>
        <w:tc>
          <w:tcPr>
            <w:tcW w:w="1377" w:type="dxa"/>
            <w:tcBorders>
              <w:top w:val="single" w:color="auto" w:sz="2" w:space="0"/>
              <w:left w:val="single" w:color="auto" w:sz="2" w:space="0"/>
              <w:bottom w:val="single" w:color="auto" w:sz="2" w:space="0"/>
              <w:right w:val="single" w:color="auto" w:sz="2" w:space="0"/>
            </w:tcBorders>
            <w:vAlign w:val="center"/>
          </w:tcPr>
          <w:p w14:paraId="2234F918">
            <w:pPr>
              <w:spacing w:before="0" w:after="0" w:line="240" w:lineRule="exact"/>
              <w:jc w:val="right"/>
              <w:rPr>
                <w:rFonts w:ascii="宋体" w:hAnsi="宋体" w:eastAsia="宋体" w:cs="宋体"/>
                <w:sz w:val="18"/>
                <w:szCs w:val="18"/>
              </w:rPr>
            </w:pPr>
            <w:r>
              <w:rPr>
                <w:rFonts w:ascii="宋体" w:hAnsi="宋体" w:eastAsia="宋体" w:cs="宋体"/>
                <w:sz w:val="18"/>
                <w:szCs w:val="18"/>
              </w:rPr>
              <w:t>30,036,260.19</w:t>
            </w:r>
          </w:p>
        </w:tc>
        <w:tc>
          <w:tcPr>
            <w:tcW w:w="1377" w:type="dxa"/>
            <w:tcBorders>
              <w:top w:val="single" w:color="auto" w:sz="2" w:space="0"/>
              <w:left w:val="single" w:color="auto" w:sz="2" w:space="0"/>
              <w:bottom w:val="single" w:color="auto" w:sz="2" w:space="0"/>
              <w:right w:val="single" w:color="auto" w:sz="2" w:space="0"/>
            </w:tcBorders>
            <w:vAlign w:val="center"/>
          </w:tcPr>
          <w:p w14:paraId="694BE1B8">
            <w:pPr>
              <w:spacing w:before="0" w:after="0" w:line="240" w:lineRule="exact"/>
              <w:jc w:val="right"/>
              <w:rPr>
                <w:rFonts w:ascii="宋体" w:hAnsi="宋体" w:eastAsia="宋体" w:cs="宋体"/>
                <w:sz w:val="18"/>
                <w:szCs w:val="18"/>
              </w:rPr>
            </w:pPr>
            <w:r>
              <w:rPr>
                <w:rFonts w:ascii="宋体" w:hAnsi="宋体" w:eastAsia="宋体" w:cs="宋体"/>
                <w:sz w:val="18"/>
                <w:szCs w:val="18"/>
              </w:rPr>
              <w:t>339,104.25</w:t>
            </w:r>
          </w:p>
        </w:tc>
        <w:tc>
          <w:tcPr>
            <w:tcW w:w="1377" w:type="dxa"/>
            <w:tcBorders>
              <w:top w:val="single" w:color="auto" w:sz="2" w:space="0"/>
              <w:left w:val="single" w:color="auto" w:sz="2" w:space="0"/>
              <w:bottom w:val="single" w:color="auto" w:sz="2" w:space="0"/>
              <w:right w:val="single" w:color="auto" w:sz="2" w:space="0"/>
            </w:tcBorders>
            <w:vAlign w:val="center"/>
          </w:tcPr>
          <w:p w14:paraId="38B77DA8">
            <w:pPr>
              <w:spacing w:before="0" w:after="0" w:line="240" w:lineRule="exact"/>
              <w:jc w:val="right"/>
              <w:rPr>
                <w:rFonts w:ascii="宋体" w:hAnsi="宋体" w:eastAsia="宋体" w:cs="宋体"/>
                <w:sz w:val="18"/>
                <w:szCs w:val="18"/>
              </w:rPr>
            </w:pPr>
            <w:r>
              <w:rPr>
                <w:rFonts w:ascii="宋体" w:hAnsi="宋体" w:eastAsia="宋体" w:cs="宋体"/>
                <w:sz w:val="18"/>
                <w:szCs w:val="18"/>
              </w:rPr>
              <w:t>29,697,155.94</w:t>
            </w:r>
          </w:p>
        </w:tc>
      </w:tr>
      <w:tr w14:paraId="48849B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5058FFEA">
            <w:pPr>
              <w:spacing w:before="0" w:after="0" w:line="240" w:lineRule="exact"/>
              <w:jc w:val="left"/>
              <w:rPr>
                <w:rFonts w:ascii="宋体" w:hAnsi="宋体" w:eastAsia="宋体" w:cs="宋体"/>
                <w:sz w:val="18"/>
                <w:szCs w:val="18"/>
              </w:rPr>
            </w:pPr>
            <w:r>
              <w:rPr>
                <w:rFonts w:ascii="宋体" w:hAnsi="宋体" w:eastAsia="宋体" w:cs="宋体"/>
                <w:sz w:val="18"/>
                <w:szCs w:val="18"/>
              </w:rPr>
              <w:t>在产品</w:t>
            </w:r>
          </w:p>
        </w:tc>
        <w:tc>
          <w:tcPr>
            <w:tcW w:w="1377" w:type="dxa"/>
            <w:tcBorders>
              <w:top w:val="single" w:color="auto" w:sz="2" w:space="0"/>
              <w:left w:val="single" w:color="auto" w:sz="2" w:space="0"/>
              <w:bottom w:val="single" w:color="auto" w:sz="2" w:space="0"/>
              <w:right w:val="single" w:color="auto" w:sz="2" w:space="0"/>
            </w:tcBorders>
            <w:vAlign w:val="center"/>
          </w:tcPr>
          <w:p w14:paraId="11B6123D">
            <w:pPr>
              <w:spacing w:before="0" w:after="0" w:line="240" w:lineRule="exact"/>
              <w:jc w:val="right"/>
              <w:rPr>
                <w:rFonts w:ascii="宋体" w:hAnsi="宋体" w:eastAsia="宋体" w:cs="宋体"/>
                <w:sz w:val="18"/>
                <w:szCs w:val="18"/>
              </w:rPr>
            </w:pPr>
            <w:r>
              <w:rPr>
                <w:rFonts w:ascii="宋体" w:hAnsi="宋体" w:eastAsia="宋体" w:cs="宋体"/>
                <w:sz w:val="18"/>
                <w:szCs w:val="18"/>
              </w:rPr>
              <w:t>16,818,491.99</w:t>
            </w:r>
          </w:p>
        </w:tc>
        <w:tc>
          <w:tcPr>
            <w:tcW w:w="1377" w:type="dxa"/>
            <w:tcBorders>
              <w:top w:val="single" w:color="auto" w:sz="2" w:space="0"/>
              <w:left w:val="single" w:color="auto" w:sz="2" w:space="0"/>
              <w:bottom w:val="single" w:color="auto" w:sz="2" w:space="0"/>
              <w:right w:val="single" w:color="auto" w:sz="2" w:space="0"/>
            </w:tcBorders>
            <w:vAlign w:val="center"/>
          </w:tcPr>
          <w:p w14:paraId="2C9E8E4B">
            <w:pPr>
              <w:spacing w:before="0" w:after="0" w:line="240" w:lineRule="exact"/>
              <w:jc w:val="right"/>
              <w:rPr>
                <w:rFonts w:ascii="宋体" w:hAnsi="宋体" w:eastAsia="宋体" w:cs="宋体"/>
                <w:sz w:val="18"/>
                <w:szCs w:val="18"/>
              </w:rPr>
            </w:pPr>
            <w:r>
              <w:rPr>
                <w:rFonts w:ascii="宋体" w:hAnsi="宋体" w:eastAsia="宋体" w:cs="宋体"/>
                <w:sz w:val="18"/>
                <w:szCs w:val="18"/>
              </w:rPr>
              <w:t>27,368.07</w:t>
            </w:r>
          </w:p>
        </w:tc>
        <w:tc>
          <w:tcPr>
            <w:tcW w:w="1377" w:type="dxa"/>
            <w:tcBorders>
              <w:top w:val="single" w:color="auto" w:sz="2" w:space="0"/>
              <w:left w:val="single" w:color="auto" w:sz="2" w:space="0"/>
              <w:bottom w:val="single" w:color="auto" w:sz="2" w:space="0"/>
              <w:right w:val="single" w:color="auto" w:sz="2" w:space="0"/>
            </w:tcBorders>
            <w:vAlign w:val="center"/>
          </w:tcPr>
          <w:p w14:paraId="077081D2">
            <w:pPr>
              <w:spacing w:before="0" w:after="0" w:line="240" w:lineRule="exact"/>
              <w:jc w:val="right"/>
              <w:rPr>
                <w:rFonts w:ascii="宋体" w:hAnsi="宋体" w:eastAsia="宋体" w:cs="宋体"/>
                <w:sz w:val="18"/>
                <w:szCs w:val="18"/>
              </w:rPr>
            </w:pPr>
            <w:r>
              <w:rPr>
                <w:rFonts w:ascii="宋体" w:hAnsi="宋体" w:eastAsia="宋体" w:cs="宋体"/>
                <w:sz w:val="18"/>
                <w:szCs w:val="18"/>
              </w:rPr>
              <w:t>16,791,123.92</w:t>
            </w:r>
          </w:p>
        </w:tc>
        <w:tc>
          <w:tcPr>
            <w:tcW w:w="1377" w:type="dxa"/>
            <w:tcBorders>
              <w:top w:val="single" w:color="auto" w:sz="2" w:space="0"/>
              <w:left w:val="single" w:color="auto" w:sz="2" w:space="0"/>
              <w:bottom w:val="single" w:color="auto" w:sz="2" w:space="0"/>
              <w:right w:val="single" w:color="auto" w:sz="2" w:space="0"/>
            </w:tcBorders>
            <w:vAlign w:val="center"/>
          </w:tcPr>
          <w:p w14:paraId="5A88142C">
            <w:pPr>
              <w:spacing w:before="0" w:after="0" w:line="240" w:lineRule="exact"/>
              <w:jc w:val="right"/>
              <w:rPr>
                <w:rFonts w:ascii="宋体" w:hAnsi="宋体" w:eastAsia="宋体" w:cs="宋体"/>
                <w:sz w:val="18"/>
                <w:szCs w:val="18"/>
              </w:rPr>
            </w:pPr>
            <w:r>
              <w:rPr>
                <w:rFonts w:ascii="宋体" w:hAnsi="宋体" w:eastAsia="宋体" w:cs="宋体"/>
                <w:sz w:val="18"/>
                <w:szCs w:val="18"/>
              </w:rPr>
              <w:t>20,471,555.04</w:t>
            </w:r>
          </w:p>
        </w:tc>
        <w:tc>
          <w:tcPr>
            <w:tcW w:w="1377" w:type="dxa"/>
            <w:tcBorders>
              <w:top w:val="single" w:color="auto" w:sz="2" w:space="0"/>
              <w:left w:val="single" w:color="auto" w:sz="2" w:space="0"/>
              <w:bottom w:val="single" w:color="auto" w:sz="2" w:space="0"/>
              <w:right w:val="single" w:color="auto" w:sz="2" w:space="0"/>
            </w:tcBorders>
            <w:vAlign w:val="center"/>
          </w:tcPr>
          <w:p w14:paraId="6BAD613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D5DBE0F">
            <w:pPr>
              <w:spacing w:before="0" w:after="0" w:line="240" w:lineRule="exact"/>
              <w:jc w:val="right"/>
              <w:rPr>
                <w:rFonts w:ascii="宋体" w:hAnsi="宋体" w:eastAsia="宋体" w:cs="宋体"/>
                <w:sz w:val="18"/>
                <w:szCs w:val="18"/>
              </w:rPr>
            </w:pPr>
            <w:r>
              <w:rPr>
                <w:rFonts w:ascii="宋体" w:hAnsi="宋体" w:eastAsia="宋体" w:cs="宋体"/>
                <w:sz w:val="18"/>
                <w:szCs w:val="18"/>
              </w:rPr>
              <w:t>20,471,555.04</w:t>
            </w:r>
          </w:p>
        </w:tc>
      </w:tr>
      <w:tr w14:paraId="1D07CB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5A7D309D">
            <w:pPr>
              <w:spacing w:before="0" w:after="0" w:line="240" w:lineRule="exact"/>
              <w:jc w:val="left"/>
              <w:rPr>
                <w:rFonts w:ascii="宋体" w:hAnsi="宋体" w:eastAsia="宋体" w:cs="宋体"/>
                <w:sz w:val="18"/>
                <w:szCs w:val="18"/>
              </w:rPr>
            </w:pPr>
            <w:r>
              <w:rPr>
                <w:rFonts w:ascii="宋体" w:hAnsi="宋体" w:eastAsia="宋体" w:cs="宋体"/>
                <w:sz w:val="18"/>
                <w:szCs w:val="18"/>
              </w:rPr>
              <w:t>库存商品</w:t>
            </w:r>
          </w:p>
        </w:tc>
        <w:tc>
          <w:tcPr>
            <w:tcW w:w="1377" w:type="dxa"/>
            <w:tcBorders>
              <w:top w:val="single" w:color="auto" w:sz="2" w:space="0"/>
              <w:left w:val="single" w:color="auto" w:sz="2" w:space="0"/>
              <w:bottom w:val="single" w:color="auto" w:sz="2" w:space="0"/>
              <w:right w:val="single" w:color="auto" w:sz="2" w:space="0"/>
            </w:tcBorders>
            <w:vAlign w:val="center"/>
          </w:tcPr>
          <w:p w14:paraId="395554FD">
            <w:pPr>
              <w:spacing w:before="0" w:after="0" w:line="240" w:lineRule="exact"/>
              <w:jc w:val="right"/>
              <w:rPr>
                <w:rFonts w:ascii="宋体" w:hAnsi="宋体" w:eastAsia="宋体" w:cs="宋体"/>
                <w:sz w:val="18"/>
                <w:szCs w:val="18"/>
              </w:rPr>
            </w:pPr>
            <w:r>
              <w:rPr>
                <w:rFonts w:ascii="宋体" w:hAnsi="宋体" w:eastAsia="宋体" w:cs="宋体"/>
                <w:sz w:val="18"/>
                <w:szCs w:val="18"/>
              </w:rPr>
              <w:t>54,604,239.45</w:t>
            </w:r>
          </w:p>
        </w:tc>
        <w:tc>
          <w:tcPr>
            <w:tcW w:w="1377" w:type="dxa"/>
            <w:tcBorders>
              <w:top w:val="single" w:color="auto" w:sz="2" w:space="0"/>
              <w:left w:val="single" w:color="auto" w:sz="2" w:space="0"/>
              <w:bottom w:val="single" w:color="auto" w:sz="2" w:space="0"/>
              <w:right w:val="single" w:color="auto" w:sz="2" w:space="0"/>
            </w:tcBorders>
            <w:vAlign w:val="center"/>
          </w:tcPr>
          <w:p w14:paraId="6D882EA9">
            <w:pPr>
              <w:spacing w:before="0" w:after="0" w:line="240" w:lineRule="exact"/>
              <w:jc w:val="right"/>
              <w:rPr>
                <w:rFonts w:ascii="宋体" w:hAnsi="宋体" w:eastAsia="宋体" w:cs="宋体"/>
                <w:sz w:val="18"/>
                <w:szCs w:val="18"/>
              </w:rPr>
            </w:pPr>
            <w:r>
              <w:rPr>
                <w:rFonts w:ascii="宋体" w:hAnsi="宋体" w:eastAsia="宋体" w:cs="宋体"/>
                <w:sz w:val="18"/>
                <w:szCs w:val="18"/>
              </w:rPr>
              <w:t>32,987,863.92</w:t>
            </w:r>
          </w:p>
        </w:tc>
        <w:tc>
          <w:tcPr>
            <w:tcW w:w="1377" w:type="dxa"/>
            <w:tcBorders>
              <w:top w:val="single" w:color="auto" w:sz="2" w:space="0"/>
              <w:left w:val="single" w:color="auto" w:sz="2" w:space="0"/>
              <w:bottom w:val="single" w:color="auto" w:sz="2" w:space="0"/>
              <w:right w:val="single" w:color="auto" w:sz="2" w:space="0"/>
            </w:tcBorders>
            <w:vAlign w:val="center"/>
          </w:tcPr>
          <w:p w14:paraId="40EA3468">
            <w:pPr>
              <w:spacing w:before="0" w:after="0" w:line="240" w:lineRule="exact"/>
              <w:jc w:val="right"/>
              <w:rPr>
                <w:rFonts w:ascii="宋体" w:hAnsi="宋体" w:eastAsia="宋体" w:cs="宋体"/>
                <w:sz w:val="18"/>
                <w:szCs w:val="18"/>
              </w:rPr>
            </w:pPr>
            <w:r>
              <w:rPr>
                <w:rFonts w:ascii="宋体" w:hAnsi="宋体" w:eastAsia="宋体" w:cs="宋体"/>
                <w:sz w:val="18"/>
                <w:szCs w:val="18"/>
              </w:rPr>
              <w:t>21,616,375.53</w:t>
            </w:r>
          </w:p>
        </w:tc>
        <w:tc>
          <w:tcPr>
            <w:tcW w:w="1377" w:type="dxa"/>
            <w:tcBorders>
              <w:top w:val="single" w:color="auto" w:sz="2" w:space="0"/>
              <w:left w:val="single" w:color="auto" w:sz="2" w:space="0"/>
              <w:bottom w:val="single" w:color="auto" w:sz="2" w:space="0"/>
              <w:right w:val="single" w:color="auto" w:sz="2" w:space="0"/>
            </w:tcBorders>
            <w:vAlign w:val="center"/>
          </w:tcPr>
          <w:p w14:paraId="5D44D01B">
            <w:pPr>
              <w:spacing w:before="0" w:after="0" w:line="240" w:lineRule="exact"/>
              <w:jc w:val="right"/>
              <w:rPr>
                <w:rFonts w:ascii="宋体" w:hAnsi="宋体" w:eastAsia="宋体" w:cs="宋体"/>
                <w:sz w:val="18"/>
                <w:szCs w:val="18"/>
              </w:rPr>
            </w:pPr>
            <w:r>
              <w:rPr>
                <w:rFonts w:ascii="宋体" w:hAnsi="宋体" w:eastAsia="宋体" w:cs="宋体"/>
                <w:sz w:val="18"/>
                <w:szCs w:val="18"/>
              </w:rPr>
              <w:t>13,604,680.49</w:t>
            </w:r>
          </w:p>
        </w:tc>
        <w:tc>
          <w:tcPr>
            <w:tcW w:w="1377" w:type="dxa"/>
            <w:tcBorders>
              <w:top w:val="single" w:color="auto" w:sz="2" w:space="0"/>
              <w:left w:val="single" w:color="auto" w:sz="2" w:space="0"/>
              <w:bottom w:val="single" w:color="auto" w:sz="2" w:space="0"/>
              <w:right w:val="single" w:color="auto" w:sz="2" w:space="0"/>
            </w:tcBorders>
            <w:vAlign w:val="center"/>
          </w:tcPr>
          <w:p w14:paraId="1C36E4B0">
            <w:pPr>
              <w:spacing w:before="0" w:after="0" w:line="240" w:lineRule="exact"/>
              <w:jc w:val="right"/>
              <w:rPr>
                <w:rFonts w:ascii="宋体" w:hAnsi="宋体" w:eastAsia="宋体" w:cs="宋体"/>
                <w:sz w:val="18"/>
                <w:szCs w:val="18"/>
              </w:rPr>
            </w:pPr>
            <w:r>
              <w:rPr>
                <w:rFonts w:ascii="宋体" w:hAnsi="宋体" w:eastAsia="宋体" w:cs="宋体"/>
                <w:sz w:val="18"/>
                <w:szCs w:val="18"/>
              </w:rPr>
              <w:t>1,005,942.72</w:t>
            </w:r>
          </w:p>
        </w:tc>
        <w:tc>
          <w:tcPr>
            <w:tcW w:w="1377" w:type="dxa"/>
            <w:tcBorders>
              <w:top w:val="single" w:color="auto" w:sz="2" w:space="0"/>
              <w:left w:val="single" w:color="auto" w:sz="2" w:space="0"/>
              <w:bottom w:val="single" w:color="auto" w:sz="2" w:space="0"/>
              <w:right w:val="single" w:color="auto" w:sz="2" w:space="0"/>
            </w:tcBorders>
            <w:vAlign w:val="center"/>
          </w:tcPr>
          <w:p w14:paraId="294B3875">
            <w:pPr>
              <w:spacing w:before="0" w:after="0" w:line="240" w:lineRule="exact"/>
              <w:jc w:val="right"/>
              <w:rPr>
                <w:rFonts w:ascii="宋体" w:hAnsi="宋体" w:eastAsia="宋体" w:cs="宋体"/>
                <w:sz w:val="18"/>
                <w:szCs w:val="18"/>
              </w:rPr>
            </w:pPr>
            <w:r>
              <w:rPr>
                <w:rFonts w:ascii="宋体" w:hAnsi="宋体" w:eastAsia="宋体" w:cs="宋体"/>
                <w:sz w:val="18"/>
                <w:szCs w:val="18"/>
              </w:rPr>
              <w:t>12,598,737.77</w:t>
            </w:r>
          </w:p>
        </w:tc>
      </w:tr>
      <w:tr w14:paraId="2F4412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2DE733DB">
            <w:pPr>
              <w:spacing w:before="0" w:after="0" w:line="240" w:lineRule="exact"/>
              <w:jc w:val="left"/>
              <w:rPr>
                <w:rFonts w:ascii="宋体" w:hAnsi="宋体" w:eastAsia="宋体" w:cs="宋体"/>
                <w:sz w:val="18"/>
                <w:szCs w:val="18"/>
              </w:rPr>
            </w:pPr>
            <w:r>
              <w:rPr>
                <w:rFonts w:ascii="宋体" w:hAnsi="宋体" w:eastAsia="宋体" w:cs="宋体"/>
                <w:sz w:val="18"/>
                <w:szCs w:val="18"/>
              </w:rPr>
              <w:t>发出商品</w:t>
            </w:r>
          </w:p>
        </w:tc>
        <w:tc>
          <w:tcPr>
            <w:tcW w:w="1377" w:type="dxa"/>
            <w:tcBorders>
              <w:top w:val="single" w:color="auto" w:sz="2" w:space="0"/>
              <w:left w:val="single" w:color="auto" w:sz="2" w:space="0"/>
              <w:bottom w:val="single" w:color="auto" w:sz="2" w:space="0"/>
              <w:right w:val="single" w:color="auto" w:sz="2" w:space="0"/>
            </w:tcBorders>
            <w:vAlign w:val="center"/>
          </w:tcPr>
          <w:p w14:paraId="5AA61C1D">
            <w:pPr>
              <w:spacing w:before="0" w:after="0" w:line="240" w:lineRule="exact"/>
              <w:jc w:val="right"/>
              <w:rPr>
                <w:rFonts w:ascii="宋体" w:hAnsi="宋体" w:eastAsia="宋体" w:cs="宋体"/>
                <w:sz w:val="18"/>
                <w:szCs w:val="18"/>
              </w:rPr>
            </w:pPr>
            <w:r>
              <w:rPr>
                <w:rFonts w:ascii="宋体" w:hAnsi="宋体" w:eastAsia="宋体" w:cs="宋体"/>
                <w:sz w:val="18"/>
                <w:szCs w:val="18"/>
              </w:rPr>
              <w:t>739,774.21</w:t>
            </w:r>
          </w:p>
        </w:tc>
        <w:tc>
          <w:tcPr>
            <w:tcW w:w="1377" w:type="dxa"/>
            <w:tcBorders>
              <w:top w:val="single" w:color="auto" w:sz="2" w:space="0"/>
              <w:left w:val="single" w:color="auto" w:sz="2" w:space="0"/>
              <w:bottom w:val="single" w:color="auto" w:sz="2" w:space="0"/>
              <w:right w:val="single" w:color="auto" w:sz="2" w:space="0"/>
            </w:tcBorders>
            <w:vAlign w:val="center"/>
          </w:tcPr>
          <w:p w14:paraId="332A5C7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4FE1B78">
            <w:pPr>
              <w:spacing w:before="0" w:after="0" w:line="240" w:lineRule="exact"/>
              <w:jc w:val="right"/>
              <w:rPr>
                <w:rFonts w:ascii="宋体" w:hAnsi="宋体" w:eastAsia="宋体" w:cs="宋体"/>
                <w:sz w:val="18"/>
                <w:szCs w:val="18"/>
              </w:rPr>
            </w:pPr>
            <w:r>
              <w:rPr>
                <w:rFonts w:ascii="宋体" w:hAnsi="宋体" w:eastAsia="宋体" w:cs="宋体"/>
                <w:sz w:val="18"/>
                <w:szCs w:val="18"/>
              </w:rPr>
              <w:t>739,774.21</w:t>
            </w:r>
          </w:p>
        </w:tc>
        <w:tc>
          <w:tcPr>
            <w:tcW w:w="1377" w:type="dxa"/>
            <w:tcBorders>
              <w:top w:val="single" w:color="auto" w:sz="2" w:space="0"/>
              <w:left w:val="single" w:color="auto" w:sz="2" w:space="0"/>
              <w:bottom w:val="single" w:color="auto" w:sz="2" w:space="0"/>
              <w:right w:val="single" w:color="auto" w:sz="2" w:space="0"/>
            </w:tcBorders>
            <w:vAlign w:val="center"/>
          </w:tcPr>
          <w:p w14:paraId="4865E9E7">
            <w:pPr>
              <w:spacing w:before="0" w:after="0" w:line="240" w:lineRule="exact"/>
              <w:jc w:val="right"/>
              <w:rPr>
                <w:rFonts w:ascii="宋体" w:hAnsi="宋体" w:eastAsia="宋体" w:cs="宋体"/>
                <w:sz w:val="18"/>
                <w:szCs w:val="18"/>
              </w:rPr>
            </w:pPr>
            <w:r>
              <w:rPr>
                <w:rFonts w:ascii="宋体" w:hAnsi="宋体" w:eastAsia="宋体" w:cs="宋体"/>
                <w:sz w:val="18"/>
                <w:szCs w:val="18"/>
              </w:rPr>
              <w:t>2,385,676.49</w:t>
            </w:r>
          </w:p>
        </w:tc>
        <w:tc>
          <w:tcPr>
            <w:tcW w:w="1377" w:type="dxa"/>
            <w:tcBorders>
              <w:top w:val="single" w:color="auto" w:sz="2" w:space="0"/>
              <w:left w:val="single" w:color="auto" w:sz="2" w:space="0"/>
              <w:bottom w:val="single" w:color="auto" w:sz="2" w:space="0"/>
              <w:right w:val="single" w:color="auto" w:sz="2" w:space="0"/>
            </w:tcBorders>
            <w:vAlign w:val="center"/>
          </w:tcPr>
          <w:p w14:paraId="03EEF2A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6482E84">
            <w:pPr>
              <w:spacing w:before="0" w:after="0" w:line="240" w:lineRule="exact"/>
              <w:jc w:val="right"/>
              <w:rPr>
                <w:rFonts w:ascii="宋体" w:hAnsi="宋体" w:eastAsia="宋体" w:cs="宋体"/>
                <w:sz w:val="18"/>
                <w:szCs w:val="18"/>
              </w:rPr>
            </w:pPr>
            <w:r>
              <w:rPr>
                <w:rFonts w:ascii="宋体" w:hAnsi="宋体" w:eastAsia="宋体" w:cs="宋体"/>
                <w:sz w:val="18"/>
                <w:szCs w:val="18"/>
              </w:rPr>
              <w:t>2,385,676.49</w:t>
            </w:r>
          </w:p>
        </w:tc>
      </w:tr>
      <w:tr w14:paraId="6CEFB2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00DA9ECE">
            <w:pPr>
              <w:spacing w:before="0" w:after="0" w:line="240" w:lineRule="exact"/>
              <w:jc w:val="left"/>
              <w:rPr>
                <w:rFonts w:ascii="宋体" w:hAnsi="宋体" w:eastAsia="宋体" w:cs="宋体"/>
                <w:sz w:val="18"/>
                <w:szCs w:val="18"/>
              </w:rPr>
            </w:pPr>
            <w:r>
              <w:rPr>
                <w:rFonts w:ascii="宋体" w:hAnsi="宋体" w:eastAsia="宋体" w:cs="宋体"/>
                <w:sz w:val="18"/>
                <w:szCs w:val="18"/>
              </w:rPr>
              <w:t>委托加工物资</w:t>
            </w:r>
          </w:p>
        </w:tc>
        <w:tc>
          <w:tcPr>
            <w:tcW w:w="1377" w:type="dxa"/>
            <w:tcBorders>
              <w:top w:val="single" w:color="auto" w:sz="2" w:space="0"/>
              <w:left w:val="single" w:color="auto" w:sz="2" w:space="0"/>
              <w:bottom w:val="single" w:color="auto" w:sz="2" w:space="0"/>
              <w:right w:val="single" w:color="auto" w:sz="2" w:space="0"/>
            </w:tcBorders>
            <w:vAlign w:val="center"/>
          </w:tcPr>
          <w:p w14:paraId="134A80BB">
            <w:pPr>
              <w:spacing w:before="0" w:after="0" w:line="240" w:lineRule="exact"/>
              <w:jc w:val="right"/>
              <w:rPr>
                <w:rFonts w:ascii="宋体" w:hAnsi="宋体" w:eastAsia="宋体" w:cs="宋体"/>
                <w:sz w:val="18"/>
                <w:szCs w:val="18"/>
              </w:rPr>
            </w:pPr>
            <w:r>
              <w:rPr>
                <w:rFonts w:ascii="宋体" w:hAnsi="宋体" w:eastAsia="宋体" w:cs="宋体"/>
                <w:sz w:val="18"/>
                <w:szCs w:val="18"/>
              </w:rPr>
              <w:t>3,276,874.12</w:t>
            </w:r>
          </w:p>
        </w:tc>
        <w:tc>
          <w:tcPr>
            <w:tcW w:w="1377" w:type="dxa"/>
            <w:tcBorders>
              <w:top w:val="single" w:color="auto" w:sz="2" w:space="0"/>
              <w:left w:val="single" w:color="auto" w:sz="2" w:space="0"/>
              <w:bottom w:val="single" w:color="auto" w:sz="2" w:space="0"/>
              <w:right w:val="single" w:color="auto" w:sz="2" w:space="0"/>
            </w:tcBorders>
            <w:vAlign w:val="center"/>
          </w:tcPr>
          <w:p w14:paraId="5E3ED4B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8862A28">
            <w:pPr>
              <w:spacing w:before="0" w:after="0" w:line="240" w:lineRule="exact"/>
              <w:jc w:val="right"/>
              <w:rPr>
                <w:rFonts w:ascii="宋体" w:hAnsi="宋体" w:eastAsia="宋体" w:cs="宋体"/>
                <w:sz w:val="18"/>
                <w:szCs w:val="18"/>
              </w:rPr>
            </w:pPr>
            <w:r>
              <w:rPr>
                <w:rFonts w:ascii="宋体" w:hAnsi="宋体" w:eastAsia="宋体" w:cs="宋体"/>
                <w:sz w:val="18"/>
                <w:szCs w:val="18"/>
              </w:rPr>
              <w:t>3,276,874.12</w:t>
            </w:r>
          </w:p>
        </w:tc>
        <w:tc>
          <w:tcPr>
            <w:tcW w:w="1377" w:type="dxa"/>
            <w:tcBorders>
              <w:top w:val="single" w:color="auto" w:sz="2" w:space="0"/>
              <w:left w:val="single" w:color="auto" w:sz="2" w:space="0"/>
              <w:bottom w:val="single" w:color="auto" w:sz="2" w:space="0"/>
              <w:right w:val="single" w:color="auto" w:sz="2" w:space="0"/>
            </w:tcBorders>
            <w:vAlign w:val="center"/>
          </w:tcPr>
          <w:p w14:paraId="43DAA4ED">
            <w:pPr>
              <w:spacing w:before="0" w:after="0" w:line="240" w:lineRule="exact"/>
              <w:jc w:val="right"/>
              <w:rPr>
                <w:rFonts w:ascii="宋体" w:hAnsi="宋体" w:eastAsia="宋体" w:cs="宋体"/>
                <w:sz w:val="18"/>
                <w:szCs w:val="18"/>
              </w:rPr>
            </w:pPr>
            <w:r>
              <w:rPr>
                <w:rFonts w:ascii="宋体" w:hAnsi="宋体" w:eastAsia="宋体" w:cs="宋体"/>
                <w:sz w:val="18"/>
                <w:szCs w:val="18"/>
              </w:rPr>
              <w:t>21,208,660.25</w:t>
            </w:r>
          </w:p>
        </w:tc>
        <w:tc>
          <w:tcPr>
            <w:tcW w:w="1377" w:type="dxa"/>
            <w:tcBorders>
              <w:top w:val="single" w:color="auto" w:sz="2" w:space="0"/>
              <w:left w:val="single" w:color="auto" w:sz="2" w:space="0"/>
              <w:bottom w:val="single" w:color="auto" w:sz="2" w:space="0"/>
              <w:right w:val="single" w:color="auto" w:sz="2" w:space="0"/>
            </w:tcBorders>
            <w:vAlign w:val="center"/>
          </w:tcPr>
          <w:p w14:paraId="03A07A0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109A962">
            <w:pPr>
              <w:spacing w:before="0" w:after="0" w:line="240" w:lineRule="exact"/>
              <w:jc w:val="right"/>
              <w:rPr>
                <w:rFonts w:ascii="宋体" w:hAnsi="宋体" w:eastAsia="宋体" w:cs="宋体"/>
                <w:sz w:val="18"/>
                <w:szCs w:val="18"/>
              </w:rPr>
            </w:pPr>
            <w:r>
              <w:rPr>
                <w:rFonts w:ascii="宋体" w:hAnsi="宋体" w:eastAsia="宋体" w:cs="宋体"/>
                <w:sz w:val="18"/>
                <w:szCs w:val="18"/>
              </w:rPr>
              <w:t>21,208,660.25</w:t>
            </w:r>
          </w:p>
        </w:tc>
      </w:tr>
      <w:tr w14:paraId="48AADF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37318BC9">
            <w:pPr>
              <w:spacing w:before="0" w:after="0" w:line="240" w:lineRule="exact"/>
              <w:jc w:val="left"/>
              <w:rPr>
                <w:rFonts w:ascii="宋体" w:hAnsi="宋体" w:eastAsia="宋体" w:cs="宋体"/>
                <w:sz w:val="18"/>
                <w:szCs w:val="18"/>
              </w:rPr>
            </w:pPr>
            <w:r>
              <w:rPr>
                <w:rFonts w:ascii="宋体" w:hAnsi="宋体" w:eastAsia="宋体" w:cs="宋体"/>
                <w:sz w:val="18"/>
                <w:szCs w:val="18"/>
              </w:rPr>
              <w:t>周转材料</w:t>
            </w:r>
          </w:p>
        </w:tc>
        <w:tc>
          <w:tcPr>
            <w:tcW w:w="1377" w:type="dxa"/>
            <w:tcBorders>
              <w:top w:val="single" w:color="auto" w:sz="2" w:space="0"/>
              <w:left w:val="single" w:color="auto" w:sz="2" w:space="0"/>
              <w:bottom w:val="single" w:color="auto" w:sz="2" w:space="0"/>
              <w:right w:val="single" w:color="auto" w:sz="2" w:space="0"/>
            </w:tcBorders>
            <w:vAlign w:val="center"/>
          </w:tcPr>
          <w:p w14:paraId="7ECF02C1">
            <w:pPr>
              <w:spacing w:before="0" w:after="0" w:line="240" w:lineRule="exact"/>
              <w:jc w:val="right"/>
              <w:rPr>
                <w:rFonts w:ascii="宋体" w:hAnsi="宋体" w:eastAsia="宋体" w:cs="宋体"/>
                <w:sz w:val="18"/>
                <w:szCs w:val="18"/>
              </w:rPr>
            </w:pPr>
            <w:r>
              <w:rPr>
                <w:rFonts w:ascii="宋体" w:hAnsi="宋体" w:eastAsia="宋体" w:cs="宋体"/>
                <w:sz w:val="18"/>
                <w:szCs w:val="18"/>
              </w:rPr>
              <w:t>5,041,630.53</w:t>
            </w:r>
          </w:p>
        </w:tc>
        <w:tc>
          <w:tcPr>
            <w:tcW w:w="1377" w:type="dxa"/>
            <w:tcBorders>
              <w:top w:val="single" w:color="auto" w:sz="2" w:space="0"/>
              <w:left w:val="single" w:color="auto" w:sz="2" w:space="0"/>
              <w:bottom w:val="single" w:color="auto" w:sz="2" w:space="0"/>
              <w:right w:val="single" w:color="auto" w:sz="2" w:space="0"/>
            </w:tcBorders>
            <w:vAlign w:val="center"/>
          </w:tcPr>
          <w:p w14:paraId="0ED1E78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181A929">
            <w:pPr>
              <w:spacing w:before="0" w:after="0" w:line="240" w:lineRule="exact"/>
              <w:jc w:val="right"/>
              <w:rPr>
                <w:rFonts w:ascii="宋体" w:hAnsi="宋体" w:eastAsia="宋体" w:cs="宋体"/>
                <w:sz w:val="18"/>
                <w:szCs w:val="18"/>
              </w:rPr>
            </w:pPr>
            <w:r>
              <w:rPr>
                <w:rFonts w:ascii="宋体" w:hAnsi="宋体" w:eastAsia="宋体" w:cs="宋体"/>
                <w:sz w:val="18"/>
                <w:szCs w:val="18"/>
              </w:rPr>
              <w:t>5,041,630.53</w:t>
            </w:r>
          </w:p>
        </w:tc>
        <w:tc>
          <w:tcPr>
            <w:tcW w:w="1377" w:type="dxa"/>
            <w:tcBorders>
              <w:top w:val="single" w:color="auto" w:sz="2" w:space="0"/>
              <w:left w:val="single" w:color="auto" w:sz="2" w:space="0"/>
              <w:bottom w:val="single" w:color="auto" w:sz="2" w:space="0"/>
              <w:right w:val="single" w:color="auto" w:sz="2" w:space="0"/>
            </w:tcBorders>
            <w:vAlign w:val="center"/>
          </w:tcPr>
          <w:p w14:paraId="19F7786B">
            <w:pPr>
              <w:spacing w:before="0" w:after="0" w:line="240" w:lineRule="exact"/>
              <w:jc w:val="right"/>
              <w:rPr>
                <w:rFonts w:ascii="宋体" w:hAnsi="宋体" w:eastAsia="宋体" w:cs="宋体"/>
                <w:sz w:val="18"/>
                <w:szCs w:val="18"/>
              </w:rPr>
            </w:pPr>
            <w:r>
              <w:rPr>
                <w:rFonts w:ascii="宋体" w:hAnsi="宋体" w:eastAsia="宋体" w:cs="宋体"/>
                <w:sz w:val="18"/>
                <w:szCs w:val="18"/>
              </w:rPr>
              <w:t>7,181,132.39</w:t>
            </w:r>
          </w:p>
        </w:tc>
        <w:tc>
          <w:tcPr>
            <w:tcW w:w="1377" w:type="dxa"/>
            <w:tcBorders>
              <w:top w:val="single" w:color="auto" w:sz="2" w:space="0"/>
              <w:left w:val="single" w:color="auto" w:sz="2" w:space="0"/>
              <w:bottom w:val="single" w:color="auto" w:sz="2" w:space="0"/>
              <w:right w:val="single" w:color="auto" w:sz="2" w:space="0"/>
            </w:tcBorders>
            <w:vAlign w:val="center"/>
          </w:tcPr>
          <w:p w14:paraId="513816A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CBFD532">
            <w:pPr>
              <w:spacing w:before="0" w:after="0" w:line="240" w:lineRule="exact"/>
              <w:jc w:val="right"/>
              <w:rPr>
                <w:rFonts w:ascii="宋体" w:hAnsi="宋体" w:eastAsia="宋体" w:cs="宋体"/>
                <w:sz w:val="18"/>
                <w:szCs w:val="18"/>
              </w:rPr>
            </w:pPr>
            <w:r>
              <w:rPr>
                <w:rFonts w:ascii="宋体" w:hAnsi="宋体" w:eastAsia="宋体" w:cs="宋体"/>
                <w:sz w:val="18"/>
                <w:szCs w:val="18"/>
              </w:rPr>
              <w:t>7,181,132.39</w:t>
            </w:r>
          </w:p>
        </w:tc>
      </w:tr>
      <w:tr w14:paraId="4EA714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31B06F84">
            <w:pPr>
              <w:spacing w:before="0" w:after="0" w:line="240" w:lineRule="exact"/>
              <w:jc w:val="left"/>
              <w:rPr>
                <w:rFonts w:ascii="宋体" w:hAnsi="宋体" w:eastAsia="宋体" w:cs="宋体"/>
                <w:sz w:val="18"/>
                <w:szCs w:val="18"/>
              </w:rPr>
            </w:pPr>
            <w:r>
              <w:rPr>
                <w:rFonts w:ascii="宋体" w:hAnsi="宋体" w:eastAsia="宋体" w:cs="宋体"/>
                <w:sz w:val="18"/>
                <w:szCs w:val="18"/>
              </w:rPr>
              <w:t>半成品</w:t>
            </w:r>
          </w:p>
        </w:tc>
        <w:tc>
          <w:tcPr>
            <w:tcW w:w="1377" w:type="dxa"/>
            <w:tcBorders>
              <w:top w:val="single" w:color="auto" w:sz="2" w:space="0"/>
              <w:left w:val="single" w:color="auto" w:sz="2" w:space="0"/>
              <w:bottom w:val="single" w:color="auto" w:sz="2" w:space="0"/>
              <w:right w:val="single" w:color="auto" w:sz="2" w:space="0"/>
            </w:tcBorders>
            <w:vAlign w:val="center"/>
          </w:tcPr>
          <w:p w14:paraId="342D2DF3">
            <w:pPr>
              <w:spacing w:before="0" w:after="0" w:line="240" w:lineRule="exact"/>
              <w:jc w:val="right"/>
              <w:rPr>
                <w:rFonts w:ascii="宋体" w:hAnsi="宋体" w:eastAsia="宋体" w:cs="宋体"/>
                <w:sz w:val="18"/>
                <w:szCs w:val="18"/>
              </w:rPr>
            </w:pPr>
            <w:r>
              <w:rPr>
                <w:rFonts w:ascii="宋体" w:hAnsi="宋体" w:eastAsia="宋体" w:cs="宋体"/>
                <w:sz w:val="18"/>
                <w:szCs w:val="18"/>
              </w:rPr>
              <w:t>13,164,942.90</w:t>
            </w:r>
          </w:p>
        </w:tc>
        <w:tc>
          <w:tcPr>
            <w:tcW w:w="1377" w:type="dxa"/>
            <w:tcBorders>
              <w:top w:val="single" w:color="auto" w:sz="2" w:space="0"/>
              <w:left w:val="single" w:color="auto" w:sz="2" w:space="0"/>
              <w:bottom w:val="single" w:color="auto" w:sz="2" w:space="0"/>
              <w:right w:val="single" w:color="auto" w:sz="2" w:space="0"/>
            </w:tcBorders>
            <w:vAlign w:val="center"/>
          </w:tcPr>
          <w:p w14:paraId="6AB107F3">
            <w:pPr>
              <w:spacing w:before="0" w:after="0" w:line="240" w:lineRule="exact"/>
              <w:jc w:val="right"/>
              <w:rPr>
                <w:rFonts w:ascii="宋体" w:hAnsi="宋体" w:eastAsia="宋体" w:cs="宋体"/>
                <w:sz w:val="18"/>
                <w:szCs w:val="18"/>
              </w:rPr>
            </w:pPr>
            <w:r>
              <w:rPr>
                <w:rFonts w:ascii="宋体" w:hAnsi="宋体" w:eastAsia="宋体" w:cs="宋体"/>
                <w:sz w:val="18"/>
                <w:szCs w:val="18"/>
              </w:rPr>
              <w:t>69,855.13</w:t>
            </w:r>
          </w:p>
        </w:tc>
        <w:tc>
          <w:tcPr>
            <w:tcW w:w="1377" w:type="dxa"/>
            <w:tcBorders>
              <w:top w:val="single" w:color="auto" w:sz="2" w:space="0"/>
              <w:left w:val="single" w:color="auto" w:sz="2" w:space="0"/>
              <w:bottom w:val="single" w:color="auto" w:sz="2" w:space="0"/>
              <w:right w:val="single" w:color="auto" w:sz="2" w:space="0"/>
            </w:tcBorders>
            <w:vAlign w:val="center"/>
          </w:tcPr>
          <w:p w14:paraId="6EE441B3">
            <w:pPr>
              <w:spacing w:before="0" w:after="0" w:line="240" w:lineRule="exact"/>
              <w:jc w:val="right"/>
              <w:rPr>
                <w:rFonts w:ascii="宋体" w:hAnsi="宋体" w:eastAsia="宋体" w:cs="宋体"/>
                <w:sz w:val="18"/>
                <w:szCs w:val="18"/>
              </w:rPr>
            </w:pPr>
            <w:r>
              <w:rPr>
                <w:rFonts w:ascii="宋体" w:hAnsi="宋体" w:eastAsia="宋体" w:cs="宋体"/>
                <w:sz w:val="18"/>
                <w:szCs w:val="18"/>
              </w:rPr>
              <w:t>13,095,087.77</w:t>
            </w:r>
          </w:p>
        </w:tc>
        <w:tc>
          <w:tcPr>
            <w:tcW w:w="1377" w:type="dxa"/>
            <w:tcBorders>
              <w:top w:val="single" w:color="auto" w:sz="2" w:space="0"/>
              <w:left w:val="single" w:color="auto" w:sz="2" w:space="0"/>
              <w:bottom w:val="single" w:color="auto" w:sz="2" w:space="0"/>
              <w:right w:val="single" w:color="auto" w:sz="2" w:space="0"/>
            </w:tcBorders>
            <w:vAlign w:val="center"/>
          </w:tcPr>
          <w:p w14:paraId="08470428">
            <w:pPr>
              <w:spacing w:before="0" w:after="0" w:line="240" w:lineRule="exact"/>
              <w:jc w:val="right"/>
              <w:rPr>
                <w:rFonts w:ascii="宋体" w:hAnsi="宋体" w:eastAsia="宋体" w:cs="宋体"/>
                <w:sz w:val="18"/>
                <w:szCs w:val="18"/>
              </w:rPr>
            </w:pPr>
            <w:r>
              <w:rPr>
                <w:rFonts w:ascii="宋体" w:hAnsi="宋体" w:eastAsia="宋体" w:cs="宋体"/>
                <w:sz w:val="18"/>
                <w:szCs w:val="18"/>
              </w:rPr>
              <w:t>12,456,931.89</w:t>
            </w:r>
          </w:p>
        </w:tc>
        <w:tc>
          <w:tcPr>
            <w:tcW w:w="1377" w:type="dxa"/>
            <w:tcBorders>
              <w:top w:val="single" w:color="auto" w:sz="2" w:space="0"/>
              <w:left w:val="single" w:color="auto" w:sz="2" w:space="0"/>
              <w:bottom w:val="single" w:color="auto" w:sz="2" w:space="0"/>
              <w:right w:val="single" w:color="auto" w:sz="2" w:space="0"/>
            </w:tcBorders>
            <w:vAlign w:val="center"/>
          </w:tcPr>
          <w:p w14:paraId="30509EA4">
            <w:pPr>
              <w:spacing w:before="0" w:after="0" w:line="240" w:lineRule="exact"/>
              <w:jc w:val="right"/>
              <w:rPr>
                <w:rFonts w:ascii="宋体" w:hAnsi="宋体" w:eastAsia="宋体" w:cs="宋体"/>
                <w:sz w:val="18"/>
                <w:szCs w:val="18"/>
              </w:rPr>
            </w:pPr>
            <w:r>
              <w:rPr>
                <w:rFonts w:ascii="宋体" w:hAnsi="宋体" w:eastAsia="宋体" w:cs="宋体"/>
                <w:sz w:val="18"/>
                <w:szCs w:val="18"/>
              </w:rPr>
              <w:t>997,687.99</w:t>
            </w:r>
          </w:p>
        </w:tc>
        <w:tc>
          <w:tcPr>
            <w:tcW w:w="1377" w:type="dxa"/>
            <w:tcBorders>
              <w:top w:val="single" w:color="auto" w:sz="2" w:space="0"/>
              <w:left w:val="single" w:color="auto" w:sz="2" w:space="0"/>
              <w:bottom w:val="single" w:color="auto" w:sz="2" w:space="0"/>
              <w:right w:val="single" w:color="auto" w:sz="2" w:space="0"/>
            </w:tcBorders>
            <w:vAlign w:val="center"/>
          </w:tcPr>
          <w:p w14:paraId="61235A49">
            <w:pPr>
              <w:spacing w:before="0" w:after="0" w:line="240" w:lineRule="exact"/>
              <w:jc w:val="right"/>
              <w:rPr>
                <w:rFonts w:ascii="宋体" w:hAnsi="宋体" w:eastAsia="宋体" w:cs="宋体"/>
                <w:sz w:val="18"/>
                <w:szCs w:val="18"/>
              </w:rPr>
            </w:pPr>
            <w:r>
              <w:rPr>
                <w:rFonts w:ascii="宋体" w:hAnsi="宋体" w:eastAsia="宋体" w:cs="宋体"/>
                <w:sz w:val="18"/>
                <w:szCs w:val="18"/>
              </w:rPr>
              <w:t>11,459,243.90</w:t>
            </w:r>
          </w:p>
        </w:tc>
      </w:tr>
      <w:tr w14:paraId="4A49C7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2B4910EF">
            <w:pPr>
              <w:spacing w:before="0" w:after="0" w:line="240" w:lineRule="exact"/>
              <w:jc w:val="left"/>
              <w:rPr>
                <w:rFonts w:ascii="宋体" w:hAnsi="宋体" w:eastAsia="宋体" w:cs="宋体"/>
                <w:sz w:val="18"/>
                <w:szCs w:val="18"/>
              </w:rPr>
            </w:pPr>
            <w:r>
              <w:rPr>
                <w:rFonts w:ascii="宋体" w:hAnsi="宋体" w:eastAsia="宋体" w:cs="宋体"/>
                <w:sz w:val="18"/>
                <w:szCs w:val="18"/>
              </w:rPr>
              <w:t>在途物资</w:t>
            </w:r>
          </w:p>
        </w:tc>
        <w:tc>
          <w:tcPr>
            <w:tcW w:w="1377" w:type="dxa"/>
            <w:tcBorders>
              <w:top w:val="single" w:color="auto" w:sz="2" w:space="0"/>
              <w:left w:val="single" w:color="auto" w:sz="2" w:space="0"/>
              <w:bottom w:val="single" w:color="auto" w:sz="2" w:space="0"/>
              <w:right w:val="single" w:color="auto" w:sz="2" w:space="0"/>
            </w:tcBorders>
            <w:vAlign w:val="center"/>
          </w:tcPr>
          <w:p w14:paraId="082C7CCD">
            <w:pPr>
              <w:spacing w:before="0" w:after="0" w:line="240" w:lineRule="exact"/>
              <w:jc w:val="right"/>
              <w:rPr>
                <w:rFonts w:ascii="宋体" w:hAnsi="宋体" w:eastAsia="宋体" w:cs="宋体"/>
                <w:sz w:val="18"/>
                <w:szCs w:val="18"/>
              </w:rPr>
            </w:pPr>
            <w:r>
              <w:rPr>
                <w:rFonts w:ascii="宋体" w:hAnsi="宋体" w:eastAsia="宋体" w:cs="宋体"/>
                <w:sz w:val="18"/>
                <w:szCs w:val="18"/>
              </w:rPr>
              <w:t>36,822,798.07</w:t>
            </w:r>
          </w:p>
        </w:tc>
        <w:tc>
          <w:tcPr>
            <w:tcW w:w="1377" w:type="dxa"/>
            <w:tcBorders>
              <w:top w:val="single" w:color="auto" w:sz="2" w:space="0"/>
              <w:left w:val="single" w:color="auto" w:sz="2" w:space="0"/>
              <w:bottom w:val="single" w:color="auto" w:sz="2" w:space="0"/>
              <w:right w:val="single" w:color="auto" w:sz="2" w:space="0"/>
            </w:tcBorders>
            <w:vAlign w:val="center"/>
          </w:tcPr>
          <w:p w14:paraId="16B5672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D2F5E7F">
            <w:pPr>
              <w:spacing w:before="0" w:after="0" w:line="240" w:lineRule="exact"/>
              <w:jc w:val="right"/>
              <w:rPr>
                <w:rFonts w:ascii="宋体" w:hAnsi="宋体" w:eastAsia="宋体" w:cs="宋体"/>
                <w:sz w:val="18"/>
                <w:szCs w:val="18"/>
              </w:rPr>
            </w:pPr>
            <w:r>
              <w:rPr>
                <w:rFonts w:ascii="宋体" w:hAnsi="宋体" w:eastAsia="宋体" w:cs="宋体"/>
                <w:sz w:val="18"/>
                <w:szCs w:val="18"/>
              </w:rPr>
              <w:t>36,822,798.07</w:t>
            </w:r>
          </w:p>
        </w:tc>
        <w:tc>
          <w:tcPr>
            <w:tcW w:w="1377" w:type="dxa"/>
            <w:tcBorders>
              <w:top w:val="single" w:color="auto" w:sz="2" w:space="0"/>
              <w:left w:val="single" w:color="auto" w:sz="2" w:space="0"/>
              <w:bottom w:val="single" w:color="auto" w:sz="2" w:space="0"/>
              <w:right w:val="single" w:color="auto" w:sz="2" w:space="0"/>
            </w:tcBorders>
            <w:vAlign w:val="center"/>
          </w:tcPr>
          <w:p w14:paraId="6994B80B">
            <w:pPr>
              <w:spacing w:before="0" w:after="0" w:line="240" w:lineRule="exact"/>
              <w:jc w:val="right"/>
              <w:rPr>
                <w:rFonts w:ascii="宋体" w:hAnsi="宋体" w:eastAsia="宋体" w:cs="宋体"/>
                <w:sz w:val="18"/>
                <w:szCs w:val="18"/>
              </w:rPr>
            </w:pPr>
            <w:r>
              <w:rPr>
                <w:rFonts w:ascii="宋体" w:hAnsi="宋体" w:eastAsia="宋体" w:cs="宋体"/>
                <w:sz w:val="18"/>
                <w:szCs w:val="18"/>
              </w:rPr>
              <w:t>6,353,941.91</w:t>
            </w:r>
          </w:p>
        </w:tc>
        <w:tc>
          <w:tcPr>
            <w:tcW w:w="1377" w:type="dxa"/>
            <w:tcBorders>
              <w:top w:val="single" w:color="auto" w:sz="2" w:space="0"/>
              <w:left w:val="single" w:color="auto" w:sz="2" w:space="0"/>
              <w:bottom w:val="single" w:color="auto" w:sz="2" w:space="0"/>
              <w:right w:val="single" w:color="auto" w:sz="2" w:space="0"/>
            </w:tcBorders>
            <w:vAlign w:val="center"/>
          </w:tcPr>
          <w:p w14:paraId="3E541B3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490915A">
            <w:pPr>
              <w:spacing w:before="0" w:after="0" w:line="240" w:lineRule="exact"/>
              <w:jc w:val="right"/>
              <w:rPr>
                <w:rFonts w:ascii="宋体" w:hAnsi="宋体" w:eastAsia="宋体" w:cs="宋体"/>
                <w:sz w:val="18"/>
                <w:szCs w:val="18"/>
              </w:rPr>
            </w:pPr>
            <w:r>
              <w:rPr>
                <w:rFonts w:ascii="宋体" w:hAnsi="宋体" w:eastAsia="宋体" w:cs="宋体"/>
                <w:sz w:val="18"/>
                <w:szCs w:val="18"/>
              </w:rPr>
              <w:t>6,353,941.91</w:t>
            </w:r>
          </w:p>
        </w:tc>
      </w:tr>
      <w:tr w14:paraId="2B6BC3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0581D208">
            <w:pPr>
              <w:spacing w:before="0" w:after="0" w:line="240" w:lineRule="exact"/>
              <w:jc w:val="left"/>
              <w:rPr>
                <w:rFonts w:ascii="宋体" w:hAnsi="宋体" w:eastAsia="宋体" w:cs="宋体"/>
                <w:sz w:val="18"/>
                <w:szCs w:val="18"/>
              </w:rPr>
            </w:pPr>
            <w:r>
              <w:rPr>
                <w:rFonts w:ascii="宋体" w:hAnsi="宋体" w:eastAsia="宋体" w:cs="宋体"/>
                <w:sz w:val="18"/>
                <w:szCs w:val="18"/>
              </w:rPr>
              <w:t>服务成本</w:t>
            </w:r>
          </w:p>
        </w:tc>
        <w:tc>
          <w:tcPr>
            <w:tcW w:w="1377" w:type="dxa"/>
            <w:tcBorders>
              <w:top w:val="single" w:color="auto" w:sz="2" w:space="0"/>
              <w:left w:val="single" w:color="auto" w:sz="2" w:space="0"/>
              <w:bottom w:val="single" w:color="auto" w:sz="2" w:space="0"/>
              <w:right w:val="single" w:color="auto" w:sz="2" w:space="0"/>
            </w:tcBorders>
            <w:vAlign w:val="center"/>
          </w:tcPr>
          <w:p w14:paraId="215B2CCC">
            <w:pPr>
              <w:spacing w:before="0" w:after="0" w:line="240" w:lineRule="exact"/>
              <w:jc w:val="right"/>
              <w:rPr>
                <w:rFonts w:ascii="宋体" w:hAnsi="宋体" w:eastAsia="宋体" w:cs="宋体"/>
                <w:sz w:val="18"/>
                <w:szCs w:val="18"/>
              </w:rPr>
            </w:pPr>
            <w:r>
              <w:rPr>
                <w:rFonts w:ascii="宋体" w:hAnsi="宋体" w:eastAsia="宋体" w:cs="宋体"/>
                <w:sz w:val="18"/>
                <w:szCs w:val="18"/>
              </w:rPr>
              <w:t>776,240.53</w:t>
            </w:r>
          </w:p>
        </w:tc>
        <w:tc>
          <w:tcPr>
            <w:tcW w:w="1377" w:type="dxa"/>
            <w:tcBorders>
              <w:top w:val="single" w:color="auto" w:sz="2" w:space="0"/>
              <w:left w:val="single" w:color="auto" w:sz="2" w:space="0"/>
              <w:bottom w:val="single" w:color="auto" w:sz="2" w:space="0"/>
              <w:right w:val="single" w:color="auto" w:sz="2" w:space="0"/>
            </w:tcBorders>
            <w:vAlign w:val="center"/>
          </w:tcPr>
          <w:p w14:paraId="11FA2E7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2C8A16B">
            <w:pPr>
              <w:spacing w:before="0" w:after="0" w:line="240" w:lineRule="exact"/>
              <w:jc w:val="right"/>
              <w:rPr>
                <w:rFonts w:ascii="宋体" w:hAnsi="宋体" w:eastAsia="宋体" w:cs="宋体"/>
                <w:sz w:val="18"/>
                <w:szCs w:val="18"/>
              </w:rPr>
            </w:pPr>
            <w:r>
              <w:rPr>
                <w:rFonts w:ascii="宋体" w:hAnsi="宋体" w:eastAsia="宋体" w:cs="宋体"/>
                <w:sz w:val="18"/>
                <w:szCs w:val="18"/>
              </w:rPr>
              <w:t>776,240.53</w:t>
            </w:r>
          </w:p>
        </w:tc>
        <w:tc>
          <w:tcPr>
            <w:tcW w:w="1377" w:type="dxa"/>
            <w:tcBorders>
              <w:top w:val="single" w:color="auto" w:sz="2" w:space="0"/>
              <w:left w:val="single" w:color="auto" w:sz="2" w:space="0"/>
              <w:bottom w:val="single" w:color="auto" w:sz="2" w:space="0"/>
              <w:right w:val="single" w:color="auto" w:sz="2" w:space="0"/>
            </w:tcBorders>
            <w:vAlign w:val="center"/>
          </w:tcPr>
          <w:p w14:paraId="2C299762">
            <w:pPr>
              <w:spacing w:before="0" w:after="0" w:line="240" w:lineRule="exact"/>
              <w:jc w:val="right"/>
              <w:rPr>
                <w:rFonts w:ascii="宋体" w:hAnsi="宋体" w:eastAsia="宋体" w:cs="宋体"/>
                <w:sz w:val="18"/>
                <w:szCs w:val="18"/>
              </w:rPr>
            </w:pPr>
            <w:r>
              <w:rPr>
                <w:rFonts w:ascii="宋体" w:hAnsi="宋体" w:eastAsia="宋体" w:cs="宋体"/>
                <w:sz w:val="18"/>
                <w:szCs w:val="18"/>
              </w:rPr>
              <w:t>119,519.28</w:t>
            </w:r>
          </w:p>
        </w:tc>
        <w:tc>
          <w:tcPr>
            <w:tcW w:w="1377" w:type="dxa"/>
            <w:tcBorders>
              <w:top w:val="single" w:color="auto" w:sz="2" w:space="0"/>
              <w:left w:val="single" w:color="auto" w:sz="2" w:space="0"/>
              <w:bottom w:val="single" w:color="auto" w:sz="2" w:space="0"/>
              <w:right w:val="single" w:color="auto" w:sz="2" w:space="0"/>
            </w:tcBorders>
            <w:vAlign w:val="center"/>
          </w:tcPr>
          <w:p w14:paraId="0117615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6C2282C">
            <w:pPr>
              <w:spacing w:before="0" w:after="0" w:line="240" w:lineRule="exact"/>
              <w:jc w:val="right"/>
              <w:rPr>
                <w:rFonts w:ascii="宋体" w:hAnsi="宋体" w:eastAsia="宋体" w:cs="宋体"/>
                <w:sz w:val="18"/>
                <w:szCs w:val="18"/>
              </w:rPr>
            </w:pPr>
            <w:r>
              <w:rPr>
                <w:rFonts w:ascii="宋体" w:hAnsi="宋体" w:eastAsia="宋体" w:cs="宋体"/>
                <w:sz w:val="18"/>
                <w:szCs w:val="18"/>
              </w:rPr>
              <w:t>119,519.28</w:t>
            </w:r>
          </w:p>
        </w:tc>
      </w:tr>
      <w:tr w14:paraId="3EF02A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FDCF1B2">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452BD2BC">
            <w:pPr>
              <w:spacing w:before="0" w:after="0" w:line="240" w:lineRule="exact"/>
              <w:jc w:val="right"/>
              <w:rPr>
                <w:rFonts w:ascii="宋体" w:hAnsi="宋体" w:eastAsia="宋体" w:cs="宋体"/>
                <w:sz w:val="18"/>
                <w:szCs w:val="18"/>
              </w:rPr>
            </w:pPr>
            <w:r>
              <w:rPr>
                <w:rFonts w:ascii="宋体" w:hAnsi="宋体" w:eastAsia="宋体" w:cs="宋体"/>
                <w:sz w:val="18"/>
                <w:szCs w:val="18"/>
              </w:rPr>
              <w:t>147,893,503.10</w:t>
            </w:r>
          </w:p>
        </w:tc>
        <w:tc>
          <w:tcPr>
            <w:tcW w:w="1377" w:type="dxa"/>
            <w:tcBorders>
              <w:top w:val="single" w:color="auto" w:sz="2" w:space="0"/>
              <w:left w:val="single" w:color="auto" w:sz="2" w:space="0"/>
              <w:bottom w:val="single" w:color="auto" w:sz="2" w:space="0"/>
              <w:right w:val="single" w:color="auto" w:sz="2" w:space="0"/>
            </w:tcBorders>
            <w:vAlign w:val="center"/>
          </w:tcPr>
          <w:p w14:paraId="4A9FEFC5">
            <w:pPr>
              <w:spacing w:before="0" w:after="0" w:line="240" w:lineRule="exact"/>
              <w:jc w:val="right"/>
              <w:rPr>
                <w:rFonts w:ascii="宋体" w:hAnsi="宋体" w:eastAsia="宋体" w:cs="宋体"/>
                <w:sz w:val="18"/>
                <w:szCs w:val="18"/>
              </w:rPr>
            </w:pPr>
            <w:r>
              <w:rPr>
                <w:rFonts w:ascii="宋体" w:hAnsi="宋体" w:eastAsia="宋体" w:cs="宋体"/>
                <w:sz w:val="18"/>
                <w:szCs w:val="18"/>
              </w:rPr>
              <w:t>33,418,343.61</w:t>
            </w:r>
          </w:p>
        </w:tc>
        <w:tc>
          <w:tcPr>
            <w:tcW w:w="1377" w:type="dxa"/>
            <w:tcBorders>
              <w:top w:val="single" w:color="auto" w:sz="2" w:space="0"/>
              <w:left w:val="single" w:color="auto" w:sz="2" w:space="0"/>
              <w:bottom w:val="single" w:color="auto" w:sz="2" w:space="0"/>
              <w:right w:val="single" w:color="auto" w:sz="2" w:space="0"/>
            </w:tcBorders>
            <w:vAlign w:val="center"/>
          </w:tcPr>
          <w:p w14:paraId="01483EA3">
            <w:pPr>
              <w:spacing w:before="0" w:after="0" w:line="240" w:lineRule="exact"/>
              <w:jc w:val="right"/>
              <w:rPr>
                <w:rFonts w:ascii="宋体" w:hAnsi="宋体" w:eastAsia="宋体" w:cs="宋体"/>
                <w:sz w:val="18"/>
                <w:szCs w:val="18"/>
              </w:rPr>
            </w:pPr>
            <w:r>
              <w:rPr>
                <w:rFonts w:ascii="宋体" w:hAnsi="宋体" w:eastAsia="宋体" w:cs="宋体"/>
                <w:sz w:val="18"/>
                <w:szCs w:val="18"/>
              </w:rPr>
              <w:t>114,475,159.49</w:t>
            </w:r>
          </w:p>
        </w:tc>
        <w:tc>
          <w:tcPr>
            <w:tcW w:w="1377" w:type="dxa"/>
            <w:tcBorders>
              <w:top w:val="single" w:color="auto" w:sz="2" w:space="0"/>
              <w:left w:val="single" w:color="auto" w:sz="2" w:space="0"/>
              <w:bottom w:val="single" w:color="auto" w:sz="2" w:space="0"/>
              <w:right w:val="single" w:color="auto" w:sz="2" w:space="0"/>
            </w:tcBorders>
            <w:vAlign w:val="center"/>
          </w:tcPr>
          <w:p w14:paraId="101B9EB0">
            <w:pPr>
              <w:spacing w:before="0" w:after="0" w:line="240" w:lineRule="exact"/>
              <w:jc w:val="right"/>
              <w:rPr>
                <w:rFonts w:ascii="宋体" w:hAnsi="宋体" w:eastAsia="宋体" w:cs="宋体"/>
                <w:sz w:val="18"/>
                <w:szCs w:val="18"/>
              </w:rPr>
            </w:pPr>
            <w:r>
              <w:rPr>
                <w:rFonts w:ascii="宋体" w:hAnsi="宋体" w:eastAsia="宋体" w:cs="宋体"/>
                <w:sz w:val="18"/>
                <w:szCs w:val="18"/>
              </w:rPr>
              <w:t>113,818,357.93</w:t>
            </w:r>
          </w:p>
        </w:tc>
        <w:tc>
          <w:tcPr>
            <w:tcW w:w="1377" w:type="dxa"/>
            <w:tcBorders>
              <w:top w:val="single" w:color="auto" w:sz="2" w:space="0"/>
              <w:left w:val="single" w:color="auto" w:sz="2" w:space="0"/>
              <w:bottom w:val="single" w:color="auto" w:sz="2" w:space="0"/>
              <w:right w:val="single" w:color="auto" w:sz="2" w:space="0"/>
            </w:tcBorders>
            <w:vAlign w:val="center"/>
          </w:tcPr>
          <w:p w14:paraId="4B4BE469">
            <w:pPr>
              <w:spacing w:before="0" w:after="0" w:line="240" w:lineRule="exact"/>
              <w:jc w:val="right"/>
              <w:rPr>
                <w:rFonts w:ascii="宋体" w:hAnsi="宋体" w:eastAsia="宋体" w:cs="宋体"/>
                <w:sz w:val="18"/>
                <w:szCs w:val="18"/>
              </w:rPr>
            </w:pPr>
            <w:r>
              <w:rPr>
                <w:rFonts w:ascii="宋体" w:hAnsi="宋体" w:eastAsia="宋体" w:cs="宋体"/>
                <w:sz w:val="18"/>
                <w:szCs w:val="18"/>
              </w:rPr>
              <w:t>2,342,734.96</w:t>
            </w:r>
          </w:p>
        </w:tc>
        <w:tc>
          <w:tcPr>
            <w:tcW w:w="1377" w:type="dxa"/>
            <w:tcBorders>
              <w:top w:val="single" w:color="auto" w:sz="2" w:space="0"/>
              <w:left w:val="single" w:color="auto" w:sz="2" w:space="0"/>
              <w:bottom w:val="single" w:color="auto" w:sz="2" w:space="0"/>
              <w:right w:val="single" w:color="auto" w:sz="2" w:space="0"/>
            </w:tcBorders>
            <w:vAlign w:val="center"/>
          </w:tcPr>
          <w:p w14:paraId="2DC2D065">
            <w:pPr>
              <w:spacing w:before="0" w:after="0" w:line="240" w:lineRule="exact"/>
              <w:jc w:val="right"/>
              <w:rPr>
                <w:rFonts w:ascii="宋体" w:hAnsi="宋体" w:eastAsia="宋体" w:cs="宋体"/>
                <w:sz w:val="18"/>
                <w:szCs w:val="18"/>
              </w:rPr>
            </w:pPr>
            <w:r>
              <w:rPr>
                <w:rFonts w:ascii="宋体" w:hAnsi="宋体" w:eastAsia="宋体" w:cs="宋体"/>
                <w:sz w:val="18"/>
                <w:szCs w:val="18"/>
              </w:rPr>
              <w:t>111,475,622.97</w:t>
            </w:r>
          </w:p>
        </w:tc>
      </w:tr>
    </w:tbl>
    <w:p w14:paraId="33885F9D">
      <w:pPr>
        <w:keepNext/>
        <w:keepLines/>
        <w:spacing w:before="300" w:after="300" w:line="280" w:lineRule="exact"/>
        <w:jc w:val="left"/>
        <w:outlineLvl w:val="3"/>
        <w:rPr>
          <w:rFonts w:ascii="宋体" w:hAnsi="宋体" w:eastAsia="宋体" w:cs="宋体"/>
          <w:b/>
          <w:bCs/>
          <w:sz w:val="21"/>
          <w:szCs w:val="21"/>
        </w:rPr>
      </w:pPr>
      <w:bookmarkStart w:id="285" w:name="_Toc989172"/>
      <w:r>
        <w:rPr>
          <w:rFonts w:ascii="宋体" w:hAnsi="宋体" w:eastAsia="宋体" w:cs="宋体"/>
          <w:b/>
          <w:bCs/>
          <w:sz w:val="21"/>
          <w:szCs w:val="21"/>
        </w:rPr>
        <w:t>（2） 确认为存货的数据资源</w:t>
      </w:r>
      <w:bookmarkEnd w:id="285"/>
    </w:p>
    <w:p w14:paraId="00EE228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E3961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D0BEED6">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AA38DED">
            <w:pPr>
              <w:spacing w:before="40" w:after="40" w:line="240" w:lineRule="exact"/>
              <w:jc w:val="center"/>
              <w:rPr>
                <w:rFonts w:ascii="宋体" w:hAnsi="宋体" w:eastAsia="宋体" w:cs="宋体"/>
                <w:sz w:val="18"/>
                <w:szCs w:val="18"/>
              </w:rPr>
            </w:pPr>
            <w:r>
              <w:rPr>
                <w:rFonts w:ascii="宋体" w:hAnsi="宋体" w:eastAsia="宋体" w:cs="宋体"/>
                <w:sz w:val="18"/>
                <w:szCs w:val="18"/>
              </w:rPr>
              <w:t>外购的数据资源存货</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C24ADEE">
            <w:pPr>
              <w:spacing w:before="40" w:after="40" w:line="240" w:lineRule="exact"/>
              <w:jc w:val="center"/>
              <w:rPr>
                <w:rFonts w:ascii="宋体" w:hAnsi="宋体" w:eastAsia="宋体" w:cs="宋体"/>
                <w:sz w:val="18"/>
                <w:szCs w:val="18"/>
              </w:rPr>
            </w:pPr>
            <w:r>
              <w:rPr>
                <w:rFonts w:ascii="宋体" w:hAnsi="宋体" w:eastAsia="宋体" w:cs="宋体"/>
                <w:sz w:val="18"/>
                <w:szCs w:val="18"/>
              </w:rPr>
              <w:t>自行加工的数据资源存货</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81EBD9F">
            <w:pPr>
              <w:spacing w:before="40" w:after="40" w:line="240" w:lineRule="exact"/>
              <w:jc w:val="center"/>
              <w:rPr>
                <w:rFonts w:ascii="宋体" w:hAnsi="宋体" w:eastAsia="宋体" w:cs="宋体"/>
                <w:sz w:val="18"/>
                <w:szCs w:val="18"/>
              </w:rPr>
            </w:pPr>
            <w:r>
              <w:rPr>
                <w:rFonts w:ascii="宋体" w:hAnsi="宋体" w:eastAsia="宋体" w:cs="宋体"/>
                <w:sz w:val="18"/>
                <w:szCs w:val="18"/>
              </w:rPr>
              <w:t>其他方式取得的数据资源存货</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C5071DC">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bl>
    <w:p w14:paraId="4AD4B48F">
      <w:pPr>
        <w:spacing w:before="100" w:after="100" w:line="0" w:lineRule="exact"/>
        <w:jc w:val="left"/>
      </w:pPr>
    </w:p>
    <w:p w14:paraId="47A86AD0">
      <w:pPr>
        <w:keepNext/>
        <w:keepLines/>
        <w:spacing w:before="300" w:after="300" w:line="280" w:lineRule="exact"/>
        <w:jc w:val="left"/>
        <w:outlineLvl w:val="3"/>
        <w:rPr>
          <w:rFonts w:ascii="宋体" w:hAnsi="宋体" w:eastAsia="宋体" w:cs="宋体"/>
          <w:b/>
          <w:bCs/>
          <w:sz w:val="21"/>
          <w:szCs w:val="21"/>
        </w:rPr>
      </w:pPr>
      <w:bookmarkStart w:id="286" w:name="_Toc989173"/>
      <w:r>
        <w:rPr>
          <w:rFonts w:ascii="宋体" w:hAnsi="宋体" w:eastAsia="宋体" w:cs="宋体"/>
          <w:b/>
          <w:bCs/>
          <w:sz w:val="21"/>
          <w:szCs w:val="21"/>
        </w:rPr>
        <w:t>（3） 存货跌价准备和合同履约成本减值准备</w:t>
      </w:r>
      <w:bookmarkEnd w:id="286"/>
    </w:p>
    <w:p w14:paraId="7FF67D1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7B7B2F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4D0D94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8B627C1">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3F234DCF">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本期增加金额</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F97F49B">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3468355">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15D1B0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F3341FF"/>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7150F07"/>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290306E">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CB177E6">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0CCC7EF">
            <w:pPr>
              <w:spacing w:before="40" w:after="40" w:line="240" w:lineRule="exact"/>
              <w:jc w:val="center"/>
              <w:rPr>
                <w:rFonts w:ascii="宋体" w:hAnsi="宋体" w:eastAsia="宋体" w:cs="宋体"/>
                <w:sz w:val="18"/>
                <w:szCs w:val="18"/>
              </w:rPr>
            </w:pPr>
            <w:r>
              <w:rPr>
                <w:rFonts w:ascii="宋体" w:hAnsi="宋体" w:eastAsia="宋体" w:cs="宋体"/>
                <w:sz w:val="18"/>
                <w:szCs w:val="18"/>
              </w:rPr>
              <w:t>转回或转销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91ADD0A">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8181E53"/>
        </w:tc>
      </w:tr>
      <w:tr w14:paraId="772A50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0560A49C">
            <w:pPr>
              <w:spacing w:before="0" w:after="0" w:line="240" w:lineRule="exact"/>
              <w:jc w:val="left"/>
              <w:rPr>
                <w:rFonts w:ascii="宋体" w:hAnsi="宋体" w:eastAsia="宋体" w:cs="宋体"/>
                <w:sz w:val="18"/>
                <w:szCs w:val="18"/>
              </w:rPr>
            </w:pPr>
            <w:r>
              <w:rPr>
                <w:rFonts w:ascii="宋体" w:hAnsi="宋体" w:eastAsia="宋体" w:cs="宋体"/>
                <w:sz w:val="18"/>
                <w:szCs w:val="18"/>
              </w:rPr>
              <w:t>原材料</w:t>
            </w:r>
          </w:p>
        </w:tc>
        <w:tc>
          <w:tcPr>
            <w:tcW w:w="1377" w:type="dxa"/>
            <w:tcBorders>
              <w:top w:val="single" w:color="auto" w:sz="2" w:space="0"/>
              <w:left w:val="single" w:color="auto" w:sz="2" w:space="0"/>
              <w:bottom w:val="single" w:color="auto" w:sz="2" w:space="0"/>
              <w:right w:val="single" w:color="auto" w:sz="2" w:space="0"/>
            </w:tcBorders>
            <w:vAlign w:val="center"/>
          </w:tcPr>
          <w:p w14:paraId="485CB062">
            <w:pPr>
              <w:spacing w:before="0" w:after="0" w:line="240" w:lineRule="exact"/>
              <w:jc w:val="right"/>
              <w:rPr>
                <w:rFonts w:ascii="宋体" w:hAnsi="宋体" w:eastAsia="宋体" w:cs="宋体"/>
                <w:sz w:val="18"/>
                <w:szCs w:val="18"/>
              </w:rPr>
            </w:pPr>
            <w:r>
              <w:rPr>
                <w:rFonts w:ascii="宋体" w:hAnsi="宋体" w:eastAsia="宋体" w:cs="宋体"/>
                <w:sz w:val="18"/>
                <w:szCs w:val="18"/>
              </w:rPr>
              <w:t>339,104.25</w:t>
            </w:r>
          </w:p>
        </w:tc>
        <w:tc>
          <w:tcPr>
            <w:tcW w:w="1377" w:type="dxa"/>
            <w:tcBorders>
              <w:top w:val="single" w:color="auto" w:sz="2" w:space="0"/>
              <w:left w:val="single" w:color="auto" w:sz="2" w:space="0"/>
              <w:bottom w:val="single" w:color="auto" w:sz="2" w:space="0"/>
              <w:right w:val="single" w:color="auto" w:sz="2" w:space="0"/>
            </w:tcBorders>
            <w:vAlign w:val="center"/>
          </w:tcPr>
          <w:p w14:paraId="0A224F5D">
            <w:pPr>
              <w:spacing w:before="0" w:after="0" w:line="240" w:lineRule="exact"/>
              <w:jc w:val="right"/>
              <w:rPr>
                <w:rFonts w:ascii="宋体" w:hAnsi="宋体" w:eastAsia="宋体" w:cs="宋体"/>
                <w:sz w:val="18"/>
                <w:szCs w:val="18"/>
              </w:rPr>
            </w:pPr>
            <w:r>
              <w:rPr>
                <w:rFonts w:ascii="宋体" w:hAnsi="宋体" w:eastAsia="宋体" w:cs="宋体"/>
                <w:sz w:val="18"/>
                <w:szCs w:val="18"/>
              </w:rPr>
              <w:t>456,273.69</w:t>
            </w:r>
          </w:p>
        </w:tc>
        <w:tc>
          <w:tcPr>
            <w:tcW w:w="1377" w:type="dxa"/>
            <w:tcBorders>
              <w:top w:val="single" w:color="auto" w:sz="2" w:space="0"/>
              <w:left w:val="single" w:color="auto" w:sz="2" w:space="0"/>
              <w:bottom w:val="single" w:color="auto" w:sz="2" w:space="0"/>
              <w:right w:val="single" w:color="auto" w:sz="2" w:space="0"/>
            </w:tcBorders>
            <w:vAlign w:val="center"/>
          </w:tcPr>
          <w:p w14:paraId="3904CB9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0FCEB60">
            <w:pPr>
              <w:spacing w:before="0" w:after="0" w:line="240" w:lineRule="exact"/>
              <w:jc w:val="right"/>
              <w:rPr>
                <w:rFonts w:ascii="宋体" w:hAnsi="宋体" w:eastAsia="宋体" w:cs="宋体"/>
                <w:sz w:val="18"/>
                <w:szCs w:val="18"/>
              </w:rPr>
            </w:pPr>
            <w:r>
              <w:rPr>
                <w:rFonts w:ascii="宋体" w:hAnsi="宋体" w:eastAsia="宋体" w:cs="宋体"/>
                <w:sz w:val="18"/>
                <w:szCs w:val="18"/>
              </w:rPr>
              <w:t>462,121.45</w:t>
            </w:r>
          </w:p>
        </w:tc>
        <w:tc>
          <w:tcPr>
            <w:tcW w:w="1377" w:type="dxa"/>
            <w:tcBorders>
              <w:top w:val="single" w:color="auto" w:sz="2" w:space="0"/>
              <w:left w:val="single" w:color="auto" w:sz="2" w:space="0"/>
              <w:bottom w:val="single" w:color="auto" w:sz="2" w:space="0"/>
              <w:right w:val="single" w:color="auto" w:sz="2" w:space="0"/>
            </w:tcBorders>
            <w:vAlign w:val="center"/>
          </w:tcPr>
          <w:p w14:paraId="7694476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408A12C">
            <w:pPr>
              <w:spacing w:before="0" w:after="0" w:line="240" w:lineRule="exact"/>
              <w:jc w:val="right"/>
              <w:rPr>
                <w:rFonts w:ascii="宋体" w:hAnsi="宋体" w:eastAsia="宋体" w:cs="宋体"/>
                <w:sz w:val="18"/>
                <w:szCs w:val="18"/>
              </w:rPr>
            </w:pPr>
            <w:r>
              <w:rPr>
                <w:rFonts w:ascii="宋体" w:hAnsi="宋体" w:eastAsia="宋体" w:cs="宋体"/>
                <w:sz w:val="18"/>
                <w:szCs w:val="18"/>
              </w:rPr>
              <w:t>333,256.49</w:t>
            </w:r>
          </w:p>
        </w:tc>
      </w:tr>
      <w:tr w14:paraId="492D46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7589ABE6">
            <w:pPr>
              <w:spacing w:before="0" w:after="0" w:line="240" w:lineRule="exact"/>
              <w:jc w:val="left"/>
              <w:rPr>
                <w:rFonts w:ascii="宋体" w:hAnsi="宋体" w:eastAsia="宋体" w:cs="宋体"/>
                <w:sz w:val="18"/>
                <w:szCs w:val="18"/>
              </w:rPr>
            </w:pPr>
            <w:r>
              <w:rPr>
                <w:rFonts w:ascii="宋体" w:hAnsi="宋体" w:eastAsia="宋体" w:cs="宋体"/>
                <w:sz w:val="18"/>
                <w:szCs w:val="18"/>
              </w:rPr>
              <w:t>在产品</w:t>
            </w:r>
          </w:p>
        </w:tc>
        <w:tc>
          <w:tcPr>
            <w:tcW w:w="1377" w:type="dxa"/>
            <w:tcBorders>
              <w:top w:val="single" w:color="auto" w:sz="2" w:space="0"/>
              <w:left w:val="single" w:color="auto" w:sz="2" w:space="0"/>
              <w:bottom w:val="single" w:color="auto" w:sz="2" w:space="0"/>
              <w:right w:val="single" w:color="auto" w:sz="2" w:space="0"/>
            </w:tcBorders>
            <w:vAlign w:val="center"/>
          </w:tcPr>
          <w:p w14:paraId="02D95BD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E17A8EA">
            <w:pPr>
              <w:spacing w:before="0" w:after="0" w:line="240" w:lineRule="exact"/>
              <w:jc w:val="right"/>
              <w:rPr>
                <w:rFonts w:ascii="宋体" w:hAnsi="宋体" w:eastAsia="宋体" w:cs="宋体"/>
                <w:sz w:val="18"/>
                <w:szCs w:val="18"/>
              </w:rPr>
            </w:pPr>
            <w:r>
              <w:rPr>
                <w:rFonts w:ascii="宋体" w:hAnsi="宋体" w:eastAsia="宋体" w:cs="宋体"/>
                <w:sz w:val="18"/>
                <w:szCs w:val="18"/>
              </w:rPr>
              <w:t>27,368.07</w:t>
            </w:r>
          </w:p>
        </w:tc>
        <w:tc>
          <w:tcPr>
            <w:tcW w:w="1377" w:type="dxa"/>
            <w:tcBorders>
              <w:top w:val="single" w:color="auto" w:sz="2" w:space="0"/>
              <w:left w:val="single" w:color="auto" w:sz="2" w:space="0"/>
              <w:bottom w:val="single" w:color="auto" w:sz="2" w:space="0"/>
              <w:right w:val="single" w:color="auto" w:sz="2" w:space="0"/>
            </w:tcBorders>
            <w:vAlign w:val="center"/>
          </w:tcPr>
          <w:p w14:paraId="16BF113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04618AA">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c>
          <w:tcPr>
            <w:tcW w:w="1377" w:type="dxa"/>
            <w:tcBorders>
              <w:top w:val="single" w:color="auto" w:sz="2" w:space="0"/>
              <w:left w:val="single" w:color="auto" w:sz="2" w:space="0"/>
              <w:bottom w:val="single" w:color="auto" w:sz="2" w:space="0"/>
              <w:right w:val="single" w:color="auto" w:sz="2" w:space="0"/>
            </w:tcBorders>
            <w:vAlign w:val="center"/>
          </w:tcPr>
          <w:p w14:paraId="6960D52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72967B8">
            <w:pPr>
              <w:spacing w:before="0" w:after="0" w:line="240" w:lineRule="exact"/>
              <w:jc w:val="right"/>
              <w:rPr>
                <w:rFonts w:ascii="宋体" w:hAnsi="宋体" w:eastAsia="宋体" w:cs="宋体"/>
                <w:sz w:val="18"/>
                <w:szCs w:val="18"/>
              </w:rPr>
            </w:pPr>
            <w:r>
              <w:rPr>
                <w:rFonts w:ascii="宋体" w:hAnsi="宋体" w:eastAsia="宋体" w:cs="宋体"/>
                <w:sz w:val="18"/>
                <w:szCs w:val="18"/>
              </w:rPr>
              <w:t>27,368.07</w:t>
            </w:r>
          </w:p>
        </w:tc>
      </w:tr>
      <w:tr w14:paraId="35EBFC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290B7222">
            <w:pPr>
              <w:spacing w:before="0" w:after="0" w:line="240" w:lineRule="exact"/>
              <w:jc w:val="left"/>
              <w:rPr>
                <w:rFonts w:ascii="宋体" w:hAnsi="宋体" w:eastAsia="宋体" w:cs="宋体"/>
                <w:sz w:val="18"/>
                <w:szCs w:val="18"/>
              </w:rPr>
            </w:pPr>
            <w:r>
              <w:rPr>
                <w:rFonts w:ascii="宋体" w:hAnsi="宋体" w:eastAsia="宋体" w:cs="宋体"/>
                <w:sz w:val="18"/>
                <w:szCs w:val="18"/>
              </w:rPr>
              <w:t>库存商品</w:t>
            </w:r>
          </w:p>
        </w:tc>
        <w:tc>
          <w:tcPr>
            <w:tcW w:w="1377" w:type="dxa"/>
            <w:tcBorders>
              <w:top w:val="single" w:color="auto" w:sz="2" w:space="0"/>
              <w:left w:val="single" w:color="auto" w:sz="2" w:space="0"/>
              <w:bottom w:val="single" w:color="auto" w:sz="2" w:space="0"/>
              <w:right w:val="single" w:color="auto" w:sz="2" w:space="0"/>
            </w:tcBorders>
            <w:vAlign w:val="center"/>
          </w:tcPr>
          <w:p w14:paraId="15D82B11">
            <w:pPr>
              <w:spacing w:before="0" w:after="0" w:line="240" w:lineRule="exact"/>
              <w:jc w:val="right"/>
              <w:rPr>
                <w:rFonts w:ascii="宋体" w:hAnsi="宋体" w:eastAsia="宋体" w:cs="宋体"/>
                <w:sz w:val="18"/>
                <w:szCs w:val="18"/>
              </w:rPr>
            </w:pPr>
            <w:r>
              <w:rPr>
                <w:rFonts w:ascii="宋体" w:hAnsi="宋体" w:eastAsia="宋体" w:cs="宋体"/>
                <w:sz w:val="18"/>
                <w:szCs w:val="18"/>
              </w:rPr>
              <w:t>1,005,942.72</w:t>
            </w:r>
          </w:p>
        </w:tc>
        <w:tc>
          <w:tcPr>
            <w:tcW w:w="1377" w:type="dxa"/>
            <w:tcBorders>
              <w:top w:val="single" w:color="auto" w:sz="2" w:space="0"/>
              <w:left w:val="single" w:color="auto" w:sz="2" w:space="0"/>
              <w:bottom w:val="single" w:color="auto" w:sz="2" w:space="0"/>
              <w:right w:val="single" w:color="auto" w:sz="2" w:space="0"/>
            </w:tcBorders>
            <w:vAlign w:val="center"/>
          </w:tcPr>
          <w:p w14:paraId="7279CF3B">
            <w:pPr>
              <w:spacing w:before="0" w:after="0" w:line="240" w:lineRule="exact"/>
              <w:jc w:val="right"/>
              <w:rPr>
                <w:rFonts w:ascii="宋体" w:hAnsi="宋体" w:eastAsia="宋体" w:cs="宋体"/>
                <w:sz w:val="18"/>
                <w:szCs w:val="18"/>
              </w:rPr>
            </w:pPr>
            <w:r>
              <w:rPr>
                <w:rFonts w:ascii="宋体" w:hAnsi="宋体" w:eastAsia="宋体" w:cs="宋体"/>
                <w:sz w:val="18"/>
                <w:szCs w:val="18"/>
              </w:rPr>
              <w:t>34,411,763.16</w:t>
            </w:r>
          </w:p>
        </w:tc>
        <w:tc>
          <w:tcPr>
            <w:tcW w:w="1377" w:type="dxa"/>
            <w:tcBorders>
              <w:top w:val="single" w:color="auto" w:sz="2" w:space="0"/>
              <w:left w:val="single" w:color="auto" w:sz="2" w:space="0"/>
              <w:bottom w:val="single" w:color="auto" w:sz="2" w:space="0"/>
              <w:right w:val="single" w:color="auto" w:sz="2" w:space="0"/>
            </w:tcBorders>
            <w:vAlign w:val="center"/>
          </w:tcPr>
          <w:p w14:paraId="6E8B318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13CE573">
            <w:pPr>
              <w:spacing w:before="0" w:after="0" w:line="240" w:lineRule="exact"/>
              <w:jc w:val="right"/>
              <w:rPr>
                <w:rFonts w:ascii="宋体" w:hAnsi="宋体" w:eastAsia="宋体" w:cs="宋体"/>
                <w:sz w:val="18"/>
                <w:szCs w:val="18"/>
              </w:rPr>
            </w:pPr>
            <w:r>
              <w:rPr>
                <w:rFonts w:ascii="宋体" w:hAnsi="宋体" w:eastAsia="宋体" w:cs="宋体"/>
                <w:sz w:val="18"/>
                <w:szCs w:val="18"/>
              </w:rPr>
              <w:t>2,429,841.96</w:t>
            </w:r>
          </w:p>
        </w:tc>
        <w:tc>
          <w:tcPr>
            <w:tcW w:w="1377" w:type="dxa"/>
            <w:tcBorders>
              <w:top w:val="single" w:color="auto" w:sz="2" w:space="0"/>
              <w:left w:val="single" w:color="auto" w:sz="2" w:space="0"/>
              <w:bottom w:val="single" w:color="auto" w:sz="2" w:space="0"/>
              <w:right w:val="single" w:color="auto" w:sz="2" w:space="0"/>
            </w:tcBorders>
            <w:vAlign w:val="center"/>
          </w:tcPr>
          <w:p w14:paraId="5366F3A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A939A24">
            <w:pPr>
              <w:spacing w:before="0" w:after="0" w:line="240" w:lineRule="exact"/>
              <w:jc w:val="right"/>
              <w:rPr>
                <w:rFonts w:ascii="宋体" w:hAnsi="宋体" w:eastAsia="宋体" w:cs="宋体"/>
                <w:sz w:val="18"/>
                <w:szCs w:val="18"/>
              </w:rPr>
            </w:pPr>
            <w:r>
              <w:rPr>
                <w:rFonts w:ascii="宋体" w:hAnsi="宋体" w:eastAsia="宋体" w:cs="宋体"/>
                <w:sz w:val="18"/>
                <w:szCs w:val="18"/>
              </w:rPr>
              <w:t>32,987,863.92</w:t>
            </w:r>
          </w:p>
        </w:tc>
      </w:tr>
      <w:tr w14:paraId="4D04EE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7839BF64">
            <w:pPr>
              <w:spacing w:before="0" w:after="0" w:line="240" w:lineRule="exact"/>
              <w:jc w:val="left"/>
              <w:rPr>
                <w:rFonts w:ascii="宋体" w:hAnsi="宋体" w:eastAsia="宋体" w:cs="宋体"/>
                <w:sz w:val="18"/>
                <w:szCs w:val="18"/>
              </w:rPr>
            </w:pPr>
            <w:r>
              <w:rPr>
                <w:rFonts w:ascii="宋体" w:hAnsi="宋体" w:eastAsia="宋体" w:cs="宋体"/>
                <w:sz w:val="18"/>
                <w:szCs w:val="18"/>
              </w:rPr>
              <w:t>半成品</w:t>
            </w:r>
          </w:p>
        </w:tc>
        <w:tc>
          <w:tcPr>
            <w:tcW w:w="1377" w:type="dxa"/>
            <w:tcBorders>
              <w:top w:val="single" w:color="auto" w:sz="2" w:space="0"/>
              <w:left w:val="single" w:color="auto" w:sz="2" w:space="0"/>
              <w:bottom w:val="single" w:color="auto" w:sz="2" w:space="0"/>
              <w:right w:val="single" w:color="auto" w:sz="2" w:space="0"/>
            </w:tcBorders>
            <w:vAlign w:val="center"/>
          </w:tcPr>
          <w:p w14:paraId="5568B4E3">
            <w:pPr>
              <w:spacing w:before="0" w:after="0" w:line="240" w:lineRule="exact"/>
              <w:jc w:val="right"/>
              <w:rPr>
                <w:rFonts w:ascii="宋体" w:hAnsi="宋体" w:eastAsia="宋体" w:cs="宋体"/>
                <w:sz w:val="18"/>
                <w:szCs w:val="18"/>
              </w:rPr>
            </w:pPr>
            <w:r>
              <w:rPr>
                <w:rFonts w:ascii="宋体" w:hAnsi="宋体" w:eastAsia="宋体" w:cs="宋体"/>
                <w:sz w:val="18"/>
                <w:szCs w:val="18"/>
              </w:rPr>
              <w:t>997,687.99</w:t>
            </w:r>
          </w:p>
        </w:tc>
        <w:tc>
          <w:tcPr>
            <w:tcW w:w="1377" w:type="dxa"/>
            <w:tcBorders>
              <w:top w:val="single" w:color="auto" w:sz="2" w:space="0"/>
              <w:left w:val="single" w:color="auto" w:sz="2" w:space="0"/>
              <w:bottom w:val="single" w:color="auto" w:sz="2" w:space="0"/>
              <w:right w:val="single" w:color="auto" w:sz="2" w:space="0"/>
            </w:tcBorders>
            <w:vAlign w:val="center"/>
          </w:tcPr>
          <w:p w14:paraId="4F45CB0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50AE91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B65A9B5">
            <w:pPr>
              <w:spacing w:before="0" w:after="0" w:line="240" w:lineRule="exact"/>
              <w:jc w:val="right"/>
              <w:rPr>
                <w:rFonts w:ascii="宋体" w:hAnsi="宋体" w:eastAsia="宋体" w:cs="宋体"/>
                <w:sz w:val="18"/>
                <w:szCs w:val="18"/>
              </w:rPr>
            </w:pPr>
            <w:r>
              <w:rPr>
                <w:rFonts w:ascii="宋体" w:hAnsi="宋体" w:eastAsia="宋体" w:cs="宋体"/>
                <w:sz w:val="18"/>
                <w:szCs w:val="18"/>
              </w:rPr>
              <w:t>927,832.86</w:t>
            </w:r>
          </w:p>
        </w:tc>
        <w:tc>
          <w:tcPr>
            <w:tcW w:w="1377" w:type="dxa"/>
            <w:tcBorders>
              <w:top w:val="single" w:color="auto" w:sz="2" w:space="0"/>
              <w:left w:val="single" w:color="auto" w:sz="2" w:space="0"/>
              <w:bottom w:val="single" w:color="auto" w:sz="2" w:space="0"/>
              <w:right w:val="single" w:color="auto" w:sz="2" w:space="0"/>
            </w:tcBorders>
            <w:vAlign w:val="center"/>
          </w:tcPr>
          <w:p w14:paraId="26EC5B0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8EE9CC8">
            <w:pPr>
              <w:spacing w:before="0" w:after="0" w:line="240" w:lineRule="exact"/>
              <w:jc w:val="right"/>
              <w:rPr>
                <w:rFonts w:ascii="宋体" w:hAnsi="宋体" w:eastAsia="宋体" w:cs="宋体"/>
                <w:sz w:val="18"/>
                <w:szCs w:val="18"/>
              </w:rPr>
            </w:pPr>
            <w:r>
              <w:rPr>
                <w:rFonts w:ascii="宋体" w:hAnsi="宋体" w:eastAsia="宋体" w:cs="宋体"/>
                <w:sz w:val="18"/>
                <w:szCs w:val="18"/>
              </w:rPr>
              <w:t>69,855.13</w:t>
            </w:r>
          </w:p>
        </w:tc>
      </w:tr>
      <w:tr w14:paraId="2F0F87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3F8169B">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0B057C80">
            <w:pPr>
              <w:spacing w:before="0" w:after="0" w:line="240" w:lineRule="exact"/>
              <w:jc w:val="right"/>
              <w:rPr>
                <w:rFonts w:ascii="宋体" w:hAnsi="宋体" w:eastAsia="宋体" w:cs="宋体"/>
                <w:sz w:val="18"/>
                <w:szCs w:val="18"/>
              </w:rPr>
            </w:pPr>
            <w:r>
              <w:rPr>
                <w:rFonts w:ascii="宋体" w:hAnsi="宋体" w:eastAsia="宋体" w:cs="宋体"/>
                <w:sz w:val="18"/>
                <w:szCs w:val="18"/>
              </w:rPr>
              <w:t>2,342,734.96</w:t>
            </w:r>
          </w:p>
        </w:tc>
        <w:tc>
          <w:tcPr>
            <w:tcW w:w="1377" w:type="dxa"/>
            <w:tcBorders>
              <w:top w:val="single" w:color="auto" w:sz="2" w:space="0"/>
              <w:left w:val="single" w:color="auto" w:sz="2" w:space="0"/>
              <w:bottom w:val="single" w:color="auto" w:sz="2" w:space="0"/>
              <w:right w:val="single" w:color="auto" w:sz="2" w:space="0"/>
            </w:tcBorders>
            <w:vAlign w:val="center"/>
          </w:tcPr>
          <w:p w14:paraId="09F3A97A">
            <w:pPr>
              <w:spacing w:before="0" w:after="0" w:line="240" w:lineRule="exact"/>
              <w:jc w:val="right"/>
              <w:rPr>
                <w:rFonts w:ascii="宋体" w:hAnsi="宋体" w:eastAsia="宋体" w:cs="宋体"/>
                <w:sz w:val="18"/>
                <w:szCs w:val="18"/>
              </w:rPr>
            </w:pPr>
            <w:r>
              <w:rPr>
                <w:rFonts w:ascii="宋体" w:hAnsi="宋体" w:eastAsia="宋体" w:cs="宋体"/>
                <w:sz w:val="18"/>
                <w:szCs w:val="18"/>
              </w:rPr>
              <w:t>34,895,404.92</w:t>
            </w:r>
          </w:p>
        </w:tc>
        <w:tc>
          <w:tcPr>
            <w:tcW w:w="1377" w:type="dxa"/>
            <w:tcBorders>
              <w:top w:val="single" w:color="auto" w:sz="2" w:space="0"/>
              <w:left w:val="single" w:color="auto" w:sz="2" w:space="0"/>
              <w:bottom w:val="single" w:color="auto" w:sz="2" w:space="0"/>
              <w:right w:val="single" w:color="auto" w:sz="2" w:space="0"/>
            </w:tcBorders>
            <w:vAlign w:val="center"/>
          </w:tcPr>
          <w:p w14:paraId="17DF3F9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712B443">
            <w:pPr>
              <w:spacing w:before="0" w:after="0" w:line="240" w:lineRule="exact"/>
              <w:jc w:val="right"/>
              <w:rPr>
                <w:rFonts w:ascii="宋体" w:hAnsi="宋体" w:eastAsia="宋体" w:cs="宋体"/>
                <w:sz w:val="18"/>
                <w:szCs w:val="18"/>
              </w:rPr>
            </w:pPr>
            <w:r>
              <w:rPr>
                <w:rFonts w:ascii="宋体" w:hAnsi="宋体" w:eastAsia="宋体" w:cs="宋体"/>
                <w:sz w:val="18"/>
                <w:szCs w:val="18"/>
              </w:rPr>
              <w:t>3,819,796.27</w:t>
            </w:r>
          </w:p>
        </w:tc>
        <w:tc>
          <w:tcPr>
            <w:tcW w:w="1377" w:type="dxa"/>
            <w:tcBorders>
              <w:top w:val="single" w:color="auto" w:sz="2" w:space="0"/>
              <w:left w:val="single" w:color="auto" w:sz="2" w:space="0"/>
              <w:bottom w:val="single" w:color="auto" w:sz="2" w:space="0"/>
              <w:right w:val="single" w:color="auto" w:sz="2" w:space="0"/>
            </w:tcBorders>
            <w:vAlign w:val="center"/>
          </w:tcPr>
          <w:p w14:paraId="504AF12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9E14CD7">
            <w:pPr>
              <w:spacing w:before="0" w:after="0" w:line="240" w:lineRule="exact"/>
              <w:jc w:val="right"/>
              <w:rPr>
                <w:rFonts w:ascii="宋体" w:hAnsi="宋体" w:eastAsia="宋体" w:cs="宋体"/>
                <w:sz w:val="18"/>
                <w:szCs w:val="18"/>
              </w:rPr>
            </w:pPr>
            <w:r>
              <w:rPr>
                <w:rFonts w:ascii="宋体" w:hAnsi="宋体" w:eastAsia="宋体" w:cs="宋体"/>
                <w:sz w:val="18"/>
                <w:szCs w:val="18"/>
              </w:rPr>
              <w:t>33,418,343.61</w:t>
            </w:r>
          </w:p>
        </w:tc>
      </w:tr>
    </w:tbl>
    <w:p w14:paraId="2356DA06">
      <w:pPr>
        <w:spacing w:before="100" w:after="100" w:line="0" w:lineRule="exact"/>
        <w:jc w:val="left"/>
      </w:pPr>
    </w:p>
    <w:p w14:paraId="6F4E2523">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按组合计提存货跌价准备</w:t>
      </w:r>
    </w:p>
    <w:p w14:paraId="5E54785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62D172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6159D94">
            <w:pPr>
              <w:spacing w:before="40" w:after="40" w:line="240" w:lineRule="exact"/>
              <w:jc w:val="center"/>
              <w:rPr>
                <w:rFonts w:ascii="宋体" w:hAnsi="宋体" w:eastAsia="宋体" w:cs="宋体"/>
                <w:sz w:val="18"/>
                <w:szCs w:val="18"/>
              </w:rPr>
            </w:pPr>
            <w:r>
              <w:rPr>
                <w:rFonts w:ascii="宋体" w:hAnsi="宋体" w:eastAsia="宋体" w:cs="宋体"/>
                <w:sz w:val="18"/>
                <w:szCs w:val="18"/>
              </w:rPr>
              <w:t>组合名称</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0A22AD73">
            <w:pPr>
              <w:spacing w:before="40" w:after="40" w:line="240" w:lineRule="exact"/>
              <w:jc w:val="center"/>
              <w:rPr>
                <w:rFonts w:ascii="宋体" w:hAnsi="宋体" w:eastAsia="宋体" w:cs="宋体"/>
                <w:sz w:val="18"/>
                <w:szCs w:val="18"/>
              </w:rPr>
            </w:pPr>
            <w:r>
              <w:rPr>
                <w:rFonts w:ascii="宋体" w:hAnsi="宋体" w:eastAsia="宋体" w:cs="宋体"/>
                <w:sz w:val="18"/>
                <w:szCs w:val="18"/>
              </w:rPr>
              <w:t>期末</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5903E0B5">
            <w:pPr>
              <w:spacing w:before="40" w:after="40" w:line="240" w:lineRule="exact"/>
              <w:jc w:val="center"/>
              <w:rPr>
                <w:rFonts w:ascii="宋体" w:hAnsi="宋体" w:eastAsia="宋体" w:cs="宋体"/>
                <w:sz w:val="18"/>
                <w:szCs w:val="18"/>
              </w:rPr>
            </w:pPr>
            <w:r>
              <w:rPr>
                <w:rFonts w:ascii="宋体" w:hAnsi="宋体" w:eastAsia="宋体" w:cs="宋体"/>
                <w:sz w:val="18"/>
                <w:szCs w:val="18"/>
              </w:rPr>
              <w:t>期初</w:t>
            </w:r>
          </w:p>
        </w:tc>
      </w:tr>
      <w:tr w14:paraId="7FFA4E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C3080D5"/>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06FC449">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DD12530">
            <w:pPr>
              <w:spacing w:before="40" w:after="40" w:line="240" w:lineRule="exact"/>
              <w:jc w:val="center"/>
              <w:rPr>
                <w:rFonts w:ascii="宋体" w:hAnsi="宋体" w:eastAsia="宋体" w:cs="宋体"/>
                <w:sz w:val="18"/>
                <w:szCs w:val="18"/>
              </w:rPr>
            </w:pPr>
            <w:r>
              <w:rPr>
                <w:rFonts w:ascii="宋体" w:hAnsi="宋体" w:eastAsia="宋体" w:cs="宋体"/>
                <w:sz w:val="18"/>
                <w:szCs w:val="18"/>
              </w:rPr>
              <w:t>跌价准备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E33CD35">
            <w:pPr>
              <w:spacing w:before="40" w:after="40" w:line="240" w:lineRule="exact"/>
              <w:jc w:val="center"/>
              <w:rPr>
                <w:rFonts w:ascii="宋体" w:hAnsi="宋体" w:eastAsia="宋体" w:cs="宋体"/>
                <w:sz w:val="18"/>
                <w:szCs w:val="18"/>
              </w:rPr>
            </w:pPr>
            <w:r>
              <w:rPr>
                <w:rFonts w:ascii="宋体" w:hAnsi="宋体" w:eastAsia="宋体" w:cs="宋体"/>
                <w:sz w:val="18"/>
                <w:szCs w:val="18"/>
              </w:rPr>
              <w:t>跌价准备计提比例</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F18E591">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2C1405B">
            <w:pPr>
              <w:spacing w:before="40" w:after="40" w:line="240" w:lineRule="exact"/>
              <w:jc w:val="center"/>
              <w:rPr>
                <w:rFonts w:ascii="宋体" w:hAnsi="宋体" w:eastAsia="宋体" w:cs="宋体"/>
                <w:sz w:val="18"/>
                <w:szCs w:val="18"/>
              </w:rPr>
            </w:pPr>
            <w:r>
              <w:rPr>
                <w:rFonts w:ascii="宋体" w:hAnsi="宋体" w:eastAsia="宋体" w:cs="宋体"/>
                <w:sz w:val="18"/>
                <w:szCs w:val="18"/>
              </w:rPr>
              <w:t>跌价准备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EB5D31F">
            <w:pPr>
              <w:spacing w:before="40" w:after="40" w:line="240" w:lineRule="exact"/>
              <w:jc w:val="center"/>
              <w:rPr>
                <w:rFonts w:ascii="宋体" w:hAnsi="宋体" w:eastAsia="宋体" w:cs="宋体"/>
                <w:sz w:val="18"/>
                <w:szCs w:val="18"/>
              </w:rPr>
            </w:pPr>
            <w:r>
              <w:rPr>
                <w:rFonts w:ascii="宋体" w:hAnsi="宋体" w:eastAsia="宋体" w:cs="宋体"/>
                <w:sz w:val="18"/>
                <w:szCs w:val="18"/>
              </w:rPr>
              <w:t>跌价准备计提比例</w:t>
            </w:r>
          </w:p>
        </w:tc>
      </w:tr>
    </w:tbl>
    <w:p w14:paraId="7062F284">
      <w:pPr>
        <w:spacing w:before="100" w:after="100" w:line="240" w:lineRule="exact"/>
        <w:jc w:val="left"/>
        <w:rPr>
          <w:rFonts w:ascii="宋体" w:hAnsi="宋体" w:eastAsia="宋体" w:cs="宋体"/>
          <w:sz w:val="18"/>
          <w:szCs w:val="18"/>
        </w:rPr>
      </w:pPr>
      <w:r>
        <w:rPr>
          <w:rFonts w:ascii="宋体" w:hAnsi="宋体" w:eastAsia="宋体" w:cs="宋体"/>
          <w:sz w:val="18"/>
          <w:szCs w:val="18"/>
        </w:rPr>
        <w:t>按组合计提存货跌价准备的计提标准</w:t>
      </w:r>
    </w:p>
    <w:p w14:paraId="7F482BC8">
      <w:pPr>
        <w:keepNext/>
        <w:keepLines/>
        <w:spacing w:before="300" w:after="300" w:line="280" w:lineRule="exact"/>
        <w:jc w:val="left"/>
        <w:outlineLvl w:val="3"/>
        <w:rPr>
          <w:rFonts w:ascii="宋体" w:hAnsi="宋体" w:eastAsia="宋体" w:cs="宋体"/>
          <w:b/>
          <w:bCs/>
          <w:sz w:val="21"/>
          <w:szCs w:val="21"/>
        </w:rPr>
      </w:pPr>
      <w:bookmarkStart w:id="287" w:name="_Toc989174"/>
      <w:r>
        <w:rPr>
          <w:rFonts w:ascii="宋体" w:hAnsi="宋体" w:eastAsia="宋体" w:cs="宋体"/>
          <w:b/>
          <w:bCs/>
          <w:sz w:val="21"/>
          <w:szCs w:val="21"/>
        </w:rPr>
        <w:t>（4） 存货期末余额含有借款费用资本化金额的说明</w:t>
      </w:r>
      <w:bookmarkEnd w:id="287"/>
    </w:p>
    <w:p w14:paraId="3652D08B">
      <w:pPr>
        <w:keepNext/>
        <w:keepLines/>
        <w:spacing w:before="300" w:after="300" w:line="280" w:lineRule="exact"/>
        <w:jc w:val="left"/>
        <w:outlineLvl w:val="3"/>
        <w:rPr>
          <w:rFonts w:ascii="宋体" w:hAnsi="宋体" w:eastAsia="宋体" w:cs="宋体"/>
          <w:b/>
          <w:bCs/>
          <w:sz w:val="21"/>
          <w:szCs w:val="21"/>
        </w:rPr>
      </w:pPr>
      <w:bookmarkStart w:id="288" w:name="_Toc989175"/>
      <w:r>
        <w:rPr>
          <w:rFonts w:ascii="宋体" w:hAnsi="宋体" w:eastAsia="宋体" w:cs="宋体"/>
          <w:b/>
          <w:bCs/>
          <w:sz w:val="21"/>
          <w:szCs w:val="21"/>
        </w:rPr>
        <w:t>（5） 合同履约成本本期摊销金额的说明</w:t>
      </w:r>
      <w:bookmarkEnd w:id="288"/>
    </w:p>
    <w:p w14:paraId="1FD5EC09">
      <w:pPr>
        <w:keepNext/>
        <w:keepLines/>
        <w:spacing w:before="300" w:after="300" w:line="280" w:lineRule="exact"/>
        <w:jc w:val="left"/>
        <w:outlineLvl w:val="2"/>
        <w:rPr>
          <w:rFonts w:ascii="宋体" w:hAnsi="宋体" w:eastAsia="宋体" w:cs="宋体"/>
          <w:b/>
          <w:bCs/>
          <w:sz w:val="21"/>
          <w:szCs w:val="21"/>
        </w:rPr>
      </w:pPr>
      <w:bookmarkStart w:id="289" w:name="_Toc989176"/>
      <w:r>
        <w:rPr>
          <w:rFonts w:ascii="宋体" w:hAnsi="宋体" w:eastAsia="宋体" w:cs="宋体"/>
          <w:b/>
          <w:bCs/>
          <w:sz w:val="21"/>
          <w:szCs w:val="21"/>
        </w:rPr>
        <w:t>11、持有待售资产</w:t>
      </w:r>
      <w:bookmarkEnd w:id="289"/>
    </w:p>
    <w:p w14:paraId="565351D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7357AC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32D722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A205F96">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56B2966">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D10453D">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6930B11">
            <w:pPr>
              <w:spacing w:before="40" w:after="40" w:line="240" w:lineRule="exact"/>
              <w:jc w:val="center"/>
              <w:rPr>
                <w:rFonts w:ascii="宋体" w:hAnsi="宋体" w:eastAsia="宋体" w:cs="宋体"/>
                <w:sz w:val="18"/>
                <w:szCs w:val="18"/>
              </w:rPr>
            </w:pPr>
            <w:r>
              <w:rPr>
                <w:rFonts w:ascii="宋体" w:hAnsi="宋体" w:eastAsia="宋体" w:cs="宋体"/>
                <w:sz w:val="18"/>
                <w:szCs w:val="18"/>
              </w:rPr>
              <w:t>公允价值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729CCE4">
            <w:pPr>
              <w:spacing w:before="40" w:after="40" w:line="240" w:lineRule="exact"/>
              <w:jc w:val="center"/>
              <w:rPr>
                <w:rFonts w:ascii="宋体" w:hAnsi="宋体" w:eastAsia="宋体" w:cs="宋体"/>
                <w:sz w:val="18"/>
                <w:szCs w:val="18"/>
              </w:rPr>
            </w:pPr>
            <w:r>
              <w:rPr>
                <w:rFonts w:ascii="宋体" w:hAnsi="宋体" w:eastAsia="宋体" w:cs="宋体"/>
                <w:sz w:val="18"/>
                <w:szCs w:val="18"/>
              </w:rPr>
              <w:t>预计处置费用</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A7F0073">
            <w:pPr>
              <w:spacing w:before="40" w:after="40" w:line="240" w:lineRule="exact"/>
              <w:jc w:val="center"/>
              <w:rPr>
                <w:rFonts w:ascii="宋体" w:hAnsi="宋体" w:eastAsia="宋体" w:cs="宋体"/>
                <w:sz w:val="18"/>
                <w:szCs w:val="18"/>
              </w:rPr>
            </w:pPr>
            <w:r>
              <w:rPr>
                <w:rFonts w:ascii="宋体" w:hAnsi="宋体" w:eastAsia="宋体" w:cs="宋体"/>
                <w:sz w:val="18"/>
                <w:szCs w:val="18"/>
              </w:rPr>
              <w:t>预计处置时间</w:t>
            </w:r>
          </w:p>
        </w:tc>
      </w:tr>
    </w:tbl>
    <w:p w14:paraId="621FD7A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5E4C6864">
      <w:pPr>
        <w:keepNext/>
        <w:keepLines/>
        <w:spacing w:before="300" w:after="300" w:line="280" w:lineRule="exact"/>
        <w:jc w:val="left"/>
        <w:outlineLvl w:val="2"/>
        <w:rPr>
          <w:rFonts w:ascii="宋体" w:hAnsi="宋体" w:eastAsia="宋体" w:cs="宋体"/>
          <w:b/>
          <w:bCs/>
          <w:sz w:val="21"/>
          <w:szCs w:val="21"/>
        </w:rPr>
      </w:pPr>
      <w:bookmarkStart w:id="290" w:name="_Toc989177"/>
      <w:r>
        <w:rPr>
          <w:rFonts w:ascii="宋体" w:hAnsi="宋体" w:eastAsia="宋体" w:cs="宋体"/>
          <w:b/>
          <w:bCs/>
          <w:sz w:val="21"/>
          <w:szCs w:val="21"/>
        </w:rPr>
        <w:t>12、一年内到期的非流动资产</w:t>
      </w:r>
      <w:bookmarkEnd w:id="290"/>
    </w:p>
    <w:p w14:paraId="58A0F95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39730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F37BD9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D29A36C">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F73DBCB">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462C3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67B0221">
            <w:pPr>
              <w:spacing w:before="0" w:after="0" w:line="240" w:lineRule="exact"/>
              <w:jc w:val="left"/>
              <w:rPr>
                <w:rFonts w:ascii="宋体" w:hAnsi="宋体" w:eastAsia="宋体" w:cs="宋体"/>
                <w:sz w:val="18"/>
                <w:szCs w:val="18"/>
              </w:rPr>
            </w:pPr>
            <w:r>
              <w:rPr>
                <w:rFonts w:ascii="宋体" w:hAnsi="宋体" w:eastAsia="宋体" w:cs="宋体"/>
                <w:sz w:val="18"/>
                <w:szCs w:val="18"/>
              </w:rPr>
              <w:t>一年内到期的长期待摊费用</w:t>
            </w:r>
          </w:p>
        </w:tc>
        <w:tc>
          <w:tcPr>
            <w:tcW w:w="3213" w:type="dxa"/>
            <w:tcBorders>
              <w:top w:val="single" w:color="auto" w:sz="2" w:space="0"/>
              <w:left w:val="single" w:color="auto" w:sz="2" w:space="0"/>
              <w:bottom w:val="single" w:color="auto" w:sz="2" w:space="0"/>
              <w:right w:val="single" w:color="auto" w:sz="2" w:space="0"/>
            </w:tcBorders>
            <w:vAlign w:val="center"/>
          </w:tcPr>
          <w:p w14:paraId="2A594849">
            <w:pPr>
              <w:spacing w:before="0" w:after="0" w:line="240" w:lineRule="exact"/>
              <w:jc w:val="right"/>
              <w:rPr>
                <w:rFonts w:ascii="宋体" w:hAnsi="宋体" w:eastAsia="宋体" w:cs="宋体"/>
                <w:sz w:val="18"/>
                <w:szCs w:val="18"/>
              </w:rPr>
            </w:pPr>
            <w:r>
              <w:rPr>
                <w:rFonts w:ascii="宋体" w:hAnsi="宋体" w:eastAsia="宋体" w:cs="宋体"/>
                <w:sz w:val="18"/>
                <w:szCs w:val="18"/>
              </w:rPr>
              <w:t>128,301.77</w:t>
            </w:r>
          </w:p>
        </w:tc>
        <w:tc>
          <w:tcPr>
            <w:tcW w:w="3213" w:type="dxa"/>
            <w:tcBorders>
              <w:top w:val="single" w:color="auto" w:sz="2" w:space="0"/>
              <w:left w:val="single" w:color="auto" w:sz="2" w:space="0"/>
              <w:bottom w:val="single" w:color="auto" w:sz="2" w:space="0"/>
              <w:right w:val="single" w:color="auto" w:sz="2" w:space="0"/>
            </w:tcBorders>
            <w:vAlign w:val="center"/>
          </w:tcPr>
          <w:p w14:paraId="74632E5A">
            <w:pPr>
              <w:spacing w:before="0" w:after="0" w:line="240" w:lineRule="exact"/>
              <w:jc w:val="right"/>
              <w:rPr>
                <w:rFonts w:ascii="宋体" w:hAnsi="宋体" w:eastAsia="宋体" w:cs="宋体"/>
                <w:sz w:val="18"/>
                <w:szCs w:val="18"/>
              </w:rPr>
            </w:pPr>
          </w:p>
        </w:tc>
      </w:tr>
      <w:tr w14:paraId="461546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082D8BD">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4E4CEE71">
            <w:pPr>
              <w:spacing w:before="0" w:after="0" w:line="240" w:lineRule="exact"/>
              <w:jc w:val="right"/>
              <w:rPr>
                <w:rFonts w:ascii="宋体" w:hAnsi="宋体" w:eastAsia="宋体" w:cs="宋体"/>
                <w:sz w:val="18"/>
                <w:szCs w:val="18"/>
              </w:rPr>
            </w:pPr>
            <w:r>
              <w:rPr>
                <w:rFonts w:ascii="宋体" w:hAnsi="宋体" w:eastAsia="宋体" w:cs="宋体"/>
                <w:sz w:val="18"/>
                <w:szCs w:val="18"/>
              </w:rPr>
              <w:t>128,301.77</w:t>
            </w:r>
          </w:p>
        </w:tc>
        <w:tc>
          <w:tcPr>
            <w:tcW w:w="3213" w:type="dxa"/>
            <w:tcBorders>
              <w:top w:val="single" w:color="auto" w:sz="2" w:space="0"/>
              <w:left w:val="single" w:color="auto" w:sz="2" w:space="0"/>
              <w:bottom w:val="single" w:color="auto" w:sz="2" w:space="0"/>
              <w:right w:val="single" w:color="auto" w:sz="2" w:space="0"/>
            </w:tcBorders>
            <w:vAlign w:val="center"/>
          </w:tcPr>
          <w:p w14:paraId="70553B69">
            <w:pPr>
              <w:spacing w:before="0" w:after="0" w:line="240" w:lineRule="exact"/>
              <w:jc w:val="right"/>
              <w:rPr>
                <w:rFonts w:ascii="宋体" w:hAnsi="宋体" w:eastAsia="宋体" w:cs="宋体"/>
                <w:sz w:val="18"/>
                <w:szCs w:val="18"/>
              </w:rPr>
            </w:pPr>
          </w:p>
        </w:tc>
      </w:tr>
    </w:tbl>
    <w:p w14:paraId="6B36BEA0">
      <w:pPr>
        <w:keepNext/>
        <w:keepLines/>
        <w:spacing w:before="300" w:after="300" w:line="280" w:lineRule="exact"/>
        <w:jc w:val="left"/>
        <w:outlineLvl w:val="3"/>
        <w:rPr>
          <w:rFonts w:ascii="宋体" w:hAnsi="宋体" w:eastAsia="宋体" w:cs="宋体"/>
          <w:b/>
          <w:bCs/>
          <w:sz w:val="21"/>
          <w:szCs w:val="21"/>
        </w:rPr>
      </w:pPr>
      <w:bookmarkStart w:id="291" w:name="_Toc989178"/>
      <w:r>
        <w:rPr>
          <w:rFonts w:ascii="宋体" w:hAnsi="宋体" w:eastAsia="宋体" w:cs="宋体"/>
          <w:b/>
          <w:bCs/>
          <w:sz w:val="21"/>
          <w:szCs w:val="21"/>
        </w:rPr>
        <w:t>（1） 一年内到期的债权投资</w:t>
      </w:r>
      <w:bookmarkEnd w:id="291"/>
    </w:p>
    <w:p w14:paraId="60181B33">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5BAD6B2">
      <w:pPr>
        <w:keepNext/>
        <w:keepLines/>
        <w:spacing w:before="300" w:after="300" w:line="280" w:lineRule="exact"/>
        <w:jc w:val="left"/>
        <w:outlineLvl w:val="3"/>
        <w:rPr>
          <w:rFonts w:ascii="宋体" w:hAnsi="宋体" w:eastAsia="宋体" w:cs="宋体"/>
          <w:b/>
          <w:bCs/>
          <w:sz w:val="21"/>
          <w:szCs w:val="21"/>
        </w:rPr>
      </w:pPr>
      <w:bookmarkStart w:id="292" w:name="_Toc989179"/>
      <w:r>
        <w:rPr>
          <w:rFonts w:ascii="宋体" w:hAnsi="宋体" w:eastAsia="宋体" w:cs="宋体"/>
          <w:b/>
          <w:bCs/>
          <w:sz w:val="21"/>
          <w:szCs w:val="21"/>
        </w:rPr>
        <w:t>（2） 一年内到期的其他债权投资</w:t>
      </w:r>
      <w:bookmarkEnd w:id="292"/>
    </w:p>
    <w:p w14:paraId="4B15544B">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6B82F5A0">
      <w:pPr>
        <w:keepNext/>
        <w:keepLines/>
        <w:spacing w:before="300" w:after="300" w:line="280" w:lineRule="exact"/>
        <w:jc w:val="left"/>
        <w:outlineLvl w:val="2"/>
        <w:rPr>
          <w:rFonts w:ascii="宋体" w:hAnsi="宋体" w:eastAsia="宋体" w:cs="宋体"/>
          <w:b/>
          <w:bCs/>
          <w:sz w:val="21"/>
          <w:szCs w:val="21"/>
        </w:rPr>
      </w:pPr>
      <w:bookmarkStart w:id="293" w:name="_Toc989180"/>
      <w:r>
        <w:rPr>
          <w:rFonts w:ascii="宋体" w:hAnsi="宋体" w:eastAsia="宋体" w:cs="宋体"/>
          <w:b/>
          <w:bCs/>
          <w:sz w:val="21"/>
          <w:szCs w:val="21"/>
        </w:rPr>
        <w:t>13、其他流动资产</w:t>
      </w:r>
      <w:bookmarkEnd w:id="293"/>
    </w:p>
    <w:p w14:paraId="72BAA45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534A3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070D693">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A31115">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0CCFEE9">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2E6174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5E4961B">
            <w:pPr>
              <w:spacing w:before="0" w:after="0" w:line="240" w:lineRule="exact"/>
              <w:jc w:val="left"/>
              <w:rPr>
                <w:rFonts w:ascii="宋体" w:hAnsi="宋体" w:eastAsia="宋体" w:cs="宋体"/>
                <w:sz w:val="18"/>
                <w:szCs w:val="18"/>
              </w:rPr>
            </w:pPr>
            <w:r>
              <w:rPr>
                <w:rFonts w:ascii="宋体" w:hAnsi="宋体" w:eastAsia="宋体" w:cs="宋体"/>
                <w:sz w:val="18"/>
                <w:szCs w:val="18"/>
              </w:rPr>
              <w:t>待认证进项税额</w:t>
            </w:r>
          </w:p>
        </w:tc>
        <w:tc>
          <w:tcPr>
            <w:tcW w:w="3213" w:type="dxa"/>
            <w:tcBorders>
              <w:top w:val="single" w:color="auto" w:sz="2" w:space="0"/>
              <w:left w:val="single" w:color="auto" w:sz="2" w:space="0"/>
              <w:bottom w:val="single" w:color="auto" w:sz="2" w:space="0"/>
              <w:right w:val="single" w:color="auto" w:sz="2" w:space="0"/>
            </w:tcBorders>
            <w:vAlign w:val="center"/>
          </w:tcPr>
          <w:p w14:paraId="411DB742">
            <w:pPr>
              <w:spacing w:before="0" w:after="0" w:line="240" w:lineRule="exact"/>
              <w:jc w:val="right"/>
              <w:rPr>
                <w:rFonts w:ascii="宋体" w:hAnsi="宋体" w:eastAsia="宋体" w:cs="宋体"/>
                <w:sz w:val="18"/>
                <w:szCs w:val="18"/>
              </w:rPr>
            </w:pPr>
            <w:r>
              <w:rPr>
                <w:rFonts w:ascii="宋体" w:hAnsi="宋体" w:eastAsia="宋体" w:cs="宋体"/>
                <w:sz w:val="18"/>
                <w:szCs w:val="18"/>
              </w:rPr>
              <w:t>30,324,330.17</w:t>
            </w:r>
          </w:p>
        </w:tc>
        <w:tc>
          <w:tcPr>
            <w:tcW w:w="3213" w:type="dxa"/>
            <w:tcBorders>
              <w:top w:val="single" w:color="auto" w:sz="2" w:space="0"/>
              <w:left w:val="single" w:color="auto" w:sz="2" w:space="0"/>
              <w:bottom w:val="single" w:color="auto" w:sz="2" w:space="0"/>
              <w:right w:val="single" w:color="auto" w:sz="2" w:space="0"/>
            </w:tcBorders>
            <w:vAlign w:val="center"/>
          </w:tcPr>
          <w:p w14:paraId="5FB49BCD">
            <w:pPr>
              <w:spacing w:before="0" w:after="0" w:line="240" w:lineRule="exact"/>
              <w:jc w:val="right"/>
              <w:rPr>
                <w:rFonts w:ascii="宋体" w:hAnsi="宋体" w:eastAsia="宋体" w:cs="宋体"/>
                <w:sz w:val="18"/>
                <w:szCs w:val="18"/>
              </w:rPr>
            </w:pPr>
            <w:r>
              <w:rPr>
                <w:rFonts w:ascii="宋体" w:hAnsi="宋体" w:eastAsia="宋体" w:cs="宋体"/>
                <w:sz w:val="18"/>
                <w:szCs w:val="18"/>
              </w:rPr>
              <w:t>21,984,402.27</w:t>
            </w:r>
          </w:p>
        </w:tc>
      </w:tr>
      <w:tr w14:paraId="517D35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7A017E3">
            <w:pPr>
              <w:spacing w:before="0" w:after="0" w:line="240" w:lineRule="exact"/>
              <w:jc w:val="left"/>
              <w:rPr>
                <w:rFonts w:ascii="宋体" w:hAnsi="宋体" w:eastAsia="宋体" w:cs="宋体"/>
                <w:sz w:val="18"/>
                <w:szCs w:val="18"/>
              </w:rPr>
            </w:pPr>
            <w:r>
              <w:rPr>
                <w:rFonts w:ascii="宋体" w:hAnsi="宋体" w:eastAsia="宋体" w:cs="宋体"/>
                <w:sz w:val="18"/>
                <w:szCs w:val="18"/>
              </w:rPr>
              <w:t>增值税留抵税额</w:t>
            </w:r>
          </w:p>
        </w:tc>
        <w:tc>
          <w:tcPr>
            <w:tcW w:w="3213" w:type="dxa"/>
            <w:tcBorders>
              <w:top w:val="single" w:color="auto" w:sz="2" w:space="0"/>
              <w:left w:val="single" w:color="auto" w:sz="2" w:space="0"/>
              <w:bottom w:val="single" w:color="auto" w:sz="2" w:space="0"/>
              <w:right w:val="single" w:color="auto" w:sz="2" w:space="0"/>
            </w:tcBorders>
            <w:vAlign w:val="center"/>
          </w:tcPr>
          <w:p w14:paraId="1DDB3350">
            <w:pPr>
              <w:spacing w:before="0" w:after="0" w:line="240" w:lineRule="exact"/>
              <w:jc w:val="right"/>
              <w:rPr>
                <w:rFonts w:ascii="宋体" w:hAnsi="宋体" w:eastAsia="宋体" w:cs="宋体"/>
                <w:sz w:val="18"/>
                <w:szCs w:val="18"/>
              </w:rPr>
            </w:pPr>
            <w:r>
              <w:rPr>
                <w:rFonts w:ascii="宋体" w:hAnsi="宋体" w:eastAsia="宋体" w:cs="宋体"/>
                <w:sz w:val="18"/>
                <w:szCs w:val="18"/>
              </w:rPr>
              <w:t>28,298,239.30</w:t>
            </w:r>
          </w:p>
        </w:tc>
        <w:tc>
          <w:tcPr>
            <w:tcW w:w="3213" w:type="dxa"/>
            <w:tcBorders>
              <w:top w:val="single" w:color="auto" w:sz="2" w:space="0"/>
              <w:left w:val="single" w:color="auto" w:sz="2" w:space="0"/>
              <w:bottom w:val="single" w:color="auto" w:sz="2" w:space="0"/>
              <w:right w:val="single" w:color="auto" w:sz="2" w:space="0"/>
            </w:tcBorders>
            <w:vAlign w:val="center"/>
          </w:tcPr>
          <w:p w14:paraId="61C2D014">
            <w:pPr>
              <w:spacing w:before="0" w:after="0" w:line="240" w:lineRule="exact"/>
              <w:jc w:val="right"/>
              <w:rPr>
                <w:rFonts w:ascii="宋体" w:hAnsi="宋体" w:eastAsia="宋体" w:cs="宋体"/>
                <w:sz w:val="18"/>
                <w:szCs w:val="18"/>
              </w:rPr>
            </w:pPr>
            <w:r>
              <w:rPr>
                <w:rFonts w:ascii="宋体" w:hAnsi="宋体" w:eastAsia="宋体" w:cs="宋体"/>
                <w:sz w:val="18"/>
                <w:szCs w:val="18"/>
              </w:rPr>
              <w:t>24,232,161.85</w:t>
            </w:r>
          </w:p>
        </w:tc>
      </w:tr>
      <w:tr w14:paraId="1B5F56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3470D14">
            <w:pPr>
              <w:spacing w:before="0" w:after="0" w:line="240" w:lineRule="exact"/>
              <w:jc w:val="left"/>
              <w:rPr>
                <w:rFonts w:ascii="宋体" w:hAnsi="宋体" w:eastAsia="宋体" w:cs="宋体"/>
                <w:sz w:val="18"/>
                <w:szCs w:val="18"/>
              </w:rPr>
            </w:pPr>
            <w:r>
              <w:rPr>
                <w:rFonts w:ascii="宋体" w:hAnsi="宋体" w:eastAsia="宋体" w:cs="宋体"/>
                <w:sz w:val="18"/>
                <w:szCs w:val="18"/>
              </w:rPr>
              <w:t>应收退货成本</w:t>
            </w:r>
          </w:p>
        </w:tc>
        <w:tc>
          <w:tcPr>
            <w:tcW w:w="3213" w:type="dxa"/>
            <w:tcBorders>
              <w:top w:val="single" w:color="auto" w:sz="2" w:space="0"/>
              <w:left w:val="single" w:color="auto" w:sz="2" w:space="0"/>
              <w:bottom w:val="single" w:color="auto" w:sz="2" w:space="0"/>
              <w:right w:val="single" w:color="auto" w:sz="2" w:space="0"/>
            </w:tcBorders>
            <w:vAlign w:val="center"/>
          </w:tcPr>
          <w:p w14:paraId="3C9ED9E3">
            <w:pPr>
              <w:spacing w:before="0" w:after="0" w:line="240" w:lineRule="exact"/>
              <w:jc w:val="right"/>
              <w:rPr>
                <w:rFonts w:ascii="宋体" w:hAnsi="宋体" w:eastAsia="宋体" w:cs="宋体"/>
                <w:sz w:val="18"/>
                <w:szCs w:val="18"/>
              </w:rPr>
            </w:pPr>
            <w:r>
              <w:rPr>
                <w:rFonts w:ascii="宋体" w:hAnsi="宋体" w:eastAsia="宋体" w:cs="宋体"/>
                <w:sz w:val="18"/>
                <w:szCs w:val="18"/>
              </w:rPr>
              <w:t>713,419.85</w:t>
            </w:r>
          </w:p>
        </w:tc>
        <w:tc>
          <w:tcPr>
            <w:tcW w:w="3213" w:type="dxa"/>
            <w:tcBorders>
              <w:top w:val="single" w:color="auto" w:sz="2" w:space="0"/>
              <w:left w:val="single" w:color="auto" w:sz="2" w:space="0"/>
              <w:bottom w:val="single" w:color="auto" w:sz="2" w:space="0"/>
              <w:right w:val="single" w:color="auto" w:sz="2" w:space="0"/>
            </w:tcBorders>
            <w:vAlign w:val="center"/>
          </w:tcPr>
          <w:p w14:paraId="3528F055">
            <w:pPr>
              <w:spacing w:before="0" w:after="0" w:line="240" w:lineRule="exact"/>
              <w:jc w:val="right"/>
              <w:rPr>
                <w:rFonts w:ascii="宋体" w:hAnsi="宋体" w:eastAsia="宋体" w:cs="宋体"/>
                <w:sz w:val="18"/>
                <w:szCs w:val="18"/>
              </w:rPr>
            </w:pPr>
          </w:p>
        </w:tc>
      </w:tr>
      <w:tr w14:paraId="099D9C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6980D12">
            <w:pPr>
              <w:spacing w:before="0" w:after="0" w:line="240" w:lineRule="exact"/>
              <w:jc w:val="left"/>
              <w:rPr>
                <w:rFonts w:ascii="宋体" w:hAnsi="宋体" w:eastAsia="宋体" w:cs="宋体"/>
                <w:sz w:val="18"/>
                <w:szCs w:val="18"/>
              </w:rPr>
            </w:pPr>
            <w:r>
              <w:rPr>
                <w:rFonts w:ascii="宋体" w:hAnsi="宋体" w:eastAsia="宋体" w:cs="宋体"/>
                <w:sz w:val="18"/>
                <w:szCs w:val="18"/>
              </w:rPr>
              <w:t>待抵扣进项税额</w:t>
            </w:r>
          </w:p>
        </w:tc>
        <w:tc>
          <w:tcPr>
            <w:tcW w:w="3213" w:type="dxa"/>
            <w:tcBorders>
              <w:top w:val="single" w:color="auto" w:sz="2" w:space="0"/>
              <w:left w:val="single" w:color="auto" w:sz="2" w:space="0"/>
              <w:bottom w:val="single" w:color="auto" w:sz="2" w:space="0"/>
              <w:right w:val="single" w:color="auto" w:sz="2" w:space="0"/>
            </w:tcBorders>
            <w:vAlign w:val="center"/>
          </w:tcPr>
          <w:p w14:paraId="7C7F0903">
            <w:pPr>
              <w:spacing w:before="0" w:after="0" w:line="240" w:lineRule="exact"/>
              <w:jc w:val="right"/>
              <w:rPr>
                <w:rFonts w:ascii="宋体" w:hAnsi="宋体" w:eastAsia="宋体" w:cs="宋体"/>
                <w:sz w:val="18"/>
                <w:szCs w:val="18"/>
              </w:rPr>
            </w:pPr>
            <w:r>
              <w:rPr>
                <w:rFonts w:ascii="宋体" w:hAnsi="宋体" w:eastAsia="宋体" w:cs="宋体"/>
                <w:sz w:val="18"/>
                <w:szCs w:val="18"/>
              </w:rPr>
              <w:t>326,284.31</w:t>
            </w:r>
          </w:p>
        </w:tc>
        <w:tc>
          <w:tcPr>
            <w:tcW w:w="3213" w:type="dxa"/>
            <w:tcBorders>
              <w:top w:val="single" w:color="auto" w:sz="2" w:space="0"/>
              <w:left w:val="single" w:color="auto" w:sz="2" w:space="0"/>
              <w:bottom w:val="single" w:color="auto" w:sz="2" w:space="0"/>
              <w:right w:val="single" w:color="auto" w:sz="2" w:space="0"/>
            </w:tcBorders>
            <w:vAlign w:val="center"/>
          </w:tcPr>
          <w:p w14:paraId="4B1119B0">
            <w:pPr>
              <w:spacing w:before="0" w:after="0" w:line="240" w:lineRule="exact"/>
              <w:jc w:val="right"/>
              <w:rPr>
                <w:rFonts w:ascii="宋体" w:hAnsi="宋体" w:eastAsia="宋体" w:cs="宋体"/>
                <w:sz w:val="18"/>
                <w:szCs w:val="18"/>
              </w:rPr>
            </w:pPr>
            <w:r>
              <w:rPr>
                <w:rFonts w:ascii="宋体" w:hAnsi="宋体" w:eastAsia="宋体" w:cs="宋体"/>
                <w:sz w:val="18"/>
                <w:szCs w:val="18"/>
              </w:rPr>
              <w:t>425,499.03</w:t>
            </w:r>
          </w:p>
        </w:tc>
      </w:tr>
      <w:tr w14:paraId="3686A1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8FDFF55">
            <w:pPr>
              <w:spacing w:before="0" w:after="0" w:line="240" w:lineRule="exact"/>
              <w:jc w:val="left"/>
              <w:rPr>
                <w:rFonts w:ascii="宋体" w:hAnsi="宋体" w:eastAsia="宋体" w:cs="宋体"/>
                <w:sz w:val="18"/>
                <w:szCs w:val="18"/>
              </w:rPr>
            </w:pPr>
            <w:r>
              <w:rPr>
                <w:rFonts w:ascii="宋体" w:hAnsi="宋体" w:eastAsia="宋体" w:cs="宋体"/>
                <w:sz w:val="18"/>
                <w:szCs w:val="18"/>
              </w:rPr>
              <w:t>增值税减免税额</w:t>
            </w:r>
          </w:p>
        </w:tc>
        <w:tc>
          <w:tcPr>
            <w:tcW w:w="3213" w:type="dxa"/>
            <w:tcBorders>
              <w:top w:val="single" w:color="auto" w:sz="2" w:space="0"/>
              <w:left w:val="single" w:color="auto" w:sz="2" w:space="0"/>
              <w:bottom w:val="single" w:color="auto" w:sz="2" w:space="0"/>
              <w:right w:val="single" w:color="auto" w:sz="2" w:space="0"/>
            </w:tcBorders>
            <w:vAlign w:val="center"/>
          </w:tcPr>
          <w:p w14:paraId="6F50DD9C">
            <w:pPr>
              <w:spacing w:before="0" w:after="0" w:line="240" w:lineRule="exact"/>
              <w:jc w:val="right"/>
              <w:rPr>
                <w:rFonts w:ascii="宋体" w:hAnsi="宋体" w:eastAsia="宋体" w:cs="宋体"/>
                <w:sz w:val="18"/>
                <w:szCs w:val="18"/>
              </w:rPr>
            </w:pPr>
            <w:r>
              <w:rPr>
                <w:rFonts w:ascii="宋体" w:hAnsi="宋体" w:eastAsia="宋体" w:cs="宋体"/>
                <w:sz w:val="18"/>
                <w:szCs w:val="18"/>
              </w:rPr>
              <w:t>2,839.00</w:t>
            </w:r>
          </w:p>
        </w:tc>
        <w:tc>
          <w:tcPr>
            <w:tcW w:w="3213" w:type="dxa"/>
            <w:tcBorders>
              <w:top w:val="single" w:color="auto" w:sz="2" w:space="0"/>
              <w:left w:val="single" w:color="auto" w:sz="2" w:space="0"/>
              <w:bottom w:val="single" w:color="auto" w:sz="2" w:space="0"/>
              <w:right w:val="single" w:color="auto" w:sz="2" w:space="0"/>
            </w:tcBorders>
            <w:vAlign w:val="center"/>
          </w:tcPr>
          <w:p w14:paraId="0D5FD11D">
            <w:pPr>
              <w:spacing w:before="0" w:after="0" w:line="240" w:lineRule="exact"/>
              <w:jc w:val="right"/>
              <w:rPr>
                <w:rFonts w:ascii="宋体" w:hAnsi="宋体" w:eastAsia="宋体" w:cs="宋体"/>
                <w:sz w:val="18"/>
                <w:szCs w:val="18"/>
              </w:rPr>
            </w:pPr>
            <w:r>
              <w:rPr>
                <w:rFonts w:ascii="宋体" w:hAnsi="宋体" w:eastAsia="宋体" w:cs="宋体"/>
                <w:sz w:val="18"/>
                <w:szCs w:val="18"/>
              </w:rPr>
              <w:t>4,719.00</w:t>
            </w:r>
          </w:p>
        </w:tc>
      </w:tr>
      <w:tr w14:paraId="2BFA65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E396128">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04F4A392">
            <w:pPr>
              <w:spacing w:before="0" w:after="0" w:line="240" w:lineRule="exact"/>
              <w:jc w:val="right"/>
              <w:rPr>
                <w:rFonts w:ascii="宋体" w:hAnsi="宋体" w:eastAsia="宋体" w:cs="宋体"/>
                <w:sz w:val="18"/>
                <w:szCs w:val="18"/>
              </w:rPr>
            </w:pPr>
            <w:r>
              <w:rPr>
                <w:rFonts w:ascii="宋体" w:hAnsi="宋体" w:eastAsia="宋体" w:cs="宋体"/>
                <w:sz w:val="18"/>
                <w:szCs w:val="18"/>
              </w:rPr>
              <w:t>59,665,112.63</w:t>
            </w:r>
          </w:p>
        </w:tc>
        <w:tc>
          <w:tcPr>
            <w:tcW w:w="3213" w:type="dxa"/>
            <w:tcBorders>
              <w:top w:val="single" w:color="auto" w:sz="2" w:space="0"/>
              <w:left w:val="single" w:color="auto" w:sz="2" w:space="0"/>
              <w:bottom w:val="single" w:color="auto" w:sz="2" w:space="0"/>
              <w:right w:val="single" w:color="auto" w:sz="2" w:space="0"/>
            </w:tcBorders>
            <w:vAlign w:val="center"/>
          </w:tcPr>
          <w:p w14:paraId="52EA53AB">
            <w:pPr>
              <w:spacing w:before="0" w:after="0" w:line="240" w:lineRule="exact"/>
              <w:jc w:val="right"/>
              <w:rPr>
                <w:rFonts w:ascii="宋体" w:hAnsi="宋体" w:eastAsia="宋体" w:cs="宋体"/>
                <w:sz w:val="18"/>
                <w:szCs w:val="18"/>
              </w:rPr>
            </w:pPr>
            <w:r>
              <w:rPr>
                <w:rFonts w:ascii="宋体" w:hAnsi="宋体" w:eastAsia="宋体" w:cs="宋体"/>
                <w:sz w:val="18"/>
                <w:szCs w:val="18"/>
              </w:rPr>
              <w:t>46,646,782.15</w:t>
            </w:r>
          </w:p>
        </w:tc>
      </w:tr>
    </w:tbl>
    <w:p w14:paraId="6C29D7B2">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01449A1">
      <w:pPr>
        <w:keepNext/>
        <w:keepLines/>
        <w:spacing w:before="300" w:after="300" w:line="280" w:lineRule="exact"/>
        <w:jc w:val="left"/>
        <w:outlineLvl w:val="2"/>
        <w:rPr>
          <w:rFonts w:ascii="宋体" w:hAnsi="宋体" w:eastAsia="宋体" w:cs="宋体"/>
          <w:b/>
          <w:bCs/>
          <w:sz w:val="21"/>
          <w:szCs w:val="21"/>
        </w:rPr>
      </w:pPr>
      <w:bookmarkStart w:id="294" w:name="_Toc989181"/>
      <w:r>
        <w:rPr>
          <w:rFonts w:ascii="宋体" w:hAnsi="宋体" w:eastAsia="宋体" w:cs="宋体"/>
          <w:b/>
          <w:bCs/>
          <w:sz w:val="21"/>
          <w:szCs w:val="21"/>
        </w:rPr>
        <w:t>14、债权投资</w:t>
      </w:r>
      <w:bookmarkEnd w:id="294"/>
    </w:p>
    <w:p w14:paraId="785C2480">
      <w:pPr>
        <w:keepNext/>
        <w:keepLines/>
        <w:spacing w:before="300" w:after="300" w:line="280" w:lineRule="exact"/>
        <w:jc w:val="left"/>
        <w:outlineLvl w:val="3"/>
        <w:rPr>
          <w:rFonts w:ascii="宋体" w:hAnsi="宋体" w:eastAsia="宋体" w:cs="宋体"/>
          <w:b/>
          <w:bCs/>
          <w:sz w:val="21"/>
          <w:szCs w:val="21"/>
        </w:rPr>
      </w:pPr>
      <w:bookmarkStart w:id="295" w:name="_Toc989182"/>
      <w:r>
        <w:rPr>
          <w:rFonts w:ascii="宋体" w:hAnsi="宋体" w:eastAsia="宋体" w:cs="宋体"/>
          <w:b/>
          <w:bCs/>
          <w:sz w:val="21"/>
          <w:szCs w:val="21"/>
        </w:rPr>
        <w:t>（1） 债权投资的情况</w:t>
      </w:r>
      <w:bookmarkEnd w:id="295"/>
    </w:p>
    <w:p w14:paraId="29150CE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335021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22766B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05358EAD">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31FE26BA">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2824F7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39B492E"/>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BAFBA6E">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551AF5A">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5D81186">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1D1635F">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8C91537">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10B031F">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bl>
    <w:p w14:paraId="3A6F7060">
      <w:pPr>
        <w:spacing w:before="100" w:after="100" w:line="240" w:lineRule="exact"/>
        <w:jc w:val="left"/>
        <w:rPr>
          <w:rFonts w:ascii="宋体" w:hAnsi="宋体" w:eastAsia="宋体" w:cs="宋体"/>
          <w:sz w:val="18"/>
          <w:szCs w:val="18"/>
        </w:rPr>
      </w:pPr>
      <w:r>
        <w:rPr>
          <w:rFonts w:ascii="宋体" w:hAnsi="宋体" w:eastAsia="宋体" w:cs="宋体"/>
          <w:sz w:val="18"/>
          <w:szCs w:val="18"/>
        </w:rPr>
        <w:t>债权投资减值准备本期变动情况</w:t>
      </w:r>
    </w:p>
    <w:p w14:paraId="2CAF9E1F">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4F7C3C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2442CA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59A0F11">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1D20668">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69029BB">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80B680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bl>
    <w:p w14:paraId="7A597C2A">
      <w:pPr>
        <w:keepNext/>
        <w:keepLines/>
        <w:spacing w:before="300" w:after="300" w:line="280" w:lineRule="exact"/>
        <w:jc w:val="left"/>
        <w:outlineLvl w:val="3"/>
        <w:rPr>
          <w:rFonts w:ascii="宋体" w:hAnsi="宋体" w:eastAsia="宋体" w:cs="宋体"/>
          <w:b/>
          <w:bCs/>
          <w:sz w:val="21"/>
          <w:szCs w:val="21"/>
        </w:rPr>
      </w:pPr>
      <w:bookmarkStart w:id="296" w:name="_Toc989183"/>
      <w:r>
        <w:rPr>
          <w:rFonts w:ascii="宋体" w:hAnsi="宋体" w:eastAsia="宋体" w:cs="宋体"/>
          <w:b/>
          <w:bCs/>
          <w:sz w:val="21"/>
          <w:szCs w:val="21"/>
        </w:rPr>
        <w:t>（2） 期末重要的债权投资</w:t>
      </w:r>
      <w:bookmarkEnd w:id="296"/>
    </w:p>
    <w:p w14:paraId="5693666F">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76"/>
        <w:gridCol w:w="876"/>
        <w:gridCol w:w="876"/>
        <w:gridCol w:w="876"/>
        <w:gridCol w:w="876"/>
        <w:gridCol w:w="876"/>
        <w:gridCol w:w="876"/>
        <w:gridCol w:w="876"/>
        <w:gridCol w:w="876"/>
      </w:tblGrid>
      <w:tr w14:paraId="6122AD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3793F89">
            <w:pPr>
              <w:spacing w:before="40" w:after="40" w:line="240" w:lineRule="exact"/>
              <w:jc w:val="center"/>
              <w:rPr>
                <w:rFonts w:ascii="宋体" w:hAnsi="宋体" w:eastAsia="宋体" w:cs="宋体"/>
                <w:sz w:val="18"/>
                <w:szCs w:val="18"/>
              </w:rPr>
            </w:pPr>
            <w:r>
              <w:rPr>
                <w:rFonts w:ascii="宋体" w:hAnsi="宋体" w:eastAsia="宋体" w:cs="宋体"/>
                <w:sz w:val="18"/>
                <w:szCs w:val="18"/>
              </w:rPr>
              <w:t>债权项目</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0F8A9553">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0513927E">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5FC814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1F60194"/>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51D19EF">
            <w:pPr>
              <w:spacing w:before="40" w:after="40" w:line="240" w:lineRule="exact"/>
              <w:jc w:val="center"/>
              <w:rPr>
                <w:rFonts w:ascii="宋体" w:hAnsi="宋体" w:eastAsia="宋体" w:cs="宋体"/>
                <w:sz w:val="18"/>
                <w:szCs w:val="18"/>
              </w:rPr>
            </w:pPr>
            <w:r>
              <w:rPr>
                <w:rFonts w:ascii="宋体" w:hAnsi="宋体" w:eastAsia="宋体" w:cs="宋体"/>
                <w:sz w:val="18"/>
                <w:szCs w:val="18"/>
              </w:rPr>
              <w:t>面值</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9CF70C9">
            <w:pPr>
              <w:spacing w:before="40" w:after="40" w:line="240" w:lineRule="exact"/>
              <w:jc w:val="center"/>
              <w:rPr>
                <w:rFonts w:ascii="宋体" w:hAnsi="宋体" w:eastAsia="宋体" w:cs="宋体"/>
                <w:sz w:val="18"/>
                <w:szCs w:val="18"/>
              </w:rPr>
            </w:pPr>
            <w:r>
              <w:rPr>
                <w:rFonts w:ascii="宋体" w:hAnsi="宋体" w:eastAsia="宋体" w:cs="宋体"/>
                <w:sz w:val="18"/>
                <w:szCs w:val="18"/>
              </w:rPr>
              <w:t>票面利率</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2C841D3">
            <w:pPr>
              <w:spacing w:before="40" w:after="40" w:line="240" w:lineRule="exact"/>
              <w:jc w:val="center"/>
              <w:rPr>
                <w:rFonts w:ascii="宋体" w:hAnsi="宋体" w:eastAsia="宋体" w:cs="宋体"/>
                <w:sz w:val="18"/>
                <w:szCs w:val="18"/>
              </w:rPr>
            </w:pPr>
            <w:r>
              <w:rPr>
                <w:rFonts w:ascii="宋体" w:hAnsi="宋体" w:eastAsia="宋体" w:cs="宋体"/>
                <w:sz w:val="18"/>
                <w:szCs w:val="18"/>
              </w:rPr>
              <w:t>实际利率</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A1C981E">
            <w:pPr>
              <w:spacing w:before="40" w:after="40" w:line="240" w:lineRule="exact"/>
              <w:jc w:val="center"/>
              <w:rPr>
                <w:rFonts w:ascii="宋体" w:hAnsi="宋体" w:eastAsia="宋体" w:cs="宋体"/>
                <w:sz w:val="18"/>
                <w:szCs w:val="18"/>
              </w:rPr>
            </w:pPr>
            <w:r>
              <w:rPr>
                <w:rFonts w:ascii="宋体" w:hAnsi="宋体" w:eastAsia="宋体" w:cs="宋体"/>
                <w:sz w:val="18"/>
                <w:szCs w:val="18"/>
              </w:rPr>
              <w:t>到期日</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A2957BC">
            <w:pPr>
              <w:spacing w:before="40" w:after="40" w:line="240" w:lineRule="exact"/>
              <w:jc w:val="center"/>
              <w:rPr>
                <w:rFonts w:ascii="宋体" w:hAnsi="宋体" w:eastAsia="宋体" w:cs="宋体"/>
                <w:sz w:val="18"/>
                <w:szCs w:val="18"/>
              </w:rPr>
            </w:pPr>
            <w:r>
              <w:rPr>
                <w:rFonts w:ascii="宋体" w:hAnsi="宋体" w:eastAsia="宋体" w:cs="宋体"/>
                <w:sz w:val="18"/>
                <w:szCs w:val="18"/>
              </w:rPr>
              <w:t>逾期本金</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6E9B416">
            <w:pPr>
              <w:spacing w:before="40" w:after="40" w:line="240" w:lineRule="exact"/>
              <w:jc w:val="center"/>
              <w:rPr>
                <w:rFonts w:ascii="宋体" w:hAnsi="宋体" w:eastAsia="宋体" w:cs="宋体"/>
                <w:sz w:val="18"/>
                <w:szCs w:val="18"/>
              </w:rPr>
            </w:pPr>
            <w:r>
              <w:rPr>
                <w:rFonts w:ascii="宋体" w:hAnsi="宋体" w:eastAsia="宋体" w:cs="宋体"/>
                <w:sz w:val="18"/>
                <w:szCs w:val="18"/>
              </w:rPr>
              <w:t>面值</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947FC3E">
            <w:pPr>
              <w:spacing w:before="40" w:after="40" w:line="240" w:lineRule="exact"/>
              <w:jc w:val="center"/>
              <w:rPr>
                <w:rFonts w:ascii="宋体" w:hAnsi="宋体" w:eastAsia="宋体" w:cs="宋体"/>
                <w:sz w:val="18"/>
                <w:szCs w:val="18"/>
              </w:rPr>
            </w:pPr>
            <w:r>
              <w:rPr>
                <w:rFonts w:ascii="宋体" w:hAnsi="宋体" w:eastAsia="宋体" w:cs="宋体"/>
                <w:sz w:val="18"/>
                <w:szCs w:val="18"/>
              </w:rPr>
              <w:t>票面利率</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73EE350">
            <w:pPr>
              <w:spacing w:before="40" w:after="40" w:line="240" w:lineRule="exact"/>
              <w:jc w:val="center"/>
              <w:rPr>
                <w:rFonts w:ascii="宋体" w:hAnsi="宋体" w:eastAsia="宋体" w:cs="宋体"/>
                <w:sz w:val="18"/>
                <w:szCs w:val="18"/>
              </w:rPr>
            </w:pPr>
            <w:r>
              <w:rPr>
                <w:rFonts w:ascii="宋体" w:hAnsi="宋体" w:eastAsia="宋体" w:cs="宋体"/>
                <w:sz w:val="18"/>
                <w:szCs w:val="18"/>
              </w:rPr>
              <w:t>实际利率</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6913685">
            <w:pPr>
              <w:spacing w:before="40" w:after="40" w:line="240" w:lineRule="exact"/>
              <w:jc w:val="center"/>
              <w:rPr>
                <w:rFonts w:ascii="宋体" w:hAnsi="宋体" w:eastAsia="宋体" w:cs="宋体"/>
                <w:sz w:val="18"/>
                <w:szCs w:val="18"/>
              </w:rPr>
            </w:pPr>
            <w:r>
              <w:rPr>
                <w:rFonts w:ascii="宋体" w:hAnsi="宋体" w:eastAsia="宋体" w:cs="宋体"/>
                <w:sz w:val="18"/>
                <w:szCs w:val="18"/>
              </w:rPr>
              <w:t>到期日</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2129F0E">
            <w:pPr>
              <w:spacing w:before="40" w:after="40" w:line="240" w:lineRule="exact"/>
              <w:jc w:val="center"/>
              <w:rPr>
                <w:rFonts w:ascii="宋体" w:hAnsi="宋体" w:eastAsia="宋体" w:cs="宋体"/>
                <w:sz w:val="18"/>
                <w:szCs w:val="18"/>
              </w:rPr>
            </w:pPr>
            <w:r>
              <w:rPr>
                <w:rFonts w:ascii="宋体" w:hAnsi="宋体" w:eastAsia="宋体" w:cs="宋体"/>
                <w:sz w:val="18"/>
                <w:szCs w:val="18"/>
              </w:rPr>
              <w:t>逾期本金</w:t>
            </w:r>
          </w:p>
        </w:tc>
      </w:tr>
    </w:tbl>
    <w:p w14:paraId="6A7D90E7">
      <w:pPr>
        <w:keepNext/>
        <w:keepLines/>
        <w:spacing w:before="300" w:after="300" w:line="280" w:lineRule="exact"/>
        <w:jc w:val="left"/>
        <w:outlineLvl w:val="3"/>
        <w:rPr>
          <w:rFonts w:ascii="宋体" w:hAnsi="宋体" w:eastAsia="宋体" w:cs="宋体"/>
          <w:b/>
          <w:bCs/>
          <w:sz w:val="21"/>
          <w:szCs w:val="21"/>
        </w:rPr>
      </w:pPr>
      <w:bookmarkStart w:id="297" w:name="_Toc989184"/>
      <w:r>
        <w:rPr>
          <w:rFonts w:ascii="宋体" w:hAnsi="宋体" w:eastAsia="宋体" w:cs="宋体"/>
          <w:b/>
          <w:bCs/>
          <w:sz w:val="21"/>
          <w:szCs w:val="21"/>
        </w:rPr>
        <w:t>（3） 减值准备计提情况</w:t>
      </w:r>
      <w:bookmarkEnd w:id="297"/>
    </w:p>
    <w:p w14:paraId="36FEB9D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47C89F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F4CABC3">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AADB158">
            <w:pPr>
              <w:spacing w:before="40" w:after="40" w:line="240" w:lineRule="exact"/>
              <w:jc w:val="center"/>
              <w:rPr>
                <w:rFonts w:ascii="宋体" w:hAnsi="宋体" w:eastAsia="宋体" w:cs="宋体"/>
                <w:sz w:val="18"/>
                <w:szCs w:val="18"/>
              </w:rPr>
            </w:pPr>
            <w:r>
              <w:rPr>
                <w:rFonts w:ascii="宋体" w:hAnsi="宋体" w:eastAsia="宋体" w:cs="宋体"/>
                <w:sz w:val="18"/>
                <w:szCs w:val="18"/>
              </w:rPr>
              <w:t>第一阶段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28C2188">
            <w:pPr>
              <w:spacing w:before="40" w:after="40" w:line="240" w:lineRule="exact"/>
              <w:jc w:val="center"/>
              <w:rPr>
                <w:rFonts w:ascii="宋体" w:hAnsi="宋体" w:eastAsia="宋体" w:cs="宋体"/>
                <w:sz w:val="18"/>
                <w:szCs w:val="18"/>
              </w:rPr>
            </w:pPr>
            <w:r>
              <w:rPr>
                <w:rFonts w:ascii="宋体" w:hAnsi="宋体" w:eastAsia="宋体" w:cs="宋体"/>
                <w:sz w:val="18"/>
                <w:szCs w:val="18"/>
              </w:rPr>
              <w:t>第二阶段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1DDD35D">
            <w:pPr>
              <w:spacing w:before="40" w:after="40" w:line="240" w:lineRule="exact"/>
              <w:jc w:val="center"/>
              <w:rPr>
                <w:rFonts w:ascii="宋体" w:hAnsi="宋体" w:eastAsia="宋体" w:cs="宋体"/>
                <w:sz w:val="18"/>
                <w:szCs w:val="18"/>
              </w:rPr>
            </w:pPr>
            <w:r>
              <w:rPr>
                <w:rFonts w:ascii="宋体" w:hAnsi="宋体" w:eastAsia="宋体" w:cs="宋体"/>
                <w:sz w:val="18"/>
                <w:szCs w:val="18"/>
              </w:rPr>
              <w:t>第三阶段</w:t>
            </w:r>
          </w:p>
        </w:tc>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9C324E3">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0A54EE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63EA750"/>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D983BA5">
            <w:pPr>
              <w:spacing w:before="40" w:after="40" w:line="240" w:lineRule="exact"/>
              <w:jc w:val="center"/>
              <w:rPr>
                <w:rFonts w:ascii="宋体" w:hAnsi="宋体" w:eastAsia="宋体" w:cs="宋体"/>
                <w:sz w:val="18"/>
                <w:szCs w:val="18"/>
              </w:rPr>
            </w:pPr>
            <w:r>
              <w:rPr>
                <w:rFonts w:ascii="宋体" w:hAnsi="宋体" w:eastAsia="宋体" w:cs="宋体"/>
                <w:sz w:val="18"/>
                <w:szCs w:val="18"/>
              </w:rPr>
              <w:t>未来12个月预期信用损失</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B01E382">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整个存续期预期信用损失(未发生信用减值)</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06D8A6E">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整个存续期预期信用损失(已发生信用减值)</w:t>
            </w:r>
          </w:p>
        </w:tc>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86B10A9"/>
        </w:tc>
      </w:tr>
      <w:tr w14:paraId="62F0AF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3B45D75">
            <w:pPr>
              <w:spacing w:before="40" w:after="40" w:line="240" w:lineRule="exact"/>
              <w:jc w:val="left"/>
              <w:rPr>
                <w:rFonts w:ascii="宋体" w:hAnsi="宋体" w:eastAsia="宋体" w:cs="宋体"/>
                <w:sz w:val="18"/>
                <w:szCs w:val="18"/>
              </w:rPr>
            </w:pPr>
            <w:r>
              <w:rPr>
                <w:rFonts w:ascii="宋体" w:hAnsi="宋体" w:eastAsia="宋体" w:cs="宋体"/>
                <w:sz w:val="18"/>
                <w:szCs w:val="18"/>
              </w:rPr>
              <w:t>2024年1月1日余额在本期</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52BC7DF"/>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E4A007D"/>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BDD30CB"/>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E550D81"/>
        </w:tc>
      </w:tr>
    </w:tbl>
    <w:p w14:paraId="46851B86">
      <w:pPr>
        <w:spacing w:before="100" w:after="100" w:line="240" w:lineRule="exact"/>
        <w:jc w:val="left"/>
        <w:rPr>
          <w:rFonts w:ascii="宋体" w:hAnsi="宋体" w:eastAsia="宋体" w:cs="宋体"/>
          <w:sz w:val="18"/>
          <w:szCs w:val="18"/>
        </w:rPr>
      </w:pPr>
      <w:r>
        <w:rPr>
          <w:rFonts w:ascii="宋体" w:hAnsi="宋体" w:eastAsia="宋体" w:cs="宋体"/>
          <w:sz w:val="18"/>
          <w:szCs w:val="18"/>
        </w:rPr>
        <w:t>各阶段划分依据和坏账准备计提比例</w:t>
      </w:r>
    </w:p>
    <w:p w14:paraId="78F038A5">
      <w:pPr>
        <w:keepNext/>
        <w:keepLines/>
        <w:spacing w:before="300" w:after="300" w:line="280" w:lineRule="exact"/>
        <w:jc w:val="left"/>
        <w:outlineLvl w:val="3"/>
        <w:rPr>
          <w:rFonts w:ascii="宋体" w:hAnsi="宋体" w:eastAsia="宋体" w:cs="宋体"/>
          <w:b/>
          <w:bCs/>
          <w:sz w:val="21"/>
          <w:szCs w:val="21"/>
        </w:rPr>
      </w:pPr>
      <w:bookmarkStart w:id="298" w:name="_Toc989185"/>
      <w:r>
        <w:rPr>
          <w:rFonts w:ascii="宋体" w:hAnsi="宋体" w:eastAsia="宋体" w:cs="宋体"/>
          <w:b/>
          <w:bCs/>
          <w:sz w:val="21"/>
          <w:szCs w:val="21"/>
        </w:rPr>
        <w:t>（4） 本期实际核销的债权投资情况</w:t>
      </w:r>
      <w:bookmarkEnd w:id="298"/>
    </w:p>
    <w:p w14:paraId="249CD6B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700A49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E4D0BA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391506EB">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7129ECD9">
      <w:pPr>
        <w:spacing w:before="100" w:after="100" w:line="240" w:lineRule="exact"/>
        <w:jc w:val="left"/>
        <w:rPr>
          <w:rFonts w:ascii="宋体" w:hAnsi="宋体" w:eastAsia="宋体" w:cs="宋体"/>
          <w:sz w:val="18"/>
          <w:szCs w:val="18"/>
        </w:rPr>
      </w:pPr>
      <w:r>
        <w:rPr>
          <w:rFonts w:ascii="宋体" w:hAnsi="宋体" w:eastAsia="宋体" w:cs="宋体"/>
          <w:sz w:val="18"/>
          <w:szCs w:val="18"/>
        </w:rPr>
        <w:t>其中重要的债权投资核销情况</w:t>
      </w:r>
    </w:p>
    <w:p w14:paraId="7AB7D590">
      <w:pPr>
        <w:spacing w:before="0" w:after="0" w:line="0" w:lineRule="exact"/>
        <w:jc w:val="left"/>
      </w:pPr>
    </w:p>
    <w:p w14:paraId="4D526F1C">
      <w:pPr>
        <w:spacing w:before="100" w:after="100" w:line="240" w:lineRule="exact"/>
        <w:jc w:val="left"/>
        <w:rPr>
          <w:rFonts w:ascii="宋体" w:hAnsi="宋体" w:eastAsia="宋体" w:cs="宋体"/>
          <w:sz w:val="18"/>
          <w:szCs w:val="18"/>
        </w:rPr>
      </w:pPr>
      <w:r>
        <w:rPr>
          <w:rFonts w:ascii="宋体" w:hAnsi="宋体" w:eastAsia="宋体" w:cs="宋体"/>
          <w:sz w:val="18"/>
          <w:szCs w:val="18"/>
        </w:rPr>
        <w:t>债权投资核销说明：</w:t>
      </w:r>
    </w:p>
    <w:p w14:paraId="09CA0267">
      <w:pPr>
        <w:spacing w:before="100" w:after="100" w:line="240" w:lineRule="exact"/>
        <w:jc w:val="left"/>
        <w:rPr>
          <w:rFonts w:ascii="宋体" w:hAnsi="宋体" w:eastAsia="宋体" w:cs="宋体"/>
          <w:sz w:val="18"/>
          <w:szCs w:val="18"/>
        </w:rPr>
      </w:pPr>
      <w:r>
        <w:rPr>
          <w:rFonts w:ascii="宋体" w:hAnsi="宋体" w:eastAsia="宋体" w:cs="宋体"/>
          <w:sz w:val="18"/>
          <w:szCs w:val="18"/>
        </w:rPr>
        <w:t>损失准备本期变动金额重大的账面余额变动情况</w:t>
      </w:r>
    </w:p>
    <w:p w14:paraId="1C3CA3E3">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5E5838A5">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57E5769E">
      <w:pPr>
        <w:keepNext/>
        <w:keepLines/>
        <w:spacing w:before="300" w:after="300" w:line="280" w:lineRule="exact"/>
        <w:jc w:val="left"/>
        <w:outlineLvl w:val="2"/>
        <w:rPr>
          <w:rFonts w:ascii="宋体" w:hAnsi="宋体" w:eastAsia="宋体" w:cs="宋体"/>
          <w:b/>
          <w:bCs/>
          <w:sz w:val="21"/>
          <w:szCs w:val="21"/>
        </w:rPr>
      </w:pPr>
      <w:bookmarkStart w:id="299" w:name="_Toc989186"/>
      <w:r>
        <w:rPr>
          <w:rFonts w:ascii="宋体" w:hAnsi="宋体" w:eastAsia="宋体" w:cs="宋体"/>
          <w:b/>
          <w:bCs/>
          <w:sz w:val="21"/>
          <w:szCs w:val="21"/>
        </w:rPr>
        <w:t>15、其他债权投资</w:t>
      </w:r>
      <w:bookmarkEnd w:id="299"/>
    </w:p>
    <w:p w14:paraId="368E3E99">
      <w:pPr>
        <w:keepNext/>
        <w:keepLines/>
        <w:spacing w:before="300" w:after="300" w:line="280" w:lineRule="exact"/>
        <w:jc w:val="left"/>
        <w:outlineLvl w:val="3"/>
        <w:rPr>
          <w:rFonts w:ascii="宋体" w:hAnsi="宋体" w:eastAsia="宋体" w:cs="宋体"/>
          <w:b/>
          <w:bCs/>
          <w:sz w:val="21"/>
          <w:szCs w:val="21"/>
        </w:rPr>
      </w:pPr>
      <w:bookmarkStart w:id="300" w:name="_Toc989187"/>
      <w:r>
        <w:rPr>
          <w:rFonts w:ascii="宋体" w:hAnsi="宋体" w:eastAsia="宋体" w:cs="宋体"/>
          <w:b/>
          <w:bCs/>
          <w:sz w:val="21"/>
          <w:szCs w:val="21"/>
        </w:rPr>
        <w:t>（1） 其他债权投资的情况</w:t>
      </w:r>
      <w:bookmarkEnd w:id="300"/>
    </w:p>
    <w:p w14:paraId="73FB3D9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64"/>
        <w:gridCol w:w="964"/>
        <w:gridCol w:w="964"/>
        <w:gridCol w:w="964"/>
        <w:gridCol w:w="964"/>
        <w:gridCol w:w="964"/>
        <w:gridCol w:w="964"/>
        <w:gridCol w:w="964"/>
        <w:gridCol w:w="964"/>
        <w:gridCol w:w="964"/>
      </w:tblGrid>
      <w:tr w14:paraId="5EA19F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625F06C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177E0246">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FC51176">
            <w:pPr>
              <w:spacing w:before="40" w:after="40" w:line="240" w:lineRule="exact"/>
              <w:jc w:val="center"/>
              <w:rPr>
                <w:rFonts w:ascii="宋体" w:hAnsi="宋体" w:eastAsia="宋体" w:cs="宋体"/>
                <w:sz w:val="18"/>
                <w:szCs w:val="18"/>
              </w:rPr>
            </w:pPr>
            <w:r>
              <w:rPr>
                <w:rFonts w:ascii="宋体" w:hAnsi="宋体" w:eastAsia="宋体" w:cs="宋体"/>
                <w:sz w:val="18"/>
                <w:szCs w:val="18"/>
              </w:rPr>
              <w:t>应计利息</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4B4C8B27">
            <w:pPr>
              <w:spacing w:before="40" w:after="40" w:line="240" w:lineRule="exact"/>
              <w:jc w:val="center"/>
              <w:rPr>
                <w:rFonts w:ascii="宋体" w:hAnsi="宋体" w:eastAsia="宋体" w:cs="宋体"/>
                <w:sz w:val="18"/>
                <w:szCs w:val="18"/>
              </w:rPr>
            </w:pPr>
            <w:r>
              <w:rPr>
                <w:rFonts w:ascii="宋体" w:hAnsi="宋体" w:eastAsia="宋体" w:cs="宋体"/>
                <w:sz w:val="18"/>
                <w:szCs w:val="18"/>
              </w:rPr>
              <w:t>利息调整</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4FC9A968">
            <w:pPr>
              <w:spacing w:before="40" w:after="40" w:line="240" w:lineRule="exact"/>
              <w:jc w:val="center"/>
              <w:rPr>
                <w:rFonts w:ascii="宋体" w:hAnsi="宋体" w:eastAsia="宋体" w:cs="宋体"/>
                <w:sz w:val="18"/>
                <w:szCs w:val="18"/>
              </w:rPr>
            </w:pPr>
            <w:r>
              <w:rPr>
                <w:rFonts w:ascii="宋体" w:hAnsi="宋体" w:eastAsia="宋体" w:cs="宋体"/>
                <w:sz w:val="18"/>
                <w:szCs w:val="18"/>
              </w:rPr>
              <w:t>本期公允价值变动</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4B2ACB4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324C7997">
            <w:pPr>
              <w:spacing w:before="40" w:after="40" w:line="240" w:lineRule="exact"/>
              <w:jc w:val="center"/>
              <w:rPr>
                <w:rFonts w:ascii="宋体" w:hAnsi="宋体" w:eastAsia="宋体" w:cs="宋体"/>
                <w:sz w:val="18"/>
                <w:szCs w:val="18"/>
              </w:rPr>
            </w:pPr>
            <w:r>
              <w:rPr>
                <w:rFonts w:ascii="宋体" w:hAnsi="宋体" w:eastAsia="宋体" w:cs="宋体"/>
                <w:sz w:val="18"/>
                <w:szCs w:val="18"/>
              </w:rPr>
              <w:t>成本</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7FF0495F">
            <w:pPr>
              <w:spacing w:before="40" w:after="40" w:line="240" w:lineRule="exact"/>
              <w:jc w:val="center"/>
              <w:rPr>
                <w:rFonts w:ascii="宋体" w:hAnsi="宋体" w:eastAsia="宋体" w:cs="宋体"/>
                <w:sz w:val="18"/>
                <w:szCs w:val="18"/>
              </w:rPr>
            </w:pPr>
            <w:r>
              <w:rPr>
                <w:rFonts w:ascii="宋体" w:hAnsi="宋体" w:eastAsia="宋体" w:cs="宋体"/>
                <w:sz w:val="18"/>
                <w:szCs w:val="18"/>
              </w:rPr>
              <w:t>累计公允价值变动</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141E83C">
            <w:pPr>
              <w:spacing w:before="40" w:after="40" w:line="240" w:lineRule="exact"/>
              <w:jc w:val="center"/>
              <w:rPr>
                <w:rFonts w:ascii="宋体" w:hAnsi="宋体" w:eastAsia="宋体" w:cs="宋体"/>
                <w:sz w:val="18"/>
                <w:szCs w:val="18"/>
              </w:rPr>
            </w:pPr>
            <w:r>
              <w:rPr>
                <w:rFonts w:ascii="宋体" w:hAnsi="宋体" w:eastAsia="宋体" w:cs="宋体"/>
                <w:sz w:val="18"/>
                <w:szCs w:val="18"/>
              </w:rPr>
              <w:t>累计在其他综合收益中确认的减值准备</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5AE95802">
            <w:pPr>
              <w:spacing w:before="40" w:after="40" w:line="240" w:lineRule="exact"/>
              <w:jc w:val="center"/>
              <w:rPr>
                <w:rFonts w:ascii="宋体" w:hAnsi="宋体" w:eastAsia="宋体" w:cs="宋体"/>
                <w:sz w:val="18"/>
                <w:szCs w:val="18"/>
              </w:rPr>
            </w:pPr>
            <w:r>
              <w:rPr>
                <w:rFonts w:ascii="宋体" w:hAnsi="宋体" w:eastAsia="宋体" w:cs="宋体"/>
                <w:sz w:val="18"/>
                <w:szCs w:val="18"/>
              </w:rPr>
              <w:t>备注</w:t>
            </w:r>
          </w:p>
        </w:tc>
      </w:tr>
    </w:tbl>
    <w:p w14:paraId="1044BB77">
      <w:pPr>
        <w:spacing w:before="100" w:after="100" w:line="240" w:lineRule="exact"/>
        <w:jc w:val="left"/>
        <w:rPr>
          <w:rFonts w:ascii="宋体" w:hAnsi="宋体" w:eastAsia="宋体" w:cs="宋体"/>
          <w:sz w:val="18"/>
          <w:szCs w:val="18"/>
        </w:rPr>
      </w:pPr>
      <w:r>
        <w:rPr>
          <w:rFonts w:ascii="宋体" w:hAnsi="宋体" w:eastAsia="宋体" w:cs="宋体"/>
          <w:sz w:val="18"/>
          <w:szCs w:val="18"/>
        </w:rPr>
        <w:t>其他债权投资减值准备本期变动情况</w:t>
      </w:r>
    </w:p>
    <w:p w14:paraId="1B8998F4">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EE5CE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33893C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0C17515">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DB602A9">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EEF065C">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6499486">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bl>
    <w:p w14:paraId="0AC9563C">
      <w:pPr>
        <w:keepNext/>
        <w:keepLines/>
        <w:spacing w:before="300" w:after="300" w:line="280" w:lineRule="exact"/>
        <w:jc w:val="left"/>
        <w:outlineLvl w:val="3"/>
        <w:rPr>
          <w:rFonts w:ascii="宋体" w:hAnsi="宋体" w:eastAsia="宋体" w:cs="宋体"/>
          <w:b/>
          <w:bCs/>
          <w:sz w:val="21"/>
          <w:szCs w:val="21"/>
        </w:rPr>
      </w:pPr>
      <w:bookmarkStart w:id="301" w:name="_Toc989188"/>
      <w:r>
        <w:rPr>
          <w:rFonts w:ascii="宋体" w:hAnsi="宋体" w:eastAsia="宋体" w:cs="宋体"/>
          <w:b/>
          <w:bCs/>
          <w:sz w:val="21"/>
          <w:szCs w:val="21"/>
        </w:rPr>
        <w:t>（2） 期末重要的其他债权投资</w:t>
      </w:r>
      <w:bookmarkEnd w:id="301"/>
    </w:p>
    <w:p w14:paraId="7BB524E9">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76"/>
        <w:gridCol w:w="876"/>
        <w:gridCol w:w="876"/>
        <w:gridCol w:w="876"/>
        <w:gridCol w:w="876"/>
        <w:gridCol w:w="876"/>
        <w:gridCol w:w="876"/>
        <w:gridCol w:w="876"/>
        <w:gridCol w:w="876"/>
      </w:tblGrid>
      <w:tr w14:paraId="4D5A37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A8FEBBC">
            <w:pPr>
              <w:spacing w:before="40" w:after="40" w:line="240" w:lineRule="exact"/>
              <w:jc w:val="center"/>
              <w:rPr>
                <w:rFonts w:ascii="宋体" w:hAnsi="宋体" w:eastAsia="宋体" w:cs="宋体"/>
                <w:sz w:val="18"/>
                <w:szCs w:val="18"/>
              </w:rPr>
            </w:pPr>
            <w:r>
              <w:rPr>
                <w:rFonts w:ascii="宋体" w:hAnsi="宋体" w:eastAsia="宋体" w:cs="宋体"/>
                <w:sz w:val="18"/>
                <w:szCs w:val="18"/>
              </w:rPr>
              <w:t>其他债权项目</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5F5A5997">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76678FE1">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198CE0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8048762"/>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9501B95">
            <w:pPr>
              <w:spacing w:before="40" w:after="40" w:line="240" w:lineRule="exact"/>
              <w:jc w:val="center"/>
              <w:rPr>
                <w:rFonts w:ascii="宋体" w:hAnsi="宋体" w:eastAsia="宋体" w:cs="宋体"/>
                <w:sz w:val="18"/>
                <w:szCs w:val="18"/>
              </w:rPr>
            </w:pPr>
            <w:r>
              <w:rPr>
                <w:rFonts w:ascii="宋体" w:hAnsi="宋体" w:eastAsia="宋体" w:cs="宋体"/>
                <w:sz w:val="18"/>
                <w:szCs w:val="18"/>
              </w:rPr>
              <w:t>面值</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6F9AB21">
            <w:pPr>
              <w:spacing w:before="40" w:after="40" w:line="240" w:lineRule="exact"/>
              <w:jc w:val="center"/>
              <w:rPr>
                <w:rFonts w:ascii="宋体" w:hAnsi="宋体" w:eastAsia="宋体" w:cs="宋体"/>
                <w:sz w:val="18"/>
                <w:szCs w:val="18"/>
              </w:rPr>
            </w:pPr>
            <w:r>
              <w:rPr>
                <w:rFonts w:ascii="宋体" w:hAnsi="宋体" w:eastAsia="宋体" w:cs="宋体"/>
                <w:sz w:val="18"/>
                <w:szCs w:val="18"/>
              </w:rPr>
              <w:t>票面利率</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4540A36">
            <w:pPr>
              <w:spacing w:before="40" w:after="40" w:line="240" w:lineRule="exact"/>
              <w:jc w:val="center"/>
              <w:rPr>
                <w:rFonts w:ascii="宋体" w:hAnsi="宋体" w:eastAsia="宋体" w:cs="宋体"/>
                <w:sz w:val="18"/>
                <w:szCs w:val="18"/>
              </w:rPr>
            </w:pPr>
            <w:r>
              <w:rPr>
                <w:rFonts w:ascii="宋体" w:hAnsi="宋体" w:eastAsia="宋体" w:cs="宋体"/>
                <w:sz w:val="18"/>
                <w:szCs w:val="18"/>
              </w:rPr>
              <w:t>实际利率</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580756B">
            <w:pPr>
              <w:spacing w:before="40" w:after="40" w:line="240" w:lineRule="exact"/>
              <w:jc w:val="center"/>
              <w:rPr>
                <w:rFonts w:ascii="宋体" w:hAnsi="宋体" w:eastAsia="宋体" w:cs="宋体"/>
                <w:sz w:val="18"/>
                <w:szCs w:val="18"/>
              </w:rPr>
            </w:pPr>
            <w:r>
              <w:rPr>
                <w:rFonts w:ascii="宋体" w:hAnsi="宋体" w:eastAsia="宋体" w:cs="宋体"/>
                <w:sz w:val="18"/>
                <w:szCs w:val="18"/>
              </w:rPr>
              <w:t>到期日</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F4B9078">
            <w:pPr>
              <w:spacing w:before="40" w:after="40" w:line="240" w:lineRule="exact"/>
              <w:jc w:val="center"/>
              <w:rPr>
                <w:rFonts w:ascii="宋体" w:hAnsi="宋体" w:eastAsia="宋体" w:cs="宋体"/>
                <w:sz w:val="18"/>
                <w:szCs w:val="18"/>
              </w:rPr>
            </w:pPr>
            <w:r>
              <w:rPr>
                <w:rFonts w:ascii="宋体" w:hAnsi="宋体" w:eastAsia="宋体" w:cs="宋体"/>
                <w:sz w:val="18"/>
                <w:szCs w:val="18"/>
              </w:rPr>
              <w:t>逾期本金</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B85E8CE">
            <w:pPr>
              <w:spacing w:before="40" w:after="40" w:line="240" w:lineRule="exact"/>
              <w:jc w:val="center"/>
              <w:rPr>
                <w:rFonts w:ascii="宋体" w:hAnsi="宋体" w:eastAsia="宋体" w:cs="宋体"/>
                <w:sz w:val="18"/>
                <w:szCs w:val="18"/>
              </w:rPr>
            </w:pPr>
            <w:r>
              <w:rPr>
                <w:rFonts w:ascii="宋体" w:hAnsi="宋体" w:eastAsia="宋体" w:cs="宋体"/>
                <w:sz w:val="18"/>
                <w:szCs w:val="18"/>
              </w:rPr>
              <w:t>面值</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B18A0EB">
            <w:pPr>
              <w:spacing w:before="40" w:after="40" w:line="240" w:lineRule="exact"/>
              <w:jc w:val="center"/>
              <w:rPr>
                <w:rFonts w:ascii="宋体" w:hAnsi="宋体" w:eastAsia="宋体" w:cs="宋体"/>
                <w:sz w:val="18"/>
                <w:szCs w:val="18"/>
              </w:rPr>
            </w:pPr>
            <w:r>
              <w:rPr>
                <w:rFonts w:ascii="宋体" w:hAnsi="宋体" w:eastAsia="宋体" w:cs="宋体"/>
                <w:sz w:val="18"/>
                <w:szCs w:val="18"/>
              </w:rPr>
              <w:t>票面利率</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54C3055">
            <w:pPr>
              <w:spacing w:before="40" w:after="40" w:line="240" w:lineRule="exact"/>
              <w:jc w:val="center"/>
              <w:rPr>
                <w:rFonts w:ascii="宋体" w:hAnsi="宋体" w:eastAsia="宋体" w:cs="宋体"/>
                <w:sz w:val="18"/>
                <w:szCs w:val="18"/>
              </w:rPr>
            </w:pPr>
            <w:r>
              <w:rPr>
                <w:rFonts w:ascii="宋体" w:hAnsi="宋体" w:eastAsia="宋体" w:cs="宋体"/>
                <w:sz w:val="18"/>
                <w:szCs w:val="18"/>
              </w:rPr>
              <w:t>实际利率</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68D42BF">
            <w:pPr>
              <w:spacing w:before="40" w:after="40" w:line="240" w:lineRule="exact"/>
              <w:jc w:val="center"/>
              <w:rPr>
                <w:rFonts w:ascii="宋体" w:hAnsi="宋体" w:eastAsia="宋体" w:cs="宋体"/>
                <w:sz w:val="18"/>
                <w:szCs w:val="18"/>
              </w:rPr>
            </w:pPr>
            <w:r>
              <w:rPr>
                <w:rFonts w:ascii="宋体" w:hAnsi="宋体" w:eastAsia="宋体" w:cs="宋体"/>
                <w:sz w:val="18"/>
                <w:szCs w:val="18"/>
              </w:rPr>
              <w:t>到期日</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0794114">
            <w:pPr>
              <w:spacing w:before="40" w:after="40" w:line="240" w:lineRule="exact"/>
              <w:jc w:val="center"/>
              <w:rPr>
                <w:rFonts w:ascii="宋体" w:hAnsi="宋体" w:eastAsia="宋体" w:cs="宋体"/>
                <w:sz w:val="18"/>
                <w:szCs w:val="18"/>
              </w:rPr>
            </w:pPr>
            <w:r>
              <w:rPr>
                <w:rFonts w:ascii="宋体" w:hAnsi="宋体" w:eastAsia="宋体" w:cs="宋体"/>
                <w:sz w:val="18"/>
                <w:szCs w:val="18"/>
              </w:rPr>
              <w:t>逾期本金</w:t>
            </w:r>
          </w:p>
        </w:tc>
      </w:tr>
    </w:tbl>
    <w:p w14:paraId="0397E17B">
      <w:pPr>
        <w:keepNext/>
        <w:keepLines/>
        <w:spacing w:before="300" w:after="300" w:line="280" w:lineRule="exact"/>
        <w:jc w:val="left"/>
        <w:outlineLvl w:val="3"/>
        <w:rPr>
          <w:rFonts w:ascii="宋体" w:hAnsi="宋体" w:eastAsia="宋体" w:cs="宋体"/>
          <w:b/>
          <w:bCs/>
          <w:sz w:val="21"/>
          <w:szCs w:val="21"/>
        </w:rPr>
      </w:pPr>
      <w:bookmarkStart w:id="302" w:name="_Toc989189"/>
      <w:r>
        <w:rPr>
          <w:rFonts w:ascii="宋体" w:hAnsi="宋体" w:eastAsia="宋体" w:cs="宋体"/>
          <w:b/>
          <w:bCs/>
          <w:sz w:val="21"/>
          <w:szCs w:val="21"/>
        </w:rPr>
        <w:t>（3） 减值准备计提情况</w:t>
      </w:r>
      <w:bookmarkEnd w:id="302"/>
    </w:p>
    <w:p w14:paraId="508D0CC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8039D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B07BFF7">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1B547BA">
            <w:pPr>
              <w:spacing w:before="40" w:after="40" w:line="240" w:lineRule="exact"/>
              <w:jc w:val="center"/>
              <w:rPr>
                <w:rFonts w:ascii="宋体" w:hAnsi="宋体" w:eastAsia="宋体" w:cs="宋体"/>
                <w:sz w:val="18"/>
                <w:szCs w:val="18"/>
              </w:rPr>
            </w:pPr>
            <w:r>
              <w:rPr>
                <w:rFonts w:ascii="宋体" w:hAnsi="宋体" w:eastAsia="宋体" w:cs="宋体"/>
                <w:sz w:val="18"/>
                <w:szCs w:val="18"/>
              </w:rPr>
              <w:t>第一阶段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86D0B04">
            <w:pPr>
              <w:spacing w:before="40" w:after="40" w:line="240" w:lineRule="exact"/>
              <w:jc w:val="center"/>
              <w:rPr>
                <w:rFonts w:ascii="宋体" w:hAnsi="宋体" w:eastAsia="宋体" w:cs="宋体"/>
                <w:sz w:val="18"/>
                <w:szCs w:val="18"/>
              </w:rPr>
            </w:pPr>
            <w:r>
              <w:rPr>
                <w:rFonts w:ascii="宋体" w:hAnsi="宋体" w:eastAsia="宋体" w:cs="宋体"/>
                <w:sz w:val="18"/>
                <w:szCs w:val="18"/>
              </w:rPr>
              <w:t>第二阶段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6BD8EC3">
            <w:pPr>
              <w:spacing w:before="40" w:after="40" w:line="240" w:lineRule="exact"/>
              <w:jc w:val="center"/>
              <w:rPr>
                <w:rFonts w:ascii="宋体" w:hAnsi="宋体" w:eastAsia="宋体" w:cs="宋体"/>
                <w:sz w:val="18"/>
                <w:szCs w:val="18"/>
              </w:rPr>
            </w:pPr>
            <w:r>
              <w:rPr>
                <w:rFonts w:ascii="宋体" w:hAnsi="宋体" w:eastAsia="宋体" w:cs="宋体"/>
                <w:sz w:val="18"/>
                <w:szCs w:val="18"/>
              </w:rPr>
              <w:t>第三阶段</w:t>
            </w:r>
          </w:p>
        </w:tc>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6BD1584">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63DA4A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48031A7"/>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7756EDE">
            <w:pPr>
              <w:spacing w:before="40" w:after="40" w:line="240" w:lineRule="exact"/>
              <w:jc w:val="center"/>
              <w:rPr>
                <w:rFonts w:ascii="宋体" w:hAnsi="宋体" w:eastAsia="宋体" w:cs="宋体"/>
                <w:sz w:val="18"/>
                <w:szCs w:val="18"/>
              </w:rPr>
            </w:pPr>
            <w:r>
              <w:rPr>
                <w:rFonts w:ascii="宋体" w:hAnsi="宋体" w:eastAsia="宋体" w:cs="宋体"/>
                <w:sz w:val="18"/>
                <w:szCs w:val="18"/>
              </w:rPr>
              <w:t>未来12个月预期信用损失</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F72E0D2">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整个存续期预期信用损失(未发生信用减值)</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156C29C">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整个存续期预期信用损失(已发生信用减值)</w:t>
            </w:r>
          </w:p>
        </w:tc>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86E69F3"/>
        </w:tc>
      </w:tr>
      <w:tr w14:paraId="4EF6C6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88624E8">
            <w:pPr>
              <w:spacing w:before="40" w:after="40" w:line="240" w:lineRule="exact"/>
              <w:jc w:val="left"/>
              <w:rPr>
                <w:rFonts w:ascii="宋体" w:hAnsi="宋体" w:eastAsia="宋体" w:cs="宋体"/>
                <w:sz w:val="18"/>
                <w:szCs w:val="18"/>
              </w:rPr>
            </w:pPr>
            <w:r>
              <w:rPr>
                <w:rFonts w:ascii="宋体" w:hAnsi="宋体" w:eastAsia="宋体" w:cs="宋体"/>
                <w:sz w:val="18"/>
                <w:szCs w:val="18"/>
              </w:rPr>
              <w:t>2024年1月1日余额在本期</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CCB34AE"/>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3020978"/>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4EF4CBC"/>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C72F933"/>
        </w:tc>
      </w:tr>
    </w:tbl>
    <w:p w14:paraId="6ED70A71">
      <w:pPr>
        <w:spacing w:before="100" w:after="100" w:line="240" w:lineRule="exact"/>
        <w:jc w:val="left"/>
        <w:rPr>
          <w:rFonts w:ascii="宋体" w:hAnsi="宋体" w:eastAsia="宋体" w:cs="宋体"/>
          <w:sz w:val="18"/>
          <w:szCs w:val="18"/>
        </w:rPr>
      </w:pPr>
      <w:r>
        <w:rPr>
          <w:rFonts w:ascii="宋体" w:hAnsi="宋体" w:eastAsia="宋体" w:cs="宋体"/>
          <w:sz w:val="18"/>
          <w:szCs w:val="18"/>
        </w:rPr>
        <w:t>各阶段划分依据和坏账准备计提比例</w:t>
      </w:r>
    </w:p>
    <w:p w14:paraId="221EC60A">
      <w:pPr>
        <w:keepNext/>
        <w:keepLines/>
        <w:spacing w:before="300" w:after="300" w:line="280" w:lineRule="exact"/>
        <w:jc w:val="left"/>
        <w:outlineLvl w:val="3"/>
        <w:rPr>
          <w:rFonts w:ascii="宋体" w:hAnsi="宋体" w:eastAsia="宋体" w:cs="宋体"/>
          <w:b/>
          <w:bCs/>
          <w:sz w:val="21"/>
          <w:szCs w:val="21"/>
        </w:rPr>
      </w:pPr>
      <w:bookmarkStart w:id="303" w:name="_Toc989190"/>
      <w:r>
        <w:rPr>
          <w:rFonts w:ascii="宋体" w:hAnsi="宋体" w:eastAsia="宋体" w:cs="宋体"/>
          <w:b/>
          <w:bCs/>
          <w:sz w:val="21"/>
          <w:szCs w:val="21"/>
        </w:rPr>
        <w:t>（4） 本期实际核销的其他债权投资情况</w:t>
      </w:r>
      <w:bookmarkEnd w:id="303"/>
    </w:p>
    <w:p w14:paraId="04CAFF2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3A819A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570435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801F403">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65048880">
      <w:pPr>
        <w:spacing w:before="100" w:after="100" w:line="240" w:lineRule="exact"/>
        <w:jc w:val="left"/>
        <w:rPr>
          <w:rFonts w:ascii="宋体" w:hAnsi="宋体" w:eastAsia="宋体" w:cs="宋体"/>
          <w:sz w:val="18"/>
          <w:szCs w:val="18"/>
        </w:rPr>
      </w:pPr>
      <w:r>
        <w:rPr>
          <w:rFonts w:ascii="宋体" w:hAnsi="宋体" w:eastAsia="宋体" w:cs="宋体"/>
          <w:sz w:val="18"/>
          <w:szCs w:val="18"/>
        </w:rPr>
        <w:t>其中重要的其他债权投资核销情况</w:t>
      </w:r>
    </w:p>
    <w:p w14:paraId="57C1A5AB">
      <w:pPr>
        <w:spacing w:before="100" w:after="100" w:line="0" w:lineRule="exact"/>
        <w:jc w:val="left"/>
      </w:pPr>
    </w:p>
    <w:p w14:paraId="33127460">
      <w:pPr>
        <w:spacing w:before="100" w:after="100" w:line="240" w:lineRule="exact"/>
        <w:jc w:val="left"/>
        <w:rPr>
          <w:rFonts w:ascii="宋体" w:hAnsi="宋体" w:eastAsia="宋体" w:cs="宋体"/>
          <w:sz w:val="18"/>
          <w:szCs w:val="18"/>
        </w:rPr>
      </w:pPr>
      <w:r>
        <w:rPr>
          <w:rFonts w:ascii="宋体" w:hAnsi="宋体" w:eastAsia="宋体" w:cs="宋体"/>
          <w:sz w:val="18"/>
          <w:szCs w:val="18"/>
        </w:rPr>
        <w:t>损失准备本期变动金额重大的账面余额变动情况</w:t>
      </w:r>
    </w:p>
    <w:p w14:paraId="2986DF3C">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07F3C9D">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70B84D6">
      <w:pPr>
        <w:keepNext/>
        <w:keepLines/>
        <w:spacing w:before="300" w:after="300" w:line="280" w:lineRule="exact"/>
        <w:jc w:val="left"/>
        <w:outlineLvl w:val="2"/>
        <w:rPr>
          <w:rFonts w:ascii="宋体" w:hAnsi="宋体" w:eastAsia="宋体" w:cs="宋体"/>
          <w:b/>
          <w:bCs/>
          <w:sz w:val="21"/>
          <w:szCs w:val="21"/>
        </w:rPr>
      </w:pPr>
      <w:bookmarkStart w:id="304" w:name="_Toc989191"/>
      <w:r>
        <w:rPr>
          <w:rFonts w:ascii="宋体" w:hAnsi="宋体" w:eastAsia="宋体" w:cs="宋体"/>
          <w:b/>
          <w:bCs/>
          <w:sz w:val="21"/>
          <w:szCs w:val="21"/>
        </w:rPr>
        <w:t>16、其他权益工具投资</w:t>
      </w:r>
      <w:bookmarkEnd w:id="304"/>
    </w:p>
    <w:p w14:paraId="0EDFF710">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3EBE62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C858E57">
            <w:pPr>
              <w:spacing w:before="40" w:after="40" w:line="240" w:lineRule="exact"/>
              <w:jc w:val="center"/>
              <w:rPr>
                <w:rFonts w:ascii="宋体" w:hAnsi="宋体" w:eastAsia="宋体" w:cs="宋体"/>
                <w:sz w:val="18"/>
                <w:szCs w:val="18"/>
              </w:rPr>
            </w:pPr>
            <w:r>
              <w:rPr>
                <w:rFonts w:ascii="宋体" w:hAnsi="宋体" w:eastAsia="宋体" w:cs="宋体"/>
                <w:sz w:val="18"/>
                <w:szCs w:val="18"/>
              </w:rPr>
              <w:t>项目名称</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735FC75">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81F9A28">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152CE69">
            <w:pPr>
              <w:spacing w:before="40" w:after="40" w:line="240" w:lineRule="exact"/>
              <w:jc w:val="center"/>
              <w:rPr>
                <w:rFonts w:ascii="宋体" w:hAnsi="宋体" w:eastAsia="宋体" w:cs="宋体"/>
                <w:sz w:val="18"/>
                <w:szCs w:val="18"/>
              </w:rPr>
            </w:pPr>
            <w:r>
              <w:rPr>
                <w:rFonts w:ascii="宋体" w:hAnsi="宋体" w:eastAsia="宋体" w:cs="宋体"/>
                <w:sz w:val="18"/>
                <w:szCs w:val="18"/>
              </w:rPr>
              <w:t>本期计入其他综合收益的利得</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DCA3855">
            <w:pPr>
              <w:spacing w:before="40" w:after="40" w:line="240" w:lineRule="exact"/>
              <w:jc w:val="center"/>
              <w:rPr>
                <w:rFonts w:ascii="宋体" w:hAnsi="宋体" w:eastAsia="宋体" w:cs="宋体"/>
                <w:sz w:val="18"/>
                <w:szCs w:val="18"/>
              </w:rPr>
            </w:pPr>
            <w:r>
              <w:rPr>
                <w:rFonts w:ascii="宋体" w:hAnsi="宋体" w:eastAsia="宋体" w:cs="宋体"/>
                <w:sz w:val="18"/>
                <w:szCs w:val="18"/>
              </w:rPr>
              <w:t>本期计入其他综合收益的损失</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169DFEE">
            <w:pPr>
              <w:spacing w:before="40" w:after="40" w:line="240" w:lineRule="exact"/>
              <w:jc w:val="center"/>
              <w:rPr>
                <w:rFonts w:ascii="宋体" w:hAnsi="宋体" w:eastAsia="宋体" w:cs="宋体"/>
                <w:sz w:val="18"/>
                <w:szCs w:val="18"/>
              </w:rPr>
            </w:pPr>
            <w:r>
              <w:rPr>
                <w:rFonts w:ascii="宋体" w:hAnsi="宋体" w:eastAsia="宋体" w:cs="宋体"/>
                <w:sz w:val="18"/>
                <w:szCs w:val="18"/>
              </w:rPr>
              <w:t>本期末累计计入其他综合收益的利得</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B8F4C05">
            <w:pPr>
              <w:spacing w:before="40" w:after="40" w:line="240" w:lineRule="exact"/>
              <w:jc w:val="center"/>
              <w:rPr>
                <w:rFonts w:ascii="宋体" w:hAnsi="宋体" w:eastAsia="宋体" w:cs="宋体"/>
                <w:sz w:val="18"/>
                <w:szCs w:val="18"/>
              </w:rPr>
            </w:pPr>
            <w:r>
              <w:rPr>
                <w:rFonts w:ascii="宋体" w:hAnsi="宋体" w:eastAsia="宋体" w:cs="宋体"/>
                <w:sz w:val="18"/>
                <w:szCs w:val="18"/>
              </w:rPr>
              <w:t>本期末累计计入其他综合收益的损失</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BD9D027">
            <w:pPr>
              <w:spacing w:before="40" w:after="40" w:line="240" w:lineRule="exact"/>
              <w:jc w:val="center"/>
              <w:rPr>
                <w:rFonts w:ascii="宋体" w:hAnsi="宋体" w:eastAsia="宋体" w:cs="宋体"/>
                <w:sz w:val="18"/>
                <w:szCs w:val="18"/>
              </w:rPr>
            </w:pPr>
            <w:r>
              <w:rPr>
                <w:rFonts w:ascii="宋体" w:hAnsi="宋体" w:eastAsia="宋体" w:cs="宋体"/>
                <w:sz w:val="18"/>
                <w:szCs w:val="18"/>
              </w:rPr>
              <w:t>本期确认的股利收入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18275BC">
            <w:pPr>
              <w:spacing w:before="40" w:after="40" w:line="240" w:lineRule="exact"/>
              <w:jc w:val="center"/>
              <w:rPr>
                <w:rFonts w:ascii="宋体" w:hAnsi="宋体" w:eastAsia="宋体" w:cs="宋体"/>
                <w:sz w:val="18"/>
                <w:szCs w:val="18"/>
              </w:rPr>
            </w:pPr>
            <w:r>
              <w:rPr>
                <w:rFonts w:ascii="宋体" w:hAnsi="宋体" w:eastAsia="宋体" w:cs="宋体"/>
                <w:sz w:val="18"/>
                <w:szCs w:val="18"/>
              </w:rPr>
              <w:t>指定为以公允价值计量且其变动计入其他综合收益的原因</w:t>
            </w:r>
          </w:p>
        </w:tc>
      </w:tr>
    </w:tbl>
    <w:p w14:paraId="561967F4">
      <w:pPr>
        <w:spacing w:before="100" w:after="100" w:line="240" w:lineRule="exact"/>
        <w:jc w:val="left"/>
        <w:rPr>
          <w:rFonts w:ascii="宋体" w:hAnsi="宋体" w:eastAsia="宋体" w:cs="宋体"/>
          <w:sz w:val="18"/>
          <w:szCs w:val="18"/>
        </w:rPr>
      </w:pPr>
      <w:r>
        <w:rPr>
          <w:rFonts w:ascii="宋体" w:hAnsi="宋体" w:eastAsia="宋体" w:cs="宋体"/>
          <w:sz w:val="18"/>
          <w:szCs w:val="18"/>
        </w:rPr>
        <w:t>本期存在终止确认</w:t>
      </w:r>
    </w:p>
    <w:p w14:paraId="360FDF49">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28ADAB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B01D839">
            <w:pPr>
              <w:spacing w:before="40" w:after="40" w:line="240" w:lineRule="exact"/>
              <w:jc w:val="center"/>
              <w:rPr>
                <w:rFonts w:ascii="宋体" w:hAnsi="宋体" w:eastAsia="宋体" w:cs="宋体"/>
                <w:sz w:val="18"/>
                <w:szCs w:val="18"/>
              </w:rPr>
            </w:pPr>
            <w:r>
              <w:rPr>
                <w:rFonts w:ascii="宋体" w:hAnsi="宋体" w:eastAsia="宋体" w:cs="宋体"/>
                <w:sz w:val="18"/>
                <w:szCs w:val="18"/>
              </w:rPr>
              <w:t>项目名称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D3AFD40">
            <w:pPr>
              <w:spacing w:before="40" w:after="40" w:line="240" w:lineRule="exact"/>
              <w:jc w:val="center"/>
              <w:rPr>
                <w:rFonts w:ascii="宋体" w:hAnsi="宋体" w:eastAsia="宋体" w:cs="宋体"/>
                <w:sz w:val="18"/>
                <w:szCs w:val="18"/>
              </w:rPr>
            </w:pPr>
            <w:r>
              <w:rPr>
                <w:rFonts w:ascii="宋体" w:hAnsi="宋体" w:eastAsia="宋体" w:cs="宋体"/>
                <w:sz w:val="18"/>
                <w:szCs w:val="18"/>
              </w:rPr>
              <w:t>转入留存收益的累计利得</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0699CFF">
            <w:pPr>
              <w:spacing w:before="40" w:after="40" w:line="240" w:lineRule="exact"/>
              <w:jc w:val="center"/>
              <w:rPr>
                <w:rFonts w:ascii="宋体" w:hAnsi="宋体" w:eastAsia="宋体" w:cs="宋体"/>
                <w:sz w:val="18"/>
                <w:szCs w:val="18"/>
              </w:rPr>
            </w:pPr>
            <w:r>
              <w:rPr>
                <w:rFonts w:ascii="宋体" w:hAnsi="宋体" w:eastAsia="宋体" w:cs="宋体"/>
                <w:sz w:val="18"/>
                <w:szCs w:val="18"/>
              </w:rPr>
              <w:t>转入留存收益的累计损失</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58BFB4C">
            <w:pPr>
              <w:spacing w:before="40" w:after="40" w:line="240" w:lineRule="exact"/>
              <w:jc w:val="center"/>
              <w:rPr>
                <w:rFonts w:ascii="宋体" w:hAnsi="宋体" w:eastAsia="宋体" w:cs="宋体"/>
                <w:sz w:val="18"/>
                <w:szCs w:val="18"/>
              </w:rPr>
            </w:pPr>
            <w:r>
              <w:rPr>
                <w:rFonts w:ascii="宋体" w:hAnsi="宋体" w:eastAsia="宋体" w:cs="宋体"/>
                <w:sz w:val="18"/>
                <w:szCs w:val="18"/>
              </w:rPr>
              <w:t>终止确认的原因</w:t>
            </w:r>
          </w:p>
        </w:tc>
      </w:tr>
    </w:tbl>
    <w:p w14:paraId="1991EC0C">
      <w:pPr>
        <w:spacing w:before="100" w:after="100" w:line="240" w:lineRule="exact"/>
        <w:jc w:val="left"/>
        <w:rPr>
          <w:rFonts w:ascii="宋体" w:hAnsi="宋体" w:eastAsia="宋体" w:cs="宋体"/>
          <w:sz w:val="18"/>
          <w:szCs w:val="18"/>
        </w:rPr>
      </w:pPr>
      <w:r>
        <w:rPr>
          <w:rFonts w:ascii="宋体" w:hAnsi="宋体" w:eastAsia="宋体" w:cs="宋体"/>
          <w:sz w:val="18"/>
          <w:szCs w:val="18"/>
        </w:rPr>
        <w:t>分项披露本期非交易性权益工具投资</w:t>
      </w:r>
    </w:p>
    <w:p w14:paraId="76C50DDC">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4D9900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2103E8B">
            <w:pPr>
              <w:spacing w:before="40" w:after="40" w:line="240" w:lineRule="exact"/>
              <w:jc w:val="center"/>
              <w:rPr>
                <w:rFonts w:ascii="宋体" w:hAnsi="宋体" w:eastAsia="宋体" w:cs="宋体"/>
                <w:sz w:val="18"/>
                <w:szCs w:val="18"/>
              </w:rPr>
            </w:pPr>
            <w:r>
              <w:rPr>
                <w:rFonts w:ascii="宋体" w:hAnsi="宋体" w:eastAsia="宋体" w:cs="宋体"/>
                <w:sz w:val="18"/>
                <w:szCs w:val="18"/>
              </w:rPr>
              <w:t>项目名称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ECEA034">
            <w:pPr>
              <w:spacing w:before="40" w:after="40" w:line="240" w:lineRule="exact"/>
              <w:jc w:val="center"/>
              <w:rPr>
                <w:rFonts w:ascii="宋体" w:hAnsi="宋体" w:eastAsia="宋体" w:cs="宋体"/>
                <w:sz w:val="18"/>
                <w:szCs w:val="18"/>
              </w:rPr>
            </w:pPr>
            <w:r>
              <w:rPr>
                <w:rFonts w:ascii="宋体" w:hAnsi="宋体" w:eastAsia="宋体" w:cs="宋体"/>
                <w:sz w:val="18"/>
                <w:szCs w:val="18"/>
              </w:rPr>
              <w:t>确认的股利收入</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695626E">
            <w:pPr>
              <w:spacing w:before="40" w:after="40" w:line="240" w:lineRule="exact"/>
              <w:jc w:val="center"/>
              <w:rPr>
                <w:rFonts w:ascii="宋体" w:hAnsi="宋体" w:eastAsia="宋体" w:cs="宋体"/>
                <w:sz w:val="18"/>
                <w:szCs w:val="18"/>
              </w:rPr>
            </w:pPr>
            <w:r>
              <w:rPr>
                <w:rFonts w:ascii="宋体" w:hAnsi="宋体" w:eastAsia="宋体" w:cs="宋体"/>
                <w:sz w:val="18"/>
                <w:szCs w:val="18"/>
              </w:rPr>
              <w:t>累计利得</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5BB1870">
            <w:pPr>
              <w:spacing w:before="40" w:after="40" w:line="240" w:lineRule="exact"/>
              <w:jc w:val="center"/>
              <w:rPr>
                <w:rFonts w:ascii="宋体" w:hAnsi="宋体" w:eastAsia="宋体" w:cs="宋体"/>
                <w:sz w:val="18"/>
                <w:szCs w:val="18"/>
              </w:rPr>
            </w:pPr>
            <w:r>
              <w:rPr>
                <w:rFonts w:ascii="宋体" w:hAnsi="宋体" w:eastAsia="宋体" w:cs="宋体"/>
                <w:sz w:val="18"/>
                <w:szCs w:val="18"/>
              </w:rPr>
              <w:t>累计损失</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184F784">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其他综合收益转入留存收益的金额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A88EB30">
            <w:pPr>
              <w:spacing w:before="40" w:after="40" w:line="240" w:lineRule="exact"/>
              <w:jc w:val="center"/>
              <w:rPr>
                <w:rFonts w:ascii="宋体" w:hAnsi="宋体" w:eastAsia="宋体" w:cs="宋体"/>
                <w:sz w:val="18"/>
                <w:szCs w:val="18"/>
              </w:rPr>
            </w:pPr>
            <w:r>
              <w:rPr>
                <w:rFonts w:ascii="宋体" w:hAnsi="宋体" w:eastAsia="宋体" w:cs="宋体"/>
                <w:sz w:val="18"/>
                <w:szCs w:val="18"/>
              </w:rPr>
              <w:t>指定为以公允价值计量且其变动计入其他综合收益的原因</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7BD691C">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其他综合收益转入留存收益的原因</w:t>
            </w:r>
          </w:p>
        </w:tc>
      </w:tr>
    </w:tbl>
    <w:p w14:paraId="6E75D496">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58388B2">
      <w:pPr>
        <w:keepNext/>
        <w:keepLines/>
        <w:spacing w:before="300" w:after="300" w:line="280" w:lineRule="exact"/>
        <w:jc w:val="left"/>
        <w:outlineLvl w:val="2"/>
        <w:rPr>
          <w:rFonts w:ascii="宋体" w:hAnsi="宋体" w:eastAsia="宋体" w:cs="宋体"/>
          <w:b/>
          <w:bCs/>
          <w:sz w:val="21"/>
          <w:szCs w:val="21"/>
        </w:rPr>
      </w:pPr>
      <w:bookmarkStart w:id="305" w:name="_Toc989192"/>
      <w:r>
        <w:rPr>
          <w:rFonts w:ascii="宋体" w:hAnsi="宋体" w:eastAsia="宋体" w:cs="宋体"/>
          <w:b/>
          <w:bCs/>
          <w:sz w:val="21"/>
          <w:szCs w:val="21"/>
        </w:rPr>
        <w:t>17、长期应收款</w:t>
      </w:r>
      <w:bookmarkEnd w:id="305"/>
    </w:p>
    <w:p w14:paraId="5FB244AA">
      <w:pPr>
        <w:keepNext/>
        <w:keepLines/>
        <w:spacing w:before="300" w:after="300" w:line="280" w:lineRule="exact"/>
        <w:jc w:val="left"/>
        <w:outlineLvl w:val="3"/>
        <w:rPr>
          <w:rFonts w:ascii="宋体" w:hAnsi="宋体" w:eastAsia="宋体" w:cs="宋体"/>
          <w:b/>
          <w:bCs/>
          <w:sz w:val="21"/>
          <w:szCs w:val="21"/>
        </w:rPr>
      </w:pPr>
      <w:bookmarkStart w:id="306" w:name="_Toc989193"/>
      <w:r>
        <w:rPr>
          <w:rFonts w:ascii="宋体" w:hAnsi="宋体" w:eastAsia="宋体" w:cs="宋体"/>
          <w:b/>
          <w:bCs/>
          <w:sz w:val="21"/>
          <w:szCs w:val="21"/>
        </w:rPr>
        <w:t>（1） 长期应收款情况</w:t>
      </w:r>
      <w:bookmarkEnd w:id="306"/>
    </w:p>
    <w:p w14:paraId="0B01E4B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5"/>
        <w:gridCol w:w="1205"/>
        <w:gridCol w:w="1205"/>
        <w:gridCol w:w="1205"/>
        <w:gridCol w:w="1205"/>
        <w:gridCol w:w="1205"/>
        <w:gridCol w:w="1205"/>
        <w:gridCol w:w="1205"/>
      </w:tblGrid>
      <w:tr w14:paraId="668A8A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85C724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615"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397E8DA1">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615"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36FE52FE">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0375A57">
            <w:pPr>
              <w:spacing w:before="40" w:after="40" w:line="240" w:lineRule="exact"/>
              <w:jc w:val="center"/>
              <w:rPr>
                <w:rFonts w:ascii="宋体" w:hAnsi="宋体" w:eastAsia="宋体" w:cs="宋体"/>
                <w:sz w:val="18"/>
                <w:szCs w:val="18"/>
              </w:rPr>
            </w:pPr>
            <w:r>
              <w:rPr>
                <w:rFonts w:ascii="宋体" w:hAnsi="宋体" w:eastAsia="宋体" w:cs="宋体"/>
                <w:sz w:val="18"/>
                <w:szCs w:val="18"/>
              </w:rPr>
              <w:t>折现率区间</w:t>
            </w:r>
          </w:p>
        </w:tc>
      </w:tr>
      <w:tr w14:paraId="759314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D730F5C"/>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5DE868CE">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5C5038B9">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273D77E3">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5E564EE0">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42E67A28">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30F7F175">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1C5D235"/>
        </w:tc>
      </w:tr>
    </w:tbl>
    <w:p w14:paraId="320C7AE3">
      <w:pPr>
        <w:keepNext/>
        <w:keepLines/>
        <w:spacing w:before="300" w:after="300" w:line="280" w:lineRule="exact"/>
        <w:jc w:val="left"/>
        <w:outlineLvl w:val="3"/>
        <w:rPr>
          <w:rFonts w:ascii="宋体" w:hAnsi="宋体" w:eastAsia="宋体" w:cs="宋体"/>
          <w:b/>
          <w:bCs/>
          <w:sz w:val="21"/>
          <w:szCs w:val="21"/>
        </w:rPr>
      </w:pPr>
      <w:bookmarkStart w:id="307" w:name="_Toc989194"/>
      <w:r>
        <w:rPr>
          <w:rFonts w:ascii="宋体" w:hAnsi="宋体" w:eastAsia="宋体" w:cs="宋体"/>
          <w:b/>
          <w:bCs/>
          <w:sz w:val="21"/>
          <w:szCs w:val="21"/>
        </w:rPr>
        <w:t>（2） 按坏账计提方法分类披露</w:t>
      </w:r>
      <w:bookmarkEnd w:id="307"/>
    </w:p>
    <w:p w14:paraId="3595339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76"/>
        <w:gridCol w:w="876"/>
        <w:gridCol w:w="876"/>
        <w:gridCol w:w="876"/>
        <w:gridCol w:w="876"/>
        <w:gridCol w:w="876"/>
        <w:gridCol w:w="876"/>
        <w:gridCol w:w="876"/>
        <w:gridCol w:w="876"/>
      </w:tblGrid>
      <w:tr w14:paraId="5AF250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AA51904">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6F1A7749">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495D1305">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11EBD9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0C6F696"/>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382F6BCD">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884629D">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6E8CCBF">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5CDC958">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62666B6">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C8ADA30">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029903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D7F3692"/>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85DD305">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3A54D50">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B160E49">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F274C13">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762EBB4"/>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9609E07">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EEFF5B6">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1383FA7">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4BCC070">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8EABB87"/>
        </w:tc>
      </w:tr>
      <w:tr w14:paraId="260223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1"/>
            <w:tcBorders>
              <w:top w:val="single" w:color="auto" w:sz="2" w:space="0"/>
              <w:left w:val="single" w:color="auto" w:sz="2" w:space="0"/>
              <w:bottom w:val="single" w:color="auto" w:sz="2" w:space="0"/>
              <w:right w:val="single" w:color="auto" w:sz="2" w:space="0"/>
            </w:tcBorders>
            <w:shd w:val="clear" w:color="auto" w:fill="D3D3D3"/>
            <w:vAlign w:val="center"/>
          </w:tcPr>
          <w:p w14:paraId="20AAB5B4">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r>
      <w:tr w14:paraId="60DB5A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1"/>
            <w:tcBorders>
              <w:top w:val="single" w:color="auto" w:sz="2" w:space="0"/>
              <w:left w:val="single" w:color="auto" w:sz="2" w:space="0"/>
              <w:bottom w:val="single" w:color="auto" w:sz="2" w:space="0"/>
              <w:right w:val="single" w:color="auto" w:sz="2" w:space="0"/>
            </w:tcBorders>
            <w:shd w:val="clear" w:color="auto" w:fill="D3D3D3"/>
            <w:vAlign w:val="center"/>
          </w:tcPr>
          <w:p w14:paraId="7C312AC3">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r>
    </w:tbl>
    <w:p w14:paraId="441029FB">
      <w:pPr>
        <w:spacing w:before="100" w:after="100" w:line="240" w:lineRule="exact"/>
        <w:jc w:val="left"/>
        <w:rPr>
          <w:rFonts w:ascii="宋体" w:hAnsi="宋体" w:eastAsia="宋体" w:cs="宋体"/>
          <w:sz w:val="18"/>
          <w:szCs w:val="18"/>
        </w:rPr>
      </w:pPr>
      <w:r>
        <w:rPr>
          <w:rFonts w:ascii="宋体" w:hAnsi="宋体" w:eastAsia="宋体" w:cs="宋体"/>
          <w:sz w:val="18"/>
          <w:szCs w:val="18"/>
        </w:rPr>
        <w:t>按预期信用损失一般模型计提坏账准备</w:t>
      </w:r>
    </w:p>
    <w:p w14:paraId="2A728982">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91A19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B02A745">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421BFA6">
            <w:pPr>
              <w:spacing w:before="40" w:after="40" w:line="240" w:lineRule="exact"/>
              <w:jc w:val="center"/>
              <w:rPr>
                <w:rFonts w:ascii="宋体" w:hAnsi="宋体" w:eastAsia="宋体" w:cs="宋体"/>
                <w:sz w:val="18"/>
                <w:szCs w:val="18"/>
              </w:rPr>
            </w:pPr>
            <w:r>
              <w:rPr>
                <w:rFonts w:ascii="宋体" w:hAnsi="宋体" w:eastAsia="宋体" w:cs="宋体"/>
                <w:sz w:val="18"/>
                <w:szCs w:val="18"/>
              </w:rPr>
              <w:t>第一阶段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AFAAE40">
            <w:pPr>
              <w:spacing w:before="40" w:after="40" w:line="240" w:lineRule="exact"/>
              <w:jc w:val="center"/>
              <w:rPr>
                <w:rFonts w:ascii="宋体" w:hAnsi="宋体" w:eastAsia="宋体" w:cs="宋体"/>
                <w:sz w:val="18"/>
                <w:szCs w:val="18"/>
              </w:rPr>
            </w:pPr>
            <w:r>
              <w:rPr>
                <w:rFonts w:ascii="宋体" w:hAnsi="宋体" w:eastAsia="宋体" w:cs="宋体"/>
                <w:sz w:val="18"/>
                <w:szCs w:val="18"/>
              </w:rPr>
              <w:t>第二阶段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6A30542">
            <w:pPr>
              <w:spacing w:before="40" w:after="40" w:line="240" w:lineRule="exact"/>
              <w:jc w:val="center"/>
              <w:rPr>
                <w:rFonts w:ascii="宋体" w:hAnsi="宋体" w:eastAsia="宋体" w:cs="宋体"/>
                <w:sz w:val="18"/>
                <w:szCs w:val="18"/>
              </w:rPr>
            </w:pPr>
            <w:r>
              <w:rPr>
                <w:rFonts w:ascii="宋体" w:hAnsi="宋体" w:eastAsia="宋体" w:cs="宋体"/>
                <w:sz w:val="18"/>
                <w:szCs w:val="18"/>
              </w:rPr>
              <w:t>第三阶段</w:t>
            </w:r>
          </w:p>
        </w:tc>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8B90AE0">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76EFE0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66FE331"/>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E13E2E4">
            <w:pPr>
              <w:spacing w:before="40" w:after="40" w:line="240" w:lineRule="exact"/>
              <w:jc w:val="center"/>
              <w:rPr>
                <w:rFonts w:ascii="宋体" w:hAnsi="宋体" w:eastAsia="宋体" w:cs="宋体"/>
                <w:sz w:val="18"/>
                <w:szCs w:val="18"/>
              </w:rPr>
            </w:pPr>
            <w:r>
              <w:rPr>
                <w:rFonts w:ascii="宋体" w:hAnsi="宋体" w:eastAsia="宋体" w:cs="宋体"/>
                <w:sz w:val="18"/>
                <w:szCs w:val="18"/>
              </w:rPr>
              <w:t>未来12个月预期信用损失</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55C5077">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整个存续期预期信用损失(未发生信用减值)</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1B897A2">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整个存续期预期信用损失(已发生信用减值)</w:t>
            </w:r>
          </w:p>
        </w:tc>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C39A70D"/>
        </w:tc>
      </w:tr>
      <w:tr w14:paraId="6F2010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5892AB2">
            <w:pPr>
              <w:spacing w:before="40" w:after="40" w:line="240" w:lineRule="exact"/>
              <w:jc w:val="left"/>
              <w:rPr>
                <w:rFonts w:ascii="宋体" w:hAnsi="宋体" w:eastAsia="宋体" w:cs="宋体"/>
                <w:sz w:val="18"/>
                <w:szCs w:val="18"/>
              </w:rPr>
            </w:pPr>
            <w:r>
              <w:rPr>
                <w:rFonts w:ascii="宋体" w:hAnsi="宋体" w:eastAsia="宋体" w:cs="宋体"/>
                <w:sz w:val="18"/>
                <w:szCs w:val="18"/>
              </w:rPr>
              <w:t>2024年1月1日余额在本期</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9393F4E"/>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AFF42EA"/>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5323267"/>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98F1BD1"/>
        </w:tc>
      </w:tr>
    </w:tbl>
    <w:p w14:paraId="639DB8EE">
      <w:pPr>
        <w:spacing w:before="100" w:after="100" w:line="240" w:lineRule="exact"/>
        <w:jc w:val="left"/>
        <w:rPr>
          <w:rFonts w:ascii="宋体" w:hAnsi="宋体" w:eastAsia="宋体" w:cs="宋体"/>
          <w:sz w:val="18"/>
          <w:szCs w:val="18"/>
        </w:rPr>
      </w:pPr>
      <w:r>
        <w:rPr>
          <w:rFonts w:ascii="宋体" w:hAnsi="宋体" w:eastAsia="宋体" w:cs="宋体"/>
          <w:sz w:val="18"/>
          <w:szCs w:val="18"/>
        </w:rPr>
        <w:t>各阶段划分依据和坏账准备计提比例</w:t>
      </w:r>
    </w:p>
    <w:p w14:paraId="52E7BF88">
      <w:pPr>
        <w:keepNext/>
        <w:keepLines/>
        <w:spacing w:before="300" w:after="300" w:line="280" w:lineRule="exact"/>
        <w:jc w:val="left"/>
        <w:outlineLvl w:val="3"/>
        <w:rPr>
          <w:rFonts w:ascii="宋体" w:hAnsi="宋体" w:eastAsia="宋体" w:cs="宋体"/>
          <w:b/>
          <w:bCs/>
          <w:sz w:val="21"/>
          <w:szCs w:val="21"/>
        </w:rPr>
      </w:pPr>
      <w:bookmarkStart w:id="308" w:name="_Toc989195"/>
      <w:r>
        <w:rPr>
          <w:rFonts w:ascii="宋体" w:hAnsi="宋体" w:eastAsia="宋体" w:cs="宋体"/>
          <w:b/>
          <w:bCs/>
          <w:sz w:val="21"/>
          <w:szCs w:val="21"/>
        </w:rPr>
        <w:t>（3） 本期计提、收回或转回的坏账准备的情况</w:t>
      </w:r>
      <w:bookmarkEnd w:id="308"/>
    </w:p>
    <w:p w14:paraId="571B0372">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1A85FE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90153B5">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BE22292">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408BBFE1">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53DE048">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57542B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0710E9B"/>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B402D11"/>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7A2045D">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4681FBD">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06AD233">
            <w:pPr>
              <w:spacing w:before="40" w:after="40" w:line="240" w:lineRule="exact"/>
              <w:jc w:val="center"/>
              <w:rPr>
                <w:rFonts w:ascii="宋体" w:hAnsi="宋体" w:eastAsia="宋体" w:cs="宋体"/>
                <w:sz w:val="18"/>
                <w:szCs w:val="18"/>
              </w:rPr>
            </w:pPr>
            <w:r>
              <w:rPr>
                <w:rFonts w:ascii="宋体" w:hAnsi="宋体" w:eastAsia="宋体" w:cs="宋体"/>
                <w:sz w:val="18"/>
                <w:szCs w:val="18"/>
              </w:rPr>
              <w:t>转销或核销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C2AF37C">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8589966"/>
        </w:tc>
      </w:tr>
    </w:tbl>
    <w:p w14:paraId="6B659A6E">
      <w:pPr>
        <w:spacing w:before="100" w:after="100" w:line="240" w:lineRule="exact"/>
        <w:jc w:val="left"/>
        <w:rPr>
          <w:rFonts w:ascii="宋体" w:hAnsi="宋体" w:eastAsia="宋体" w:cs="宋体"/>
          <w:sz w:val="18"/>
          <w:szCs w:val="18"/>
        </w:rPr>
      </w:pPr>
      <w:r>
        <w:rPr>
          <w:rFonts w:ascii="宋体" w:hAnsi="宋体" w:eastAsia="宋体" w:cs="宋体"/>
          <w:sz w:val="18"/>
          <w:szCs w:val="18"/>
        </w:rPr>
        <w:t>其中本期坏账准备转回或收回金额重要的：</w:t>
      </w:r>
    </w:p>
    <w:p w14:paraId="0A67C566">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01F76F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D12BDEB">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2419EA4">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CCE76A2">
            <w:pPr>
              <w:spacing w:before="40" w:after="40" w:line="240" w:lineRule="exact"/>
              <w:jc w:val="center"/>
              <w:rPr>
                <w:rFonts w:ascii="宋体" w:hAnsi="宋体" w:eastAsia="宋体" w:cs="宋体"/>
                <w:sz w:val="18"/>
                <w:szCs w:val="18"/>
              </w:rPr>
            </w:pPr>
            <w:r>
              <w:rPr>
                <w:rFonts w:ascii="宋体" w:hAnsi="宋体" w:eastAsia="宋体" w:cs="宋体"/>
                <w:sz w:val="18"/>
                <w:szCs w:val="18"/>
              </w:rPr>
              <w:t>转回原因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A28C98D">
            <w:pPr>
              <w:spacing w:before="40" w:after="40" w:line="240" w:lineRule="exact"/>
              <w:jc w:val="center"/>
              <w:rPr>
                <w:rFonts w:ascii="宋体" w:hAnsi="宋体" w:eastAsia="宋体" w:cs="宋体"/>
                <w:sz w:val="18"/>
                <w:szCs w:val="18"/>
              </w:rPr>
            </w:pPr>
            <w:r>
              <w:rPr>
                <w:rFonts w:ascii="宋体" w:hAnsi="宋体" w:eastAsia="宋体" w:cs="宋体"/>
                <w:sz w:val="18"/>
                <w:szCs w:val="18"/>
              </w:rPr>
              <w:t>收回方式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9A1234F">
            <w:pPr>
              <w:spacing w:before="40" w:after="40" w:line="240" w:lineRule="exact"/>
              <w:jc w:val="center"/>
              <w:rPr>
                <w:rFonts w:ascii="宋体" w:hAnsi="宋体" w:eastAsia="宋体" w:cs="宋体"/>
                <w:sz w:val="18"/>
                <w:szCs w:val="18"/>
              </w:rPr>
            </w:pPr>
            <w:r>
              <w:rPr>
                <w:rFonts w:ascii="宋体" w:hAnsi="宋体" w:eastAsia="宋体" w:cs="宋体"/>
                <w:sz w:val="18"/>
                <w:szCs w:val="18"/>
              </w:rPr>
              <w:t>确定原坏账准备计提比例的依据及其合理性</w:t>
            </w:r>
          </w:p>
        </w:tc>
      </w:tr>
    </w:tbl>
    <w:p w14:paraId="3375DB7D">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5BCBBDFE">
      <w:pPr>
        <w:keepNext/>
        <w:keepLines/>
        <w:spacing w:before="300" w:after="300" w:line="280" w:lineRule="exact"/>
        <w:jc w:val="left"/>
        <w:outlineLvl w:val="3"/>
        <w:rPr>
          <w:rFonts w:ascii="宋体" w:hAnsi="宋体" w:eastAsia="宋体" w:cs="宋体"/>
          <w:b/>
          <w:bCs/>
          <w:sz w:val="21"/>
          <w:szCs w:val="21"/>
        </w:rPr>
      </w:pPr>
      <w:bookmarkStart w:id="309" w:name="_Toc989196"/>
      <w:r>
        <w:rPr>
          <w:rFonts w:ascii="宋体" w:hAnsi="宋体" w:eastAsia="宋体" w:cs="宋体"/>
          <w:b/>
          <w:bCs/>
          <w:sz w:val="21"/>
          <w:szCs w:val="21"/>
        </w:rPr>
        <w:t>（4） 本期实际核销的长期应收款情况</w:t>
      </w:r>
      <w:bookmarkEnd w:id="309"/>
    </w:p>
    <w:p w14:paraId="09FE18C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4497F4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32F061B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F0F14F0">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6019269B">
      <w:pPr>
        <w:spacing w:before="100" w:after="100" w:line="240" w:lineRule="exact"/>
        <w:jc w:val="left"/>
        <w:rPr>
          <w:rFonts w:ascii="宋体" w:hAnsi="宋体" w:eastAsia="宋体" w:cs="宋体"/>
          <w:sz w:val="18"/>
          <w:szCs w:val="18"/>
        </w:rPr>
      </w:pPr>
      <w:r>
        <w:rPr>
          <w:rFonts w:ascii="宋体" w:hAnsi="宋体" w:eastAsia="宋体" w:cs="宋体"/>
          <w:sz w:val="18"/>
          <w:szCs w:val="18"/>
        </w:rPr>
        <w:t>其中重要的长期应收款核销情况：</w:t>
      </w:r>
    </w:p>
    <w:p w14:paraId="445716AD">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2DE060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D352A76">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D564ACD">
            <w:pPr>
              <w:spacing w:before="40" w:after="40" w:line="240" w:lineRule="exact"/>
              <w:jc w:val="center"/>
              <w:rPr>
                <w:rFonts w:ascii="宋体" w:hAnsi="宋体" w:eastAsia="宋体" w:cs="宋体"/>
                <w:sz w:val="18"/>
                <w:szCs w:val="18"/>
              </w:rPr>
            </w:pPr>
            <w:r>
              <w:rPr>
                <w:rFonts w:ascii="宋体" w:hAnsi="宋体" w:eastAsia="宋体" w:cs="宋体"/>
                <w:sz w:val="18"/>
                <w:szCs w:val="18"/>
              </w:rPr>
              <w:t>款项性质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69EE9E3">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BB44DC6">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31E17A6">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3DF0129">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7EDBCB80">
      <w:pPr>
        <w:spacing w:before="100" w:after="100" w:line="240" w:lineRule="exact"/>
        <w:jc w:val="left"/>
        <w:rPr>
          <w:rFonts w:ascii="宋体" w:hAnsi="宋体" w:eastAsia="宋体" w:cs="宋体"/>
          <w:sz w:val="18"/>
          <w:szCs w:val="18"/>
        </w:rPr>
      </w:pPr>
      <w:r>
        <w:rPr>
          <w:rFonts w:ascii="宋体" w:hAnsi="宋体" w:eastAsia="宋体" w:cs="宋体"/>
          <w:sz w:val="18"/>
          <w:szCs w:val="18"/>
        </w:rPr>
        <w:t>长期应收款核销说明：</w:t>
      </w:r>
    </w:p>
    <w:p w14:paraId="175EA452">
      <w:pPr>
        <w:keepNext/>
        <w:keepLines/>
        <w:spacing w:before="300" w:after="300" w:line="280" w:lineRule="exact"/>
        <w:jc w:val="left"/>
        <w:outlineLvl w:val="2"/>
        <w:rPr>
          <w:rFonts w:ascii="宋体" w:hAnsi="宋体" w:eastAsia="宋体" w:cs="宋体"/>
          <w:b/>
          <w:bCs/>
          <w:sz w:val="21"/>
          <w:szCs w:val="21"/>
        </w:rPr>
      </w:pPr>
      <w:bookmarkStart w:id="310" w:name="_Toc989197"/>
      <w:r>
        <w:rPr>
          <w:rFonts w:ascii="宋体" w:hAnsi="宋体" w:eastAsia="宋体" w:cs="宋体"/>
          <w:b/>
          <w:bCs/>
          <w:sz w:val="21"/>
          <w:szCs w:val="21"/>
        </w:rPr>
        <w:t>18、长期股权投资</w:t>
      </w:r>
      <w:bookmarkEnd w:id="310"/>
    </w:p>
    <w:p w14:paraId="2D5B16E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41"/>
        <w:gridCol w:w="741"/>
        <w:gridCol w:w="741"/>
        <w:gridCol w:w="741"/>
        <w:gridCol w:w="741"/>
        <w:gridCol w:w="741"/>
        <w:gridCol w:w="741"/>
        <w:gridCol w:w="741"/>
        <w:gridCol w:w="741"/>
        <w:gridCol w:w="741"/>
        <w:gridCol w:w="741"/>
        <w:gridCol w:w="741"/>
        <w:gridCol w:w="741"/>
      </w:tblGrid>
      <w:tr w14:paraId="72BC5E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93EA1D9">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被投资单位</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4909088">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期初余额（账面价值）</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248F57D">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减值准备期初余额</w:t>
            </w:r>
          </w:p>
        </w:tc>
        <w:tc>
          <w:tcPr>
            <w:tcW w:w="5932" w:type="dxa"/>
            <w:gridSpan w:val="8"/>
            <w:tcBorders>
              <w:top w:val="single" w:color="auto" w:sz="2" w:space="0"/>
              <w:left w:val="single" w:color="auto" w:sz="2" w:space="0"/>
              <w:bottom w:val="single" w:color="auto" w:sz="2" w:space="0"/>
              <w:right w:val="single" w:color="auto" w:sz="2" w:space="0"/>
            </w:tcBorders>
            <w:shd w:val="clear" w:color="auto" w:fill="D3D3D3"/>
            <w:vAlign w:val="center"/>
          </w:tcPr>
          <w:p w14:paraId="46DF01E6">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本期增减变动</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95E0D20">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期末余额（账面价值）</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8895665">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减值准备期末余额</w:t>
            </w:r>
          </w:p>
        </w:tc>
      </w:tr>
      <w:tr w14:paraId="03520E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99E5AFA"/>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D53D208"/>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6DC3A15"/>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5D96405">
            <w:pPr>
              <w:spacing w:before="40" w:after="40" w:line="240" w:lineRule="exact"/>
              <w:jc w:val="center"/>
              <w:rPr>
                <w:rFonts w:ascii="宋体" w:hAnsi="宋体" w:eastAsia="宋体" w:cs="宋体"/>
                <w:sz w:val="18"/>
                <w:szCs w:val="18"/>
              </w:rPr>
            </w:pPr>
            <w:r>
              <w:rPr>
                <w:rFonts w:ascii="宋体" w:hAnsi="宋体" w:eastAsia="宋体" w:cs="宋体"/>
                <w:sz w:val="18"/>
                <w:szCs w:val="18"/>
              </w:rPr>
              <w:t>追加投资</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7D6B1DB">
            <w:pPr>
              <w:spacing w:before="40" w:after="40" w:line="240" w:lineRule="exact"/>
              <w:jc w:val="center"/>
              <w:rPr>
                <w:rFonts w:ascii="宋体" w:hAnsi="宋体" w:eastAsia="宋体" w:cs="宋体"/>
                <w:sz w:val="18"/>
                <w:szCs w:val="18"/>
              </w:rPr>
            </w:pPr>
            <w:r>
              <w:rPr>
                <w:rFonts w:ascii="宋体" w:hAnsi="宋体" w:eastAsia="宋体" w:cs="宋体"/>
                <w:sz w:val="18"/>
                <w:szCs w:val="18"/>
              </w:rPr>
              <w:t>减少投资</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6E6FB6D">
            <w:pPr>
              <w:spacing w:before="40" w:after="40" w:line="240" w:lineRule="exact"/>
              <w:jc w:val="center"/>
              <w:rPr>
                <w:rFonts w:ascii="宋体" w:hAnsi="宋体" w:eastAsia="宋体" w:cs="宋体"/>
                <w:sz w:val="18"/>
                <w:szCs w:val="18"/>
              </w:rPr>
            </w:pPr>
            <w:r>
              <w:rPr>
                <w:rFonts w:ascii="宋体" w:hAnsi="宋体" w:eastAsia="宋体" w:cs="宋体"/>
                <w:sz w:val="18"/>
                <w:szCs w:val="18"/>
              </w:rPr>
              <w:t>权益法下确认的投资损益</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A7EE1E0">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其他综合收益调整</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7E67365">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其他权益变动</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325685A">
            <w:pPr>
              <w:spacing w:before="40" w:after="40" w:line="240" w:lineRule="exact"/>
              <w:jc w:val="center"/>
              <w:rPr>
                <w:rFonts w:ascii="宋体" w:hAnsi="宋体" w:eastAsia="宋体" w:cs="宋体"/>
                <w:sz w:val="18"/>
                <w:szCs w:val="18"/>
              </w:rPr>
            </w:pPr>
            <w:r>
              <w:rPr>
                <w:rFonts w:ascii="宋体" w:hAnsi="宋体" w:eastAsia="宋体" w:cs="宋体"/>
                <w:sz w:val="18"/>
                <w:szCs w:val="18"/>
              </w:rPr>
              <w:t>宣告发放现金股利或利润</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E191C5F">
            <w:pPr>
              <w:spacing w:before="40" w:after="40" w:line="240" w:lineRule="exact"/>
              <w:jc w:val="center"/>
              <w:rPr>
                <w:rFonts w:ascii="宋体" w:hAnsi="宋体" w:eastAsia="宋体" w:cs="宋体"/>
                <w:sz w:val="18"/>
                <w:szCs w:val="18"/>
              </w:rPr>
            </w:pPr>
            <w:r>
              <w:rPr>
                <w:rFonts w:ascii="宋体" w:hAnsi="宋体" w:eastAsia="宋体" w:cs="宋体"/>
                <w:sz w:val="18"/>
                <w:szCs w:val="18"/>
              </w:rPr>
              <w:t>计提减值准备</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A359868">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617FED2"/>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FDC0348"/>
        </w:tc>
      </w:tr>
      <w:tr w14:paraId="1B57C3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3"/>
            <w:tcBorders>
              <w:top w:val="single" w:color="auto" w:sz="2" w:space="0"/>
              <w:left w:val="single" w:color="auto" w:sz="2" w:space="0"/>
              <w:bottom w:val="single" w:color="auto" w:sz="2" w:space="0"/>
              <w:right w:val="single" w:color="auto" w:sz="2" w:space="0"/>
            </w:tcBorders>
            <w:shd w:val="clear" w:color="auto" w:fill="D3D3D3"/>
            <w:vAlign w:val="center"/>
          </w:tcPr>
          <w:p w14:paraId="04E63589">
            <w:pPr>
              <w:spacing w:before="40" w:after="40" w:line="240" w:lineRule="exact"/>
              <w:jc w:val="left"/>
              <w:rPr>
                <w:rFonts w:ascii="宋体" w:hAnsi="宋体" w:eastAsia="宋体" w:cs="宋体"/>
                <w:sz w:val="18"/>
                <w:szCs w:val="18"/>
              </w:rPr>
            </w:pPr>
            <w:r>
              <w:rPr>
                <w:rFonts w:ascii="宋体" w:hAnsi="宋体" w:eastAsia="宋体" w:cs="宋体"/>
                <w:sz w:val="18"/>
                <w:szCs w:val="18"/>
              </w:rPr>
              <w:t>一、合营企业</w:t>
            </w:r>
          </w:p>
        </w:tc>
      </w:tr>
      <w:tr w14:paraId="081ACB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3"/>
            <w:tcBorders>
              <w:top w:val="single" w:color="auto" w:sz="2" w:space="0"/>
              <w:left w:val="single" w:color="auto" w:sz="2" w:space="0"/>
              <w:bottom w:val="single" w:color="auto" w:sz="2" w:space="0"/>
              <w:right w:val="single" w:color="auto" w:sz="2" w:space="0"/>
            </w:tcBorders>
            <w:shd w:val="clear" w:color="auto" w:fill="D3D3D3"/>
            <w:vAlign w:val="center"/>
          </w:tcPr>
          <w:p w14:paraId="1A54CC00">
            <w:pPr>
              <w:spacing w:before="40" w:after="40" w:line="240" w:lineRule="exact"/>
              <w:jc w:val="left"/>
              <w:rPr>
                <w:rFonts w:ascii="宋体" w:hAnsi="宋体" w:eastAsia="宋体" w:cs="宋体"/>
                <w:sz w:val="18"/>
                <w:szCs w:val="18"/>
              </w:rPr>
            </w:pPr>
            <w:r>
              <w:rPr>
                <w:rFonts w:ascii="宋体" w:hAnsi="宋体" w:eastAsia="宋体" w:cs="宋体"/>
                <w:sz w:val="18"/>
                <w:szCs w:val="18"/>
              </w:rPr>
              <w:t>二、联营企业</w:t>
            </w:r>
          </w:p>
        </w:tc>
      </w:tr>
      <w:tr w14:paraId="7E3965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24F1A74E">
            <w:pPr>
              <w:spacing w:before="0" w:after="0" w:line="240" w:lineRule="exact"/>
              <w:jc w:val="left"/>
              <w:rPr>
                <w:rFonts w:ascii="宋体" w:hAnsi="宋体" w:eastAsia="宋体" w:cs="宋体"/>
                <w:sz w:val="18"/>
                <w:szCs w:val="18"/>
              </w:rPr>
            </w:pPr>
            <w:r>
              <w:rPr>
                <w:rFonts w:ascii="宋体" w:hAnsi="宋体" w:eastAsia="宋体" w:cs="宋体"/>
                <w:sz w:val="18"/>
                <w:szCs w:val="18"/>
              </w:rPr>
              <w:t>福建博奥医学检验所有限公司</w:t>
            </w:r>
          </w:p>
        </w:tc>
        <w:tc>
          <w:tcPr>
            <w:tcW w:w="741" w:type="dxa"/>
            <w:tcBorders>
              <w:top w:val="single" w:color="auto" w:sz="2" w:space="0"/>
              <w:left w:val="single" w:color="auto" w:sz="2" w:space="0"/>
              <w:bottom w:val="single" w:color="auto" w:sz="2" w:space="0"/>
              <w:right w:val="single" w:color="auto" w:sz="2" w:space="0"/>
            </w:tcBorders>
            <w:vAlign w:val="center"/>
          </w:tcPr>
          <w:p w14:paraId="5654B15D">
            <w:pPr>
              <w:spacing w:before="0" w:after="0" w:line="240" w:lineRule="exact"/>
              <w:jc w:val="right"/>
              <w:rPr>
                <w:rFonts w:ascii="宋体" w:hAnsi="宋体" w:eastAsia="宋体" w:cs="宋体"/>
                <w:sz w:val="18"/>
                <w:szCs w:val="18"/>
              </w:rPr>
            </w:pPr>
            <w:r>
              <w:rPr>
                <w:rFonts w:ascii="宋体" w:hAnsi="宋体" w:eastAsia="宋体" w:cs="宋体"/>
                <w:sz w:val="18"/>
                <w:szCs w:val="18"/>
              </w:rPr>
              <w:t>58,814,930.02</w:t>
            </w:r>
          </w:p>
        </w:tc>
        <w:tc>
          <w:tcPr>
            <w:tcW w:w="741" w:type="dxa"/>
            <w:tcBorders>
              <w:top w:val="single" w:color="auto" w:sz="2" w:space="0"/>
              <w:left w:val="single" w:color="auto" w:sz="2" w:space="0"/>
              <w:bottom w:val="single" w:color="auto" w:sz="2" w:space="0"/>
              <w:right w:val="single" w:color="auto" w:sz="2" w:space="0"/>
            </w:tcBorders>
            <w:vAlign w:val="center"/>
          </w:tcPr>
          <w:p w14:paraId="427598F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6C56D4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E68E61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0EA8658">
            <w:pPr>
              <w:spacing w:before="0" w:after="0" w:line="240" w:lineRule="exact"/>
              <w:jc w:val="right"/>
              <w:rPr>
                <w:rFonts w:ascii="宋体" w:hAnsi="宋体" w:eastAsia="宋体" w:cs="宋体"/>
                <w:sz w:val="18"/>
                <w:szCs w:val="18"/>
              </w:rPr>
            </w:pPr>
            <w:r>
              <w:rPr>
                <w:rFonts w:ascii="宋体" w:hAnsi="宋体" w:eastAsia="宋体" w:cs="宋体"/>
                <w:sz w:val="18"/>
                <w:szCs w:val="18"/>
              </w:rPr>
              <w:t>-7,804,116.93</w:t>
            </w:r>
          </w:p>
        </w:tc>
        <w:tc>
          <w:tcPr>
            <w:tcW w:w="741" w:type="dxa"/>
            <w:tcBorders>
              <w:top w:val="single" w:color="auto" w:sz="2" w:space="0"/>
              <w:left w:val="single" w:color="auto" w:sz="2" w:space="0"/>
              <w:bottom w:val="single" w:color="auto" w:sz="2" w:space="0"/>
              <w:right w:val="single" w:color="auto" w:sz="2" w:space="0"/>
            </w:tcBorders>
            <w:vAlign w:val="center"/>
          </w:tcPr>
          <w:p w14:paraId="0488BB4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3ED6C6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E9419FB">
            <w:pPr>
              <w:spacing w:before="0" w:after="0" w:line="240" w:lineRule="exact"/>
              <w:jc w:val="right"/>
              <w:rPr>
                <w:rFonts w:ascii="宋体" w:hAnsi="宋体" w:eastAsia="宋体" w:cs="宋体"/>
                <w:sz w:val="18"/>
                <w:szCs w:val="18"/>
              </w:rPr>
            </w:pPr>
            <w:r>
              <w:rPr>
                <w:rFonts w:ascii="宋体" w:hAnsi="宋体" w:eastAsia="宋体" w:cs="宋体"/>
                <w:sz w:val="18"/>
                <w:szCs w:val="18"/>
              </w:rPr>
              <w:t>-17,640,000.00</w:t>
            </w:r>
          </w:p>
        </w:tc>
        <w:tc>
          <w:tcPr>
            <w:tcW w:w="741" w:type="dxa"/>
            <w:tcBorders>
              <w:top w:val="single" w:color="auto" w:sz="2" w:space="0"/>
              <w:left w:val="single" w:color="auto" w:sz="2" w:space="0"/>
              <w:bottom w:val="single" w:color="auto" w:sz="2" w:space="0"/>
              <w:right w:val="single" w:color="auto" w:sz="2" w:space="0"/>
            </w:tcBorders>
            <w:vAlign w:val="center"/>
          </w:tcPr>
          <w:p w14:paraId="7C0F443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761407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F8FF80C">
            <w:pPr>
              <w:spacing w:before="0" w:after="0" w:line="240" w:lineRule="exact"/>
              <w:jc w:val="right"/>
              <w:rPr>
                <w:rFonts w:ascii="宋体" w:hAnsi="宋体" w:eastAsia="宋体" w:cs="宋体"/>
                <w:sz w:val="18"/>
                <w:szCs w:val="18"/>
              </w:rPr>
            </w:pPr>
            <w:r>
              <w:rPr>
                <w:rFonts w:ascii="宋体" w:hAnsi="宋体" w:eastAsia="宋体" w:cs="宋体"/>
                <w:sz w:val="18"/>
                <w:szCs w:val="18"/>
              </w:rPr>
              <w:t>33,370,813.09</w:t>
            </w:r>
          </w:p>
        </w:tc>
        <w:tc>
          <w:tcPr>
            <w:tcW w:w="741" w:type="dxa"/>
            <w:tcBorders>
              <w:top w:val="single" w:color="auto" w:sz="2" w:space="0"/>
              <w:left w:val="single" w:color="auto" w:sz="2" w:space="0"/>
              <w:bottom w:val="single" w:color="auto" w:sz="2" w:space="0"/>
              <w:right w:val="single" w:color="auto" w:sz="2" w:space="0"/>
            </w:tcBorders>
            <w:vAlign w:val="center"/>
          </w:tcPr>
          <w:p w14:paraId="7316AED9">
            <w:pPr>
              <w:spacing w:before="0" w:after="0" w:line="240" w:lineRule="exact"/>
              <w:jc w:val="right"/>
              <w:rPr>
                <w:rFonts w:ascii="宋体" w:hAnsi="宋体" w:eastAsia="宋体" w:cs="宋体"/>
                <w:sz w:val="18"/>
                <w:szCs w:val="18"/>
              </w:rPr>
            </w:pPr>
          </w:p>
        </w:tc>
      </w:tr>
      <w:tr w14:paraId="7264D7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1F215B66">
            <w:pPr>
              <w:spacing w:before="0" w:after="0" w:line="240" w:lineRule="exact"/>
              <w:jc w:val="left"/>
              <w:rPr>
                <w:rFonts w:ascii="宋体" w:hAnsi="宋体" w:eastAsia="宋体" w:cs="宋体"/>
                <w:sz w:val="18"/>
                <w:szCs w:val="18"/>
              </w:rPr>
            </w:pPr>
            <w:r>
              <w:rPr>
                <w:rFonts w:ascii="宋体" w:hAnsi="宋体" w:eastAsia="宋体" w:cs="宋体"/>
                <w:sz w:val="18"/>
                <w:szCs w:val="18"/>
              </w:rPr>
              <w:t>福建广明方医药投资研发中心（有限合伙）</w:t>
            </w:r>
          </w:p>
        </w:tc>
        <w:tc>
          <w:tcPr>
            <w:tcW w:w="741" w:type="dxa"/>
            <w:tcBorders>
              <w:top w:val="single" w:color="auto" w:sz="2" w:space="0"/>
              <w:left w:val="single" w:color="auto" w:sz="2" w:space="0"/>
              <w:bottom w:val="single" w:color="auto" w:sz="2" w:space="0"/>
              <w:right w:val="single" w:color="auto" w:sz="2" w:space="0"/>
            </w:tcBorders>
            <w:vAlign w:val="center"/>
          </w:tcPr>
          <w:p w14:paraId="2D807A0C">
            <w:pPr>
              <w:spacing w:before="0" w:after="0" w:line="240" w:lineRule="exact"/>
              <w:jc w:val="right"/>
              <w:rPr>
                <w:rFonts w:ascii="宋体" w:hAnsi="宋体" w:eastAsia="宋体" w:cs="宋体"/>
                <w:sz w:val="18"/>
                <w:szCs w:val="18"/>
              </w:rPr>
            </w:pPr>
            <w:r>
              <w:rPr>
                <w:rFonts w:ascii="宋体" w:hAnsi="宋体" w:eastAsia="宋体" w:cs="宋体"/>
                <w:sz w:val="18"/>
                <w:szCs w:val="18"/>
              </w:rPr>
              <w:t>40,000,521.38</w:t>
            </w:r>
          </w:p>
        </w:tc>
        <w:tc>
          <w:tcPr>
            <w:tcW w:w="741" w:type="dxa"/>
            <w:tcBorders>
              <w:top w:val="single" w:color="auto" w:sz="2" w:space="0"/>
              <w:left w:val="single" w:color="auto" w:sz="2" w:space="0"/>
              <w:bottom w:val="single" w:color="auto" w:sz="2" w:space="0"/>
              <w:right w:val="single" w:color="auto" w:sz="2" w:space="0"/>
            </w:tcBorders>
            <w:vAlign w:val="center"/>
          </w:tcPr>
          <w:p w14:paraId="2ECF4A9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FBCD3D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91587B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4A49FD7">
            <w:pPr>
              <w:spacing w:before="0" w:after="0" w:line="240" w:lineRule="exact"/>
              <w:jc w:val="right"/>
              <w:rPr>
                <w:rFonts w:ascii="宋体" w:hAnsi="宋体" w:eastAsia="宋体" w:cs="宋体"/>
                <w:sz w:val="18"/>
                <w:szCs w:val="18"/>
              </w:rPr>
            </w:pPr>
            <w:r>
              <w:rPr>
                <w:rFonts w:ascii="宋体" w:hAnsi="宋体" w:eastAsia="宋体" w:cs="宋体"/>
                <w:sz w:val="18"/>
                <w:szCs w:val="18"/>
              </w:rPr>
              <w:t>11.24</w:t>
            </w:r>
          </w:p>
        </w:tc>
        <w:tc>
          <w:tcPr>
            <w:tcW w:w="741" w:type="dxa"/>
            <w:tcBorders>
              <w:top w:val="single" w:color="auto" w:sz="2" w:space="0"/>
              <w:left w:val="single" w:color="auto" w:sz="2" w:space="0"/>
              <w:bottom w:val="single" w:color="auto" w:sz="2" w:space="0"/>
              <w:right w:val="single" w:color="auto" w:sz="2" w:space="0"/>
            </w:tcBorders>
            <w:vAlign w:val="center"/>
          </w:tcPr>
          <w:p w14:paraId="31EFF0E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86EE97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F7B583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278DCB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2F44DD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BFDCB49">
            <w:pPr>
              <w:spacing w:before="0" w:after="0" w:line="240" w:lineRule="exact"/>
              <w:jc w:val="right"/>
              <w:rPr>
                <w:rFonts w:ascii="宋体" w:hAnsi="宋体" w:eastAsia="宋体" w:cs="宋体"/>
                <w:sz w:val="18"/>
                <w:szCs w:val="18"/>
              </w:rPr>
            </w:pPr>
            <w:r>
              <w:rPr>
                <w:rFonts w:ascii="宋体" w:hAnsi="宋体" w:eastAsia="宋体" w:cs="宋体"/>
                <w:sz w:val="18"/>
                <w:szCs w:val="18"/>
              </w:rPr>
              <w:t>40,000,532.62</w:t>
            </w:r>
          </w:p>
        </w:tc>
        <w:tc>
          <w:tcPr>
            <w:tcW w:w="741" w:type="dxa"/>
            <w:tcBorders>
              <w:top w:val="single" w:color="auto" w:sz="2" w:space="0"/>
              <w:left w:val="single" w:color="auto" w:sz="2" w:space="0"/>
              <w:bottom w:val="single" w:color="auto" w:sz="2" w:space="0"/>
              <w:right w:val="single" w:color="auto" w:sz="2" w:space="0"/>
            </w:tcBorders>
            <w:vAlign w:val="center"/>
          </w:tcPr>
          <w:p w14:paraId="17B4864D">
            <w:pPr>
              <w:spacing w:before="0" w:after="0" w:line="240" w:lineRule="exact"/>
              <w:jc w:val="right"/>
              <w:rPr>
                <w:rFonts w:ascii="宋体" w:hAnsi="宋体" w:eastAsia="宋体" w:cs="宋体"/>
                <w:sz w:val="18"/>
                <w:szCs w:val="18"/>
              </w:rPr>
            </w:pPr>
          </w:p>
        </w:tc>
      </w:tr>
      <w:tr w14:paraId="2BC89A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50FA82FA">
            <w:pPr>
              <w:spacing w:before="0" w:after="0" w:line="240" w:lineRule="exact"/>
              <w:jc w:val="left"/>
              <w:rPr>
                <w:rFonts w:ascii="宋体" w:hAnsi="宋体" w:eastAsia="宋体" w:cs="宋体"/>
                <w:sz w:val="18"/>
                <w:szCs w:val="18"/>
              </w:rPr>
            </w:pPr>
            <w:r>
              <w:rPr>
                <w:rFonts w:ascii="宋体" w:hAnsi="宋体" w:eastAsia="宋体" w:cs="宋体"/>
                <w:sz w:val="18"/>
                <w:szCs w:val="18"/>
              </w:rPr>
              <w:t>莆田博奥医学检验有限公司</w:t>
            </w:r>
          </w:p>
        </w:tc>
        <w:tc>
          <w:tcPr>
            <w:tcW w:w="741" w:type="dxa"/>
            <w:tcBorders>
              <w:top w:val="single" w:color="auto" w:sz="2" w:space="0"/>
              <w:left w:val="single" w:color="auto" w:sz="2" w:space="0"/>
              <w:bottom w:val="single" w:color="auto" w:sz="2" w:space="0"/>
              <w:right w:val="single" w:color="auto" w:sz="2" w:space="0"/>
            </w:tcBorders>
            <w:vAlign w:val="center"/>
          </w:tcPr>
          <w:p w14:paraId="5DAF6E4B">
            <w:pPr>
              <w:spacing w:before="0" w:after="0" w:line="240" w:lineRule="exact"/>
              <w:jc w:val="right"/>
              <w:rPr>
                <w:rFonts w:ascii="宋体" w:hAnsi="宋体" w:eastAsia="宋体" w:cs="宋体"/>
                <w:sz w:val="18"/>
                <w:szCs w:val="18"/>
              </w:rPr>
            </w:pPr>
            <w:r>
              <w:rPr>
                <w:rFonts w:ascii="宋体" w:hAnsi="宋体" w:eastAsia="宋体" w:cs="宋体"/>
                <w:sz w:val="18"/>
                <w:szCs w:val="18"/>
              </w:rPr>
              <w:t>9,997,403.65</w:t>
            </w:r>
          </w:p>
        </w:tc>
        <w:tc>
          <w:tcPr>
            <w:tcW w:w="741" w:type="dxa"/>
            <w:tcBorders>
              <w:top w:val="single" w:color="auto" w:sz="2" w:space="0"/>
              <w:left w:val="single" w:color="auto" w:sz="2" w:space="0"/>
              <w:bottom w:val="single" w:color="auto" w:sz="2" w:space="0"/>
              <w:right w:val="single" w:color="auto" w:sz="2" w:space="0"/>
            </w:tcBorders>
            <w:vAlign w:val="center"/>
          </w:tcPr>
          <w:p w14:paraId="35F1787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E3A6FC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78AF75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36AF5E3">
            <w:pPr>
              <w:spacing w:before="0" w:after="0" w:line="240" w:lineRule="exact"/>
              <w:jc w:val="right"/>
              <w:rPr>
                <w:rFonts w:ascii="宋体" w:hAnsi="宋体" w:eastAsia="宋体" w:cs="宋体"/>
                <w:sz w:val="18"/>
                <w:szCs w:val="18"/>
              </w:rPr>
            </w:pPr>
            <w:r>
              <w:rPr>
                <w:rFonts w:ascii="宋体" w:hAnsi="宋体" w:eastAsia="宋体" w:cs="宋体"/>
                <w:sz w:val="18"/>
                <w:szCs w:val="18"/>
              </w:rPr>
              <w:t>-3,191,141.55</w:t>
            </w:r>
          </w:p>
        </w:tc>
        <w:tc>
          <w:tcPr>
            <w:tcW w:w="741" w:type="dxa"/>
            <w:tcBorders>
              <w:top w:val="single" w:color="auto" w:sz="2" w:space="0"/>
              <w:left w:val="single" w:color="auto" w:sz="2" w:space="0"/>
              <w:bottom w:val="single" w:color="auto" w:sz="2" w:space="0"/>
              <w:right w:val="single" w:color="auto" w:sz="2" w:space="0"/>
            </w:tcBorders>
            <w:vAlign w:val="center"/>
          </w:tcPr>
          <w:p w14:paraId="69601A6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5DECB0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EF083D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66CAF4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23CFCC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64E91B8">
            <w:pPr>
              <w:spacing w:before="0" w:after="0" w:line="240" w:lineRule="exact"/>
              <w:jc w:val="right"/>
              <w:rPr>
                <w:rFonts w:ascii="宋体" w:hAnsi="宋体" w:eastAsia="宋体" w:cs="宋体"/>
                <w:sz w:val="18"/>
                <w:szCs w:val="18"/>
              </w:rPr>
            </w:pPr>
            <w:r>
              <w:rPr>
                <w:rFonts w:ascii="宋体" w:hAnsi="宋体" w:eastAsia="宋体" w:cs="宋体"/>
                <w:sz w:val="18"/>
                <w:szCs w:val="18"/>
              </w:rPr>
              <w:t>6,806,262.10</w:t>
            </w:r>
          </w:p>
        </w:tc>
        <w:tc>
          <w:tcPr>
            <w:tcW w:w="741" w:type="dxa"/>
            <w:tcBorders>
              <w:top w:val="single" w:color="auto" w:sz="2" w:space="0"/>
              <w:left w:val="single" w:color="auto" w:sz="2" w:space="0"/>
              <w:bottom w:val="single" w:color="auto" w:sz="2" w:space="0"/>
              <w:right w:val="single" w:color="auto" w:sz="2" w:space="0"/>
            </w:tcBorders>
            <w:vAlign w:val="center"/>
          </w:tcPr>
          <w:p w14:paraId="5A689953">
            <w:pPr>
              <w:spacing w:before="0" w:after="0" w:line="240" w:lineRule="exact"/>
              <w:jc w:val="right"/>
              <w:rPr>
                <w:rFonts w:ascii="宋体" w:hAnsi="宋体" w:eastAsia="宋体" w:cs="宋体"/>
                <w:sz w:val="18"/>
                <w:szCs w:val="18"/>
              </w:rPr>
            </w:pPr>
          </w:p>
        </w:tc>
      </w:tr>
      <w:tr w14:paraId="7C9ADC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8989FB2">
            <w:pPr>
              <w:spacing w:before="40" w:after="40" w:line="240" w:lineRule="exact"/>
              <w:jc w:val="left"/>
              <w:rPr>
                <w:rFonts w:ascii="宋体" w:hAnsi="宋体" w:eastAsia="宋体" w:cs="宋体"/>
                <w:sz w:val="18"/>
                <w:szCs w:val="18"/>
              </w:rPr>
            </w:pPr>
            <w:r>
              <w:rPr>
                <w:rFonts w:ascii="宋体" w:hAnsi="宋体" w:eastAsia="宋体" w:cs="宋体"/>
                <w:sz w:val="18"/>
                <w:szCs w:val="18"/>
              </w:rPr>
              <w:t>小计</w:t>
            </w:r>
          </w:p>
        </w:tc>
        <w:tc>
          <w:tcPr>
            <w:tcW w:w="741" w:type="dxa"/>
            <w:tcBorders>
              <w:top w:val="single" w:color="auto" w:sz="2" w:space="0"/>
              <w:left w:val="single" w:color="auto" w:sz="2" w:space="0"/>
              <w:bottom w:val="single" w:color="auto" w:sz="2" w:space="0"/>
              <w:right w:val="single" w:color="auto" w:sz="2" w:space="0"/>
            </w:tcBorders>
            <w:vAlign w:val="center"/>
          </w:tcPr>
          <w:p w14:paraId="54309076">
            <w:pPr>
              <w:spacing w:before="0" w:after="0" w:line="240" w:lineRule="exact"/>
              <w:jc w:val="right"/>
              <w:rPr>
                <w:rFonts w:ascii="宋体" w:hAnsi="宋体" w:eastAsia="宋体" w:cs="宋体"/>
                <w:sz w:val="18"/>
                <w:szCs w:val="18"/>
              </w:rPr>
            </w:pPr>
            <w:r>
              <w:rPr>
                <w:rFonts w:ascii="宋体" w:hAnsi="宋体" w:eastAsia="宋体" w:cs="宋体"/>
                <w:sz w:val="18"/>
                <w:szCs w:val="18"/>
              </w:rPr>
              <w:t>108,812,855.05</w:t>
            </w:r>
          </w:p>
        </w:tc>
        <w:tc>
          <w:tcPr>
            <w:tcW w:w="741" w:type="dxa"/>
            <w:tcBorders>
              <w:top w:val="single" w:color="auto" w:sz="2" w:space="0"/>
              <w:left w:val="single" w:color="auto" w:sz="2" w:space="0"/>
              <w:bottom w:val="single" w:color="auto" w:sz="2" w:space="0"/>
              <w:right w:val="single" w:color="auto" w:sz="2" w:space="0"/>
            </w:tcBorders>
            <w:vAlign w:val="center"/>
          </w:tcPr>
          <w:p w14:paraId="1F6FFAC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A30C97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3C7AF3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786B76D">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741" w:type="dxa"/>
            <w:tcBorders>
              <w:top w:val="single" w:color="auto" w:sz="2" w:space="0"/>
              <w:left w:val="single" w:color="auto" w:sz="2" w:space="0"/>
              <w:bottom w:val="single" w:color="auto" w:sz="2" w:space="0"/>
              <w:right w:val="single" w:color="auto" w:sz="2" w:space="0"/>
            </w:tcBorders>
            <w:vAlign w:val="center"/>
          </w:tcPr>
          <w:p w14:paraId="524E3F8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0ABEF1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45AC2F8">
            <w:pPr>
              <w:spacing w:before="0" w:after="0" w:line="240" w:lineRule="exact"/>
              <w:jc w:val="right"/>
              <w:rPr>
                <w:rFonts w:ascii="宋体" w:hAnsi="宋体" w:eastAsia="宋体" w:cs="宋体"/>
                <w:sz w:val="18"/>
                <w:szCs w:val="18"/>
              </w:rPr>
            </w:pPr>
            <w:r>
              <w:rPr>
                <w:rFonts w:ascii="宋体" w:hAnsi="宋体" w:eastAsia="宋体" w:cs="宋体"/>
                <w:sz w:val="18"/>
                <w:szCs w:val="18"/>
              </w:rPr>
              <w:t>-17,640,000.00</w:t>
            </w:r>
          </w:p>
        </w:tc>
        <w:tc>
          <w:tcPr>
            <w:tcW w:w="741" w:type="dxa"/>
            <w:tcBorders>
              <w:top w:val="single" w:color="auto" w:sz="2" w:space="0"/>
              <w:left w:val="single" w:color="auto" w:sz="2" w:space="0"/>
              <w:bottom w:val="single" w:color="auto" w:sz="2" w:space="0"/>
              <w:right w:val="single" w:color="auto" w:sz="2" w:space="0"/>
            </w:tcBorders>
            <w:vAlign w:val="center"/>
          </w:tcPr>
          <w:p w14:paraId="7667B80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FFE12B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3AD551D">
            <w:pPr>
              <w:spacing w:before="0" w:after="0" w:line="240" w:lineRule="exact"/>
              <w:jc w:val="right"/>
              <w:rPr>
                <w:rFonts w:ascii="宋体" w:hAnsi="宋体" w:eastAsia="宋体" w:cs="宋体"/>
                <w:sz w:val="18"/>
                <w:szCs w:val="18"/>
              </w:rPr>
            </w:pPr>
            <w:r>
              <w:rPr>
                <w:rFonts w:ascii="宋体" w:hAnsi="宋体" w:eastAsia="宋体" w:cs="宋体"/>
                <w:sz w:val="18"/>
                <w:szCs w:val="18"/>
              </w:rPr>
              <w:t>80,177,607.81</w:t>
            </w:r>
          </w:p>
        </w:tc>
        <w:tc>
          <w:tcPr>
            <w:tcW w:w="741" w:type="dxa"/>
            <w:tcBorders>
              <w:top w:val="single" w:color="auto" w:sz="2" w:space="0"/>
              <w:left w:val="single" w:color="auto" w:sz="2" w:space="0"/>
              <w:bottom w:val="single" w:color="auto" w:sz="2" w:space="0"/>
              <w:right w:val="single" w:color="auto" w:sz="2" w:space="0"/>
            </w:tcBorders>
            <w:vAlign w:val="center"/>
          </w:tcPr>
          <w:p w14:paraId="0DCDC97F">
            <w:pPr>
              <w:spacing w:before="0" w:after="0" w:line="240" w:lineRule="exact"/>
              <w:jc w:val="right"/>
              <w:rPr>
                <w:rFonts w:ascii="宋体" w:hAnsi="宋体" w:eastAsia="宋体" w:cs="宋体"/>
                <w:sz w:val="18"/>
                <w:szCs w:val="18"/>
              </w:rPr>
            </w:pPr>
          </w:p>
        </w:tc>
      </w:tr>
      <w:tr w14:paraId="1BACBF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140DE393">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741" w:type="dxa"/>
            <w:tcBorders>
              <w:top w:val="single" w:color="auto" w:sz="2" w:space="0"/>
              <w:left w:val="single" w:color="auto" w:sz="2" w:space="0"/>
              <w:bottom w:val="single" w:color="auto" w:sz="2" w:space="0"/>
              <w:right w:val="single" w:color="auto" w:sz="2" w:space="0"/>
            </w:tcBorders>
            <w:vAlign w:val="center"/>
          </w:tcPr>
          <w:p w14:paraId="47C30798">
            <w:pPr>
              <w:spacing w:before="0" w:after="0" w:line="240" w:lineRule="exact"/>
              <w:jc w:val="right"/>
              <w:rPr>
                <w:rFonts w:ascii="宋体" w:hAnsi="宋体" w:eastAsia="宋体" w:cs="宋体"/>
                <w:sz w:val="18"/>
                <w:szCs w:val="18"/>
              </w:rPr>
            </w:pPr>
            <w:r>
              <w:rPr>
                <w:rFonts w:ascii="宋体" w:hAnsi="宋体" w:eastAsia="宋体" w:cs="宋体"/>
                <w:sz w:val="18"/>
                <w:szCs w:val="18"/>
              </w:rPr>
              <w:t>108,812,855.05</w:t>
            </w:r>
          </w:p>
        </w:tc>
        <w:tc>
          <w:tcPr>
            <w:tcW w:w="741" w:type="dxa"/>
            <w:tcBorders>
              <w:top w:val="single" w:color="auto" w:sz="2" w:space="0"/>
              <w:left w:val="single" w:color="auto" w:sz="2" w:space="0"/>
              <w:bottom w:val="single" w:color="auto" w:sz="2" w:space="0"/>
              <w:right w:val="single" w:color="auto" w:sz="2" w:space="0"/>
            </w:tcBorders>
            <w:vAlign w:val="center"/>
          </w:tcPr>
          <w:p w14:paraId="75291CC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EB00EE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0F5519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D5DB2AE">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741" w:type="dxa"/>
            <w:tcBorders>
              <w:top w:val="single" w:color="auto" w:sz="2" w:space="0"/>
              <w:left w:val="single" w:color="auto" w:sz="2" w:space="0"/>
              <w:bottom w:val="single" w:color="auto" w:sz="2" w:space="0"/>
              <w:right w:val="single" w:color="auto" w:sz="2" w:space="0"/>
            </w:tcBorders>
            <w:vAlign w:val="center"/>
          </w:tcPr>
          <w:p w14:paraId="547B523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43C9CC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F39A969">
            <w:pPr>
              <w:spacing w:before="0" w:after="0" w:line="240" w:lineRule="exact"/>
              <w:jc w:val="right"/>
              <w:rPr>
                <w:rFonts w:ascii="宋体" w:hAnsi="宋体" w:eastAsia="宋体" w:cs="宋体"/>
                <w:sz w:val="18"/>
                <w:szCs w:val="18"/>
              </w:rPr>
            </w:pPr>
            <w:r>
              <w:rPr>
                <w:rFonts w:ascii="宋体" w:hAnsi="宋体" w:eastAsia="宋体" w:cs="宋体"/>
                <w:sz w:val="18"/>
                <w:szCs w:val="18"/>
              </w:rPr>
              <w:t>-17,640,000.00</w:t>
            </w:r>
          </w:p>
        </w:tc>
        <w:tc>
          <w:tcPr>
            <w:tcW w:w="741" w:type="dxa"/>
            <w:tcBorders>
              <w:top w:val="single" w:color="auto" w:sz="2" w:space="0"/>
              <w:left w:val="single" w:color="auto" w:sz="2" w:space="0"/>
              <w:bottom w:val="single" w:color="auto" w:sz="2" w:space="0"/>
              <w:right w:val="single" w:color="auto" w:sz="2" w:space="0"/>
            </w:tcBorders>
            <w:vAlign w:val="center"/>
          </w:tcPr>
          <w:p w14:paraId="7E0FF76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A251DB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8A9478F">
            <w:pPr>
              <w:spacing w:before="0" w:after="0" w:line="240" w:lineRule="exact"/>
              <w:jc w:val="right"/>
              <w:rPr>
                <w:rFonts w:ascii="宋体" w:hAnsi="宋体" w:eastAsia="宋体" w:cs="宋体"/>
                <w:sz w:val="18"/>
                <w:szCs w:val="18"/>
              </w:rPr>
            </w:pPr>
            <w:r>
              <w:rPr>
                <w:rFonts w:ascii="宋体" w:hAnsi="宋体" w:eastAsia="宋体" w:cs="宋体"/>
                <w:sz w:val="18"/>
                <w:szCs w:val="18"/>
              </w:rPr>
              <w:t>80,177,607.81</w:t>
            </w:r>
          </w:p>
        </w:tc>
        <w:tc>
          <w:tcPr>
            <w:tcW w:w="741" w:type="dxa"/>
            <w:tcBorders>
              <w:top w:val="single" w:color="auto" w:sz="2" w:space="0"/>
              <w:left w:val="single" w:color="auto" w:sz="2" w:space="0"/>
              <w:bottom w:val="single" w:color="auto" w:sz="2" w:space="0"/>
              <w:right w:val="single" w:color="auto" w:sz="2" w:space="0"/>
            </w:tcBorders>
            <w:vAlign w:val="center"/>
          </w:tcPr>
          <w:p w14:paraId="782520E5">
            <w:pPr>
              <w:spacing w:before="0" w:after="0" w:line="240" w:lineRule="exact"/>
              <w:jc w:val="right"/>
              <w:rPr>
                <w:rFonts w:ascii="宋体" w:hAnsi="宋体" w:eastAsia="宋体" w:cs="宋体"/>
                <w:sz w:val="18"/>
                <w:szCs w:val="18"/>
              </w:rPr>
            </w:pPr>
          </w:p>
        </w:tc>
      </w:tr>
    </w:tbl>
    <w:p w14:paraId="324EAF70">
      <w:pPr>
        <w:spacing w:before="100" w:after="100" w:line="240" w:lineRule="exact"/>
        <w:jc w:val="left"/>
        <w:rPr>
          <w:rFonts w:ascii="宋体" w:hAnsi="宋体" w:eastAsia="宋体" w:cs="宋体"/>
          <w:sz w:val="18"/>
          <w:szCs w:val="18"/>
        </w:rPr>
      </w:pPr>
      <w:r>
        <w:rPr>
          <w:rFonts w:ascii="宋体" w:hAnsi="宋体" w:eastAsia="宋体" w:cs="宋体"/>
          <w:sz w:val="18"/>
          <w:szCs w:val="18"/>
        </w:rPr>
        <w:t>可收回金额按公允价值减去处置费用后的净额确定</w:t>
      </w:r>
    </w:p>
    <w:p w14:paraId="3F201C4F">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5B87B1A5">
      <w:pPr>
        <w:spacing w:before="100" w:after="100" w:line="240" w:lineRule="exact"/>
        <w:jc w:val="left"/>
        <w:rPr>
          <w:rFonts w:ascii="宋体" w:hAnsi="宋体" w:eastAsia="宋体" w:cs="宋体"/>
          <w:sz w:val="18"/>
          <w:szCs w:val="18"/>
        </w:rPr>
      </w:pPr>
      <w:r>
        <w:rPr>
          <w:rFonts w:ascii="宋体" w:hAnsi="宋体" w:eastAsia="宋体" w:cs="宋体"/>
          <w:sz w:val="18"/>
          <w:szCs w:val="18"/>
        </w:rPr>
        <w:t>可收回金额按预计未来现金流量的现值确定</w:t>
      </w:r>
    </w:p>
    <w:p w14:paraId="2D2EF666">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40AB85F">
      <w:pPr>
        <w:spacing w:before="100" w:after="100" w:line="240" w:lineRule="exact"/>
        <w:jc w:val="left"/>
        <w:rPr>
          <w:rFonts w:ascii="宋体" w:hAnsi="宋体" w:eastAsia="宋体" w:cs="宋体"/>
          <w:sz w:val="18"/>
          <w:szCs w:val="18"/>
        </w:rPr>
      </w:pPr>
      <w:r>
        <w:rPr>
          <w:rFonts w:ascii="宋体" w:hAnsi="宋体" w:eastAsia="宋体" w:cs="宋体"/>
          <w:sz w:val="18"/>
          <w:szCs w:val="18"/>
        </w:rPr>
        <w:t>前述信息与以前年度减值测试采用的信息或外部信息明显不一致的差异原因</w:t>
      </w:r>
    </w:p>
    <w:p w14:paraId="6D941A9B">
      <w:pPr>
        <w:spacing w:before="100" w:after="100" w:line="240" w:lineRule="exact"/>
        <w:jc w:val="left"/>
        <w:rPr>
          <w:rFonts w:ascii="宋体" w:hAnsi="宋体" w:eastAsia="宋体" w:cs="宋体"/>
          <w:sz w:val="18"/>
          <w:szCs w:val="18"/>
        </w:rPr>
      </w:pPr>
      <w:r>
        <w:rPr>
          <w:rFonts w:ascii="宋体" w:hAnsi="宋体" w:eastAsia="宋体" w:cs="宋体"/>
          <w:sz w:val="18"/>
          <w:szCs w:val="18"/>
        </w:rPr>
        <w:t>公司以前年度减值测试采用信息与当年实际情况明显不一致的差异原因</w:t>
      </w:r>
    </w:p>
    <w:p w14:paraId="6D9F20EE">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F3E57D1">
      <w:pPr>
        <w:keepNext/>
        <w:keepLines/>
        <w:spacing w:before="300" w:after="300" w:line="280" w:lineRule="exact"/>
        <w:jc w:val="left"/>
        <w:outlineLvl w:val="2"/>
        <w:rPr>
          <w:rFonts w:ascii="宋体" w:hAnsi="宋体" w:eastAsia="宋体" w:cs="宋体"/>
          <w:b/>
          <w:bCs/>
          <w:sz w:val="21"/>
          <w:szCs w:val="21"/>
        </w:rPr>
      </w:pPr>
      <w:bookmarkStart w:id="311" w:name="_Toc989198"/>
      <w:r>
        <w:rPr>
          <w:rFonts w:ascii="宋体" w:hAnsi="宋体" w:eastAsia="宋体" w:cs="宋体"/>
          <w:b/>
          <w:bCs/>
          <w:sz w:val="21"/>
          <w:szCs w:val="21"/>
        </w:rPr>
        <w:t>19、其他非流动金融资产</w:t>
      </w:r>
      <w:bookmarkEnd w:id="311"/>
    </w:p>
    <w:p w14:paraId="417975E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CDAAE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F80E41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6D8F93C">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A41ED48">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62830D96">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03EC602">
      <w:pPr>
        <w:keepNext/>
        <w:keepLines/>
        <w:spacing w:before="300" w:after="300" w:line="280" w:lineRule="exact"/>
        <w:jc w:val="left"/>
        <w:outlineLvl w:val="2"/>
        <w:rPr>
          <w:rFonts w:ascii="宋体" w:hAnsi="宋体" w:eastAsia="宋体" w:cs="宋体"/>
          <w:b/>
          <w:bCs/>
          <w:sz w:val="21"/>
          <w:szCs w:val="21"/>
        </w:rPr>
      </w:pPr>
      <w:bookmarkStart w:id="312" w:name="_Toc989199"/>
      <w:r>
        <w:rPr>
          <w:rFonts w:ascii="宋体" w:hAnsi="宋体" w:eastAsia="宋体" w:cs="宋体"/>
          <w:b/>
          <w:bCs/>
          <w:sz w:val="21"/>
          <w:szCs w:val="21"/>
        </w:rPr>
        <w:t>20、投资性房地产</w:t>
      </w:r>
      <w:bookmarkEnd w:id="312"/>
    </w:p>
    <w:p w14:paraId="6FAE6E4D">
      <w:pPr>
        <w:keepNext/>
        <w:keepLines/>
        <w:spacing w:before="300" w:after="300" w:line="280" w:lineRule="exact"/>
        <w:jc w:val="left"/>
        <w:outlineLvl w:val="3"/>
        <w:rPr>
          <w:rFonts w:ascii="宋体" w:hAnsi="宋体" w:eastAsia="宋体" w:cs="宋体"/>
          <w:b/>
          <w:bCs/>
          <w:sz w:val="18"/>
          <w:szCs w:val="18"/>
        </w:rPr>
      </w:pPr>
      <w:bookmarkStart w:id="313" w:name="_Toc989200"/>
      <w:r>
        <w:rPr>
          <w:rFonts w:ascii="宋体" w:hAnsi="宋体" w:eastAsia="宋体" w:cs="宋体"/>
          <w:b/>
          <w:bCs/>
          <w:sz w:val="18"/>
          <w:szCs w:val="18"/>
        </w:rPr>
        <w:t>（1） 采用成本计量模式的投资性房地产</w:t>
      </w:r>
      <w:bookmarkEnd w:id="313"/>
    </w:p>
    <w:p w14:paraId="7A32BE56">
      <w:pPr>
        <w:spacing w:before="0" w:after="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6ED3359">
      <w:pPr>
        <w:keepNext/>
        <w:keepLines/>
        <w:spacing w:before="300" w:after="300" w:line="280" w:lineRule="exact"/>
        <w:jc w:val="left"/>
        <w:outlineLvl w:val="3"/>
        <w:rPr>
          <w:rFonts w:ascii="宋体" w:hAnsi="宋体" w:eastAsia="宋体" w:cs="宋体"/>
          <w:b/>
          <w:bCs/>
          <w:sz w:val="18"/>
          <w:szCs w:val="18"/>
        </w:rPr>
      </w:pPr>
      <w:bookmarkStart w:id="314" w:name="_Toc989201"/>
      <w:r>
        <w:rPr>
          <w:rFonts w:ascii="宋体" w:hAnsi="宋体" w:eastAsia="宋体" w:cs="宋体"/>
          <w:b/>
          <w:bCs/>
          <w:sz w:val="18"/>
          <w:szCs w:val="18"/>
        </w:rPr>
        <w:t>（2） 采用公允价值计量模式的投资性房地产</w:t>
      </w:r>
      <w:bookmarkEnd w:id="314"/>
    </w:p>
    <w:p w14:paraId="507D4C7C">
      <w:pPr>
        <w:spacing w:before="0" w:after="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F9E0384">
      <w:pPr>
        <w:keepNext/>
        <w:keepLines/>
        <w:spacing w:before="300" w:after="300" w:line="280" w:lineRule="exact"/>
        <w:jc w:val="left"/>
        <w:outlineLvl w:val="3"/>
        <w:rPr>
          <w:rFonts w:ascii="宋体" w:hAnsi="宋体" w:eastAsia="宋体" w:cs="宋体"/>
          <w:b/>
          <w:bCs/>
          <w:sz w:val="18"/>
          <w:szCs w:val="18"/>
        </w:rPr>
      </w:pPr>
      <w:bookmarkStart w:id="315" w:name="_Toc989202"/>
      <w:r>
        <w:rPr>
          <w:rFonts w:ascii="宋体" w:hAnsi="宋体" w:eastAsia="宋体" w:cs="宋体"/>
          <w:b/>
          <w:bCs/>
          <w:sz w:val="18"/>
          <w:szCs w:val="18"/>
        </w:rPr>
        <w:t>（3） 转换为投资性房地产并采用公允价值计量</w:t>
      </w:r>
      <w:bookmarkEnd w:id="315"/>
    </w:p>
    <w:p w14:paraId="20A6883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681CE8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0170D26">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21B528E">
            <w:pPr>
              <w:spacing w:before="40" w:after="40" w:line="240" w:lineRule="exact"/>
              <w:jc w:val="center"/>
              <w:rPr>
                <w:rFonts w:ascii="宋体" w:hAnsi="宋体" w:eastAsia="宋体" w:cs="宋体"/>
                <w:sz w:val="18"/>
                <w:szCs w:val="18"/>
              </w:rPr>
            </w:pPr>
            <w:r>
              <w:rPr>
                <w:rFonts w:ascii="宋体" w:hAnsi="宋体" w:eastAsia="宋体" w:cs="宋体"/>
                <w:sz w:val="18"/>
                <w:szCs w:val="18"/>
              </w:rPr>
              <w:t>转换前核算科目</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09C911D">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8AC96CA">
            <w:pPr>
              <w:spacing w:before="40" w:after="40" w:line="240" w:lineRule="exact"/>
              <w:jc w:val="center"/>
              <w:rPr>
                <w:rFonts w:ascii="宋体" w:hAnsi="宋体" w:eastAsia="宋体" w:cs="宋体"/>
                <w:sz w:val="18"/>
                <w:szCs w:val="18"/>
              </w:rPr>
            </w:pPr>
            <w:r>
              <w:rPr>
                <w:rFonts w:ascii="宋体" w:hAnsi="宋体" w:eastAsia="宋体" w:cs="宋体"/>
                <w:sz w:val="18"/>
                <w:szCs w:val="18"/>
              </w:rPr>
              <w:t>转换理由</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55B4C50">
            <w:pPr>
              <w:spacing w:before="40" w:after="40" w:line="240" w:lineRule="exact"/>
              <w:jc w:val="center"/>
              <w:rPr>
                <w:rFonts w:ascii="宋体" w:hAnsi="宋体" w:eastAsia="宋体" w:cs="宋体"/>
                <w:sz w:val="18"/>
                <w:szCs w:val="18"/>
              </w:rPr>
            </w:pPr>
            <w:r>
              <w:rPr>
                <w:rFonts w:ascii="宋体" w:hAnsi="宋体" w:eastAsia="宋体" w:cs="宋体"/>
                <w:sz w:val="18"/>
                <w:szCs w:val="18"/>
              </w:rPr>
              <w:t>审批程序</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D5FEBC5">
            <w:pPr>
              <w:spacing w:before="40" w:after="40" w:line="240" w:lineRule="exact"/>
              <w:jc w:val="center"/>
              <w:rPr>
                <w:rFonts w:ascii="宋体" w:hAnsi="宋体" w:eastAsia="宋体" w:cs="宋体"/>
                <w:sz w:val="18"/>
                <w:szCs w:val="18"/>
              </w:rPr>
            </w:pPr>
            <w:r>
              <w:rPr>
                <w:rFonts w:ascii="宋体" w:hAnsi="宋体" w:eastAsia="宋体" w:cs="宋体"/>
                <w:sz w:val="18"/>
                <w:szCs w:val="18"/>
              </w:rPr>
              <w:t>对损益的影响</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C2424F4">
            <w:pPr>
              <w:spacing w:before="40" w:after="40" w:line="240" w:lineRule="exact"/>
              <w:jc w:val="center"/>
              <w:rPr>
                <w:rFonts w:ascii="宋体" w:hAnsi="宋体" w:eastAsia="宋体" w:cs="宋体"/>
                <w:sz w:val="18"/>
                <w:szCs w:val="18"/>
              </w:rPr>
            </w:pPr>
            <w:r>
              <w:rPr>
                <w:rFonts w:ascii="宋体" w:hAnsi="宋体" w:eastAsia="宋体" w:cs="宋体"/>
                <w:sz w:val="18"/>
                <w:szCs w:val="18"/>
              </w:rPr>
              <w:t>对其他综合收益的影响</w:t>
            </w:r>
          </w:p>
        </w:tc>
      </w:tr>
    </w:tbl>
    <w:p w14:paraId="230AC1C9">
      <w:pPr>
        <w:keepNext/>
        <w:keepLines/>
        <w:spacing w:before="300" w:after="300" w:line="280" w:lineRule="exact"/>
        <w:jc w:val="left"/>
        <w:outlineLvl w:val="3"/>
        <w:rPr>
          <w:rFonts w:ascii="宋体" w:hAnsi="宋体" w:eastAsia="宋体" w:cs="宋体"/>
          <w:b/>
          <w:bCs/>
          <w:sz w:val="18"/>
          <w:szCs w:val="18"/>
        </w:rPr>
      </w:pPr>
      <w:bookmarkStart w:id="316" w:name="_Toc989203"/>
      <w:r>
        <w:rPr>
          <w:rFonts w:ascii="宋体" w:hAnsi="宋体" w:eastAsia="宋体" w:cs="宋体"/>
          <w:b/>
          <w:bCs/>
          <w:sz w:val="18"/>
          <w:szCs w:val="18"/>
        </w:rPr>
        <w:t>（4） 未办妥产权证书的投资性房地产情况</w:t>
      </w:r>
      <w:bookmarkEnd w:id="316"/>
    </w:p>
    <w:p w14:paraId="567452A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04F35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6B1BFF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EA7C332">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E53B226">
            <w:pPr>
              <w:spacing w:before="40" w:after="40" w:line="240" w:lineRule="exact"/>
              <w:jc w:val="center"/>
              <w:rPr>
                <w:rFonts w:ascii="宋体" w:hAnsi="宋体" w:eastAsia="宋体" w:cs="宋体"/>
                <w:sz w:val="18"/>
                <w:szCs w:val="18"/>
              </w:rPr>
            </w:pPr>
            <w:r>
              <w:rPr>
                <w:rFonts w:ascii="宋体" w:hAnsi="宋体" w:eastAsia="宋体" w:cs="宋体"/>
                <w:sz w:val="18"/>
                <w:szCs w:val="18"/>
              </w:rPr>
              <w:t>未办妥产权证书原因</w:t>
            </w:r>
          </w:p>
        </w:tc>
      </w:tr>
    </w:tbl>
    <w:p w14:paraId="1A0053C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1B0C25E3">
      <w:pPr>
        <w:keepNext/>
        <w:keepLines/>
        <w:spacing w:before="300" w:after="300" w:line="280" w:lineRule="exact"/>
        <w:jc w:val="left"/>
        <w:outlineLvl w:val="2"/>
        <w:rPr>
          <w:rFonts w:ascii="宋体" w:hAnsi="宋体" w:eastAsia="宋体" w:cs="宋体"/>
          <w:b/>
          <w:bCs/>
          <w:sz w:val="21"/>
          <w:szCs w:val="21"/>
        </w:rPr>
      </w:pPr>
      <w:bookmarkStart w:id="317" w:name="_Toc989204"/>
      <w:r>
        <w:rPr>
          <w:rFonts w:ascii="宋体" w:hAnsi="宋体" w:eastAsia="宋体" w:cs="宋体"/>
          <w:b/>
          <w:bCs/>
          <w:sz w:val="21"/>
          <w:szCs w:val="21"/>
        </w:rPr>
        <w:t>21、固定资产</w:t>
      </w:r>
      <w:bookmarkEnd w:id="317"/>
    </w:p>
    <w:p w14:paraId="74CAAFA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7BD25F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6A04070">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3B6615D">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28DF29A">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158858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375A465">
            <w:pPr>
              <w:spacing w:before="40" w:after="40" w:line="240" w:lineRule="exact"/>
              <w:jc w:val="left"/>
              <w:rPr>
                <w:rFonts w:ascii="宋体" w:hAnsi="宋体" w:eastAsia="宋体" w:cs="宋体"/>
                <w:sz w:val="18"/>
                <w:szCs w:val="18"/>
              </w:rPr>
            </w:pPr>
            <w:r>
              <w:rPr>
                <w:rFonts w:ascii="宋体" w:hAnsi="宋体" w:eastAsia="宋体" w:cs="宋体"/>
                <w:sz w:val="18"/>
                <w:szCs w:val="18"/>
              </w:rPr>
              <w:t>固定资产</w:t>
            </w:r>
          </w:p>
        </w:tc>
        <w:tc>
          <w:tcPr>
            <w:tcW w:w="3213" w:type="dxa"/>
            <w:tcBorders>
              <w:top w:val="single" w:color="auto" w:sz="2" w:space="0"/>
              <w:left w:val="single" w:color="auto" w:sz="2" w:space="0"/>
              <w:bottom w:val="single" w:color="auto" w:sz="2" w:space="0"/>
              <w:right w:val="single" w:color="auto" w:sz="2" w:space="0"/>
            </w:tcBorders>
            <w:vAlign w:val="center"/>
          </w:tcPr>
          <w:p w14:paraId="20C28E64">
            <w:pPr>
              <w:spacing w:before="0" w:after="0" w:line="240" w:lineRule="exact"/>
              <w:jc w:val="right"/>
              <w:rPr>
                <w:rFonts w:ascii="宋体" w:hAnsi="宋体" w:eastAsia="宋体" w:cs="宋体"/>
                <w:sz w:val="18"/>
                <w:szCs w:val="18"/>
              </w:rPr>
            </w:pPr>
            <w:r>
              <w:rPr>
                <w:rFonts w:ascii="宋体" w:hAnsi="宋体" w:eastAsia="宋体" w:cs="宋体"/>
                <w:sz w:val="18"/>
                <w:szCs w:val="18"/>
              </w:rPr>
              <w:t>558,261,569.72</w:t>
            </w:r>
          </w:p>
        </w:tc>
        <w:tc>
          <w:tcPr>
            <w:tcW w:w="3213" w:type="dxa"/>
            <w:tcBorders>
              <w:top w:val="single" w:color="auto" w:sz="2" w:space="0"/>
              <w:left w:val="single" w:color="auto" w:sz="2" w:space="0"/>
              <w:bottom w:val="single" w:color="auto" w:sz="2" w:space="0"/>
              <w:right w:val="single" w:color="auto" w:sz="2" w:space="0"/>
            </w:tcBorders>
            <w:vAlign w:val="center"/>
          </w:tcPr>
          <w:p w14:paraId="46B1F6C6">
            <w:pPr>
              <w:spacing w:before="0" w:after="0" w:line="240" w:lineRule="exact"/>
              <w:jc w:val="right"/>
              <w:rPr>
                <w:rFonts w:ascii="宋体" w:hAnsi="宋体" w:eastAsia="宋体" w:cs="宋体"/>
                <w:sz w:val="18"/>
                <w:szCs w:val="18"/>
              </w:rPr>
            </w:pPr>
            <w:r>
              <w:rPr>
                <w:rFonts w:ascii="宋体" w:hAnsi="宋体" w:eastAsia="宋体" w:cs="宋体"/>
                <w:sz w:val="18"/>
                <w:szCs w:val="18"/>
              </w:rPr>
              <w:t>609,134,772.83</w:t>
            </w:r>
          </w:p>
        </w:tc>
      </w:tr>
      <w:tr w14:paraId="280124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158E514">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49B2C884">
            <w:pPr>
              <w:spacing w:before="0" w:after="0" w:line="240" w:lineRule="exact"/>
              <w:jc w:val="right"/>
              <w:rPr>
                <w:rFonts w:ascii="宋体" w:hAnsi="宋体" w:eastAsia="宋体" w:cs="宋体"/>
                <w:sz w:val="18"/>
                <w:szCs w:val="18"/>
              </w:rPr>
            </w:pPr>
            <w:r>
              <w:rPr>
                <w:rFonts w:ascii="宋体" w:hAnsi="宋体" w:eastAsia="宋体" w:cs="宋体"/>
                <w:sz w:val="18"/>
                <w:szCs w:val="18"/>
              </w:rPr>
              <w:t>558,261,569.72</w:t>
            </w:r>
          </w:p>
        </w:tc>
        <w:tc>
          <w:tcPr>
            <w:tcW w:w="3213" w:type="dxa"/>
            <w:tcBorders>
              <w:top w:val="single" w:color="auto" w:sz="2" w:space="0"/>
              <w:left w:val="single" w:color="auto" w:sz="2" w:space="0"/>
              <w:bottom w:val="single" w:color="auto" w:sz="2" w:space="0"/>
              <w:right w:val="single" w:color="auto" w:sz="2" w:space="0"/>
            </w:tcBorders>
            <w:vAlign w:val="center"/>
          </w:tcPr>
          <w:p w14:paraId="6B1FE4B8">
            <w:pPr>
              <w:spacing w:before="0" w:after="0" w:line="240" w:lineRule="exact"/>
              <w:jc w:val="right"/>
              <w:rPr>
                <w:rFonts w:ascii="宋体" w:hAnsi="宋体" w:eastAsia="宋体" w:cs="宋体"/>
                <w:sz w:val="18"/>
                <w:szCs w:val="18"/>
              </w:rPr>
            </w:pPr>
            <w:r>
              <w:rPr>
                <w:rFonts w:ascii="宋体" w:hAnsi="宋体" w:eastAsia="宋体" w:cs="宋体"/>
                <w:sz w:val="18"/>
                <w:szCs w:val="18"/>
              </w:rPr>
              <w:t>609,134,772.83</w:t>
            </w:r>
          </w:p>
        </w:tc>
      </w:tr>
    </w:tbl>
    <w:p w14:paraId="70FB8EAE">
      <w:pPr>
        <w:keepNext/>
        <w:keepLines/>
        <w:spacing w:before="300" w:after="300" w:line="280" w:lineRule="exact"/>
        <w:jc w:val="left"/>
        <w:outlineLvl w:val="3"/>
        <w:rPr>
          <w:rFonts w:ascii="宋体" w:hAnsi="宋体" w:eastAsia="宋体" w:cs="宋体"/>
          <w:b/>
          <w:bCs/>
          <w:sz w:val="21"/>
          <w:szCs w:val="21"/>
        </w:rPr>
      </w:pPr>
      <w:bookmarkStart w:id="318" w:name="_Toc989205"/>
      <w:r>
        <w:rPr>
          <w:rFonts w:ascii="宋体" w:hAnsi="宋体" w:eastAsia="宋体" w:cs="宋体"/>
          <w:b/>
          <w:bCs/>
          <w:sz w:val="21"/>
          <w:szCs w:val="21"/>
        </w:rPr>
        <w:t>（1） 固定资产情况</w:t>
      </w:r>
      <w:bookmarkEnd w:id="318"/>
    </w:p>
    <w:p w14:paraId="7A199E3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063098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6F8354D">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vAlign w:val="center"/>
          </w:tcPr>
          <w:p w14:paraId="6E8401C5">
            <w:pPr>
              <w:spacing w:before="0" w:after="0" w:line="240" w:lineRule="exact"/>
              <w:jc w:val="center"/>
              <w:rPr>
                <w:rFonts w:ascii="宋体" w:hAnsi="宋体" w:eastAsia="宋体" w:cs="宋体"/>
                <w:sz w:val="18"/>
                <w:szCs w:val="18"/>
              </w:rPr>
            </w:pPr>
            <w:r>
              <w:rPr>
                <w:rFonts w:ascii="宋体" w:hAnsi="宋体" w:eastAsia="宋体" w:cs="宋体"/>
                <w:sz w:val="18"/>
                <w:szCs w:val="18"/>
              </w:rPr>
              <w:t>房屋及建筑物</w:t>
            </w:r>
          </w:p>
        </w:tc>
        <w:tc>
          <w:tcPr>
            <w:tcW w:w="1606" w:type="dxa"/>
            <w:tcBorders>
              <w:top w:val="single" w:color="auto" w:sz="2" w:space="0"/>
              <w:left w:val="single" w:color="auto" w:sz="2" w:space="0"/>
              <w:bottom w:val="single" w:color="auto" w:sz="2" w:space="0"/>
              <w:right w:val="single" w:color="auto" w:sz="2" w:space="0"/>
            </w:tcBorders>
            <w:vAlign w:val="center"/>
          </w:tcPr>
          <w:p w14:paraId="5955F5DA">
            <w:pPr>
              <w:spacing w:before="0" w:after="0" w:line="240" w:lineRule="exact"/>
              <w:jc w:val="center"/>
              <w:rPr>
                <w:rFonts w:ascii="宋体" w:hAnsi="宋体" w:eastAsia="宋体" w:cs="宋体"/>
                <w:sz w:val="18"/>
                <w:szCs w:val="18"/>
              </w:rPr>
            </w:pPr>
            <w:r>
              <w:rPr>
                <w:rFonts w:ascii="宋体" w:hAnsi="宋体" w:eastAsia="宋体" w:cs="宋体"/>
                <w:sz w:val="18"/>
                <w:szCs w:val="18"/>
              </w:rPr>
              <w:t>生产设备</w:t>
            </w:r>
          </w:p>
        </w:tc>
        <w:tc>
          <w:tcPr>
            <w:tcW w:w="1606" w:type="dxa"/>
            <w:tcBorders>
              <w:top w:val="single" w:color="auto" w:sz="2" w:space="0"/>
              <w:left w:val="single" w:color="auto" w:sz="2" w:space="0"/>
              <w:bottom w:val="single" w:color="auto" w:sz="2" w:space="0"/>
              <w:right w:val="single" w:color="auto" w:sz="2" w:space="0"/>
            </w:tcBorders>
            <w:vAlign w:val="center"/>
          </w:tcPr>
          <w:p w14:paraId="4EBA3513">
            <w:pPr>
              <w:spacing w:before="0" w:after="0" w:line="240" w:lineRule="exact"/>
              <w:jc w:val="center"/>
              <w:rPr>
                <w:rFonts w:ascii="宋体" w:hAnsi="宋体" w:eastAsia="宋体" w:cs="宋体"/>
                <w:sz w:val="18"/>
                <w:szCs w:val="18"/>
              </w:rPr>
            </w:pPr>
            <w:r>
              <w:rPr>
                <w:rFonts w:ascii="宋体" w:hAnsi="宋体" w:eastAsia="宋体" w:cs="宋体"/>
                <w:sz w:val="18"/>
                <w:szCs w:val="18"/>
              </w:rPr>
              <w:t>运输设备</w:t>
            </w:r>
          </w:p>
        </w:tc>
        <w:tc>
          <w:tcPr>
            <w:tcW w:w="1606" w:type="dxa"/>
            <w:tcBorders>
              <w:top w:val="single" w:color="auto" w:sz="2" w:space="0"/>
              <w:left w:val="single" w:color="auto" w:sz="2" w:space="0"/>
              <w:bottom w:val="single" w:color="auto" w:sz="2" w:space="0"/>
              <w:right w:val="single" w:color="auto" w:sz="2" w:space="0"/>
            </w:tcBorders>
            <w:vAlign w:val="center"/>
          </w:tcPr>
          <w:p w14:paraId="40C68B9E">
            <w:pPr>
              <w:spacing w:before="0" w:after="0" w:line="240" w:lineRule="exact"/>
              <w:jc w:val="center"/>
              <w:rPr>
                <w:rFonts w:ascii="宋体" w:hAnsi="宋体" w:eastAsia="宋体" w:cs="宋体"/>
                <w:sz w:val="18"/>
                <w:szCs w:val="18"/>
              </w:rPr>
            </w:pPr>
            <w:r>
              <w:rPr>
                <w:rFonts w:ascii="宋体" w:hAnsi="宋体" w:eastAsia="宋体" w:cs="宋体"/>
                <w:sz w:val="18"/>
                <w:szCs w:val="18"/>
              </w:rPr>
              <w:t>办公工具</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D1537FD">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726BCE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2A2D950">
            <w:pPr>
              <w:spacing w:before="40" w:after="40" w:line="240" w:lineRule="exact"/>
              <w:jc w:val="left"/>
              <w:rPr>
                <w:rFonts w:ascii="宋体" w:hAnsi="宋体" w:eastAsia="宋体" w:cs="宋体"/>
                <w:sz w:val="18"/>
                <w:szCs w:val="18"/>
              </w:rPr>
            </w:pPr>
            <w:r>
              <w:rPr>
                <w:rFonts w:ascii="宋体" w:hAnsi="宋体" w:eastAsia="宋体" w:cs="宋体"/>
                <w:sz w:val="18"/>
                <w:szCs w:val="18"/>
              </w:rPr>
              <w:t>一、账面原值：</w:t>
            </w:r>
          </w:p>
        </w:tc>
        <w:tc>
          <w:tcPr>
            <w:tcW w:w="1606" w:type="dxa"/>
            <w:tcBorders>
              <w:top w:val="single" w:color="auto" w:sz="2" w:space="0"/>
              <w:left w:val="single" w:color="auto" w:sz="2" w:space="0"/>
              <w:bottom w:val="single" w:color="auto" w:sz="2" w:space="0"/>
              <w:right w:val="single" w:color="auto" w:sz="2" w:space="0"/>
            </w:tcBorders>
            <w:vAlign w:val="center"/>
          </w:tcPr>
          <w:p w14:paraId="6D490E3E">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73A01201">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0623B5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B285F1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53DA497">
            <w:pPr>
              <w:spacing w:before="0" w:after="0" w:line="240" w:lineRule="exact"/>
              <w:jc w:val="right"/>
              <w:rPr>
                <w:rFonts w:ascii="宋体" w:hAnsi="宋体" w:eastAsia="宋体" w:cs="宋体"/>
                <w:sz w:val="18"/>
                <w:szCs w:val="18"/>
              </w:rPr>
            </w:pPr>
          </w:p>
        </w:tc>
      </w:tr>
      <w:tr w14:paraId="26EECF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991B68F">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1.期初余额</w:t>
            </w:r>
          </w:p>
        </w:tc>
        <w:tc>
          <w:tcPr>
            <w:tcW w:w="1606" w:type="dxa"/>
            <w:tcBorders>
              <w:top w:val="single" w:color="auto" w:sz="2" w:space="0"/>
              <w:left w:val="single" w:color="auto" w:sz="2" w:space="0"/>
              <w:bottom w:val="single" w:color="auto" w:sz="2" w:space="0"/>
              <w:right w:val="single" w:color="auto" w:sz="2" w:space="0"/>
            </w:tcBorders>
            <w:vAlign w:val="center"/>
          </w:tcPr>
          <w:p w14:paraId="06F22886">
            <w:pPr>
              <w:spacing w:before="0" w:after="0" w:line="240" w:lineRule="exact"/>
              <w:jc w:val="right"/>
              <w:rPr>
                <w:rFonts w:ascii="宋体" w:hAnsi="宋体" w:eastAsia="宋体" w:cs="宋体"/>
                <w:sz w:val="18"/>
                <w:szCs w:val="18"/>
              </w:rPr>
            </w:pPr>
            <w:r>
              <w:rPr>
                <w:rFonts w:ascii="宋体" w:hAnsi="宋体" w:eastAsia="宋体" w:cs="宋体"/>
                <w:sz w:val="18"/>
                <w:szCs w:val="18"/>
              </w:rPr>
              <w:t>565,019,092.36</w:t>
            </w:r>
          </w:p>
        </w:tc>
        <w:tc>
          <w:tcPr>
            <w:tcW w:w="1606" w:type="dxa"/>
            <w:tcBorders>
              <w:top w:val="single" w:color="auto" w:sz="2" w:space="0"/>
              <w:left w:val="single" w:color="auto" w:sz="2" w:space="0"/>
              <w:bottom w:val="single" w:color="auto" w:sz="2" w:space="0"/>
              <w:right w:val="single" w:color="auto" w:sz="2" w:space="0"/>
            </w:tcBorders>
            <w:vAlign w:val="center"/>
          </w:tcPr>
          <w:p w14:paraId="6E335D6D">
            <w:pPr>
              <w:spacing w:before="0" w:after="0" w:line="240" w:lineRule="exact"/>
              <w:jc w:val="right"/>
              <w:rPr>
                <w:rFonts w:ascii="宋体" w:hAnsi="宋体" w:eastAsia="宋体" w:cs="宋体"/>
                <w:sz w:val="18"/>
                <w:szCs w:val="18"/>
              </w:rPr>
            </w:pPr>
            <w:r>
              <w:rPr>
                <w:rFonts w:ascii="宋体" w:hAnsi="宋体" w:eastAsia="宋体" w:cs="宋体"/>
                <w:sz w:val="18"/>
                <w:szCs w:val="18"/>
              </w:rPr>
              <w:t>239,757,124.63</w:t>
            </w:r>
          </w:p>
        </w:tc>
        <w:tc>
          <w:tcPr>
            <w:tcW w:w="1606" w:type="dxa"/>
            <w:tcBorders>
              <w:top w:val="single" w:color="auto" w:sz="2" w:space="0"/>
              <w:left w:val="single" w:color="auto" w:sz="2" w:space="0"/>
              <w:bottom w:val="single" w:color="auto" w:sz="2" w:space="0"/>
              <w:right w:val="single" w:color="auto" w:sz="2" w:space="0"/>
            </w:tcBorders>
            <w:vAlign w:val="center"/>
          </w:tcPr>
          <w:p w14:paraId="34737AA0">
            <w:pPr>
              <w:spacing w:before="0" w:after="0" w:line="240" w:lineRule="exact"/>
              <w:jc w:val="right"/>
              <w:rPr>
                <w:rFonts w:ascii="宋体" w:hAnsi="宋体" w:eastAsia="宋体" w:cs="宋体"/>
                <w:sz w:val="18"/>
                <w:szCs w:val="18"/>
              </w:rPr>
            </w:pPr>
            <w:r>
              <w:rPr>
                <w:rFonts w:ascii="宋体" w:hAnsi="宋体" w:eastAsia="宋体" w:cs="宋体"/>
                <w:sz w:val="18"/>
                <w:szCs w:val="18"/>
              </w:rPr>
              <w:t>7,373,860.50</w:t>
            </w:r>
          </w:p>
        </w:tc>
        <w:tc>
          <w:tcPr>
            <w:tcW w:w="1606" w:type="dxa"/>
            <w:tcBorders>
              <w:top w:val="single" w:color="auto" w:sz="2" w:space="0"/>
              <w:left w:val="single" w:color="auto" w:sz="2" w:space="0"/>
              <w:bottom w:val="single" w:color="auto" w:sz="2" w:space="0"/>
              <w:right w:val="single" w:color="auto" w:sz="2" w:space="0"/>
            </w:tcBorders>
            <w:vAlign w:val="center"/>
          </w:tcPr>
          <w:p w14:paraId="6F47B0EE">
            <w:pPr>
              <w:spacing w:before="0" w:after="0" w:line="240" w:lineRule="exact"/>
              <w:jc w:val="right"/>
              <w:rPr>
                <w:rFonts w:ascii="宋体" w:hAnsi="宋体" w:eastAsia="宋体" w:cs="宋体"/>
                <w:sz w:val="18"/>
                <w:szCs w:val="18"/>
              </w:rPr>
            </w:pPr>
            <w:r>
              <w:rPr>
                <w:rFonts w:ascii="宋体" w:hAnsi="宋体" w:eastAsia="宋体" w:cs="宋体"/>
                <w:sz w:val="18"/>
                <w:szCs w:val="18"/>
              </w:rPr>
              <w:t>21,649,476.04</w:t>
            </w:r>
          </w:p>
        </w:tc>
        <w:tc>
          <w:tcPr>
            <w:tcW w:w="1606" w:type="dxa"/>
            <w:tcBorders>
              <w:top w:val="single" w:color="auto" w:sz="2" w:space="0"/>
              <w:left w:val="single" w:color="auto" w:sz="2" w:space="0"/>
              <w:bottom w:val="single" w:color="auto" w:sz="2" w:space="0"/>
              <w:right w:val="single" w:color="auto" w:sz="2" w:space="0"/>
            </w:tcBorders>
            <w:vAlign w:val="center"/>
          </w:tcPr>
          <w:p w14:paraId="56C42A52">
            <w:pPr>
              <w:spacing w:before="0" w:after="0" w:line="240" w:lineRule="exact"/>
              <w:jc w:val="right"/>
              <w:rPr>
                <w:rFonts w:ascii="宋体" w:hAnsi="宋体" w:eastAsia="宋体" w:cs="宋体"/>
                <w:sz w:val="18"/>
                <w:szCs w:val="18"/>
              </w:rPr>
            </w:pPr>
            <w:r>
              <w:rPr>
                <w:rFonts w:ascii="宋体" w:hAnsi="宋体" w:eastAsia="宋体" w:cs="宋体"/>
                <w:sz w:val="18"/>
                <w:szCs w:val="18"/>
              </w:rPr>
              <w:t>833,799,553.53</w:t>
            </w:r>
          </w:p>
        </w:tc>
      </w:tr>
      <w:tr w14:paraId="6A945D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25E997D">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2.本期增加金额</w:t>
            </w:r>
          </w:p>
        </w:tc>
        <w:tc>
          <w:tcPr>
            <w:tcW w:w="1606" w:type="dxa"/>
            <w:tcBorders>
              <w:top w:val="single" w:color="auto" w:sz="2" w:space="0"/>
              <w:left w:val="single" w:color="auto" w:sz="2" w:space="0"/>
              <w:bottom w:val="single" w:color="auto" w:sz="2" w:space="0"/>
              <w:right w:val="single" w:color="auto" w:sz="2" w:space="0"/>
            </w:tcBorders>
            <w:vAlign w:val="center"/>
          </w:tcPr>
          <w:p w14:paraId="4CBB106F">
            <w:pPr>
              <w:spacing w:before="0" w:after="0" w:line="240" w:lineRule="exact"/>
              <w:jc w:val="right"/>
              <w:rPr>
                <w:rFonts w:ascii="宋体" w:hAnsi="宋体" w:eastAsia="宋体" w:cs="宋体"/>
                <w:sz w:val="18"/>
                <w:szCs w:val="18"/>
              </w:rPr>
            </w:pPr>
            <w:r>
              <w:rPr>
                <w:rFonts w:ascii="宋体" w:hAnsi="宋体" w:eastAsia="宋体" w:cs="宋体"/>
                <w:sz w:val="18"/>
                <w:szCs w:val="18"/>
              </w:rPr>
              <w:t>934,042.80</w:t>
            </w:r>
          </w:p>
        </w:tc>
        <w:tc>
          <w:tcPr>
            <w:tcW w:w="1606" w:type="dxa"/>
            <w:tcBorders>
              <w:top w:val="single" w:color="auto" w:sz="2" w:space="0"/>
              <w:left w:val="single" w:color="auto" w:sz="2" w:space="0"/>
              <w:bottom w:val="single" w:color="auto" w:sz="2" w:space="0"/>
              <w:right w:val="single" w:color="auto" w:sz="2" w:space="0"/>
            </w:tcBorders>
            <w:vAlign w:val="center"/>
          </w:tcPr>
          <w:p w14:paraId="6C252FF9">
            <w:pPr>
              <w:spacing w:before="0" w:after="0" w:line="240" w:lineRule="exact"/>
              <w:jc w:val="right"/>
              <w:rPr>
                <w:rFonts w:ascii="宋体" w:hAnsi="宋体" w:eastAsia="宋体" w:cs="宋体"/>
                <w:sz w:val="18"/>
                <w:szCs w:val="18"/>
              </w:rPr>
            </w:pPr>
            <w:r>
              <w:rPr>
                <w:rFonts w:ascii="宋体" w:hAnsi="宋体" w:eastAsia="宋体" w:cs="宋体"/>
                <w:sz w:val="18"/>
                <w:szCs w:val="18"/>
              </w:rPr>
              <w:t>7,256,027.20</w:t>
            </w:r>
          </w:p>
        </w:tc>
        <w:tc>
          <w:tcPr>
            <w:tcW w:w="1606" w:type="dxa"/>
            <w:tcBorders>
              <w:top w:val="single" w:color="auto" w:sz="2" w:space="0"/>
              <w:left w:val="single" w:color="auto" w:sz="2" w:space="0"/>
              <w:bottom w:val="single" w:color="auto" w:sz="2" w:space="0"/>
              <w:right w:val="single" w:color="auto" w:sz="2" w:space="0"/>
            </w:tcBorders>
            <w:vAlign w:val="center"/>
          </w:tcPr>
          <w:p w14:paraId="13DE598B">
            <w:pPr>
              <w:spacing w:before="0" w:after="0" w:line="240" w:lineRule="exact"/>
              <w:jc w:val="right"/>
              <w:rPr>
                <w:rFonts w:ascii="宋体" w:hAnsi="宋体" w:eastAsia="宋体" w:cs="宋体"/>
                <w:sz w:val="18"/>
                <w:szCs w:val="18"/>
              </w:rPr>
            </w:pPr>
            <w:r>
              <w:rPr>
                <w:rFonts w:ascii="宋体" w:hAnsi="宋体" w:eastAsia="宋体" w:cs="宋体"/>
                <w:sz w:val="18"/>
                <w:szCs w:val="18"/>
              </w:rPr>
              <w:t>342,290.27</w:t>
            </w:r>
          </w:p>
        </w:tc>
        <w:tc>
          <w:tcPr>
            <w:tcW w:w="1606" w:type="dxa"/>
            <w:tcBorders>
              <w:top w:val="single" w:color="auto" w:sz="2" w:space="0"/>
              <w:left w:val="single" w:color="auto" w:sz="2" w:space="0"/>
              <w:bottom w:val="single" w:color="auto" w:sz="2" w:space="0"/>
              <w:right w:val="single" w:color="auto" w:sz="2" w:space="0"/>
            </w:tcBorders>
            <w:vAlign w:val="center"/>
          </w:tcPr>
          <w:p w14:paraId="6310E9E8">
            <w:pPr>
              <w:spacing w:before="0" w:after="0" w:line="240" w:lineRule="exact"/>
              <w:jc w:val="right"/>
              <w:rPr>
                <w:rFonts w:ascii="宋体" w:hAnsi="宋体" w:eastAsia="宋体" w:cs="宋体"/>
                <w:sz w:val="18"/>
                <w:szCs w:val="18"/>
              </w:rPr>
            </w:pPr>
            <w:r>
              <w:rPr>
                <w:rFonts w:ascii="宋体" w:hAnsi="宋体" w:eastAsia="宋体" w:cs="宋体"/>
                <w:sz w:val="18"/>
                <w:szCs w:val="18"/>
              </w:rPr>
              <w:t>415,445.50</w:t>
            </w:r>
          </w:p>
        </w:tc>
        <w:tc>
          <w:tcPr>
            <w:tcW w:w="1606" w:type="dxa"/>
            <w:tcBorders>
              <w:top w:val="single" w:color="auto" w:sz="2" w:space="0"/>
              <w:left w:val="single" w:color="auto" w:sz="2" w:space="0"/>
              <w:bottom w:val="single" w:color="auto" w:sz="2" w:space="0"/>
              <w:right w:val="single" w:color="auto" w:sz="2" w:space="0"/>
            </w:tcBorders>
            <w:vAlign w:val="center"/>
          </w:tcPr>
          <w:p w14:paraId="595EF5BB">
            <w:pPr>
              <w:spacing w:before="0" w:after="0" w:line="240" w:lineRule="exact"/>
              <w:jc w:val="right"/>
              <w:rPr>
                <w:rFonts w:ascii="宋体" w:hAnsi="宋体" w:eastAsia="宋体" w:cs="宋体"/>
                <w:sz w:val="18"/>
                <w:szCs w:val="18"/>
              </w:rPr>
            </w:pPr>
            <w:r>
              <w:rPr>
                <w:rFonts w:ascii="宋体" w:hAnsi="宋体" w:eastAsia="宋体" w:cs="宋体"/>
                <w:sz w:val="18"/>
                <w:szCs w:val="18"/>
              </w:rPr>
              <w:t>8,947,805.77</w:t>
            </w:r>
          </w:p>
        </w:tc>
      </w:tr>
      <w:tr w14:paraId="5BDD14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9F332E3">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（1）购置</w:t>
            </w:r>
          </w:p>
        </w:tc>
        <w:tc>
          <w:tcPr>
            <w:tcW w:w="1606" w:type="dxa"/>
            <w:tcBorders>
              <w:top w:val="single" w:color="auto" w:sz="2" w:space="0"/>
              <w:left w:val="single" w:color="auto" w:sz="2" w:space="0"/>
              <w:bottom w:val="single" w:color="auto" w:sz="2" w:space="0"/>
              <w:right w:val="single" w:color="auto" w:sz="2" w:space="0"/>
            </w:tcBorders>
            <w:vAlign w:val="center"/>
          </w:tcPr>
          <w:p w14:paraId="75047553">
            <w:pPr>
              <w:spacing w:before="0" w:after="0" w:line="240" w:lineRule="exact"/>
              <w:jc w:val="right"/>
              <w:rPr>
                <w:rFonts w:ascii="宋体" w:hAnsi="宋体" w:eastAsia="宋体" w:cs="宋体"/>
                <w:sz w:val="18"/>
                <w:szCs w:val="18"/>
              </w:rPr>
            </w:pPr>
            <w:r>
              <w:rPr>
                <w:rFonts w:ascii="宋体" w:hAnsi="宋体" w:eastAsia="宋体" w:cs="宋体"/>
                <w:sz w:val="18"/>
                <w:szCs w:val="18"/>
              </w:rPr>
              <w:t>144,233.02</w:t>
            </w:r>
          </w:p>
        </w:tc>
        <w:tc>
          <w:tcPr>
            <w:tcW w:w="1606" w:type="dxa"/>
            <w:tcBorders>
              <w:top w:val="single" w:color="auto" w:sz="2" w:space="0"/>
              <w:left w:val="single" w:color="auto" w:sz="2" w:space="0"/>
              <w:bottom w:val="single" w:color="auto" w:sz="2" w:space="0"/>
              <w:right w:val="single" w:color="auto" w:sz="2" w:space="0"/>
            </w:tcBorders>
            <w:vAlign w:val="center"/>
          </w:tcPr>
          <w:p w14:paraId="2AF4283C">
            <w:pPr>
              <w:spacing w:before="0" w:after="0" w:line="240" w:lineRule="exact"/>
              <w:jc w:val="right"/>
              <w:rPr>
                <w:rFonts w:ascii="宋体" w:hAnsi="宋体" w:eastAsia="宋体" w:cs="宋体"/>
                <w:sz w:val="18"/>
                <w:szCs w:val="18"/>
              </w:rPr>
            </w:pPr>
            <w:r>
              <w:rPr>
                <w:rFonts w:ascii="宋体" w:hAnsi="宋体" w:eastAsia="宋体" w:cs="宋体"/>
                <w:sz w:val="18"/>
                <w:szCs w:val="18"/>
              </w:rPr>
              <w:t>3,207,085.30</w:t>
            </w:r>
          </w:p>
        </w:tc>
        <w:tc>
          <w:tcPr>
            <w:tcW w:w="1606" w:type="dxa"/>
            <w:tcBorders>
              <w:top w:val="single" w:color="auto" w:sz="2" w:space="0"/>
              <w:left w:val="single" w:color="auto" w:sz="2" w:space="0"/>
              <w:bottom w:val="single" w:color="auto" w:sz="2" w:space="0"/>
              <w:right w:val="single" w:color="auto" w:sz="2" w:space="0"/>
            </w:tcBorders>
            <w:vAlign w:val="center"/>
          </w:tcPr>
          <w:p w14:paraId="6A38D6DA">
            <w:pPr>
              <w:spacing w:before="0" w:after="0" w:line="240" w:lineRule="exact"/>
              <w:jc w:val="right"/>
              <w:rPr>
                <w:rFonts w:ascii="宋体" w:hAnsi="宋体" w:eastAsia="宋体" w:cs="宋体"/>
                <w:sz w:val="18"/>
                <w:szCs w:val="18"/>
              </w:rPr>
            </w:pPr>
            <w:r>
              <w:rPr>
                <w:rFonts w:ascii="宋体" w:hAnsi="宋体" w:eastAsia="宋体" w:cs="宋体"/>
                <w:sz w:val="18"/>
                <w:szCs w:val="18"/>
              </w:rPr>
              <w:t>342,290.27</w:t>
            </w:r>
          </w:p>
        </w:tc>
        <w:tc>
          <w:tcPr>
            <w:tcW w:w="1606" w:type="dxa"/>
            <w:tcBorders>
              <w:top w:val="single" w:color="auto" w:sz="2" w:space="0"/>
              <w:left w:val="single" w:color="auto" w:sz="2" w:space="0"/>
              <w:bottom w:val="single" w:color="auto" w:sz="2" w:space="0"/>
              <w:right w:val="single" w:color="auto" w:sz="2" w:space="0"/>
            </w:tcBorders>
            <w:vAlign w:val="center"/>
          </w:tcPr>
          <w:p w14:paraId="2276EDF1">
            <w:pPr>
              <w:spacing w:before="0" w:after="0" w:line="240" w:lineRule="exact"/>
              <w:jc w:val="right"/>
              <w:rPr>
                <w:rFonts w:ascii="宋体" w:hAnsi="宋体" w:eastAsia="宋体" w:cs="宋体"/>
                <w:sz w:val="18"/>
                <w:szCs w:val="18"/>
              </w:rPr>
            </w:pPr>
            <w:r>
              <w:rPr>
                <w:rFonts w:ascii="宋体" w:hAnsi="宋体" w:eastAsia="宋体" w:cs="宋体"/>
                <w:sz w:val="18"/>
                <w:szCs w:val="18"/>
              </w:rPr>
              <w:t>415,445.50</w:t>
            </w:r>
          </w:p>
        </w:tc>
        <w:tc>
          <w:tcPr>
            <w:tcW w:w="1606" w:type="dxa"/>
            <w:tcBorders>
              <w:top w:val="single" w:color="auto" w:sz="2" w:space="0"/>
              <w:left w:val="single" w:color="auto" w:sz="2" w:space="0"/>
              <w:bottom w:val="single" w:color="auto" w:sz="2" w:space="0"/>
              <w:right w:val="single" w:color="auto" w:sz="2" w:space="0"/>
            </w:tcBorders>
            <w:vAlign w:val="center"/>
          </w:tcPr>
          <w:p w14:paraId="72CDC2F2">
            <w:pPr>
              <w:spacing w:before="0" w:after="0" w:line="240" w:lineRule="exact"/>
              <w:jc w:val="right"/>
              <w:rPr>
                <w:rFonts w:ascii="宋体" w:hAnsi="宋体" w:eastAsia="宋体" w:cs="宋体"/>
                <w:sz w:val="18"/>
                <w:szCs w:val="18"/>
              </w:rPr>
            </w:pPr>
            <w:r>
              <w:rPr>
                <w:rFonts w:ascii="宋体" w:hAnsi="宋体" w:eastAsia="宋体" w:cs="宋体"/>
                <w:sz w:val="18"/>
                <w:szCs w:val="18"/>
              </w:rPr>
              <w:t>4,109,054.09</w:t>
            </w:r>
          </w:p>
        </w:tc>
      </w:tr>
      <w:tr w14:paraId="6F6DD3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FC76E42">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（2）在建工程转入</w:t>
            </w:r>
          </w:p>
        </w:tc>
        <w:tc>
          <w:tcPr>
            <w:tcW w:w="1606" w:type="dxa"/>
            <w:tcBorders>
              <w:top w:val="single" w:color="auto" w:sz="2" w:space="0"/>
              <w:left w:val="single" w:color="auto" w:sz="2" w:space="0"/>
              <w:bottom w:val="single" w:color="auto" w:sz="2" w:space="0"/>
              <w:right w:val="single" w:color="auto" w:sz="2" w:space="0"/>
            </w:tcBorders>
            <w:vAlign w:val="center"/>
          </w:tcPr>
          <w:p w14:paraId="2FC20269">
            <w:pPr>
              <w:spacing w:before="0" w:after="0" w:line="240" w:lineRule="exact"/>
              <w:jc w:val="right"/>
              <w:rPr>
                <w:rFonts w:ascii="宋体" w:hAnsi="宋体" w:eastAsia="宋体" w:cs="宋体"/>
                <w:sz w:val="18"/>
                <w:szCs w:val="18"/>
              </w:rPr>
            </w:pPr>
            <w:r>
              <w:rPr>
                <w:rFonts w:ascii="宋体" w:hAnsi="宋体" w:eastAsia="宋体" w:cs="宋体"/>
                <w:sz w:val="18"/>
                <w:szCs w:val="18"/>
              </w:rPr>
              <w:t>789,809.78</w:t>
            </w:r>
          </w:p>
        </w:tc>
        <w:tc>
          <w:tcPr>
            <w:tcW w:w="1606" w:type="dxa"/>
            <w:tcBorders>
              <w:top w:val="single" w:color="auto" w:sz="2" w:space="0"/>
              <w:left w:val="single" w:color="auto" w:sz="2" w:space="0"/>
              <w:bottom w:val="single" w:color="auto" w:sz="2" w:space="0"/>
              <w:right w:val="single" w:color="auto" w:sz="2" w:space="0"/>
            </w:tcBorders>
            <w:vAlign w:val="center"/>
          </w:tcPr>
          <w:p w14:paraId="47B526A4">
            <w:pPr>
              <w:spacing w:before="0" w:after="0" w:line="240" w:lineRule="exact"/>
              <w:jc w:val="right"/>
              <w:rPr>
                <w:rFonts w:ascii="宋体" w:hAnsi="宋体" w:eastAsia="宋体" w:cs="宋体"/>
                <w:sz w:val="18"/>
                <w:szCs w:val="18"/>
              </w:rPr>
            </w:pPr>
            <w:r>
              <w:rPr>
                <w:rFonts w:ascii="宋体" w:hAnsi="宋体" w:eastAsia="宋体" w:cs="宋体"/>
                <w:sz w:val="18"/>
                <w:szCs w:val="18"/>
              </w:rPr>
              <w:t>4,048,941.90</w:t>
            </w:r>
          </w:p>
        </w:tc>
        <w:tc>
          <w:tcPr>
            <w:tcW w:w="1606" w:type="dxa"/>
            <w:tcBorders>
              <w:top w:val="single" w:color="auto" w:sz="2" w:space="0"/>
              <w:left w:val="single" w:color="auto" w:sz="2" w:space="0"/>
              <w:bottom w:val="single" w:color="auto" w:sz="2" w:space="0"/>
              <w:right w:val="single" w:color="auto" w:sz="2" w:space="0"/>
            </w:tcBorders>
            <w:vAlign w:val="center"/>
          </w:tcPr>
          <w:p w14:paraId="609074A5">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521229B">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957C93D">
            <w:pPr>
              <w:spacing w:before="0" w:after="0" w:line="240" w:lineRule="exact"/>
              <w:jc w:val="right"/>
              <w:rPr>
                <w:rFonts w:ascii="宋体" w:hAnsi="宋体" w:eastAsia="宋体" w:cs="宋体"/>
                <w:sz w:val="18"/>
                <w:szCs w:val="18"/>
              </w:rPr>
            </w:pPr>
            <w:r>
              <w:rPr>
                <w:rFonts w:ascii="宋体" w:hAnsi="宋体" w:eastAsia="宋体" w:cs="宋体"/>
                <w:sz w:val="18"/>
                <w:szCs w:val="18"/>
              </w:rPr>
              <w:t>4,838,751.68</w:t>
            </w:r>
          </w:p>
        </w:tc>
      </w:tr>
      <w:tr w14:paraId="5FE862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D956843">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（3）企业合并增加</w:t>
            </w:r>
          </w:p>
        </w:tc>
        <w:tc>
          <w:tcPr>
            <w:tcW w:w="1606" w:type="dxa"/>
            <w:tcBorders>
              <w:top w:val="single" w:color="auto" w:sz="2" w:space="0"/>
              <w:left w:val="single" w:color="auto" w:sz="2" w:space="0"/>
              <w:bottom w:val="single" w:color="auto" w:sz="2" w:space="0"/>
              <w:right w:val="single" w:color="auto" w:sz="2" w:space="0"/>
            </w:tcBorders>
            <w:vAlign w:val="center"/>
          </w:tcPr>
          <w:p w14:paraId="30B1A4C2">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08A636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88859CF">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27638B0">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2EA7661C">
            <w:pPr>
              <w:spacing w:before="0" w:after="0" w:line="240" w:lineRule="exact"/>
              <w:jc w:val="right"/>
              <w:rPr>
                <w:rFonts w:ascii="宋体" w:hAnsi="宋体" w:eastAsia="宋体" w:cs="宋体"/>
                <w:sz w:val="18"/>
                <w:szCs w:val="18"/>
              </w:rPr>
            </w:pPr>
          </w:p>
        </w:tc>
      </w:tr>
      <w:tr w14:paraId="0F480D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6EFFB77F">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27E68EE">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1DE2ED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C101237">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A0B58E1">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71593892">
            <w:pPr>
              <w:spacing w:before="0" w:after="0" w:line="240" w:lineRule="exact"/>
              <w:jc w:val="right"/>
              <w:rPr>
                <w:rFonts w:ascii="宋体" w:hAnsi="宋体" w:eastAsia="宋体" w:cs="宋体"/>
                <w:sz w:val="18"/>
                <w:szCs w:val="18"/>
              </w:rPr>
            </w:pPr>
          </w:p>
        </w:tc>
      </w:tr>
      <w:tr w14:paraId="1972C5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0620EAE">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3.本期减少金额</w:t>
            </w:r>
          </w:p>
        </w:tc>
        <w:tc>
          <w:tcPr>
            <w:tcW w:w="1606" w:type="dxa"/>
            <w:tcBorders>
              <w:top w:val="single" w:color="auto" w:sz="2" w:space="0"/>
              <w:left w:val="single" w:color="auto" w:sz="2" w:space="0"/>
              <w:bottom w:val="single" w:color="auto" w:sz="2" w:space="0"/>
              <w:right w:val="single" w:color="auto" w:sz="2" w:space="0"/>
            </w:tcBorders>
            <w:vAlign w:val="center"/>
          </w:tcPr>
          <w:p w14:paraId="7FA79632">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079DF1D">
            <w:pPr>
              <w:spacing w:before="0" w:after="0" w:line="240" w:lineRule="exact"/>
              <w:jc w:val="right"/>
              <w:rPr>
                <w:rFonts w:ascii="宋体" w:hAnsi="宋体" w:eastAsia="宋体" w:cs="宋体"/>
                <w:sz w:val="18"/>
                <w:szCs w:val="18"/>
              </w:rPr>
            </w:pPr>
            <w:r>
              <w:rPr>
                <w:rFonts w:ascii="宋体" w:hAnsi="宋体" w:eastAsia="宋体" w:cs="宋体"/>
                <w:sz w:val="18"/>
                <w:szCs w:val="18"/>
              </w:rPr>
              <w:t>4,933,461.22</w:t>
            </w:r>
          </w:p>
        </w:tc>
        <w:tc>
          <w:tcPr>
            <w:tcW w:w="1606" w:type="dxa"/>
            <w:tcBorders>
              <w:top w:val="single" w:color="auto" w:sz="2" w:space="0"/>
              <w:left w:val="single" w:color="auto" w:sz="2" w:space="0"/>
              <w:bottom w:val="single" w:color="auto" w:sz="2" w:space="0"/>
              <w:right w:val="single" w:color="auto" w:sz="2" w:space="0"/>
            </w:tcBorders>
            <w:vAlign w:val="center"/>
          </w:tcPr>
          <w:p w14:paraId="0B007C1E">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D0BD83F">
            <w:pPr>
              <w:spacing w:before="0" w:after="0" w:line="240" w:lineRule="exact"/>
              <w:jc w:val="right"/>
              <w:rPr>
                <w:rFonts w:ascii="宋体" w:hAnsi="宋体" w:eastAsia="宋体" w:cs="宋体"/>
                <w:sz w:val="18"/>
                <w:szCs w:val="18"/>
              </w:rPr>
            </w:pPr>
            <w:r>
              <w:rPr>
                <w:rFonts w:ascii="宋体" w:hAnsi="宋体" w:eastAsia="宋体" w:cs="宋体"/>
                <w:sz w:val="18"/>
                <w:szCs w:val="18"/>
              </w:rPr>
              <w:t>307,658.39</w:t>
            </w:r>
          </w:p>
        </w:tc>
        <w:tc>
          <w:tcPr>
            <w:tcW w:w="1606" w:type="dxa"/>
            <w:tcBorders>
              <w:top w:val="single" w:color="auto" w:sz="2" w:space="0"/>
              <w:left w:val="single" w:color="auto" w:sz="2" w:space="0"/>
              <w:bottom w:val="single" w:color="auto" w:sz="2" w:space="0"/>
              <w:right w:val="single" w:color="auto" w:sz="2" w:space="0"/>
            </w:tcBorders>
            <w:vAlign w:val="center"/>
          </w:tcPr>
          <w:p w14:paraId="273633D8">
            <w:pPr>
              <w:spacing w:before="0" w:after="0" w:line="240" w:lineRule="exact"/>
              <w:jc w:val="right"/>
              <w:rPr>
                <w:rFonts w:ascii="宋体" w:hAnsi="宋体" w:eastAsia="宋体" w:cs="宋体"/>
                <w:sz w:val="18"/>
                <w:szCs w:val="18"/>
              </w:rPr>
            </w:pPr>
            <w:r>
              <w:rPr>
                <w:rFonts w:ascii="宋体" w:hAnsi="宋体" w:eastAsia="宋体" w:cs="宋体"/>
                <w:sz w:val="18"/>
                <w:szCs w:val="18"/>
              </w:rPr>
              <w:t>5,241,119.61</w:t>
            </w:r>
          </w:p>
        </w:tc>
      </w:tr>
      <w:tr w14:paraId="0623A6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6F6568F">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（1）处置或报废</w:t>
            </w:r>
          </w:p>
        </w:tc>
        <w:tc>
          <w:tcPr>
            <w:tcW w:w="1606" w:type="dxa"/>
            <w:tcBorders>
              <w:top w:val="single" w:color="auto" w:sz="2" w:space="0"/>
              <w:left w:val="single" w:color="auto" w:sz="2" w:space="0"/>
              <w:bottom w:val="single" w:color="auto" w:sz="2" w:space="0"/>
              <w:right w:val="single" w:color="auto" w:sz="2" w:space="0"/>
            </w:tcBorders>
            <w:vAlign w:val="center"/>
          </w:tcPr>
          <w:p w14:paraId="143E57BC">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BB716AC">
            <w:pPr>
              <w:spacing w:before="0" w:after="0" w:line="240" w:lineRule="exact"/>
              <w:jc w:val="right"/>
              <w:rPr>
                <w:rFonts w:ascii="宋体" w:hAnsi="宋体" w:eastAsia="宋体" w:cs="宋体"/>
                <w:sz w:val="18"/>
                <w:szCs w:val="18"/>
              </w:rPr>
            </w:pPr>
            <w:r>
              <w:rPr>
                <w:rFonts w:ascii="宋体" w:hAnsi="宋体" w:eastAsia="宋体" w:cs="宋体"/>
                <w:sz w:val="18"/>
                <w:szCs w:val="18"/>
              </w:rPr>
              <w:t>4,933,461.22</w:t>
            </w:r>
          </w:p>
        </w:tc>
        <w:tc>
          <w:tcPr>
            <w:tcW w:w="1606" w:type="dxa"/>
            <w:tcBorders>
              <w:top w:val="single" w:color="auto" w:sz="2" w:space="0"/>
              <w:left w:val="single" w:color="auto" w:sz="2" w:space="0"/>
              <w:bottom w:val="single" w:color="auto" w:sz="2" w:space="0"/>
              <w:right w:val="single" w:color="auto" w:sz="2" w:space="0"/>
            </w:tcBorders>
            <w:vAlign w:val="center"/>
          </w:tcPr>
          <w:p w14:paraId="6095C5DB">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447C025">
            <w:pPr>
              <w:spacing w:before="0" w:after="0" w:line="240" w:lineRule="exact"/>
              <w:jc w:val="right"/>
              <w:rPr>
                <w:rFonts w:ascii="宋体" w:hAnsi="宋体" w:eastAsia="宋体" w:cs="宋体"/>
                <w:sz w:val="18"/>
                <w:szCs w:val="18"/>
              </w:rPr>
            </w:pPr>
            <w:r>
              <w:rPr>
                <w:rFonts w:ascii="宋体" w:hAnsi="宋体" w:eastAsia="宋体" w:cs="宋体"/>
                <w:sz w:val="18"/>
                <w:szCs w:val="18"/>
              </w:rPr>
              <w:t>307,658.39</w:t>
            </w:r>
          </w:p>
        </w:tc>
        <w:tc>
          <w:tcPr>
            <w:tcW w:w="1606" w:type="dxa"/>
            <w:tcBorders>
              <w:top w:val="single" w:color="auto" w:sz="2" w:space="0"/>
              <w:left w:val="single" w:color="auto" w:sz="2" w:space="0"/>
              <w:bottom w:val="single" w:color="auto" w:sz="2" w:space="0"/>
              <w:right w:val="single" w:color="auto" w:sz="2" w:space="0"/>
            </w:tcBorders>
            <w:vAlign w:val="center"/>
          </w:tcPr>
          <w:p w14:paraId="22B8552E">
            <w:pPr>
              <w:spacing w:before="0" w:after="0" w:line="240" w:lineRule="exact"/>
              <w:jc w:val="right"/>
              <w:rPr>
                <w:rFonts w:ascii="宋体" w:hAnsi="宋体" w:eastAsia="宋体" w:cs="宋体"/>
                <w:sz w:val="18"/>
                <w:szCs w:val="18"/>
              </w:rPr>
            </w:pPr>
            <w:r>
              <w:rPr>
                <w:rFonts w:ascii="宋体" w:hAnsi="宋体" w:eastAsia="宋体" w:cs="宋体"/>
                <w:sz w:val="18"/>
                <w:szCs w:val="18"/>
              </w:rPr>
              <w:t>5,241,119.61</w:t>
            </w:r>
          </w:p>
        </w:tc>
      </w:tr>
      <w:tr w14:paraId="350D91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58F29272">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745EA9E">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AAC995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B126576">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C94BD23">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F55FB2C">
            <w:pPr>
              <w:spacing w:before="0" w:after="0" w:line="240" w:lineRule="exact"/>
              <w:jc w:val="right"/>
              <w:rPr>
                <w:rFonts w:ascii="宋体" w:hAnsi="宋体" w:eastAsia="宋体" w:cs="宋体"/>
                <w:sz w:val="18"/>
                <w:szCs w:val="18"/>
              </w:rPr>
            </w:pPr>
          </w:p>
        </w:tc>
      </w:tr>
      <w:tr w14:paraId="1A4D29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9BF493F">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4.期末余额</w:t>
            </w:r>
          </w:p>
        </w:tc>
        <w:tc>
          <w:tcPr>
            <w:tcW w:w="1606" w:type="dxa"/>
            <w:tcBorders>
              <w:top w:val="single" w:color="auto" w:sz="2" w:space="0"/>
              <w:left w:val="single" w:color="auto" w:sz="2" w:space="0"/>
              <w:bottom w:val="single" w:color="auto" w:sz="2" w:space="0"/>
              <w:right w:val="single" w:color="auto" w:sz="2" w:space="0"/>
            </w:tcBorders>
            <w:vAlign w:val="center"/>
          </w:tcPr>
          <w:p w14:paraId="61F0A496">
            <w:pPr>
              <w:spacing w:before="0" w:after="0" w:line="240" w:lineRule="exact"/>
              <w:jc w:val="right"/>
              <w:rPr>
                <w:rFonts w:ascii="宋体" w:hAnsi="宋体" w:eastAsia="宋体" w:cs="宋体"/>
                <w:sz w:val="18"/>
                <w:szCs w:val="18"/>
              </w:rPr>
            </w:pPr>
            <w:r>
              <w:rPr>
                <w:rFonts w:ascii="宋体" w:hAnsi="宋体" w:eastAsia="宋体" w:cs="宋体"/>
                <w:sz w:val="18"/>
                <w:szCs w:val="18"/>
              </w:rPr>
              <w:t>565,953,135.16</w:t>
            </w:r>
          </w:p>
        </w:tc>
        <w:tc>
          <w:tcPr>
            <w:tcW w:w="1606" w:type="dxa"/>
            <w:tcBorders>
              <w:top w:val="single" w:color="auto" w:sz="2" w:space="0"/>
              <w:left w:val="single" w:color="auto" w:sz="2" w:space="0"/>
              <w:bottom w:val="single" w:color="auto" w:sz="2" w:space="0"/>
              <w:right w:val="single" w:color="auto" w:sz="2" w:space="0"/>
            </w:tcBorders>
            <w:vAlign w:val="center"/>
          </w:tcPr>
          <w:p w14:paraId="43CA7527">
            <w:pPr>
              <w:spacing w:before="0" w:after="0" w:line="240" w:lineRule="exact"/>
              <w:jc w:val="right"/>
              <w:rPr>
                <w:rFonts w:ascii="宋体" w:hAnsi="宋体" w:eastAsia="宋体" w:cs="宋体"/>
                <w:sz w:val="18"/>
                <w:szCs w:val="18"/>
              </w:rPr>
            </w:pPr>
            <w:r>
              <w:rPr>
                <w:rFonts w:ascii="宋体" w:hAnsi="宋体" w:eastAsia="宋体" w:cs="宋体"/>
                <w:sz w:val="18"/>
                <w:szCs w:val="18"/>
              </w:rPr>
              <w:t>242,079,690.61</w:t>
            </w:r>
          </w:p>
        </w:tc>
        <w:tc>
          <w:tcPr>
            <w:tcW w:w="1606" w:type="dxa"/>
            <w:tcBorders>
              <w:top w:val="single" w:color="auto" w:sz="2" w:space="0"/>
              <w:left w:val="single" w:color="auto" w:sz="2" w:space="0"/>
              <w:bottom w:val="single" w:color="auto" w:sz="2" w:space="0"/>
              <w:right w:val="single" w:color="auto" w:sz="2" w:space="0"/>
            </w:tcBorders>
            <w:vAlign w:val="center"/>
          </w:tcPr>
          <w:p w14:paraId="7B04CF9A">
            <w:pPr>
              <w:spacing w:before="0" w:after="0" w:line="240" w:lineRule="exact"/>
              <w:jc w:val="right"/>
              <w:rPr>
                <w:rFonts w:ascii="宋体" w:hAnsi="宋体" w:eastAsia="宋体" w:cs="宋体"/>
                <w:sz w:val="18"/>
                <w:szCs w:val="18"/>
              </w:rPr>
            </w:pPr>
            <w:r>
              <w:rPr>
                <w:rFonts w:ascii="宋体" w:hAnsi="宋体" w:eastAsia="宋体" w:cs="宋体"/>
                <w:sz w:val="18"/>
                <w:szCs w:val="18"/>
              </w:rPr>
              <w:t>7,716,150.77</w:t>
            </w:r>
          </w:p>
        </w:tc>
        <w:tc>
          <w:tcPr>
            <w:tcW w:w="1606" w:type="dxa"/>
            <w:tcBorders>
              <w:top w:val="single" w:color="auto" w:sz="2" w:space="0"/>
              <w:left w:val="single" w:color="auto" w:sz="2" w:space="0"/>
              <w:bottom w:val="single" w:color="auto" w:sz="2" w:space="0"/>
              <w:right w:val="single" w:color="auto" w:sz="2" w:space="0"/>
            </w:tcBorders>
            <w:vAlign w:val="center"/>
          </w:tcPr>
          <w:p w14:paraId="12E847DF">
            <w:pPr>
              <w:spacing w:before="0" w:after="0" w:line="240" w:lineRule="exact"/>
              <w:jc w:val="right"/>
              <w:rPr>
                <w:rFonts w:ascii="宋体" w:hAnsi="宋体" w:eastAsia="宋体" w:cs="宋体"/>
                <w:sz w:val="18"/>
                <w:szCs w:val="18"/>
              </w:rPr>
            </w:pPr>
            <w:r>
              <w:rPr>
                <w:rFonts w:ascii="宋体" w:hAnsi="宋体" w:eastAsia="宋体" w:cs="宋体"/>
                <w:sz w:val="18"/>
                <w:szCs w:val="18"/>
              </w:rPr>
              <w:t>21,757,263.15</w:t>
            </w:r>
          </w:p>
        </w:tc>
        <w:tc>
          <w:tcPr>
            <w:tcW w:w="1606" w:type="dxa"/>
            <w:tcBorders>
              <w:top w:val="single" w:color="auto" w:sz="2" w:space="0"/>
              <w:left w:val="single" w:color="auto" w:sz="2" w:space="0"/>
              <w:bottom w:val="single" w:color="auto" w:sz="2" w:space="0"/>
              <w:right w:val="single" w:color="auto" w:sz="2" w:space="0"/>
            </w:tcBorders>
            <w:vAlign w:val="center"/>
          </w:tcPr>
          <w:p w14:paraId="24FC7841">
            <w:pPr>
              <w:spacing w:before="0" w:after="0" w:line="240" w:lineRule="exact"/>
              <w:jc w:val="right"/>
              <w:rPr>
                <w:rFonts w:ascii="宋体" w:hAnsi="宋体" w:eastAsia="宋体" w:cs="宋体"/>
                <w:sz w:val="18"/>
                <w:szCs w:val="18"/>
              </w:rPr>
            </w:pPr>
            <w:r>
              <w:rPr>
                <w:rFonts w:ascii="宋体" w:hAnsi="宋体" w:eastAsia="宋体" w:cs="宋体"/>
                <w:sz w:val="18"/>
                <w:szCs w:val="18"/>
              </w:rPr>
              <w:t>837,506,239.69</w:t>
            </w:r>
          </w:p>
        </w:tc>
      </w:tr>
      <w:tr w14:paraId="1B4A22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351C6BB">
            <w:pPr>
              <w:spacing w:before="40" w:after="40" w:line="240" w:lineRule="exact"/>
              <w:jc w:val="left"/>
              <w:rPr>
                <w:rFonts w:ascii="宋体" w:hAnsi="宋体" w:eastAsia="宋体" w:cs="宋体"/>
                <w:sz w:val="18"/>
                <w:szCs w:val="18"/>
              </w:rPr>
            </w:pPr>
            <w:r>
              <w:rPr>
                <w:rFonts w:ascii="宋体" w:hAnsi="宋体" w:eastAsia="宋体" w:cs="宋体"/>
                <w:sz w:val="18"/>
                <w:szCs w:val="18"/>
              </w:rPr>
              <w:t>二、累计折旧</w:t>
            </w:r>
          </w:p>
        </w:tc>
        <w:tc>
          <w:tcPr>
            <w:tcW w:w="1606" w:type="dxa"/>
            <w:tcBorders>
              <w:top w:val="single" w:color="auto" w:sz="2" w:space="0"/>
              <w:left w:val="single" w:color="auto" w:sz="2" w:space="0"/>
              <w:bottom w:val="single" w:color="auto" w:sz="2" w:space="0"/>
              <w:right w:val="single" w:color="auto" w:sz="2" w:space="0"/>
            </w:tcBorders>
            <w:vAlign w:val="center"/>
          </w:tcPr>
          <w:p w14:paraId="3324B3B5">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2E0448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AD9517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5D41394">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527B80B">
            <w:pPr>
              <w:spacing w:before="0" w:after="0" w:line="240" w:lineRule="exact"/>
              <w:jc w:val="right"/>
              <w:rPr>
                <w:rFonts w:ascii="宋体" w:hAnsi="宋体" w:eastAsia="宋体" w:cs="宋体"/>
                <w:sz w:val="18"/>
                <w:szCs w:val="18"/>
              </w:rPr>
            </w:pPr>
          </w:p>
        </w:tc>
      </w:tr>
      <w:tr w14:paraId="395E91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D945717">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1.期初余额</w:t>
            </w:r>
          </w:p>
        </w:tc>
        <w:tc>
          <w:tcPr>
            <w:tcW w:w="1606" w:type="dxa"/>
            <w:tcBorders>
              <w:top w:val="single" w:color="auto" w:sz="2" w:space="0"/>
              <w:left w:val="single" w:color="auto" w:sz="2" w:space="0"/>
              <w:bottom w:val="single" w:color="auto" w:sz="2" w:space="0"/>
              <w:right w:val="single" w:color="auto" w:sz="2" w:space="0"/>
            </w:tcBorders>
            <w:vAlign w:val="center"/>
          </w:tcPr>
          <w:p w14:paraId="62D0DC3D">
            <w:pPr>
              <w:spacing w:before="0" w:after="0" w:line="240" w:lineRule="exact"/>
              <w:jc w:val="right"/>
              <w:rPr>
                <w:rFonts w:ascii="宋体" w:hAnsi="宋体" w:eastAsia="宋体" w:cs="宋体"/>
                <w:sz w:val="18"/>
                <w:szCs w:val="18"/>
              </w:rPr>
            </w:pPr>
            <w:r>
              <w:rPr>
                <w:rFonts w:ascii="宋体" w:hAnsi="宋体" w:eastAsia="宋体" w:cs="宋体"/>
                <w:sz w:val="18"/>
                <w:szCs w:val="18"/>
              </w:rPr>
              <w:t>131,886,862.98</w:t>
            </w:r>
          </w:p>
        </w:tc>
        <w:tc>
          <w:tcPr>
            <w:tcW w:w="1606" w:type="dxa"/>
            <w:tcBorders>
              <w:top w:val="single" w:color="auto" w:sz="2" w:space="0"/>
              <w:left w:val="single" w:color="auto" w:sz="2" w:space="0"/>
              <w:bottom w:val="single" w:color="auto" w:sz="2" w:space="0"/>
              <w:right w:val="single" w:color="auto" w:sz="2" w:space="0"/>
            </w:tcBorders>
            <w:vAlign w:val="center"/>
          </w:tcPr>
          <w:p w14:paraId="6F9248A7">
            <w:pPr>
              <w:spacing w:before="0" w:after="0" w:line="240" w:lineRule="exact"/>
              <w:jc w:val="right"/>
              <w:rPr>
                <w:rFonts w:ascii="宋体" w:hAnsi="宋体" w:eastAsia="宋体" w:cs="宋体"/>
                <w:sz w:val="18"/>
                <w:szCs w:val="18"/>
              </w:rPr>
            </w:pPr>
            <w:r>
              <w:rPr>
                <w:rFonts w:ascii="宋体" w:hAnsi="宋体" w:eastAsia="宋体" w:cs="宋体"/>
                <w:sz w:val="18"/>
                <w:szCs w:val="18"/>
              </w:rPr>
              <w:t>76,786,451.31</w:t>
            </w:r>
          </w:p>
        </w:tc>
        <w:tc>
          <w:tcPr>
            <w:tcW w:w="1606" w:type="dxa"/>
            <w:tcBorders>
              <w:top w:val="single" w:color="auto" w:sz="2" w:space="0"/>
              <w:left w:val="single" w:color="auto" w:sz="2" w:space="0"/>
              <w:bottom w:val="single" w:color="auto" w:sz="2" w:space="0"/>
              <w:right w:val="single" w:color="auto" w:sz="2" w:space="0"/>
            </w:tcBorders>
            <w:vAlign w:val="center"/>
          </w:tcPr>
          <w:p w14:paraId="211CEE61">
            <w:pPr>
              <w:spacing w:before="0" w:after="0" w:line="240" w:lineRule="exact"/>
              <w:jc w:val="right"/>
              <w:rPr>
                <w:rFonts w:ascii="宋体" w:hAnsi="宋体" w:eastAsia="宋体" w:cs="宋体"/>
                <w:sz w:val="18"/>
                <w:szCs w:val="18"/>
              </w:rPr>
            </w:pPr>
            <w:r>
              <w:rPr>
                <w:rFonts w:ascii="宋体" w:hAnsi="宋体" w:eastAsia="宋体" w:cs="宋体"/>
                <w:sz w:val="18"/>
                <w:szCs w:val="18"/>
              </w:rPr>
              <w:t>5,370,878.02</w:t>
            </w:r>
          </w:p>
        </w:tc>
        <w:tc>
          <w:tcPr>
            <w:tcW w:w="1606" w:type="dxa"/>
            <w:tcBorders>
              <w:top w:val="single" w:color="auto" w:sz="2" w:space="0"/>
              <w:left w:val="single" w:color="auto" w:sz="2" w:space="0"/>
              <w:bottom w:val="single" w:color="auto" w:sz="2" w:space="0"/>
              <w:right w:val="single" w:color="auto" w:sz="2" w:space="0"/>
            </w:tcBorders>
            <w:vAlign w:val="center"/>
          </w:tcPr>
          <w:p w14:paraId="7DDE8E3D">
            <w:pPr>
              <w:spacing w:before="0" w:after="0" w:line="240" w:lineRule="exact"/>
              <w:jc w:val="right"/>
              <w:rPr>
                <w:rFonts w:ascii="宋体" w:hAnsi="宋体" w:eastAsia="宋体" w:cs="宋体"/>
                <w:sz w:val="18"/>
                <w:szCs w:val="18"/>
              </w:rPr>
            </w:pPr>
            <w:r>
              <w:rPr>
                <w:rFonts w:ascii="宋体" w:hAnsi="宋体" w:eastAsia="宋体" w:cs="宋体"/>
                <w:sz w:val="18"/>
                <w:szCs w:val="18"/>
              </w:rPr>
              <w:t>10,268,506.76</w:t>
            </w:r>
          </w:p>
        </w:tc>
        <w:tc>
          <w:tcPr>
            <w:tcW w:w="1606" w:type="dxa"/>
            <w:tcBorders>
              <w:top w:val="single" w:color="auto" w:sz="2" w:space="0"/>
              <w:left w:val="single" w:color="auto" w:sz="2" w:space="0"/>
              <w:bottom w:val="single" w:color="auto" w:sz="2" w:space="0"/>
              <w:right w:val="single" w:color="auto" w:sz="2" w:space="0"/>
            </w:tcBorders>
            <w:vAlign w:val="center"/>
          </w:tcPr>
          <w:p w14:paraId="65771222">
            <w:pPr>
              <w:spacing w:before="0" w:after="0" w:line="240" w:lineRule="exact"/>
              <w:jc w:val="right"/>
              <w:rPr>
                <w:rFonts w:ascii="宋体" w:hAnsi="宋体" w:eastAsia="宋体" w:cs="宋体"/>
                <w:sz w:val="18"/>
                <w:szCs w:val="18"/>
              </w:rPr>
            </w:pPr>
            <w:r>
              <w:rPr>
                <w:rFonts w:ascii="宋体" w:hAnsi="宋体" w:eastAsia="宋体" w:cs="宋体"/>
                <w:sz w:val="18"/>
                <w:szCs w:val="18"/>
              </w:rPr>
              <w:t>224,312,699.07</w:t>
            </w:r>
          </w:p>
        </w:tc>
      </w:tr>
      <w:tr w14:paraId="4EC75A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393115E">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2.本期增加金额</w:t>
            </w:r>
          </w:p>
        </w:tc>
        <w:tc>
          <w:tcPr>
            <w:tcW w:w="1606" w:type="dxa"/>
            <w:tcBorders>
              <w:top w:val="single" w:color="auto" w:sz="2" w:space="0"/>
              <w:left w:val="single" w:color="auto" w:sz="2" w:space="0"/>
              <w:bottom w:val="single" w:color="auto" w:sz="2" w:space="0"/>
              <w:right w:val="single" w:color="auto" w:sz="2" w:space="0"/>
            </w:tcBorders>
            <w:vAlign w:val="center"/>
          </w:tcPr>
          <w:p w14:paraId="31FBCA38">
            <w:pPr>
              <w:spacing w:before="0" w:after="0" w:line="240" w:lineRule="exact"/>
              <w:jc w:val="right"/>
              <w:rPr>
                <w:rFonts w:ascii="宋体" w:hAnsi="宋体" w:eastAsia="宋体" w:cs="宋体"/>
                <w:sz w:val="18"/>
                <w:szCs w:val="18"/>
              </w:rPr>
            </w:pPr>
            <w:r>
              <w:rPr>
                <w:rFonts w:ascii="宋体" w:hAnsi="宋体" w:eastAsia="宋体" w:cs="宋体"/>
                <w:sz w:val="18"/>
                <w:szCs w:val="18"/>
              </w:rPr>
              <w:t>27,920,333.56</w:t>
            </w:r>
          </w:p>
        </w:tc>
        <w:tc>
          <w:tcPr>
            <w:tcW w:w="1606" w:type="dxa"/>
            <w:tcBorders>
              <w:top w:val="single" w:color="auto" w:sz="2" w:space="0"/>
              <w:left w:val="single" w:color="auto" w:sz="2" w:space="0"/>
              <w:bottom w:val="single" w:color="auto" w:sz="2" w:space="0"/>
              <w:right w:val="single" w:color="auto" w:sz="2" w:space="0"/>
            </w:tcBorders>
            <w:vAlign w:val="center"/>
          </w:tcPr>
          <w:p w14:paraId="33895346">
            <w:pPr>
              <w:spacing w:before="0" w:after="0" w:line="240" w:lineRule="exact"/>
              <w:jc w:val="right"/>
              <w:rPr>
                <w:rFonts w:ascii="宋体" w:hAnsi="宋体" w:eastAsia="宋体" w:cs="宋体"/>
                <w:sz w:val="18"/>
                <w:szCs w:val="18"/>
              </w:rPr>
            </w:pPr>
            <w:r>
              <w:rPr>
                <w:rFonts w:ascii="宋体" w:hAnsi="宋体" w:eastAsia="宋体" w:cs="宋体"/>
                <w:sz w:val="18"/>
                <w:szCs w:val="18"/>
              </w:rPr>
              <w:t>20,308,855.04</w:t>
            </w:r>
          </w:p>
        </w:tc>
        <w:tc>
          <w:tcPr>
            <w:tcW w:w="1606" w:type="dxa"/>
            <w:tcBorders>
              <w:top w:val="single" w:color="auto" w:sz="2" w:space="0"/>
              <w:left w:val="single" w:color="auto" w:sz="2" w:space="0"/>
              <w:bottom w:val="single" w:color="auto" w:sz="2" w:space="0"/>
              <w:right w:val="single" w:color="auto" w:sz="2" w:space="0"/>
            </w:tcBorders>
            <w:vAlign w:val="center"/>
          </w:tcPr>
          <w:p w14:paraId="4AAEB28C">
            <w:pPr>
              <w:spacing w:before="0" w:after="0" w:line="240" w:lineRule="exact"/>
              <w:jc w:val="right"/>
              <w:rPr>
                <w:rFonts w:ascii="宋体" w:hAnsi="宋体" w:eastAsia="宋体" w:cs="宋体"/>
                <w:sz w:val="18"/>
                <w:szCs w:val="18"/>
              </w:rPr>
            </w:pPr>
            <w:r>
              <w:rPr>
                <w:rFonts w:ascii="宋体" w:hAnsi="宋体" w:eastAsia="宋体" w:cs="宋体"/>
                <w:sz w:val="18"/>
                <w:szCs w:val="18"/>
              </w:rPr>
              <w:t>686,970.01</w:t>
            </w:r>
          </w:p>
        </w:tc>
        <w:tc>
          <w:tcPr>
            <w:tcW w:w="1606" w:type="dxa"/>
            <w:tcBorders>
              <w:top w:val="single" w:color="auto" w:sz="2" w:space="0"/>
              <w:left w:val="single" w:color="auto" w:sz="2" w:space="0"/>
              <w:bottom w:val="single" w:color="auto" w:sz="2" w:space="0"/>
              <w:right w:val="single" w:color="auto" w:sz="2" w:space="0"/>
            </w:tcBorders>
            <w:vAlign w:val="center"/>
          </w:tcPr>
          <w:p w14:paraId="7D39D10D">
            <w:pPr>
              <w:spacing w:before="0" w:after="0" w:line="240" w:lineRule="exact"/>
              <w:jc w:val="right"/>
              <w:rPr>
                <w:rFonts w:ascii="宋体" w:hAnsi="宋体" w:eastAsia="宋体" w:cs="宋体"/>
                <w:sz w:val="18"/>
                <w:szCs w:val="18"/>
              </w:rPr>
            </w:pPr>
            <w:r>
              <w:rPr>
                <w:rFonts w:ascii="宋体" w:hAnsi="宋体" w:eastAsia="宋体" w:cs="宋体"/>
                <w:sz w:val="18"/>
                <w:szCs w:val="18"/>
              </w:rPr>
              <w:t>2,936,941.30</w:t>
            </w:r>
          </w:p>
        </w:tc>
        <w:tc>
          <w:tcPr>
            <w:tcW w:w="1606" w:type="dxa"/>
            <w:tcBorders>
              <w:top w:val="single" w:color="auto" w:sz="2" w:space="0"/>
              <w:left w:val="single" w:color="auto" w:sz="2" w:space="0"/>
              <w:bottom w:val="single" w:color="auto" w:sz="2" w:space="0"/>
              <w:right w:val="single" w:color="auto" w:sz="2" w:space="0"/>
            </w:tcBorders>
            <w:vAlign w:val="center"/>
          </w:tcPr>
          <w:p w14:paraId="1B72CA4A">
            <w:pPr>
              <w:spacing w:before="0" w:after="0" w:line="240" w:lineRule="exact"/>
              <w:jc w:val="right"/>
              <w:rPr>
                <w:rFonts w:ascii="宋体" w:hAnsi="宋体" w:eastAsia="宋体" w:cs="宋体"/>
                <w:sz w:val="18"/>
                <w:szCs w:val="18"/>
              </w:rPr>
            </w:pPr>
            <w:r>
              <w:rPr>
                <w:rFonts w:ascii="宋体" w:hAnsi="宋体" w:eastAsia="宋体" w:cs="宋体"/>
                <w:sz w:val="18"/>
                <w:szCs w:val="18"/>
              </w:rPr>
              <w:t>51,853,099.91</w:t>
            </w:r>
          </w:p>
        </w:tc>
      </w:tr>
      <w:tr w14:paraId="030D81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A8B803F">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（1）计提</w:t>
            </w:r>
          </w:p>
        </w:tc>
        <w:tc>
          <w:tcPr>
            <w:tcW w:w="1606" w:type="dxa"/>
            <w:tcBorders>
              <w:top w:val="single" w:color="auto" w:sz="2" w:space="0"/>
              <w:left w:val="single" w:color="auto" w:sz="2" w:space="0"/>
              <w:bottom w:val="single" w:color="auto" w:sz="2" w:space="0"/>
              <w:right w:val="single" w:color="auto" w:sz="2" w:space="0"/>
            </w:tcBorders>
            <w:vAlign w:val="center"/>
          </w:tcPr>
          <w:p w14:paraId="658089F2">
            <w:pPr>
              <w:spacing w:before="0" w:after="0" w:line="240" w:lineRule="exact"/>
              <w:jc w:val="right"/>
              <w:rPr>
                <w:rFonts w:ascii="宋体" w:hAnsi="宋体" w:eastAsia="宋体" w:cs="宋体"/>
                <w:sz w:val="18"/>
                <w:szCs w:val="18"/>
              </w:rPr>
            </w:pPr>
            <w:r>
              <w:rPr>
                <w:rFonts w:ascii="宋体" w:hAnsi="宋体" w:eastAsia="宋体" w:cs="宋体"/>
                <w:sz w:val="18"/>
                <w:szCs w:val="18"/>
              </w:rPr>
              <w:t>27,920,333.56</w:t>
            </w:r>
          </w:p>
        </w:tc>
        <w:tc>
          <w:tcPr>
            <w:tcW w:w="1606" w:type="dxa"/>
            <w:tcBorders>
              <w:top w:val="single" w:color="auto" w:sz="2" w:space="0"/>
              <w:left w:val="single" w:color="auto" w:sz="2" w:space="0"/>
              <w:bottom w:val="single" w:color="auto" w:sz="2" w:space="0"/>
              <w:right w:val="single" w:color="auto" w:sz="2" w:space="0"/>
            </w:tcBorders>
            <w:vAlign w:val="center"/>
          </w:tcPr>
          <w:p w14:paraId="1C7ECAE0">
            <w:pPr>
              <w:spacing w:before="0" w:after="0" w:line="240" w:lineRule="exact"/>
              <w:jc w:val="right"/>
              <w:rPr>
                <w:rFonts w:ascii="宋体" w:hAnsi="宋体" w:eastAsia="宋体" w:cs="宋体"/>
                <w:sz w:val="18"/>
                <w:szCs w:val="18"/>
              </w:rPr>
            </w:pPr>
            <w:r>
              <w:rPr>
                <w:rFonts w:ascii="宋体" w:hAnsi="宋体" w:eastAsia="宋体" w:cs="宋体"/>
                <w:sz w:val="18"/>
                <w:szCs w:val="18"/>
              </w:rPr>
              <w:t>20,308,855.04</w:t>
            </w:r>
          </w:p>
        </w:tc>
        <w:tc>
          <w:tcPr>
            <w:tcW w:w="1606" w:type="dxa"/>
            <w:tcBorders>
              <w:top w:val="single" w:color="auto" w:sz="2" w:space="0"/>
              <w:left w:val="single" w:color="auto" w:sz="2" w:space="0"/>
              <w:bottom w:val="single" w:color="auto" w:sz="2" w:space="0"/>
              <w:right w:val="single" w:color="auto" w:sz="2" w:space="0"/>
            </w:tcBorders>
            <w:vAlign w:val="center"/>
          </w:tcPr>
          <w:p w14:paraId="7D820DE6">
            <w:pPr>
              <w:spacing w:before="0" w:after="0" w:line="240" w:lineRule="exact"/>
              <w:jc w:val="right"/>
              <w:rPr>
                <w:rFonts w:ascii="宋体" w:hAnsi="宋体" w:eastAsia="宋体" w:cs="宋体"/>
                <w:sz w:val="18"/>
                <w:szCs w:val="18"/>
              </w:rPr>
            </w:pPr>
            <w:r>
              <w:rPr>
                <w:rFonts w:ascii="宋体" w:hAnsi="宋体" w:eastAsia="宋体" w:cs="宋体"/>
                <w:sz w:val="18"/>
                <w:szCs w:val="18"/>
              </w:rPr>
              <w:t>686,970.01</w:t>
            </w:r>
          </w:p>
        </w:tc>
        <w:tc>
          <w:tcPr>
            <w:tcW w:w="1606" w:type="dxa"/>
            <w:tcBorders>
              <w:top w:val="single" w:color="auto" w:sz="2" w:space="0"/>
              <w:left w:val="single" w:color="auto" w:sz="2" w:space="0"/>
              <w:bottom w:val="single" w:color="auto" w:sz="2" w:space="0"/>
              <w:right w:val="single" w:color="auto" w:sz="2" w:space="0"/>
            </w:tcBorders>
            <w:vAlign w:val="center"/>
          </w:tcPr>
          <w:p w14:paraId="6E28581E">
            <w:pPr>
              <w:spacing w:before="0" w:after="0" w:line="240" w:lineRule="exact"/>
              <w:jc w:val="right"/>
              <w:rPr>
                <w:rFonts w:ascii="宋体" w:hAnsi="宋体" w:eastAsia="宋体" w:cs="宋体"/>
                <w:sz w:val="18"/>
                <w:szCs w:val="18"/>
              </w:rPr>
            </w:pPr>
            <w:r>
              <w:rPr>
                <w:rFonts w:ascii="宋体" w:hAnsi="宋体" w:eastAsia="宋体" w:cs="宋体"/>
                <w:sz w:val="18"/>
                <w:szCs w:val="18"/>
              </w:rPr>
              <w:t>2,936,941.30</w:t>
            </w:r>
          </w:p>
        </w:tc>
        <w:tc>
          <w:tcPr>
            <w:tcW w:w="1606" w:type="dxa"/>
            <w:tcBorders>
              <w:top w:val="single" w:color="auto" w:sz="2" w:space="0"/>
              <w:left w:val="single" w:color="auto" w:sz="2" w:space="0"/>
              <w:bottom w:val="single" w:color="auto" w:sz="2" w:space="0"/>
              <w:right w:val="single" w:color="auto" w:sz="2" w:space="0"/>
            </w:tcBorders>
            <w:vAlign w:val="center"/>
          </w:tcPr>
          <w:p w14:paraId="6BDBBC3D">
            <w:pPr>
              <w:spacing w:before="0" w:after="0" w:line="240" w:lineRule="exact"/>
              <w:jc w:val="right"/>
              <w:rPr>
                <w:rFonts w:ascii="宋体" w:hAnsi="宋体" w:eastAsia="宋体" w:cs="宋体"/>
                <w:sz w:val="18"/>
                <w:szCs w:val="18"/>
              </w:rPr>
            </w:pPr>
            <w:r>
              <w:rPr>
                <w:rFonts w:ascii="宋体" w:hAnsi="宋体" w:eastAsia="宋体" w:cs="宋体"/>
                <w:sz w:val="18"/>
                <w:szCs w:val="18"/>
              </w:rPr>
              <w:t>51,853,099.91</w:t>
            </w:r>
          </w:p>
        </w:tc>
      </w:tr>
      <w:tr w14:paraId="5C9A6F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6DF30F98">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3D6103F">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2E8E230">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75C1AFB">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978C78E">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292CFFE7">
            <w:pPr>
              <w:spacing w:before="0" w:after="0" w:line="240" w:lineRule="exact"/>
              <w:jc w:val="right"/>
              <w:rPr>
                <w:rFonts w:ascii="宋体" w:hAnsi="宋体" w:eastAsia="宋体" w:cs="宋体"/>
                <w:sz w:val="18"/>
                <w:szCs w:val="18"/>
              </w:rPr>
            </w:pPr>
          </w:p>
        </w:tc>
      </w:tr>
      <w:tr w14:paraId="7455DD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75F3713">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3.本期减少金额</w:t>
            </w:r>
          </w:p>
        </w:tc>
        <w:tc>
          <w:tcPr>
            <w:tcW w:w="1606" w:type="dxa"/>
            <w:tcBorders>
              <w:top w:val="single" w:color="auto" w:sz="2" w:space="0"/>
              <w:left w:val="single" w:color="auto" w:sz="2" w:space="0"/>
              <w:bottom w:val="single" w:color="auto" w:sz="2" w:space="0"/>
              <w:right w:val="single" w:color="auto" w:sz="2" w:space="0"/>
            </w:tcBorders>
            <w:vAlign w:val="center"/>
          </w:tcPr>
          <w:p w14:paraId="1A1EFE7F">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F55759D">
            <w:pPr>
              <w:spacing w:before="0" w:after="0" w:line="240" w:lineRule="exact"/>
              <w:jc w:val="right"/>
              <w:rPr>
                <w:rFonts w:ascii="宋体" w:hAnsi="宋体" w:eastAsia="宋体" w:cs="宋体"/>
                <w:sz w:val="18"/>
                <w:szCs w:val="18"/>
              </w:rPr>
            </w:pPr>
            <w:r>
              <w:rPr>
                <w:rFonts w:ascii="宋体" w:hAnsi="宋体" w:eastAsia="宋体" w:cs="宋体"/>
                <w:sz w:val="18"/>
                <w:szCs w:val="18"/>
              </w:rPr>
              <w:t>919,927.91</w:t>
            </w:r>
          </w:p>
        </w:tc>
        <w:tc>
          <w:tcPr>
            <w:tcW w:w="1606" w:type="dxa"/>
            <w:tcBorders>
              <w:top w:val="single" w:color="auto" w:sz="2" w:space="0"/>
              <w:left w:val="single" w:color="auto" w:sz="2" w:space="0"/>
              <w:bottom w:val="single" w:color="auto" w:sz="2" w:space="0"/>
              <w:right w:val="single" w:color="auto" w:sz="2" w:space="0"/>
            </w:tcBorders>
            <w:vAlign w:val="center"/>
          </w:tcPr>
          <w:p w14:paraId="418E4395">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E051E4E">
            <w:pPr>
              <w:spacing w:before="0" w:after="0" w:line="240" w:lineRule="exact"/>
              <w:jc w:val="right"/>
              <w:rPr>
                <w:rFonts w:ascii="宋体" w:hAnsi="宋体" w:eastAsia="宋体" w:cs="宋体"/>
                <w:sz w:val="18"/>
                <w:szCs w:val="18"/>
              </w:rPr>
            </w:pPr>
            <w:r>
              <w:rPr>
                <w:rFonts w:ascii="宋体" w:hAnsi="宋体" w:eastAsia="宋体" w:cs="宋体"/>
                <w:sz w:val="18"/>
                <w:szCs w:val="18"/>
              </w:rPr>
              <w:t>287,488.82</w:t>
            </w:r>
          </w:p>
        </w:tc>
        <w:tc>
          <w:tcPr>
            <w:tcW w:w="1606" w:type="dxa"/>
            <w:tcBorders>
              <w:top w:val="single" w:color="auto" w:sz="2" w:space="0"/>
              <w:left w:val="single" w:color="auto" w:sz="2" w:space="0"/>
              <w:bottom w:val="single" w:color="auto" w:sz="2" w:space="0"/>
              <w:right w:val="single" w:color="auto" w:sz="2" w:space="0"/>
            </w:tcBorders>
            <w:vAlign w:val="center"/>
          </w:tcPr>
          <w:p w14:paraId="5EB78619">
            <w:pPr>
              <w:spacing w:before="0" w:after="0" w:line="240" w:lineRule="exact"/>
              <w:jc w:val="right"/>
              <w:rPr>
                <w:rFonts w:ascii="宋体" w:hAnsi="宋体" w:eastAsia="宋体" w:cs="宋体"/>
                <w:sz w:val="18"/>
                <w:szCs w:val="18"/>
              </w:rPr>
            </w:pPr>
            <w:r>
              <w:rPr>
                <w:rFonts w:ascii="宋体" w:hAnsi="宋体" w:eastAsia="宋体" w:cs="宋体"/>
                <w:sz w:val="18"/>
                <w:szCs w:val="18"/>
              </w:rPr>
              <w:t>1,207,416.73</w:t>
            </w:r>
          </w:p>
        </w:tc>
      </w:tr>
      <w:tr w14:paraId="14234F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792D852">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（1）处置或报废</w:t>
            </w:r>
          </w:p>
        </w:tc>
        <w:tc>
          <w:tcPr>
            <w:tcW w:w="1606" w:type="dxa"/>
            <w:tcBorders>
              <w:top w:val="single" w:color="auto" w:sz="2" w:space="0"/>
              <w:left w:val="single" w:color="auto" w:sz="2" w:space="0"/>
              <w:bottom w:val="single" w:color="auto" w:sz="2" w:space="0"/>
              <w:right w:val="single" w:color="auto" w:sz="2" w:space="0"/>
            </w:tcBorders>
            <w:vAlign w:val="center"/>
          </w:tcPr>
          <w:p w14:paraId="7C2A7BD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2B4A04CC">
            <w:pPr>
              <w:spacing w:before="0" w:after="0" w:line="240" w:lineRule="exact"/>
              <w:jc w:val="right"/>
              <w:rPr>
                <w:rFonts w:ascii="宋体" w:hAnsi="宋体" w:eastAsia="宋体" w:cs="宋体"/>
                <w:sz w:val="18"/>
                <w:szCs w:val="18"/>
              </w:rPr>
            </w:pPr>
            <w:r>
              <w:rPr>
                <w:rFonts w:ascii="宋体" w:hAnsi="宋体" w:eastAsia="宋体" w:cs="宋体"/>
                <w:sz w:val="18"/>
                <w:szCs w:val="18"/>
              </w:rPr>
              <w:t>919,927.91</w:t>
            </w:r>
          </w:p>
        </w:tc>
        <w:tc>
          <w:tcPr>
            <w:tcW w:w="1606" w:type="dxa"/>
            <w:tcBorders>
              <w:top w:val="single" w:color="auto" w:sz="2" w:space="0"/>
              <w:left w:val="single" w:color="auto" w:sz="2" w:space="0"/>
              <w:bottom w:val="single" w:color="auto" w:sz="2" w:space="0"/>
              <w:right w:val="single" w:color="auto" w:sz="2" w:space="0"/>
            </w:tcBorders>
            <w:vAlign w:val="center"/>
          </w:tcPr>
          <w:p w14:paraId="5D3ED80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DDF3BB6">
            <w:pPr>
              <w:spacing w:before="0" w:after="0" w:line="240" w:lineRule="exact"/>
              <w:jc w:val="right"/>
              <w:rPr>
                <w:rFonts w:ascii="宋体" w:hAnsi="宋体" w:eastAsia="宋体" w:cs="宋体"/>
                <w:sz w:val="18"/>
                <w:szCs w:val="18"/>
              </w:rPr>
            </w:pPr>
            <w:r>
              <w:rPr>
                <w:rFonts w:ascii="宋体" w:hAnsi="宋体" w:eastAsia="宋体" w:cs="宋体"/>
                <w:sz w:val="18"/>
                <w:szCs w:val="18"/>
              </w:rPr>
              <w:t>287,488.82</w:t>
            </w:r>
          </w:p>
        </w:tc>
        <w:tc>
          <w:tcPr>
            <w:tcW w:w="1606" w:type="dxa"/>
            <w:tcBorders>
              <w:top w:val="single" w:color="auto" w:sz="2" w:space="0"/>
              <w:left w:val="single" w:color="auto" w:sz="2" w:space="0"/>
              <w:bottom w:val="single" w:color="auto" w:sz="2" w:space="0"/>
              <w:right w:val="single" w:color="auto" w:sz="2" w:space="0"/>
            </w:tcBorders>
            <w:vAlign w:val="center"/>
          </w:tcPr>
          <w:p w14:paraId="40DF3B95">
            <w:pPr>
              <w:spacing w:before="0" w:after="0" w:line="240" w:lineRule="exact"/>
              <w:jc w:val="right"/>
              <w:rPr>
                <w:rFonts w:ascii="宋体" w:hAnsi="宋体" w:eastAsia="宋体" w:cs="宋体"/>
                <w:sz w:val="18"/>
                <w:szCs w:val="18"/>
              </w:rPr>
            </w:pPr>
            <w:r>
              <w:rPr>
                <w:rFonts w:ascii="宋体" w:hAnsi="宋体" w:eastAsia="宋体" w:cs="宋体"/>
                <w:sz w:val="18"/>
                <w:szCs w:val="18"/>
              </w:rPr>
              <w:t>1,207,416.73</w:t>
            </w:r>
          </w:p>
        </w:tc>
      </w:tr>
      <w:tr w14:paraId="232FF5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2AE0C4E0">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2335D94">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7E95C1F4">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1E29ECE">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E6EE75F">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71888DC">
            <w:pPr>
              <w:spacing w:before="0" w:after="0" w:line="240" w:lineRule="exact"/>
              <w:jc w:val="right"/>
              <w:rPr>
                <w:rFonts w:ascii="宋体" w:hAnsi="宋体" w:eastAsia="宋体" w:cs="宋体"/>
                <w:sz w:val="18"/>
                <w:szCs w:val="18"/>
              </w:rPr>
            </w:pPr>
          </w:p>
        </w:tc>
      </w:tr>
      <w:tr w14:paraId="7C2857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F4E6F3B">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4.期末余额</w:t>
            </w:r>
          </w:p>
        </w:tc>
        <w:tc>
          <w:tcPr>
            <w:tcW w:w="1606" w:type="dxa"/>
            <w:tcBorders>
              <w:top w:val="single" w:color="auto" w:sz="2" w:space="0"/>
              <w:left w:val="single" w:color="auto" w:sz="2" w:space="0"/>
              <w:bottom w:val="single" w:color="auto" w:sz="2" w:space="0"/>
              <w:right w:val="single" w:color="auto" w:sz="2" w:space="0"/>
            </w:tcBorders>
            <w:vAlign w:val="center"/>
          </w:tcPr>
          <w:p w14:paraId="71093D45">
            <w:pPr>
              <w:spacing w:before="0" w:after="0" w:line="240" w:lineRule="exact"/>
              <w:jc w:val="right"/>
              <w:rPr>
                <w:rFonts w:ascii="宋体" w:hAnsi="宋体" w:eastAsia="宋体" w:cs="宋体"/>
                <w:sz w:val="18"/>
                <w:szCs w:val="18"/>
              </w:rPr>
            </w:pPr>
            <w:r>
              <w:rPr>
                <w:rFonts w:ascii="宋体" w:hAnsi="宋体" w:eastAsia="宋体" w:cs="宋体"/>
                <w:sz w:val="18"/>
                <w:szCs w:val="18"/>
              </w:rPr>
              <w:t>159,807,196.54</w:t>
            </w:r>
          </w:p>
        </w:tc>
        <w:tc>
          <w:tcPr>
            <w:tcW w:w="1606" w:type="dxa"/>
            <w:tcBorders>
              <w:top w:val="single" w:color="auto" w:sz="2" w:space="0"/>
              <w:left w:val="single" w:color="auto" w:sz="2" w:space="0"/>
              <w:bottom w:val="single" w:color="auto" w:sz="2" w:space="0"/>
              <w:right w:val="single" w:color="auto" w:sz="2" w:space="0"/>
            </w:tcBorders>
            <w:vAlign w:val="center"/>
          </w:tcPr>
          <w:p w14:paraId="57D867E5">
            <w:pPr>
              <w:spacing w:before="0" w:after="0" w:line="240" w:lineRule="exact"/>
              <w:jc w:val="right"/>
              <w:rPr>
                <w:rFonts w:ascii="宋体" w:hAnsi="宋体" w:eastAsia="宋体" w:cs="宋体"/>
                <w:sz w:val="18"/>
                <w:szCs w:val="18"/>
              </w:rPr>
            </w:pPr>
            <w:r>
              <w:rPr>
                <w:rFonts w:ascii="宋体" w:hAnsi="宋体" w:eastAsia="宋体" w:cs="宋体"/>
                <w:sz w:val="18"/>
                <w:szCs w:val="18"/>
              </w:rPr>
              <w:t>96,175,378.44</w:t>
            </w:r>
          </w:p>
        </w:tc>
        <w:tc>
          <w:tcPr>
            <w:tcW w:w="1606" w:type="dxa"/>
            <w:tcBorders>
              <w:top w:val="single" w:color="auto" w:sz="2" w:space="0"/>
              <w:left w:val="single" w:color="auto" w:sz="2" w:space="0"/>
              <w:bottom w:val="single" w:color="auto" w:sz="2" w:space="0"/>
              <w:right w:val="single" w:color="auto" w:sz="2" w:space="0"/>
            </w:tcBorders>
            <w:vAlign w:val="center"/>
          </w:tcPr>
          <w:p w14:paraId="35F2CACE">
            <w:pPr>
              <w:spacing w:before="0" w:after="0" w:line="240" w:lineRule="exact"/>
              <w:jc w:val="right"/>
              <w:rPr>
                <w:rFonts w:ascii="宋体" w:hAnsi="宋体" w:eastAsia="宋体" w:cs="宋体"/>
                <w:sz w:val="18"/>
                <w:szCs w:val="18"/>
              </w:rPr>
            </w:pPr>
            <w:r>
              <w:rPr>
                <w:rFonts w:ascii="宋体" w:hAnsi="宋体" w:eastAsia="宋体" w:cs="宋体"/>
                <w:sz w:val="18"/>
                <w:szCs w:val="18"/>
              </w:rPr>
              <w:t>6,057,848.03</w:t>
            </w:r>
          </w:p>
        </w:tc>
        <w:tc>
          <w:tcPr>
            <w:tcW w:w="1606" w:type="dxa"/>
            <w:tcBorders>
              <w:top w:val="single" w:color="auto" w:sz="2" w:space="0"/>
              <w:left w:val="single" w:color="auto" w:sz="2" w:space="0"/>
              <w:bottom w:val="single" w:color="auto" w:sz="2" w:space="0"/>
              <w:right w:val="single" w:color="auto" w:sz="2" w:space="0"/>
            </w:tcBorders>
            <w:vAlign w:val="center"/>
          </w:tcPr>
          <w:p w14:paraId="0474CC45">
            <w:pPr>
              <w:spacing w:before="0" w:after="0" w:line="240" w:lineRule="exact"/>
              <w:jc w:val="right"/>
              <w:rPr>
                <w:rFonts w:ascii="宋体" w:hAnsi="宋体" w:eastAsia="宋体" w:cs="宋体"/>
                <w:sz w:val="18"/>
                <w:szCs w:val="18"/>
              </w:rPr>
            </w:pPr>
            <w:r>
              <w:rPr>
                <w:rFonts w:ascii="宋体" w:hAnsi="宋体" w:eastAsia="宋体" w:cs="宋体"/>
                <w:sz w:val="18"/>
                <w:szCs w:val="18"/>
              </w:rPr>
              <w:t>12,917,959.24</w:t>
            </w:r>
          </w:p>
        </w:tc>
        <w:tc>
          <w:tcPr>
            <w:tcW w:w="1606" w:type="dxa"/>
            <w:tcBorders>
              <w:top w:val="single" w:color="auto" w:sz="2" w:space="0"/>
              <w:left w:val="single" w:color="auto" w:sz="2" w:space="0"/>
              <w:bottom w:val="single" w:color="auto" w:sz="2" w:space="0"/>
              <w:right w:val="single" w:color="auto" w:sz="2" w:space="0"/>
            </w:tcBorders>
            <w:vAlign w:val="center"/>
          </w:tcPr>
          <w:p w14:paraId="21E4CFB6">
            <w:pPr>
              <w:spacing w:before="0" w:after="0" w:line="240" w:lineRule="exact"/>
              <w:jc w:val="right"/>
              <w:rPr>
                <w:rFonts w:ascii="宋体" w:hAnsi="宋体" w:eastAsia="宋体" w:cs="宋体"/>
                <w:sz w:val="18"/>
                <w:szCs w:val="18"/>
              </w:rPr>
            </w:pPr>
            <w:r>
              <w:rPr>
                <w:rFonts w:ascii="宋体" w:hAnsi="宋体" w:eastAsia="宋体" w:cs="宋体"/>
                <w:sz w:val="18"/>
                <w:szCs w:val="18"/>
              </w:rPr>
              <w:t>274,958,382.25</w:t>
            </w:r>
          </w:p>
        </w:tc>
      </w:tr>
      <w:tr w14:paraId="489F5B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A2B2397">
            <w:pPr>
              <w:spacing w:before="40" w:after="40" w:line="240" w:lineRule="exact"/>
              <w:jc w:val="left"/>
              <w:rPr>
                <w:rFonts w:ascii="宋体" w:hAnsi="宋体" w:eastAsia="宋体" w:cs="宋体"/>
                <w:sz w:val="18"/>
                <w:szCs w:val="18"/>
              </w:rPr>
            </w:pPr>
            <w:r>
              <w:rPr>
                <w:rFonts w:ascii="宋体" w:hAnsi="宋体" w:eastAsia="宋体" w:cs="宋体"/>
                <w:sz w:val="18"/>
                <w:szCs w:val="18"/>
              </w:rPr>
              <w:t>三、减值准备</w:t>
            </w:r>
          </w:p>
        </w:tc>
        <w:tc>
          <w:tcPr>
            <w:tcW w:w="1606" w:type="dxa"/>
            <w:tcBorders>
              <w:top w:val="single" w:color="auto" w:sz="2" w:space="0"/>
              <w:left w:val="single" w:color="auto" w:sz="2" w:space="0"/>
              <w:bottom w:val="single" w:color="auto" w:sz="2" w:space="0"/>
              <w:right w:val="single" w:color="auto" w:sz="2" w:space="0"/>
            </w:tcBorders>
            <w:vAlign w:val="center"/>
          </w:tcPr>
          <w:p w14:paraId="08FB008C">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47E1831">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5527BB5">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7324665C">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66D2826">
            <w:pPr>
              <w:spacing w:before="0" w:after="0" w:line="240" w:lineRule="exact"/>
              <w:jc w:val="right"/>
              <w:rPr>
                <w:rFonts w:ascii="宋体" w:hAnsi="宋体" w:eastAsia="宋体" w:cs="宋体"/>
                <w:sz w:val="18"/>
                <w:szCs w:val="18"/>
              </w:rPr>
            </w:pPr>
          </w:p>
        </w:tc>
      </w:tr>
      <w:tr w14:paraId="36C508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DD202B2">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1.期初余额</w:t>
            </w:r>
          </w:p>
        </w:tc>
        <w:tc>
          <w:tcPr>
            <w:tcW w:w="1606" w:type="dxa"/>
            <w:tcBorders>
              <w:top w:val="single" w:color="auto" w:sz="2" w:space="0"/>
              <w:left w:val="single" w:color="auto" w:sz="2" w:space="0"/>
              <w:bottom w:val="single" w:color="auto" w:sz="2" w:space="0"/>
              <w:right w:val="single" w:color="auto" w:sz="2" w:space="0"/>
            </w:tcBorders>
            <w:vAlign w:val="center"/>
          </w:tcPr>
          <w:p w14:paraId="34FF220E">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72E5C51E">
            <w:pPr>
              <w:spacing w:before="0" w:after="0" w:line="240" w:lineRule="exact"/>
              <w:jc w:val="right"/>
              <w:rPr>
                <w:rFonts w:ascii="宋体" w:hAnsi="宋体" w:eastAsia="宋体" w:cs="宋体"/>
                <w:sz w:val="18"/>
                <w:szCs w:val="18"/>
              </w:rPr>
            </w:pPr>
            <w:r>
              <w:rPr>
                <w:rFonts w:ascii="宋体" w:hAnsi="宋体" w:eastAsia="宋体" w:cs="宋体"/>
                <w:sz w:val="18"/>
                <w:szCs w:val="18"/>
              </w:rPr>
              <w:t>350,776.55</w:t>
            </w:r>
          </w:p>
        </w:tc>
        <w:tc>
          <w:tcPr>
            <w:tcW w:w="1606" w:type="dxa"/>
            <w:tcBorders>
              <w:top w:val="single" w:color="auto" w:sz="2" w:space="0"/>
              <w:left w:val="single" w:color="auto" w:sz="2" w:space="0"/>
              <w:bottom w:val="single" w:color="auto" w:sz="2" w:space="0"/>
              <w:right w:val="single" w:color="auto" w:sz="2" w:space="0"/>
            </w:tcBorders>
            <w:vAlign w:val="center"/>
          </w:tcPr>
          <w:p w14:paraId="33FF2E4F">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13D759C">
            <w:pPr>
              <w:spacing w:before="0" w:after="0" w:line="240" w:lineRule="exact"/>
              <w:jc w:val="right"/>
              <w:rPr>
                <w:rFonts w:ascii="宋体" w:hAnsi="宋体" w:eastAsia="宋体" w:cs="宋体"/>
                <w:sz w:val="18"/>
                <w:szCs w:val="18"/>
              </w:rPr>
            </w:pPr>
            <w:r>
              <w:rPr>
                <w:rFonts w:ascii="宋体" w:hAnsi="宋体" w:eastAsia="宋体" w:cs="宋体"/>
                <w:sz w:val="18"/>
                <w:szCs w:val="18"/>
              </w:rPr>
              <w:t>1,305.08</w:t>
            </w:r>
          </w:p>
        </w:tc>
        <w:tc>
          <w:tcPr>
            <w:tcW w:w="1606" w:type="dxa"/>
            <w:tcBorders>
              <w:top w:val="single" w:color="auto" w:sz="2" w:space="0"/>
              <w:left w:val="single" w:color="auto" w:sz="2" w:space="0"/>
              <w:bottom w:val="single" w:color="auto" w:sz="2" w:space="0"/>
              <w:right w:val="single" w:color="auto" w:sz="2" w:space="0"/>
            </w:tcBorders>
            <w:vAlign w:val="center"/>
          </w:tcPr>
          <w:p w14:paraId="443B98F5">
            <w:pPr>
              <w:spacing w:before="0" w:after="0" w:line="240" w:lineRule="exact"/>
              <w:jc w:val="right"/>
              <w:rPr>
                <w:rFonts w:ascii="宋体" w:hAnsi="宋体" w:eastAsia="宋体" w:cs="宋体"/>
                <w:sz w:val="18"/>
                <w:szCs w:val="18"/>
              </w:rPr>
            </w:pPr>
            <w:r>
              <w:rPr>
                <w:rFonts w:ascii="宋体" w:hAnsi="宋体" w:eastAsia="宋体" w:cs="宋体"/>
                <w:sz w:val="18"/>
                <w:szCs w:val="18"/>
              </w:rPr>
              <w:t>352,081.63</w:t>
            </w:r>
          </w:p>
        </w:tc>
      </w:tr>
      <w:tr w14:paraId="0B5FDF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C38F228">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2.本期增加金额</w:t>
            </w:r>
          </w:p>
        </w:tc>
        <w:tc>
          <w:tcPr>
            <w:tcW w:w="1606" w:type="dxa"/>
            <w:tcBorders>
              <w:top w:val="single" w:color="auto" w:sz="2" w:space="0"/>
              <w:left w:val="single" w:color="auto" w:sz="2" w:space="0"/>
              <w:bottom w:val="single" w:color="auto" w:sz="2" w:space="0"/>
              <w:right w:val="single" w:color="auto" w:sz="2" w:space="0"/>
            </w:tcBorders>
            <w:vAlign w:val="center"/>
          </w:tcPr>
          <w:p w14:paraId="7271C2C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271DF4DE">
            <w:pPr>
              <w:spacing w:before="0" w:after="0" w:line="240" w:lineRule="exact"/>
              <w:jc w:val="right"/>
              <w:rPr>
                <w:rFonts w:ascii="宋体" w:hAnsi="宋体" w:eastAsia="宋体" w:cs="宋体"/>
                <w:sz w:val="18"/>
                <w:szCs w:val="18"/>
              </w:rPr>
            </w:pPr>
            <w:r>
              <w:rPr>
                <w:rFonts w:ascii="宋体" w:hAnsi="宋体" w:eastAsia="宋体" w:cs="宋体"/>
                <w:sz w:val="18"/>
                <w:szCs w:val="18"/>
              </w:rPr>
              <w:t>3,952,391.31</w:t>
            </w:r>
          </w:p>
        </w:tc>
        <w:tc>
          <w:tcPr>
            <w:tcW w:w="1606" w:type="dxa"/>
            <w:tcBorders>
              <w:top w:val="single" w:color="auto" w:sz="2" w:space="0"/>
              <w:left w:val="single" w:color="auto" w:sz="2" w:space="0"/>
              <w:bottom w:val="single" w:color="auto" w:sz="2" w:space="0"/>
              <w:right w:val="single" w:color="auto" w:sz="2" w:space="0"/>
            </w:tcBorders>
            <w:vAlign w:val="center"/>
          </w:tcPr>
          <w:p w14:paraId="2FB163E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FC6BBE1">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79B0F276">
            <w:pPr>
              <w:spacing w:before="0" w:after="0" w:line="240" w:lineRule="exact"/>
              <w:jc w:val="right"/>
              <w:rPr>
                <w:rFonts w:ascii="宋体" w:hAnsi="宋体" w:eastAsia="宋体" w:cs="宋体"/>
                <w:sz w:val="18"/>
                <w:szCs w:val="18"/>
              </w:rPr>
            </w:pPr>
            <w:r>
              <w:rPr>
                <w:rFonts w:ascii="宋体" w:hAnsi="宋体" w:eastAsia="宋体" w:cs="宋体"/>
                <w:sz w:val="18"/>
                <w:szCs w:val="18"/>
              </w:rPr>
              <w:t>3,952,391.31</w:t>
            </w:r>
          </w:p>
        </w:tc>
      </w:tr>
      <w:tr w14:paraId="6B16F4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F799640">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（1）计提</w:t>
            </w:r>
          </w:p>
        </w:tc>
        <w:tc>
          <w:tcPr>
            <w:tcW w:w="1606" w:type="dxa"/>
            <w:tcBorders>
              <w:top w:val="single" w:color="auto" w:sz="2" w:space="0"/>
              <w:left w:val="single" w:color="auto" w:sz="2" w:space="0"/>
              <w:bottom w:val="single" w:color="auto" w:sz="2" w:space="0"/>
              <w:right w:val="single" w:color="auto" w:sz="2" w:space="0"/>
            </w:tcBorders>
            <w:vAlign w:val="center"/>
          </w:tcPr>
          <w:p w14:paraId="11567AB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A8389CD">
            <w:pPr>
              <w:spacing w:before="0" w:after="0" w:line="240" w:lineRule="exact"/>
              <w:jc w:val="right"/>
              <w:rPr>
                <w:rFonts w:ascii="宋体" w:hAnsi="宋体" w:eastAsia="宋体" w:cs="宋体"/>
                <w:sz w:val="18"/>
                <w:szCs w:val="18"/>
              </w:rPr>
            </w:pPr>
            <w:r>
              <w:rPr>
                <w:rFonts w:ascii="宋体" w:hAnsi="宋体" w:eastAsia="宋体" w:cs="宋体"/>
                <w:sz w:val="18"/>
                <w:szCs w:val="18"/>
              </w:rPr>
              <w:t>3,952,391.31</w:t>
            </w:r>
          </w:p>
        </w:tc>
        <w:tc>
          <w:tcPr>
            <w:tcW w:w="1606" w:type="dxa"/>
            <w:tcBorders>
              <w:top w:val="single" w:color="auto" w:sz="2" w:space="0"/>
              <w:left w:val="single" w:color="auto" w:sz="2" w:space="0"/>
              <w:bottom w:val="single" w:color="auto" w:sz="2" w:space="0"/>
              <w:right w:val="single" w:color="auto" w:sz="2" w:space="0"/>
            </w:tcBorders>
            <w:vAlign w:val="center"/>
          </w:tcPr>
          <w:p w14:paraId="072FE009">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F4E6BA4">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FE460E1">
            <w:pPr>
              <w:spacing w:before="0" w:after="0" w:line="240" w:lineRule="exact"/>
              <w:jc w:val="right"/>
              <w:rPr>
                <w:rFonts w:ascii="宋体" w:hAnsi="宋体" w:eastAsia="宋体" w:cs="宋体"/>
                <w:sz w:val="18"/>
                <w:szCs w:val="18"/>
              </w:rPr>
            </w:pPr>
            <w:r>
              <w:rPr>
                <w:rFonts w:ascii="宋体" w:hAnsi="宋体" w:eastAsia="宋体" w:cs="宋体"/>
                <w:sz w:val="18"/>
                <w:szCs w:val="18"/>
              </w:rPr>
              <w:t>3,952,391.31</w:t>
            </w:r>
          </w:p>
        </w:tc>
      </w:tr>
      <w:tr w14:paraId="34A5B6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75C79F27">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7B72A6C">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5C94A34">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6BF1D8F">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2F1A281F">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8EA9732">
            <w:pPr>
              <w:spacing w:before="0" w:after="0" w:line="240" w:lineRule="exact"/>
              <w:jc w:val="right"/>
              <w:rPr>
                <w:rFonts w:ascii="宋体" w:hAnsi="宋体" w:eastAsia="宋体" w:cs="宋体"/>
                <w:sz w:val="18"/>
                <w:szCs w:val="18"/>
              </w:rPr>
            </w:pPr>
          </w:p>
        </w:tc>
      </w:tr>
      <w:tr w14:paraId="4F215E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C512F95">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3.本期减少金额</w:t>
            </w:r>
          </w:p>
        </w:tc>
        <w:tc>
          <w:tcPr>
            <w:tcW w:w="1606" w:type="dxa"/>
            <w:tcBorders>
              <w:top w:val="single" w:color="auto" w:sz="2" w:space="0"/>
              <w:left w:val="single" w:color="auto" w:sz="2" w:space="0"/>
              <w:bottom w:val="single" w:color="auto" w:sz="2" w:space="0"/>
              <w:right w:val="single" w:color="auto" w:sz="2" w:space="0"/>
            </w:tcBorders>
            <w:vAlign w:val="center"/>
          </w:tcPr>
          <w:p w14:paraId="51751E33">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C3D2E44">
            <w:pPr>
              <w:spacing w:before="0" w:after="0" w:line="240" w:lineRule="exact"/>
              <w:jc w:val="right"/>
              <w:rPr>
                <w:rFonts w:ascii="宋体" w:hAnsi="宋体" w:eastAsia="宋体" w:cs="宋体"/>
                <w:sz w:val="18"/>
                <w:szCs w:val="18"/>
              </w:rPr>
            </w:pPr>
            <w:r>
              <w:rPr>
                <w:rFonts w:ascii="宋体" w:hAnsi="宋体" w:eastAsia="宋体" w:cs="宋体"/>
                <w:sz w:val="18"/>
                <w:szCs w:val="18"/>
              </w:rPr>
              <w:t>18,185.22</w:t>
            </w:r>
          </w:p>
        </w:tc>
        <w:tc>
          <w:tcPr>
            <w:tcW w:w="1606" w:type="dxa"/>
            <w:tcBorders>
              <w:top w:val="single" w:color="auto" w:sz="2" w:space="0"/>
              <w:left w:val="single" w:color="auto" w:sz="2" w:space="0"/>
              <w:bottom w:val="single" w:color="auto" w:sz="2" w:space="0"/>
              <w:right w:val="single" w:color="auto" w:sz="2" w:space="0"/>
            </w:tcBorders>
            <w:vAlign w:val="center"/>
          </w:tcPr>
          <w:p w14:paraId="7675E484">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2CE1963">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2D51B5E">
            <w:pPr>
              <w:spacing w:before="0" w:after="0" w:line="240" w:lineRule="exact"/>
              <w:jc w:val="right"/>
              <w:rPr>
                <w:rFonts w:ascii="宋体" w:hAnsi="宋体" w:eastAsia="宋体" w:cs="宋体"/>
                <w:sz w:val="18"/>
                <w:szCs w:val="18"/>
              </w:rPr>
            </w:pPr>
            <w:r>
              <w:rPr>
                <w:rFonts w:ascii="宋体" w:hAnsi="宋体" w:eastAsia="宋体" w:cs="宋体"/>
                <w:sz w:val="18"/>
                <w:szCs w:val="18"/>
              </w:rPr>
              <w:t>18,185.22</w:t>
            </w:r>
          </w:p>
        </w:tc>
      </w:tr>
      <w:tr w14:paraId="287947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1D20A8D">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（1）处置或报废</w:t>
            </w:r>
          </w:p>
        </w:tc>
        <w:tc>
          <w:tcPr>
            <w:tcW w:w="1606" w:type="dxa"/>
            <w:tcBorders>
              <w:top w:val="single" w:color="auto" w:sz="2" w:space="0"/>
              <w:left w:val="single" w:color="auto" w:sz="2" w:space="0"/>
              <w:bottom w:val="single" w:color="auto" w:sz="2" w:space="0"/>
              <w:right w:val="single" w:color="auto" w:sz="2" w:space="0"/>
            </w:tcBorders>
            <w:vAlign w:val="center"/>
          </w:tcPr>
          <w:p w14:paraId="45605807">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92D7215">
            <w:pPr>
              <w:spacing w:before="0" w:after="0" w:line="240" w:lineRule="exact"/>
              <w:jc w:val="right"/>
              <w:rPr>
                <w:rFonts w:ascii="宋体" w:hAnsi="宋体" w:eastAsia="宋体" w:cs="宋体"/>
                <w:sz w:val="18"/>
                <w:szCs w:val="18"/>
              </w:rPr>
            </w:pPr>
            <w:r>
              <w:rPr>
                <w:rFonts w:ascii="宋体" w:hAnsi="宋体" w:eastAsia="宋体" w:cs="宋体"/>
                <w:sz w:val="18"/>
                <w:szCs w:val="18"/>
              </w:rPr>
              <w:t>18,185.22</w:t>
            </w:r>
          </w:p>
        </w:tc>
        <w:tc>
          <w:tcPr>
            <w:tcW w:w="1606" w:type="dxa"/>
            <w:tcBorders>
              <w:top w:val="single" w:color="auto" w:sz="2" w:space="0"/>
              <w:left w:val="single" w:color="auto" w:sz="2" w:space="0"/>
              <w:bottom w:val="single" w:color="auto" w:sz="2" w:space="0"/>
              <w:right w:val="single" w:color="auto" w:sz="2" w:space="0"/>
            </w:tcBorders>
            <w:vAlign w:val="center"/>
          </w:tcPr>
          <w:p w14:paraId="5A030A4A">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CCFB181">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2B031596">
            <w:pPr>
              <w:spacing w:before="0" w:after="0" w:line="240" w:lineRule="exact"/>
              <w:jc w:val="right"/>
              <w:rPr>
                <w:rFonts w:ascii="宋体" w:hAnsi="宋体" w:eastAsia="宋体" w:cs="宋体"/>
                <w:sz w:val="18"/>
                <w:szCs w:val="18"/>
              </w:rPr>
            </w:pPr>
            <w:r>
              <w:rPr>
                <w:rFonts w:ascii="宋体" w:hAnsi="宋体" w:eastAsia="宋体" w:cs="宋体"/>
                <w:sz w:val="18"/>
                <w:szCs w:val="18"/>
              </w:rPr>
              <w:t>18,185.22</w:t>
            </w:r>
          </w:p>
        </w:tc>
      </w:tr>
      <w:tr w14:paraId="237F2F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2567C048">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E8E6E8F">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11C4A75">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24AD426">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74469506">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CCC67D4">
            <w:pPr>
              <w:spacing w:before="0" w:after="0" w:line="240" w:lineRule="exact"/>
              <w:jc w:val="right"/>
              <w:rPr>
                <w:rFonts w:ascii="宋体" w:hAnsi="宋体" w:eastAsia="宋体" w:cs="宋体"/>
                <w:sz w:val="18"/>
                <w:szCs w:val="18"/>
              </w:rPr>
            </w:pPr>
          </w:p>
        </w:tc>
      </w:tr>
      <w:tr w14:paraId="341C15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1949BEE">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4.期末余额</w:t>
            </w:r>
          </w:p>
        </w:tc>
        <w:tc>
          <w:tcPr>
            <w:tcW w:w="1606" w:type="dxa"/>
            <w:tcBorders>
              <w:top w:val="single" w:color="auto" w:sz="2" w:space="0"/>
              <w:left w:val="single" w:color="auto" w:sz="2" w:space="0"/>
              <w:bottom w:val="single" w:color="auto" w:sz="2" w:space="0"/>
              <w:right w:val="single" w:color="auto" w:sz="2" w:space="0"/>
            </w:tcBorders>
            <w:vAlign w:val="center"/>
          </w:tcPr>
          <w:p w14:paraId="6A089F66">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B3DEB8A">
            <w:pPr>
              <w:spacing w:before="0" w:after="0" w:line="240" w:lineRule="exact"/>
              <w:jc w:val="right"/>
              <w:rPr>
                <w:rFonts w:ascii="宋体" w:hAnsi="宋体" w:eastAsia="宋体" w:cs="宋体"/>
                <w:sz w:val="18"/>
                <w:szCs w:val="18"/>
              </w:rPr>
            </w:pPr>
            <w:r>
              <w:rPr>
                <w:rFonts w:ascii="宋体" w:hAnsi="宋体" w:eastAsia="宋体" w:cs="宋体"/>
                <w:sz w:val="18"/>
                <w:szCs w:val="18"/>
              </w:rPr>
              <w:t>4,284,982.64</w:t>
            </w:r>
          </w:p>
        </w:tc>
        <w:tc>
          <w:tcPr>
            <w:tcW w:w="1606" w:type="dxa"/>
            <w:tcBorders>
              <w:top w:val="single" w:color="auto" w:sz="2" w:space="0"/>
              <w:left w:val="single" w:color="auto" w:sz="2" w:space="0"/>
              <w:bottom w:val="single" w:color="auto" w:sz="2" w:space="0"/>
              <w:right w:val="single" w:color="auto" w:sz="2" w:space="0"/>
            </w:tcBorders>
            <w:vAlign w:val="center"/>
          </w:tcPr>
          <w:p w14:paraId="2ABBB2A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2CE8F17A">
            <w:pPr>
              <w:spacing w:before="0" w:after="0" w:line="240" w:lineRule="exact"/>
              <w:jc w:val="right"/>
              <w:rPr>
                <w:rFonts w:ascii="宋体" w:hAnsi="宋体" w:eastAsia="宋体" w:cs="宋体"/>
                <w:sz w:val="18"/>
                <w:szCs w:val="18"/>
              </w:rPr>
            </w:pPr>
            <w:r>
              <w:rPr>
                <w:rFonts w:ascii="宋体" w:hAnsi="宋体" w:eastAsia="宋体" w:cs="宋体"/>
                <w:sz w:val="18"/>
                <w:szCs w:val="18"/>
              </w:rPr>
              <w:t>1,305.08</w:t>
            </w:r>
          </w:p>
        </w:tc>
        <w:tc>
          <w:tcPr>
            <w:tcW w:w="1606" w:type="dxa"/>
            <w:tcBorders>
              <w:top w:val="single" w:color="auto" w:sz="2" w:space="0"/>
              <w:left w:val="single" w:color="auto" w:sz="2" w:space="0"/>
              <w:bottom w:val="single" w:color="auto" w:sz="2" w:space="0"/>
              <w:right w:val="single" w:color="auto" w:sz="2" w:space="0"/>
            </w:tcBorders>
            <w:vAlign w:val="center"/>
          </w:tcPr>
          <w:p w14:paraId="06264450">
            <w:pPr>
              <w:spacing w:before="0" w:after="0" w:line="240" w:lineRule="exact"/>
              <w:jc w:val="right"/>
              <w:rPr>
                <w:rFonts w:ascii="宋体" w:hAnsi="宋体" w:eastAsia="宋体" w:cs="宋体"/>
                <w:sz w:val="18"/>
                <w:szCs w:val="18"/>
              </w:rPr>
            </w:pPr>
            <w:r>
              <w:rPr>
                <w:rFonts w:ascii="宋体" w:hAnsi="宋体" w:eastAsia="宋体" w:cs="宋体"/>
                <w:sz w:val="18"/>
                <w:szCs w:val="18"/>
              </w:rPr>
              <w:t>4,286,287.72</w:t>
            </w:r>
          </w:p>
        </w:tc>
      </w:tr>
      <w:tr w14:paraId="39AFA7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6385362">
            <w:pPr>
              <w:spacing w:before="40" w:after="40" w:line="240" w:lineRule="exact"/>
              <w:jc w:val="left"/>
              <w:rPr>
                <w:rFonts w:ascii="宋体" w:hAnsi="宋体" w:eastAsia="宋体" w:cs="宋体"/>
                <w:sz w:val="18"/>
                <w:szCs w:val="18"/>
              </w:rPr>
            </w:pPr>
            <w:r>
              <w:rPr>
                <w:rFonts w:ascii="宋体" w:hAnsi="宋体" w:eastAsia="宋体" w:cs="宋体"/>
                <w:sz w:val="18"/>
                <w:szCs w:val="18"/>
              </w:rPr>
              <w:t>四、账面价值</w:t>
            </w:r>
          </w:p>
        </w:tc>
        <w:tc>
          <w:tcPr>
            <w:tcW w:w="1606" w:type="dxa"/>
            <w:tcBorders>
              <w:top w:val="single" w:color="auto" w:sz="2" w:space="0"/>
              <w:left w:val="single" w:color="auto" w:sz="2" w:space="0"/>
              <w:bottom w:val="single" w:color="auto" w:sz="2" w:space="0"/>
              <w:right w:val="single" w:color="auto" w:sz="2" w:space="0"/>
            </w:tcBorders>
            <w:vAlign w:val="center"/>
          </w:tcPr>
          <w:p w14:paraId="61EC54AA">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D214E7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1675357">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B38A86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478874D">
            <w:pPr>
              <w:spacing w:before="0" w:after="0" w:line="240" w:lineRule="exact"/>
              <w:jc w:val="right"/>
              <w:rPr>
                <w:rFonts w:ascii="宋体" w:hAnsi="宋体" w:eastAsia="宋体" w:cs="宋体"/>
                <w:sz w:val="18"/>
                <w:szCs w:val="18"/>
              </w:rPr>
            </w:pPr>
          </w:p>
        </w:tc>
      </w:tr>
      <w:tr w14:paraId="636D16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B1C2F9F">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1.期末账面价值</w:t>
            </w:r>
          </w:p>
        </w:tc>
        <w:tc>
          <w:tcPr>
            <w:tcW w:w="1606" w:type="dxa"/>
            <w:tcBorders>
              <w:top w:val="single" w:color="auto" w:sz="2" w:space="0"/>
              <w:left w:val="single" w:color="auto" w:sz="2" w:space="0"/>
              <w:bottom w:val="single" w:color="auto" w:sz="2" w:space="0"/>
              <w:right w:val="single" w:color="auto" w:sz="2" w:space="0"/>
            </w:tcBorders>
            <w:vAlign w:val="center"/>
          </w:tcPr>
          <w:p w14:paraId="2B5399CC">
            <w:pPr>
              <w:spacing w:before="0" w:after="0" w:line="240" w:lineRule="exact"/>
              <w:jc w:val="right"/>
              <w:rPr>
                <w:rFonts w:ascii="宋体" w:hAnsi="宋体" w:eastAsia="宋体" w:cs="宋体"/>
                <w:sz w:val="18"/>
                <w:szCs w:val="18"/>
              </w:rPr>
            </w:pPr>
            <w:r>
              <w:rPr>
                <w:rFonts w:ascii="宋体" w:hAnsi="宋体" w:eastAsia="宋体" w:cs="宋体"/>
                <w:sz w:val="18"/>
                <w:szCs w:val="18"/>
              </w:rPr>
              <w:t>406,145,938.62</w:t>
            </w:r>
          </w:p>
        </w:tc>
        <w:tc>
          <w:tcPr>
            <w:tcW w:w="1606" w:type="dxa"/>
            <w:tcBorders>
              <w:top w:val="single" w:color="auto" w:sz="2" w:space="0"/>
              <w:left w:val="single" w:color="auto" w:sz="2" w:space="0"/>
              <w:bottom w:val="single" w:color="auto" w:sz="2" w:space="0"/>
              <w:right w:val="single" w:color="auto" w:sz="2" w:space="0"/>
            </w:tcBorders>
            <w:vAlign w:val="center"/>
          </w:tcPr>
          <w:p w14:paraId="680F0F3A">
            <w:pPr>
              <w:spacing w:before="0" w:after="0" w:line="240" w:lineRule="exact"/>
              <w:jc w:val="right"/>
              <w:rPr>
                <w:rFonts w:ascii="宋体" w:hAnsi="宋体" w:eastAsia="宋体" w:cs="宋体"/>
                <w:sz w:val="18"/>
                <w:szCs w:val="18"/>
              </w:rPr>
            </w:pPr>
            <w:r>
              <w:rPr>
                <w:rFonts w:ascii="宋体" w:hAnsi="宋体" w:eastAsia="宋体" w:cs="宋体"/>
                <w:sz w:val="18"/>
                <w:szCs w:val="18"/>
              </w:rPr>
              <w:t>141,619,329.53</w:t>
            </w:r>
          </w:p>
        </w:tc>
        <w:tc>
          <w:tcPr>
            <w:tcW w:w="1606" w:type="dxa"/>
            <w:tcBorders>
              <w:top w:val="single" w:color="auto" w:sz="2" w:space="0"/>
              <w:left w:val="single" w:color="auto" w:sz="2" w:space="0"/>
              <w:bottom w:val="single" w:color="auto" w:sz="2" w:space="0"/>
              <w:right w:val="single" w:color="auto" w:sz="2" w:space="0"/>
            </w:tcBorders>
            <w:vAlign w:val="center"/>
          </w:tcPr>
          <w:p w14:paraId="0D69477B">
            <w:pPr>
              <w:spacing w:before="0" w:after="0" w:line="240" w:lineRule="exact"/>
              <w:jc w:val="right"/>
              <w:rPr>
                <w:rFonts w:ascii="宋体" w:hAnsi="宋体" w:eastAsia="宋体" w:cs="宋体"/>
                <w:sz w:val="18"/>
                <w:szCs w:val="18"/>
              </w:rPr>
            </w:pPr>
            <w:r>
              <w:rPr>
                <w:rFonts w:ascii="宋体" w:hAnsi="宋体" w:eastAsia="宋体" w:cs="宋体"/>
                <w:sz w:val="18"/>
                <w:szCs w:val="18"/>
              </w:rPr>
              <w:t>1,658,302.74</w:t>
            </w:r>
          </w:p>
        </w:tc>
        <w:tc>
          <w:tcPr>
            <w:tcW w:w="1606" w:type="dxa"/>
            <w:tcBorders>
              <w:top w:val="single" w:color="auto" w:sz="2" w:space="0"/>
              <w:left w:val="single" w:color="auto" w:sz="2" w:space="0"/>
              <w:bottom w:val="single" w:color="auto" w:sz="2" w:space="0"/>
              <w:right w:val="single" w:color="auto" w:sz="2" w:space="0"/>
            </w:tcBorders>
            <w:vAlign w:val="center"/>
          </w:tcPr>
          <w:p w14:paraId="51F0C2DA">
            <w:pPr>
              <w:spacing w:before="0" w:after="0" w:line="240" w:lineRule="exact"/>
              <w:jc w:val="right"/>
              <w:rPr>
                <w:rFonts w:ascii="宋体" w:hAnsi="宋体" w:eastAsia="宋体" w:cs="宋体"/>
                <w:sz w:val="18"/>
                <w:szCs w:val="18"/>
              </w:rPr>
            </w:pPr>
            <w:r>
              <w:rPr>
                <w:rFonts w:ascii="宋体" w:hAnsi="宋体" w:eastAsia="宋体" w:cs="宋体"/>
                <w:sz w:val="18"/>
                <w:szCs w:val="18"/>
              </w:rPr>
              <w:t>8,837,998.83</w:t>
            </w:r>
          </w:p>
        </w:tc>
        <w:tc>
          <w:tcPr>
            <w:tcW w:w="1606" w:type="dxa"/>
            <w:tcBorders>
              <w:top w:val="single" w:color="auto" w:sz="2" w:space="0"/>
              <w:left w:val="single" w:color="auto" w:sz="2" w:space="0"/>
              <w:bottom w:val="single" w:color="auto" w:sz="2" w:space="0"/>
              <w:right w:val="single" w:color="auto" w:sz="2" w:space="0"/>
            </w:tcBorders>
            <w:vAlign w:val="center"/>
          </w:tcPr>
          <w:p w14:paraId="4E9D7B50">
            <w:pPr>
              <w:spacing w:before="0" w:after="0" w:line="240" w:lineRule="exact"/>
              <w:jc w:val="right"/>
              <w:rPr>
                <w:rFonts w:ascii="宋体" w:hAnsi="宋体" w:eastAsia="宋体" w:cs="宋体"/>
                <w:sz w:val="18"/>
                <w:szCs w:val="18"/>
              </w:rPr>
            </w:pPr>
            <w:r>
              <w:rPr>
                <w:rFonts w:ascii="宋体" w:hAnsi="宋体" w:eastAsia="宋体" w:cs="宋体"/>
                <w:sz w:val="18"/>
                <w:szCs w:val="18"/>
              </w:rPr>
              <w:t>558,261,569.72</w:t>
            </w:r>
          </w:p>
        </w:tc>
      </w:tr>
      <w:tr w14:paraId="4C4FDA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E46C21B">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2.期初账面价值</w:t>
            </w:r>
          </w:p>
        </w:tc>
        <w:tc>
          <w:tcPr>
            <w:tcW w:w="1606" w:type="dxa"/>
            <w:tcBorders>
              <w:top w:val="single" w:color="auto" w:sz="2" w:space="0"/>
              <w:left w:val="single" w:color="auto" w:sz="2" w:space="0"/>
              <w:bottom w:val="single" w:color="auto" w:sz="2" w:space="0"/>
              <w:right w:val="single" w:color="auto" w:sz="2" w:space="0"/>
            </w:tcBorders>
            <w:vAlign w:val="center"/>
          </w:tcPr>
          <w:p w14:paraId="362F355B">
            <w:pPr>
              <w:spacing w:before="0" w:after="0" w:line="240" w:lineRule="exact"/>
              <w:jc w:val="right"/>
              <w:rPr>
                <w:rFonts w:ascii="宋体" w:hAnsi="宋体" w:eastAsia="宋体" w:cs="宋体"/>
                <w:sz w:val="18"/>
                <w:szCs w:val="18"/>
              </w:rPr>
            </w:pPr>
            <w:r>
              <w:rPr>
                <w:rFonts w:ascii="宋体" w:hAnsi="宋体" w:eastAsia="宋体" w:cs="宋体"/>
                <w:sz w:val="18"/>
                <w:szCs w:val="18"/>
              </w:rPr>
              <w:t>433,132,229.38</w:t>
            </w:r>
          </w:p>
        </w:tc>
        <w:tc>
          <w:tcPr>
            <w:tcW w:w="1606" w:type="dxa"/>
            <w:tcBorders>
              <w:top w:val="single" w:color="auto" w:sz="2" w:space="0"/>
              <w:left w:val="single" w:color="auto" w:sz="2" w:space="0"/>
              <w:bottom w:val="single" w:color="auto" w:sz="2" w:space="0"/>
              <w:right w:val="single" w:color="auto" w:sz="2" w:space="0"/>
            </w:tcBorders>
            <w:vAlign w:val="center"/>
          </w:tcPr>
          <w:p w14:paraId="78DD691C">
            <w:pPr>
              <w:spacing w:before="0" w:after="0" w:line="240" w:lineRule="exact"/>
              <w:jc w:val="right"/>
              <w:rPr>
                <w:rFonts w:ascii="宋体" w:hAnsi="宋体" w:eastAsia="宋体" w:cs="宋体"/>
                <w:sz w:val="18"/>
                <w:szCs w:val="18"/>
              </w:rPr>
            </w:pPr>
            <w:r>
              <w:rPr>
                <w:rFonts w:ascii="宋体" w:hAnsi="宋体" w:eastAsia="宋体" w:cs="宋体"/>
                <w:sz w:val="18"/>
                <w:szCs w:val="18"/>
              </w:rPr>
              <w:t>162,619,896.77</w:t>
            </w:r>
          </w:p>
        </w:tc>
        <w:tc>
          <w:tcPr>
            <w:tcW w:w="1606" w:type="dxa"/>
            <w:tcBorders>
              <w:top w:val="single" w:color="auto" w:sz="2" w:space="0"/>
              <w:left w:val="single" w:color="auto" w:sz="2" w:space="0"/>
              <w:bottom w:val="single" w:color="auto" w:sz="2" w:space="0"/>
              <w:right w:val="single" w:color="auto" w:sz="2" w:space="0"/>
            </w:tcBorders>
            <w:vAlign w:val="center"/>
          </w:tcPr>
          <w:p w14:paraId="268FD318">
            <w:pPr>
              <w:spacing w:before="0" w:after="0" w:line="240" w:lineRule="exact"/>
              <w:jc w:val="right"/>
              <w:rPr>
                <w:rFonts w:ascii="宋体" w:hAnsi="宋体" w:eastAsia="宋体" w:cs="宋体"/>
                <w:sz w:val="18"/>
                <w:szCs w:val="18"/>
              </w:rPr>
            </w:pPr>
            <w:r>
              <w:rPr>
                <w:rFonts w:ascii="宋体" w:hAnsi="宋体" w:eastAsia="宋体" w:cs="宋体"/>
                <w:sz w:val="18"/>
                <w:szCs w:val="18"/>
              </w:rPr>
              <w:t>2,002,982.48</w:t>
            </w:r>
          </w:p>
        </w:tc>
        <w:tc>
          <w:tcPr>
            <w:tcW w:w="1606" w:type="dxa"/>
            <w:tcBorders>
              <w:top w:val="single" w:color="auto" w:sz="2" w:space="0"/>
              <w:left w:val="single" w:color="auto" w:sz="2" w:space="0"/>
              <w:bottom w:val="single" w:color="auto" w:sz="2" w:space="0"/>
              <w:right w:val="single" w:color="auto" w:sz="2" w:space="0"/>
            </w:tcBorders>
            <w:vAlign w:val="center"/>
          </w:tcPr>
          <w:p w14:paraId="23B076C1">
            <w:pPr>
              <w:spacing w:before="0" w:after="0" w:line="240" w:lineRule="exact"/>
              <w:jc w:val="right"/>
              <w:rPr>
                <w:rFonts w:ascii="宋体" w:hAnsi="宋体" w:eastAsia="宋体" w:cs="宋体"/>
                <w:sz w:val="18"/>
                <w:szCs w:val="18"/>
              </w:rPr>
            </w:pPr>
            <w:r>
              <w:rPr>
                <w:rFonts w:ascii="宋体" w:hAnsi="宋体" w:eastAsia="宋体" w:cs="宋体"/>
                <w:sz w:val="18"/>
                <w:szCs w:val="18"/>
              </w:rPr>
              <w:t>11,379,664.20</w:t>
            </w:r>
          </w:p>
        </w:tc>
        <w:tc>
          <w:tcPr>
            <w:tcW w:w="1606" w:type="dxa"/>
            <w:tcBorders>
              <w:top w:val="single" w:color="auto" w:sz="2" w:space="0"/>
              <w:left w:val="single" w:color="auto" w:sz="2" w:space="0"/>
              <w:bottom w:val="single" w:color="auto" w:sz="2" w:space="0"/>
              <w:right w:val="single" w:color="auto" w:sz="2" w:space="0"/>
            </w:tcBorders>
            <w:vAlign w:val="center"/>
          </w:tcPr>
          <w:p w14:paraId="28757BFA">
            <w:pPr>
              <w:spacing w:before="0" w:after="0" w:line="240" w:lineRule="exact"/>
              <w:jc w:val="right"/>
              <w:rPr>
                <w:rFonts w:ascii="宋体" w:hAnsi="宋体" w:eastAsia="宋体" w:cs="宋体"/>
                <w:sz w:val="18"/>
                <w:szCs w:val="18"/>
              </w:rPr>
            </w:pPr>
            <w:r>
              <w:rPr>
                <w:rFonts w:ascii="宋体" w:hAnsi="宋体" w:eastAsia="宋体" w:cs="宋体"/>
                <w:sz w:val="18"/>
                <w:szCs w:val="18"/>
              </w:rPr>
              <w:t>609,134,772.83</w:t>
            </w:r>
          </w:p>
        </w:tc>
      </w:tr>
    </w:tbl>
    <w:p w14:paraId="67E5B9F1">
      <w:pPr>
        <w:keepNext/>
        <w:keepLines/>
        <w:spacing w:before="300" w:after="300" w:line="280" w:lineRule="exact"/>
        <w:jc w:val="left"/>
        <w:outlineLvl w:val="3"/>
        <w:rPr>
          <w:rFonts w:ascii="宋体" w:hAnsi="宋体" w:eastAsia="宋体" w:cs="宋体"/>
          <w:b/>
          <w:bCs/>
          <w:sz w:val="21"/>
          <w:szCs w:val="21"/>
        </w:rPr>
      </w:pPr>
      <w:bookmarkStart w:id="319" w:name="_Toc989206"/>
      <w:r>
        <w:rPr>
          <w:rFonts w:ascii="宋体" w:hAnsi="宋体" w:eastAsia="宋体" w:cs="宋体"/>
          <w:b/>
          <w:bCs/>
          <w:sz w:val="21"/>
          <w:szCs w:val="21"/>
        </w:rPr>
        <w:t>（2） 暂时闲置的固定资产情况</w:t>
      </w:r>
      <w:bookmarkEnd w:id="319"/>
    </w:p>
    <w:p w14:paraId="609B623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7072BC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1BE210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98DD4B4">
            <w:pPr>
              <w:spacing w:before="40" w:after="40" w:line="240" w:lineRule="exact"/>
              <w:jc w:val="center"/>
              <w:rPr>
                <w:rFonts w:ascii="宋体" w:hAnsi="宋体" w:eastAsia="宋体" w:cs="宋体"/>
                <w:sz w:val="18"/>
                <w:szCs w:val="18"/>
              </w:rPr>
            </w:pPr>
            <w:r>
              <w:rPr>
                <w:rFonts w:ascii="宋体" w:hAnsi="宋体" w:eastAsia="宋体" w:cs="宋体"/>
                <w:sz w:val="18"/>
                <w:szCs w:val="18"/>
              </w:rPr>
              <w:t>账面原值</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EABEBB5">
            <w:pPr>
              <w:spacing w:before="40" w:after="40" w:line="240" w:lineRule="exact"/>
              <w:jc w:val="center"/>
              <w:rPr>
                <w:rFonts w:ascii="宋体" w:hAnsi="宋体" w:eastAsia="宋体" w:cs="宋体"/>
                <w:sz w:val="18"/>
                <w:szCs w:val="18"/>
              </w:rPr>
            </w:pPr>
            <w:r>
              <w:rPr>
                <w:rFonts w:ascii="宋体" w:hAnsi="宋体" w:eastAsia="宋体" w:cs="宋体"/>
                <w:sz w:val="18"/>
                <w:szCs w:val="18"/>
              </w:rPr>
              <w:t>累计折旧</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7E2BBA1">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FB4DF48">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313A28F">
            <w:pPr>
              <w:spacing w:before="40" w:after="40" w:line="240" w:lineRule="exact"/>
              <w:jc w:val="center"/>
              <w:rPr>
                <w:rFonts w:ascii="宋体" w:hAnsi="宋体" w:eastAsia="宋体" w:cs="宋体"/>
                <w:sz w:val="18"/>
                <w:szCs w:val="18"/>
              </w:rPr>
            </w:pPr>
            <w:r>
              <w:rPr>
                <w:rFonts w:ascii="宋体" w:hAnsi="宋体" w:eastAsia="宋体" w:cs="宋体"/>
                <w:sz w:val="18"/>
                <w:szCs w:val="18"/>
              </w:rPr>
              <w:t>备注</w:t>
            </w:r>
          </w:p>
        </w:tc>
      </w:tr>
      <w:tr w14:paraId="63880F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96FB2FA">
            <w:pPr>
              <w:spacing w:before="0" w:after="0" w:line="240" w:lineRule="exact"/>
              <w:jc w:val="left"/>
              <w:rPr>
                <w:rFonts w:ascii="宋体" w:hAnsi="宋体" w:eastAsia="宋体" w:cs="宋体"/>
                <w:sz w:val="18"/>
                <w:szCs w:val="18"/>
              </w:rPr>
            </w:pPr>
            <w:r>
              <w:rPr>
                <w:rFonts w:ascii="宋体" w:hAnsi="宋体" w:eastAsia="宋体" w:cs="宋体"/>
                <w:sz w:val="18"/>
                <w:szCs w:val="18"/>
              </w:rPr>
              <w:t>机器设备</w:t>
            </w:r>
          </w:p>
        </w:tc>
        <w:tc>
          <w:tcPr>
            <w:tcW w:w="1606" w:type="dxa"/>
            <w:tcBorders>
              <w:top w:val="single" w:color="auto" w:sz="2" w:space="0"/>
              <w:left w:val="single" w:color="auto" w:sz="2" w:space="0"/>
              <w:bottom w:val="single" w:color="auto" w:sz="2" w:space="0"/>
              <w:right w:val="single" w:color="auto" w:sz="2" w:space="0"/>
            </w:tcBorders>
            <w:vAlign w:val="center"/>
          </w:tcPr>
          <w:p w14:paraId="1AF9141A">
            <w:pPr>
              <w:spacing w:before="0" w:after="0" w:line="240" w:lineRule="exact"/>
              <w:jc w:val="right"/>
              <w:rPr>
                <w:rFonts w:ascii="宋体" w:hAnsi="宋体" w:eastAsia="宋体" w:cs="宋体"/>
                <w:sz w:val="18"/>
                <w:szCs w:val="18"/>
              </w:rPr>
            </w:pPr>
            <w:r>
              <w:rPr>
                <w:rFonts w:ascii="宋体" w:hAnsi="宋体" w:eastAsia="宋体" w:cs="宋体"/>
                <w:sz w:val="18"/>
                <w:szCs w:val="18"/>
              </w:rPr>
              <w:t>46,335,769.92</w:t>
            </w:r>
          </w:p>
        </w:tc>
        <w:tc>
          <w:tcPr>
            <w:tcW w:w="1606" w:type="dxa"/>
            <w:tcBorders>
              <w:top w:val="single" w:color="auto" w:sz="2" w:space="0"/>
              <w:left w:val="single" w:color="auto" w:sz="2" w:space="0"/>
              <w:bottom w:val="single" w:color="auto" w:sz="2" w:space="0"/>
              <w:right w:val="single" w:color="auto" w:sz="2" w:space="0"/>
            </w:tcBorders>
            <w:vAlign w:val="center"/>
          </w:tcPr>
          <w:p w14:paraId="7BB4B429">
            <w:pPr>
              <w:spacing w:before="0" w:after="0" w:line="240" w:lineRule="exact"/>
              <w:jc w:val="right"/>
              <w:rPr>
                <w:rFonts w:ascii="宋体" w:hAnsi="宋体" w:eastAsia="宋体" w:cs="宋体"/>
                <w:sz w:val="18"/>
                <w:szCs w:val="18"/>
              </w:rPr>
            </w:pPr>
            <w:r>
              <w:rPr>
                <w:rFonts w:ascii="宋体" w:hAnsi="宋体" w:eastAsia="宋体" w:cs="宋体"/>
                <w:sz w:val="18"/>
                <w:szCs w:val="18"/>
              </w:rPr>
              <w:t>8,996,628.44</w:t>
            </w:r>
          </w:p>
        </w:tc>
        <w:tc>
          <w:tcPr>
            <w:tcW w:w="1606" w:type="dxa"/>
            <w:tcBorders>
              <w:top w:val="single" w:color="auto" w:sz="2" w:space="0"/>
              <w:left w:val="single" w:color="auto" w:sz="2" w:space="0"/>
              <w:bottom w:val="single" w:color="auto" w:sz="2" w:space="0"/>
              <w:right w:val="single" w:color="auto" w:sz="2" w:space="0"/>
            </w:tcBorders>
            <w:vAlign w:val="center"/>
          </w:tcPr>
          <w:p w14:paraId="62615166">
            <w:pPr>
              <w:spacing w:before="0" w:after="0" w:line="240" w:lineRule="exact"/>
              <w:jc w:val="right"/>
              <w:rPr>
                <w:rFonts w:ascii="宋体" w:hAnsi="宋体" w:eastAsia="宋体" w:cs="宋体"/>
                <w:sz w:val="18"/>
                <w:szCs w:val="18"/>
              </w:rPr>
            </w:pPr>
            <w:r>
              <w:rPr>
                <w:rFonts w:ascii="宋体" w:hAnsi="宋体" w:eastAsia="宋体" w:cs="宋体"/>
                <w:sz w:val="18"/>
                <w:szCs w:val="18"/>
              </w:rPr>
              <w:t>4,284,982.64</w:t>
            </w:r>
          </w:p>
        </w:tc>
        <w:tc>
          <w:tcPr>
            <w:tcW w:w="1606" w:type="dxa"/>
            <w:tcBorders>
              <w:top w:val="single" w:color="auto" w:sz="2" w:space="0"/>
              <w:left w:val="single" w:color="auto" w:sz="2" w:space="0"/>
              <w:bottom w:val="single" w:color="auto" w:sz="2" w:space="0"/>
              <w:right w:val="single" w:color="auto" w:sz="2" w:space="0"/>
            </w:tcBorders>
            <w:vAlign w:val="center"/>
          </w:tcPr>
          <w:p w14:paraId="3B7B8C11">
            <w:pPr>
              <w:spacing w:before="0" w:after="0" w:line="240" w:lineRule="exact"/>
              <w:jc w:val="right"/>
              <w:rPr>
                <w:rFonts w:ascii="宋体" w:hAnsi="宋体" w:eastAsia="宋体" w:cs="宋体"/>
                <w:sz w:val="18"/>
                <w:szCs w:val="18"/>
              </w:rPr>
            </w:pPr>
            <w:r>
              <w:rPr>
                <w:rFonts w:ascii="宋体" w:hAnsi="宋体" w:eastAsia="宋体" w:cs="宋体"/>
                <w:sz w:val="18"/>
                <w:szCs w:val="18"/>
              </w:rPr>
              <w:t>33,054,158.84</w:t>
            </w:r>
          </w:p>
        </w:tc>
        <w:tc>
          <w:tcPr>
            <w:tcW w:w="1606" w:type="dxa"/>
            <w:tcBorders>
              <w:top w:val="single" w:color="auto" w:sz="2" w:space="0"/>
              <w:left w:val="single" w:color="auto" w:sz="2" w:space="0"/>
              <w:bottom w:val="single" w:color="auto" w:sz="2" w:space="0"/>
              <w:right w:val="single" w:color="auto" w:sz="2" w:space="0"/>
            </w:tcBorders>
            <w:vAlign w:val="center"/>
          </w:tcPr>
          <w:p w14:paraId="4FB88DF8">
            <w:pPr>
              <w:spacing w:before="0" w:after="0" w:line="240" w:lineRule="exact"/>
              <w:jc w:val="left"/>
              <w:rPr>
                <w:rFonts w:ascii="宋体" w:hAnsi="宋体" w:eastAsia="宋体" w:cs="宋体"/>
                <w:sz w:val="18"/>
                <w:szCs w:val="18"/>
              </w:rPr>
            </w:pPr>
          </w:p>
        </w:tc>
      </w:tr>
      <w:tr w14:paraId="625AEB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4723FFAE">
            <w:pPr>
              <w:spacing w:before="0" w:after="0" w:line="240" w:lineRule="exact"/>
              <w:jc w:val="left"/>
              <w:rPr>
                <w:rFonts w:ascii="宋体" w:hAnsi="宋体" w:eastAsia="宋体" w:cs="宋体"/>
                <w:sz w:val="18"/>
                <w:szCs w:val="18"/>
              </w:rPr>
            </w:pPr>
            <w:r>
              <w:rPr>
                <w:rFonts w:ascii="宋体" w:hAnsi="宋体" w:eastAsia="宋体" w:cs="宋体"/>
                <w:sz w:val="18"/>
                <w:szCs w:val="18"/>
              </w:rPr>
              <w:t>办公设备</w:t>
            </w:r>
          </w:p>
        </w:tc>
        <w:tc>
          <w:tcPr>
            <w:tcW w:w="1606" w:type="dxa"/>
            <w:tcBorders>
              <w:top w:val="single" w:color="auto" w:sz="2" w:space="0"/>
              <w:left w:val="single" w:color="auto" w:sz="2" w:space="0"/>
              <w:bottom w:val="single" w:color="auto" w:sz="2" w:space="0"/>
              <w:right w:val="single" w:color="auto" w:sz="2" w:space="0"/>
            </w:tcBorders>
            <w:vAlign w:val="center"/>
          </w:tcPr>
          <w:p w14:paraId="692F205E">
            <w:pPr>
              <w:spacing w:before="0" w:after="0" w:line="240" w:lineRule="exact"/>
              <w:jc w:val="right"/>
              <w:rPr>
                <w:rFonts w:ascii="宋体" w:hAnsi="宋体" w:eastAsia="宋体" w:cs="宋体"/>
                <w:sz w:val="18"/>
                <w:szCs w:val="18"/>
              </w:rPr>
            </w:pPr>
            <w:r>
              <w:rPr>
                <w:rFonts w:ascii="宋体" w:hAnsi="宋体" w:eastAsia="宋体" w:cs="宋体"/>
                <w:sz w:val="18"/>
                <w:szCs w:val="18"/>
              </w:rPr>
              <w:t>26,612.81</w:t>
            </w:r>
          </w:p>
        </w:tc>
        <w:tc>
          <w:tcPr>
            <w:tcW w:w="1606" w:type="dxa"/>
            <w:tcBorders>
              <w:top w:val="single" w:color="auto" w:sz="2" w:space="0"/>
              <w:left w:val="single" w:color="auto" w:sz="2" w:space="0"/>
              <w:bottom w:val="single" w:color="auto" w:sz="2" w:space="0"/>
              <w:right w:val="single" w:color="auto" w:sz="2" w:space="0"/>
            </w:tcBorders>
            <w:vAlign w:val="center"/>
          </w:tcPr>
          <w:p w14:paraId="5F98993C">
            <w:pPr>
              <w:spacing w:before="0" w:after="0" w:line="240" w:lineRule="exact"/>
              <w:jc w:val="right"/>
              <w:rPr>
                <w:rFonts w:ascii="宋体" w:hAnsi="宋体" w:eastAsia="宋体" w:cs="宋体"/>
                <w:sz w:val="18"/>
                <w:szCs w:val="18"/>
              </w:rPr>
            </w:pPr>
            <w:r>
              <w:rPr>
                <w:rFonts w:ascii="宋体" w:hAnsi="宋体" w:eastAsia="宋体" w:cs="宋体"/>
                <w:sz w:val="18"/>
                <w:szCs w:val="18"/>
              </w:rPr>
              <w:t>25,282.17</w:t>
            </w:r>
          </w:p>
        </w:tc>
        <w:tc>
          <w:tcPr>
            <w:tcW w:w="1606" w:type="dxa"/>
            <w:tcBorders>
              <w:top w:val="single" w:color="auto" w:sz="2" w:space="0"/>
              <w:left w:val="single" w:color="auto" w:sz="2" w:space="0"/>
              <w:bottom w:val="single" w:color="auto" w:sz="2" w:space="0"/>
              <w:right w:val="single" w:color="auto" w:sz="2" w:space="0"/>
            </w:tcBorders>
            <w:vAlign w:val="center"/>
          </w:tcPr>
          <w:p w14:paraId="185BC931">
            <w:pPr>
              <w:spacing w:before="0" w:after="0" w:line="240" w:lineRule="exact"/>
              <w:jc w:val="right"/>
              <w:rPr>
                <w:rFonts w:ascii="宋体" w:hAnsi="宋体" w:eastAsia="宋体" w:cs="宋体"/>
                <w:sz w:val="18"/>
                <w:szCs w:val="18"/>
              </w:rPr>
            </w:pPr>
            <w:r>
              <w:rPr>
                <w:rFonts w:ascii="宋体" w:hAnsi="宋体" w:eastAsia="宋体" w:cs="宋体"/>
                <w:sz w:val="18"/>
                <w:szCs w:val="18"/>
              </w:rPr>
              <w:t>1,305.08</w:t>
            </w:r>
          </w:p>
        </w:tc>
        <w:tc>
          <w:tcPr>
            <w:tcW w:w="1606" w:type="dxa"/>
            <w:tcBorders>
              <w:top w:val="single" w:color="auto" w:sz="2" w:space="0"/>
              <w:left w:val="single" w:color="auto" w:sz="2" w:space="0"/>
              <w:bottom w:val="single" w:color="auto" w:sz="2" w:space="0"/>
              <w:right w:val="single" w:color="auto" w:sz="2" w:space="0"/>
            </w:tcBorders>
            <w:vAlign w:val="center"/>
          </w:tcPr>
          <w:p w14:paraId="4759C72F">
            <w:pPr>
              <w:spacing w:before="0" w:after="0" w:line="240" w:lineRule="exact"/>
              <w:jc w:val="right"/>
              <w:rPr>
                <w:rFonts w:ascii="宋体" w:hAnsi="宋体" w:eastAsia="宋体" w:cs="宋体"/>
                <w:sz w:val="18"/>
                <w:szCs w:val="18"/>
              </w:rPr>
            </w:pPr>
            <w:r>
              <w:rPr>
                <w:rFonts w:ascii="宋体" w:hAnsi="宋体" w:eastAsia="宋体" w:cs="宋体"/>
                <w:sz w:val="18"/>
                <w:szCs w:val="18"/>
              </w:rPr>
              <w:t>25.56</w:t>
            </w:r>
          </w:p>
        </w:tc>
        <w:tc>
          <w:tcPr>
            <w:tcW w:w="1606" w:type="dxa"/>
            <w:tcBorders>
              <w:top w:val="single" w:color="auto" w:sz="2" w:space="0"/>
              <w:left w:val="single" w:color="auto" w:sz="2" w:space="0"/>
              <w:bottom w:val="single" w:color="auto" w:sz="2" w:space="0"/>
              <w:right w:val="single" w:color="auto" w:sz="2" w:space="0"/>
            </w:tcBorders>
            <w:vAlign w:val="center"/>
          </w:tcPr>
          <w:p w14:paraId="7F96DD86">
            <w:pPr>
              <w:spacing w:before="0" w:after="0" w:line="240" w:lineRule="exact"/>
              <w:jc w:val="left"/>
              <w:rPr>
                <w:rFonts w:ascii="宋体" w:hAnsi="宋体" w:eastAsia="宋体" w:cs="宋体"/>
                <w:sz w:val="18"/>
                <w:szCs w:val="18"/>
              </w:rPr>
            </w:pPr>
          </w:p>
        </w:tc>
      </w:tr>
      <w:tr w14:paraId="55004C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7DE4B117">
            <w:pPr>
              <w:spacing w:before="0" w:after="0" w:line="240" w:lineRule="exact"/>
              <w:jc w:val="lef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vAlign w:val="center"/>
          </w:tcPr>
          <w:p w14:paraId="0254F459">
            <w:pPr>
              <w:spacing w:before="0" w:after="0" w:line="240" w:lineRule="exact"/>
              <w:jc w:val="right"/>
              <w:rPr>
                <w:rFonts w:ascii="宋体" w:hAnsi="宋体" w:eastAsia="宋体" w:cs="宋体"/>
                <w:sz w:val="18"/>
                <w:szCs w:val="18"/>
              </w:rPr>
            </w:pPr>
            <w:r>
              <w:rPr>
                <w:rFonts w:ascii="宋体" w:hAnsi="宋体" w:eastAsia="宋体" w:cs="宋体"/>
                <w:sz w:val="18"/>
                <w:szCs w:val="18"/>
              </w:rPr>
              <w:t>46,362,382.73</w:t>
            </w:r>
          </w:p>
        </w:tc>
        <w:tc>
          <w:tcPr>
            <w:tcW w:w="1606" w:type="dxa"/>
            <w:tcBorders>
              <w:top w:val="single" w:color="auto" w:sz="2" w:space="0"/>
              <w:left w:val="single" w:color="auto" w:sz="2" w:space="0"/>
              <w:bottom w:val="single" w:color="auto" w:sz="2" w:space="0"/>
              <w:right w:val="single" w:color="auto" w:sz="2" w:space="0"/>
            </w:tcBorders>
            <w:vAlign w:val="center"/>
          </w:tcPr>
          <w:p w14:paraId="280CAAA0">
            <w:pPr>
              <w:spacing w:before="0" w:after="0" w:line="240" w:lineRule="exact"/>
              <w:jc w:val="right"/>
              <w:rPr>
                <w:rFonts w:ascii="宋体" w:hAnsi="宋体" w:eastAsia="宋体" w:cs="宋体"/>
                <w:sz w:val="18"/>
                <w:szCs w:val="18"/>
              </w:rPr>
            </w:pPr>
            <w:r>
              <w:rPr>
                <w:rFonts w:ascii="宋体" w:hAnsi="宋体" w:eastAsia="宋体" w:cs="宋体"/>
                <w:sz w:val="18"/>
                <w:szCs w:val="18"/>
              </w:rPr>
              <w:t>9,021,910.61</w:t>
            </w:r>
          </w:p>
        </w:tc>
        <w:tc>
          <w:tcPr>
            <w:tcW w:w="1606" w:type="dxa"/>
            <w:tcBorders>
              <w:top w:val="single" w:color="auto" w:sz="2" w:space="0"/>
              <w:left w:val="single" w:color="auto" w:sz="2" w:space="0"/>
              <w:bottom w:val="single" w:color="auto" w:sz="2" w:space="0"/>
              <w:right w:val="single" w:color="auto" w:sz="2" w:space="0"/>
            </w:tcBorders>
            <w:vAlign w:val="center"/>
          </w:tcPr>
          <w:p w14:paraId="611BC124">
            <w:pPr>
              <w:spacing w:before="0" w:after="0" w:line="240" w:lineRule="exact"/>
              <w:jc w:val="right"/>
              <w:rPr>
                <w:rFonts w:ascii="宋体" w:hAnsi="宋体" w:eastAsia="宋体" w:cs="宋体"/>
                <w:sz w:val="18"/>
                <w:szCs w:val="18"/>
              </w:rPr>
            </w:pPr>
            <w:r>
              <w:rPr>
                <w:rFonts w:ascii="宋体" w:hAnsi="宋体" w:eastAsia="宋体" w:cs="宋体"/>
                <w:sz w:val="18"/>
                <w:szCs w:val="18"/>
              </w:rPr>
              <w:t>4,286,287.72</w:t>
            </w:r>
          </w:p>
        </w:tc>
        <w:tc>
          <w:tcPr>
            <w:tcW w:w="1606" w:type="dxa"/>
            <w:tcBorders>
              <w:top w:val="single" w:color="auto" w:sz="2" w:space="0"/>
              <w:left w:val="single" w:color="auto" w:sz="2" w:space="0"/>
              <w:bottom w:val="single" w:color="auto" w:sz="2" w:space="0"/>
              <w:right w:val="single" w:color="auto" w:sz="2" w:space="0"/>
            </w:tcBorders>
            <w:vAlign w:val="center"/>
          </w:tcPr>
          <w:p w14:paraId="3CD76109">
            <w:pPr>
              <w:spacing w:before="0" w:after="0" w:line="240" w:lineRule="exact"/>
              <w:jc w:val="right"/>
              <w:rPr>
                <w:rFonts w:ascii="宋体" w:hAnsi="宋体" w:eastAsia="宋体" w:cs="宋体"/>
                <w:sz w:val="18"/>
                <w:szCs w:val="18"/>
              </w:rPr>
            </w:pPr>
            <w:r>
              <w:rPr>
                <w:rFonts w:ascii="宋体" w:hAnsi="宋体" w:eastAsia="宋体" w:cs="宋体"/>
                <w:sz w:val="18"/>
                <w:szCs w:val="18"/>
              </w:rPr>
              <w:t>33,054,184.40</w:t>
            </w:r>
          </w:p>
        </w:tc>
        <w:tc>
          <w:tcPr>
            <w:tcW w:w="1606" w:type="dxa"/>
            <w:tcBorders>
              <w:top w:val="single" w:color="auto" w:sz="2" w:space="0"/>
              <w:left w:val="single" w:color="auto" w:sz="2" w:space="0"/>
              <w:bottom w:val="single" w:color="auto" w:sz="2" w:space="0"/>
              <w:right w:val="single" w:color="auto" w:sz="2" w:space="0"/>
            </w:tcBorders>
            <w:vAlign w:val="center"/>
          </w:tcPr>
          <w:p w14:paraId="6DC65A76">
            <w:pPr>
              <w:spacing w:before="0" w:after="0" w:line="240" w:lineRule="exact"/>
              <w:jc w:val="left"/>
              <w:rPr>
                <w:rFonts w:ascii="宋体" w:hAnsi="宋体" w:eastAsia="宋体" w:cs="宋体"/>
                <w:sz w:val="18"/>
                <w:szCs w:val="18"/>
              </w:rPr>
            </w:pPr>
          </w:p>
        </w:tc>
      </w:tr>
    </w:tbl>
    <w:p w14:paraId="00E3D3F2">
      <w:pPr>
        <w:keepNext/>
        <w:keepLines/>
        <w:spacing w:before="300" w:after="300" w:line="280" w:lineRule="exact"/>
        <w:jc w:val="left"/>
        <w:outlineLvl w:val="3"/>
        <w:rPr>
          <w:rFonts w:ascii="宋体" w:hAnsi="宋体" w:eastAsia="宋体" w:cs="宋体"/>
          <w:b/>
          <w:bCs/>
          <w:sz w:val="21"/>
          <w:szCs w:val="21"/>
        </w:rPr>
      </w:pPr>
      <w:bookmarkStart w:id="320" w:name="_Toc989207"/>
      <w:r>
        <w:rPr>
          <w:rFonts w:ascii="宋体" w:hAnsi="宋体" w:eastAsia="宋体" w:cs="宋体"/>
          <w:b/>
          <w:bCs/>
          <w:sz w:val="21"/>
          <w:szCs w:val="21"/>
        </w:rPr>
        <w:t>（3） 通过经营租赁租出的固定资产</w:t>
      </w:r>
      <w:bookmarkEnd w:id="320"/>
    </w:p>
    <w:p w14:paraId="03D4E2E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5FE2C9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5E3E10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6E7001D">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期末账面价值</w:t>
            </w:r>
          </w:p>
        </w:tc>
      </w:tr>
      <w:tr w14:paraId="568A5E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2BFBF49E">
            <w:pPr>
              <w:spacing w:before="0" w:after="0" w:line="240" w:lineRule="exact"/>
              <w:jc w:val="left"/>
              <w:rPr>
                <w:rFonts w:ascii="宋体" w:hAnsi="宋体" w:eastAsia="宋体" w:cs="宋体"/>
                <w:sz w:val="18"/>
                <w:szCs w:val="18"/>
              </w:rPr>
            </w:pPr>
            <w:r>
              <w:rPr>
                <w:rFonts w:ascii="宋体" w:hAnsi="宋体" w:eastAsia="宋体" w:cs="宋体"/>
                <w:sz w:val="18"/>
                <w:szCs w:val="18"/>
              </w:rPr>
              <w:t>房屋及建筑物</w:t>
            </w:r>
          </w:p>
        </w:tc>
        <w:tc>
          <w:tcPr>
            <w:tcW w:w="4820" w:type="dxa"/>
            <w:tcBorders>
              <w:top w:val="single" w:color="auto" w:sz="2" w:space="0"/>
              <w:left w:val="single" w:color="auto" w:sz="2" w:space="0"/>
              <w:bottom w:val="single" w:color="auto" w:sz="2" w:space="0"/>
              <w:right w:val="single" w:color="auto" w:sz="2" w:space="0"/>
            </w:tcBorders>
            <w:vAlign w:val="center"/>
          </w:tcPr>
          <w:p w14:paraId="362BB976">
            <w:pPr>
              <w:spacing w:before="0" w:after="0" w:line="240" w:lineRule="exact"/>
              <w:jc w:val="right"/>
              <w:rPr>
                <w:rFonts w:ascii="宋体" w:hAnsi="宋体" w:eastAsia="宋体" w:cs="宋体"/>
                <w:sz w:val="18"/>
                <w:szCs w:val="18"/>
              </w:rPr>
            </w:pPr>
            <w:r>
              <w:rPr>
                <w:rFonts w:ascii="宋体" w:hAnsi="宋体" w:eastAsia="宋体" w:cs="宋体"/>
                <w:sz w:val="18"/>
                <w:szCs w:val="18"/>
              </w:rPr>
              <w:t>50,454,370.58</w:t>
            </w:r>
          </w:p>
        </w:tc>
      </w:tr>
      <w:tr w14:paraId="3C1111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03AFB098">
            <w:pPr>
              <w:spacing w:before="0" w:after="0" w:line="240" w:lineRule="exact"/>
              <w:jc w:val="left"/>
              <w:rPr>
                <w:rFonts w:ascii="宋体" w:hAnsi="宋体" w:eastAsia="宋体" w:cs="宋体"/>
                <w:sz w:val="18"/>
                <w:szCs w:val="18"/>
              </w:rPr>
            </w:pPr>
            <w:r>
              <w:rPr>
                <w:rFonts w:ascii="宋体" w:hAnsi="宋体" w:eastAsia="宋体" w:cs="宋体"/>
                <w:sz w:val="18"/>
                <w:szCs w:val="18"/>
              </w:rPr>
              <w:t>合计</w:t>
            </w:r>
          </w:p>
        </w:tc>
        <w:tc>
          <w:tcPr>
            <w:tcW w:w="4820" w:type="dxa"/>
            <w:tcBorders>
              <w:top w:val="single" w:color="auto" w:sz="2" w:space="0"/>
              <w:left w:val="single" w:color="auto" w:sz="2" w:space="0"/>
              <w:bottom w:val="single" w:color="auto" w:sz="2" w:space="0"/>
              <w:right w:val="single" w:color="auto" w:sz="2" w:space="0"/>
            </w:tcBorders>
            <w:vAlign w:val="center"/>
          </w:tcPr>
          <w:p w14:paraId="17BAFDC5">
            <w:pPr>
              <w:spacing w:before="0" w:after="0" w:line="240" w:lineRule="exact"/>
              <w:jc w:val="right"/>
              <w:rPr>
                <w:rFonts w:ascii="宋体" w:hAnsi="宋体" w:eastAsia="宋体" w:cs="宋体"/>
                <w:sz w:val="18"/>
                <w:szCs w:val="18"/>
              </w:rPr>
            </w:pPr>
            <w:r>
              <w:rPr>
                <w:rFonts w:ascii="宋体" w:hAnsi="宋体" w:eastAsia="宋体" w:cs="宋体"/>
                <w:sz w:val="18"/>
                <w:szCs w:val="18"/>
              </w:rPr>
              <w:t>50,454,370.58</w:t>
            </w:r>
          </w:p>
        </w:tc>
      </w:tr>
    </w:tbl>
    <w:p w14:paraId="3F499B87">
      <w:pPr>
        <w:keepNext/>
        <w:keepLines/>
        <w:spacing w:before="300" w:after="300" w:line="280" w:lineRule="exact"/>
        <w:jc w:val="left"/>
        <w:outlineLvl w:val="3"/>
        <w:rPr>
          <w:rFonts w:ascii="宋体" w:hAnsi="宋体" w:eastAsia="宋体" w:cs="宋体"/>
          <w:b/>
          <w:bCs/>
          <w:sz w:val="21"/>
          <w:szCs w:val="21"/>
        </w:rPr>
      </w:pPr>
      <w:bookmarkStart w:id="321" w:name="_Toc989208"/>
      <w:r>
        <w:rPr>
          <w:rFonts w:ascii="宋体" w:hAnsi="宋体" w:eastAsia="宋体" w:cs="宋体"/>
          <w:b/>
          <w:bCs/>
          <w:sz w:val="21"/>
          <w:szCs w:val="21"/>
        </w:rPr>
        <w:t>（4） 未办妥产权证书的固定资产情况</w:t>
      </w:r>
      <w:bookmarkEnd w:id="321"/>
    </w:p>
    <w:p w14:paraId="3B31507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79D8D8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24F2B3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0EE376F">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35B6B41">
            <w:pPr>
              <w:spacing w:before="40" w:after="40" w:line="240" w:lineRule="exact"/>
              <w:jc w:val="center"/>
              <w:rPr>
                <w:rFonts w:ascii="宋体" w:hAnsi="宋体" w:eastAsia="宋体" w:cs="宋体"/>
                <w:sz w:val="18"/>
                <w:szCs w:val="18"/>
              </w:rPr>
            </w:pPr>
            <w:r>
              <w:rPr>
                <w:rFonts w:ascii="宋体" w:hAnsi="宋体" w:eastAsia="宋体" w:cs="宋体"/>
                <w:sz w:val="18"/>
                <w:szCs w:val="18"/>
              </w:rPr>
              <w:t>未办妥产权证书的原因</w:t>
            </w:r>
          </w:p>
        </w:tc>
      </w:tr>
    </w:tbl>
    <w:p w14:paraId="78DB3C31">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4290F4C6">
      <w:pPr>
        <w:pStyle w:val="2"/>
        <w:keepNext w:val="0"/>
        <w:keepLines w:val="0"/>
        <w:widowControl/>
        <w:suppressLineNumbers w:val="0"/>
        <w:spacing w:before="0" w:beforeAutospacing="0" w:after="0" w:afterAutospacing="0" w:line="360" w:lineRule="auto"/>
        <w:ind w:left="420" w:right="0" w:firstLine="0"/>
        <w:rPr>
          <w:rFonts w:hint="eastAsia" w:ascii="宋体" w:hAnsi="宋体" w:eastAsia="宋体" w:cs="宋体"/>
          <w:b/>
          <w:bCs/>
          <w:sz w:val="21"/>
          <w:szCs w:val="21"/>
        </w:rPr>
      </w:pPr>
      <w:r>
        <w:rPr>
          <w:rFonts w:hint="eastAsia" w:ascii="宋体" w:hAnsi="宋体" w:eastAsia="宋体" w:cs="宋体"/>
          <w:b w:val="0"/>
          <w:bCs w:val="0"/>
          <w:color w:val="000000"/>
          <w:sz w:val="21"/>
          <w:szCs w:val="21"/>
        </w:rPr>
        <w:t>经营租赁未来五年收款额：</w:t>
      </w:r>
    </w:p>
    <w:tbl>
      <w:tblPr>
        <w:tblStyle w:val="3"/>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840"/>
        <w:gridCol w:w="2823"/>
        <w:gridCol w:w="2665"/>
      </w:tblGrid>
      <w:tr w14:paraId="7562FCB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840" w:type="dxa"/>
            <w:tcBorders>
              <w:top w:val="single" w:color="auto" w:sz="8" w:space="0"/>
              <w:left w:val="single" w:color="auto" w:sz="8" w:space="0"/>
              <w:bottom w:val="single" w:color="auto" w:sz="8" w:space="0"/>
              <w:right w:val="single" w:color="auto" w:sz="8" w:space="0"/>
            </w:tcBorders>
            <w:shd w:val="clear" w:color="auto" w:fill="auto"/>
            <w:vAlign w:val="top"/>
          </w:tcPr>
          <w:p w14:paraId="55C15B3E">
            <w:pPr>
              <w:pStyle w:val="2"/>
              <w:keepNext w:val="0"/>
              <w:keepLines w:val="0"/>
              <w:widowControl/>
              <w:suppressLineNumbers w:val="0"/>
              <w:spacing w:before="62" w:beforeAutospacing="0" w:after="0" w:afterAutospacing="0"/>
              <w:ind w:left="899" w:right="0"/>
              <w:rPr>
                <w:rFonts w:ascii="Arial Narrow" w:hAnsi="Arial Narrow" w:eastAsia="Arial Narrow" w:cs="Arial Narrow"/>
                <w:sz w:val="22"/>
                <w:szCs w:val="22"/>
              </w:rPr>
            </w:pPr>
            <w:r>
              <w:rPr>
                <w:rFonts w:hint="eastAsia" w:ascii="宋体" w:hAnsi="宋体" w:eastAsia="宋体" w:cs="宋体"/>
                <w:sz w:val="18"/>
                <w:szCs w:val="18"/>
              </w:rPr>
              <w:t xml:space="preserve">剩余租赁年限 </w:t>
            </w:r>
          </w:p>
        </w:tc>
        <w:tc>
          <w:tcPr>
            <w:tcW w:w="2823" w:type="dxa"/>
            <w:tcBorders>
              <w:top w:val="single" w:color="auto" w:sz="8" w:space="0"/>
              <w:left w:val="nil"/>
              <w:bottom w:val="single" w:color="auto" w:sz="8" w:space="0"/>
              <w:right w:val="single" w:color="auto" w:sz="8" w:space="0"/>
            </w:tcBorders>
            <w:shd w:val="clear" w:color="auto" w:fill="auto"/>
            <w:vAlign w:val="top"/>
          </w:tcPr>
          <w:p w14:paraId="514E9A95">
            <w:pPr>
              <w:pStyle w:val="2"/>
              <w:keepNext w:val="0"/>
              <w:keepLines w:val="0"/>
              <w:widowControl/>
              <w:suppressLineNumbers w:val="0"/>
              <w:spacing w:before="62" w:beforeAutospacing="0" w:after="0" w:afterAutospacing="0"/>
              <w:ind w:left="1080" w:right="967"/>
              <w:jc w:val="center"/>
              <w:rPr>
                <w:rFonts w:hint="default" w:ascii="Arial Narrow" w:hAnsi="Arial Narrow" w:eastAsia="Arial Narrow" w:cs="Arial Narrow"/>
                <w:sz w:val="22"/>
                <w:szCs w:val="22"/>
              </w:rPr>
            </w:pPr>
            <w:r>
              <w:rPr>
                <w:rFonts w:hint="eastAsia" w:ascii="宋体" w:hAnsi="宋体" w:eastAsia="宋体" w:cs="宋体"/>
                <w:sz w:val="18"/>
                <w:szCs w:val="18"/>
              </w:rPr>
              <w:t xml:space="preserve">期末余额 </w:t>
            </w:r>
          </w:p>
        </w:tc>
        <w:tc>
          <w:tcPr>
            <w:tcW w:w="2665" w:type="dxa"/>
            <w:tcBorders>
              <w:top w:val="single" w:color="auto" w:sz="8" w:space="0"/>
              <w:left w:val="nil"/>
              <w:bottom w:val="single" w:color="auto" w:sz="8" w:space="0"/>
              <w:right w:val="single" w:color="auto" w:sz="8" w:space="0"/>
            </w:tcBorders>
            <w:shd w:val="clear" w:color="auto" w:fill="auto"/>
            <w:vAlign w:val="top"/>
          </w:tcPr>
          <w:p w14:paraId="2B78B38C">
            <w:pPr>
              <w:pStyle w:val="2"/>
              <w:keepNext w:val="0"/>
              <w:keepLines w:val="0"/>
              <w:widowControl/>
              <w:suppressLineNumbers w:val="0"/>
              <w:spacing w:before="62" w:beforeAutospacing="0" w:after="0" w:afterAutospacing="0"/>
              <w:ind w:left="978" w:right="0"/>
              <w:rPr>
                <w:rFonts w:hint="default" w:ascii="Arial Narrow" w:hAnsi="Arial Narrow" w:eastAsia="Arial Narrow" w:cs="Arial Narrow"/>
                <w:sz w:val="22"/>
                <w:szCs w:val="22"/>
              </w:rPr>
            </w:pPr>
            <w:r>
              <w:rPr>
                <w:rFonts w:hint="eastAsia" w:ascii="宋体" w:hAnsi="宋体" w:eastAsia="宋体" w:cs="宋体"/>
                <w:sz w:val="18"/>
                <w:szCs w:val="18"/>
              </w:rPr>
              <w:t xml:space="preserve">期初余额 </w:t>
            </w:r>
          </w:p>
        </w:tc>
      </w:tr>
      <w:tr w14:paraId="4E3E70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1" w:hRule="atLeast"/>
        </w:trPr>
        <w:tc>
          <w:tcPr>
            <w:tcW w:w="2840" w:type="dxa"/>
            <w:tcBorders>
              <w:top w:val="nil"/>
              <w:left w:val="single" w:color="auto" w:sz="8" w:space="0"/>
              <w:bottom w:val="single" w:color="auto" w:sz="8" w:space="0"/>
              <w:right w:val="single" w:color="auto" w:sz="8" w:space="0"/>
            </w:tcBorders>
            <w:shd w:val="clear" w:color="auto" w:fill="auto"/>
            <w:vAlign w:val="top"/>
          </w:tcPr>
          <w:p w14:paraId="49EE350B">
            <w:pPr>
              <w:pStyle w:val="2"/>
              <w:keepNext w:val="0"/>
              <w:keepLines w:val="0"/>
              <w:widowControl/>
              <w:suppressLineNumbers w:val="0"/>
              <w:spacing w:before="62" w:beforeAutospacing="0" w:after="0" w:afterAutospacing="0"/>
              <w:ind w:left="74" w:right="0"/>
              <w:rPr>
                <w:rFonts w:hint="default" w:ascii="Arial Narrow" w:hAnsi="Arial Narrow" w:eastAsia="Arial Narrow" w:cs="Arial Narrow"/>
                <w:sz w:val="22"/>
                <w:szCs w:val="22"/>
              </w:rPr>
            </w:pPr>
            <w:r>
              <w:rPr>
                <w:rFonts w:hint="default" w:ascii="Arial Narrow" w:hAnsi="Arial Narrow" w:eastAsia="Arial Narrow" w:cs="Arial Narrow"/>
                <w:sz w:val="18"/>
                <w:szCs w:val="18"/>
              </w:rPr>
              <w:t xml:space="preserve">1 </w:t>
            </w:r>
            <w:r>
              <w:rPr>
                <w:rFonts w:hint="eastAsia" w:ascii="宋体" w:hAnsi="宋体" w:eastAsia="宋体" w:cs="宋体"/>
                <w:sz w:val="18"/>
                <w:szCs w:val="18"/>
              </w:rPr>
              <w:t>年以内</w:t>
            </w:r>
          </w:p>
        </w:tc>
        <w:tc>
          <w:tcPr>
            <w:tcW w:w="2823" w:type="dxa"/>
            <w:tcBorders>
              <w:top w:val="nil"/>
              <w:left w:val="nil"/>
              <w:bottom w:val="single" w:color="auto" w:sz="8" w:space="0"/>
              <w:right w:val="single" w:color="auto" w:sz="8" w:space="0"/>
            </w:tcBorders>
            <w:shd w:val="clear" w:color="auto" w:fill="auto"/>
            <w:vAlign w:val="top"/>
          </w:tcPr>
          <w:p w14:paraId="5936056D">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4,833,025.32</w:t>
            </w:r>
          </w:p>
        </w:tc>
        <w:tc>
          <w:tcPr>
            <w:tcW w:w="2665" w:type="dxa"/>
            <w:tcBorders>
              <w:top w:val="nil"/>
              <w:left w:val="nil"/>
              <w:bottom w:val="single" w:color="auto" w:sz="8" w:space="0"/>
              <w:right w:val="single" w:color="auto" w:sz="8" w:space="0"/>
            </w:tcBorders>
            <w:shd w:val="clear" w:color="auto" w:fill="auto"/>
            <w:vAlign w:val="top"/>
          </w:tcPr>
          <w:p w14:paraId="219BD347">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2,984,413.80</w:t>
            </w:r>
          </w:p>
        </w:tc>
      </w:tr>
      <w:tr w14:paraId="30598A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37" w:hRule="atLeast"/>
        </w:trPr>
        <w:tc>
          <w:tcPr>
            <w:tcW w:w="2840" w:type="dxa"/>
            <w:tcBorders>
              <w:top w:val="nil"/>
              <w:left w:val="single" w:color="auto" w:sz="8" w:space="0"/>
              <w:bottom w:val="single" w:color="auto" w:sz="8" w:space="0"/>
              <w:right w:val="single" w:color="auto" w:sz="8" w:space="0"/>
            </w:tcBorders>
            <w:shd w:val="clear" w:color="auto" w:fill="auto"/>
            <w:vAlign w:val="top"/>
          </w:tcPr>
          <w:p w14:paraId="6803A5C2">
            <w:pPr>
              <w:pStyle w:val="2"/>
              <w:keepNext w:val="0"/>
              <w:keepLines w:val="0"/>
              <w:widowControl/>
              <w:suppressLineNumbers w:val="0"/>
              <w:spacing w:before="62" w:beforeAutospacing="0" w:after="0" w:afterAutospacing="0"/>
              <w:ind w:left="74" w:right="0"/>
              <w:rPr>
                <w:rFonts w:hint="default" w:ascii="Arial Narrow" w:hAnsi="Arial Narrow" w:eastAsia="Arial Narrow" w:cs="Arial Narrow"/>
                <w:sz w:val="22"/>
                <w:szCs w:val="22"/>
              </w:rPr>
            </w:pPr>
            <w:r>
              <w:rPr>
                <w:rFonts w:hint="default" w:ascii="Arial Narrow" w:hAnsi="Arial Narrow" w:eastAsia="Arial Narrow" w:cs="Arial Narrow"/>
                <w:sz w:val="18"/>
                <w:szCs w:val="18"/>
              </w:rPr>
              <w:t xml:space="preserve">1-2 </w:t>
            </w:r>
            <w:r>
              <w:rPr>
                <w:rFonts w:hint="eastAsia" w:ascii="宋体" w:hAnsi="宋体" w:eastAsia="宋体" w:cs="宋体"/>
                <w:sz w:val="18"/>
                <w:szCs w:val="18"/>
              </w:rPr>
              <w:t>年</w:t>
            </w:r>
          </w:p>
        </w:tc>
        <w:tc>
          <w:tcPr>
            <w:tcW w:w="2823" w:type="dxa"/>
            <w:tcBorders>
              <w:top w:val="nil"/>
              <w:left w:val="nil"/>
              <w:bottom w:val="single" w:color="auto" w:sz="8" w:space="0"/>
              <w:right w:val="single" w:color="auto" w:sz="8" w:space="0"/>
            </w:tcBorders>
            <w:shd w:val="clear" w:color="auto" w:fill="auto"/>
            <w:vAlign w:val="top"/>
          </w:tcPr>
          <w:p w14:paraId="21479ED9">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4,836,640.50</w:t>
            </w:r>
          </w:p>
        </w:tc>
        <w:tc>
          <w:tcPr>
            <w:tcW w:w="2665" w:type="dxa"/>
            <w:tcBorders>
              <w:top w:val="nil"/>
              <w:left w:val="nil"/>
              <w:bottom w:val="single" w:color="auto" w:sz="8" w:space="0"/>
              <w:right w:val="single" w:color="auto" w:sz="8" w:space="0"/>
            </w:tcBorders>
            <w:shd w:val="clear" w:color="auto" w:fill="auto"/>
            <w:vAlign w:val="top"/>
          </w:tcPr>
          <w:p w14:paraId="04076986">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2,985,013.80</w:t>
            </w:r>
          </w:p>
        </w:tc>
      </w:tr>
      <w:tr w14:paraId="37974E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840" w:type="dxa"/>
            <w:tcBorders>
              <w:top w:val="nil"/>
              <w:left w:val="single" w:color="auto" w:sz="8" w:space="0"/>
              <w:bottom w:val="single" w:color="auto" w:sz="8" w:space="0"/>
              <w:right w:val="single" w:color="auto" w:sz="8" w:space="0"/>
            </w:tcBorders>
            <w:shd w:val="clear" w:color="auto" w:fill="auto"/>
            <w:vAlign w:val="top"/>
          </w:tcPr>
          <w:p w14:paraId="47DFB3A3">
            <w:pPr>
              <w:pStyle w:val="2"/>
              <w:keepNext w:val="0"/>
              <w:keepLines w:val="0"/>
              <w:widowControl/>
              <w:suppressLineNumbers w:val="0"/>
              <w:spacing w:before="62" w:beforeAutospacing="0" w:after="0" w:afterAutospacing="0"/>
              <w:ind w:left="74" w:right="0"/>
              <w:rPr>
                <w:rFonts w:hint="default" w:ascii="Arial Narrow" w:hAnsi="Arial Narrow" w:eastAsia="Arial Narrow" w:cs="Arial Narrow"/>
                <w:sz w:val="22"/>
                <w:szCs w:val="22"/>
              </w:rPr>
            </w:pPr>
            <w:r>
              <w:rPr>
                <w:rFonts w:hint="default" w:ascii="Arial Narrow" w:hAnsi="Arial Narrow" w:eastAsia="Arial Narrow" w:cs="Arial Narrow"/>
                <w:sz w:val="18"/>
                <w:szCs w:val="18"/>
              </w:rPr>
              <w:t xml:space="preserve">2-3 </w:t>
            </w:r>
            <w:r>
              <w:rPr>
                <w:rFonts w:hint="eastAsia" w:ascii="宋体" w:hAnsi="宋体" w:eastAsia="宋体" w:cs="宋体"/>
                <w:sz w:val="18"/>
                <w:szCs w:val="18"/>
              </w:rPr>
              <w:t>年</w:t>
            </w:r>
          </w:p>
        </w:tc>
        <w:tc>
          <w:tcPr>
            <w:tcW w:w="2823" w:type="dxa"/>
            <w:tcBorders>
              <w:top w:val="nil"/>
              <w:left w:val="nil"/>
              <w:bottom w:val="single" w:color="auto" w:sz="8" w:space="0"/>
              <w:right w:val="single" w:color="auto" w:sz="8" w:space="0"/>
            </w:tcBorders>
            <w:shd w:val="clear" w:color="auto" w:fill="auto"/>
            <w:vAlign w:val="top"/>
          </w:tcPr>
          <w:p w14:paraId="71768284">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4,181,686.04</w:t>
            </w:r>
          </w:p>
        </w:tc>
        <w:tc>
          <w:tcPr>
            <w:tcW w:w="2665" w:type="dxa"/>
            <w:tcBorders>
              <w:top w:val="nil"/>
              <w:left w:val="nil"/>
              <w:bottom w:val="single" w:color="auto" w:sz="8" w:space="0"/>
              <w:right w:val="single" w:color="auto" w:sz="8" w:space="0"/>
            </w:tcBorders>
            <w:shd w:val="clear" w:color="auto" w:fill="auto"/>
            <w:vAlign w:val="top"/>
          </w:tcPr>
          <w:p w14:paraId="20584E36">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2,967,478.98</w:t>
            </w:r>
          </w:p>
        </w:tc>
      </w:tr>
      <w:tr w14:paraId="390065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840" w:type="dxa"/>
            <w:tcBorders>
              <w:top w:val="nil"/>
              <w:left w:val="single" w:color="auto" w:sz="8" w:space="0"/>
              <w:bottom w:val="single" w:color="auto" w:sz="8" w:space="0"/>
              <w:right w:val="single" w:color="auto" w:sz="8" w:space="0"/>
            </w:tcBorders>
            <w:shd w:val="clear" w:color="auto" w:fill="auto"/>
            <w:vAlign w:val="top"/>
          </w:tcPr>
          <w:p w14:paraId="0682E8E2">
            <w:pPr>
              <w:pStyle w:val="2"/>
              <w:keepNext w:val="0"/>
              <w:keepLines w:val="0"/>
              <w:widowControl/>
              <w:suppressLineNumbers w:val="0"/>
              <w:spacing w:before="62" w:beforeAutospacing="0" w:after="0" w:afterAutospacing="0"/>
              <w:ind w:left="74" w:right="0"/>
              <w:rPr>
                <w:rFonts w:hint="default" w:ascii="Arial Narrow" w:hAnsi="Arial Narrow" w:eastAsia="Arial Narrow" w:cs="Arial Narrow"/>
                <w:sz w:val="22"/>
                <w:szCs w:val="22"/>
              </w:rPr>
            </w:pPr>
            <w:r>
              <w:rPr>
                <w:rFonts w:hint="default" w:ascii="Arial Narrow" w:hAnsi="Arial Narrow" w:eastAsia="Arial Narrow" w:cs="Arial Narrow"/>
                <w:sz w:val="18"/>
                <w:szCs w:val="18"/>
              </w:rPr>
              <w:t xml:space="preserve">3-4 </w:t>
            </w:r>
            <w:r>
              <w:rPr>
                <w:rFonts w:hint="eastAsia" w:ascii="宋体" w:hAnsi="宋体" w:eastAsia="宋体" w:cs="宋体"/>
                <w:sz w:val="18"/>
                <w:szCs w:val="18"/>
              </w:rPr>
              <w:t>年</w:t>
            </w:r>
          </w:p>
        </w:tc>
        <w:tc>
          <w:tcPr>
            <w:tcW w:w="2823" w:type="dxa"/>
            <w:tcBorders>
              <w:top w:val="nil"/>
              <w:left w:val="nil"/>
              <w:bottom w:val="single" w:color="auto" w:sz="8" w:space="0"/>
              <w:right w:val="single" w:color="auto" w:sz="8" w:space="0"/>
            </w:tcBorders>
            <w:shd w:val="clear" w:color="auto" w:fill="auto"/>
            <w:vAlign w:val="top"/>
          </w:tcPr>
          <w:p w14:paraId="3F0671CD">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3,715,557.12</w:t>
            </w:r>
          </w:p>
        </w:tc>
        <w:tc>
          <w:tcPr>
            <w:tcW w:w="2665" w:type="dxa"/>
            <w:tcBorders>
              <w:top w:val="nil"/>
              <w:left w:val="nil"/>
              <w:bottom w:val="single" w:color="auto" w:sz="8" w:space="0"/>
              <w:right w:val="single" w:color="auto" w:sz="8" w:space="0"/>
            </w:tcBorders>
            <w:shd w:val="clear" w:color="auto" w:fill="auto"/>
            <w:vAlign w:val="top"/>
          </w:tcPr>
          <w:p w14:paraId="0BF91531">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2,315,074.52</w:t>
            </w:r>
          </w:p>
        </w:tc>
      </w:tr>
      <w:tr w14:paraId="2E41EB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840" w:type="dxa"/>
            <w:tcBorders>
              <w:top w:val="nil"/>
              <w:left w:val="single" w:color="auto" w:sz="8" w:space="0"/>
              <w:bottom w:val="single" w:color="auto" w:sz="8" w:space="0"/>
              <w:right w:val="single" w:color="auto" w:sz="8" w:space="0"/>
            </w:tcBorders>
            <w:shd w:val="clear" w:color="auto" w:fill="auto"/>
            <w:vAlign w:val="top"/>
          </w:tcPr>
          <w:p w14:paraId="04694B6C">
            <w:pPr>
              <w:pStyle w:val="2"/>
              <w:keepNext w:val="0"/>
              <w:keepLines w:val="0"/>
              <w:widowControl/>
              <w:suppressLineNumbers w:val="0"/>
              <w:spacing w:before="62" w:beforeAutospacing="0" w:after="0" w:afterAutospacing="0"/>
              <w:ind w:left="74" w:right="0"/>
              <w:rPr>
                <w:rFonts w:hint="default" w:ascii="Arial Narrow" w:hAnsi="Arial Narrow" w:eastAsia="Arial Narrow" w:cs="Arial Narrow"/>
                <w:sz w:val="22"/>
                <w:szCs w:val="22"/>
              </w:rPr>
            </w:pPr>
            <w:r>
              <w:rPr>
                <w:rFonts w:hint="default" w:ascii="Arial Narrow" w:hAnsi="Arial Narrow" w:eastAsia="Arial Narrow" w:cs="Arial Narrow"/>
                <w:sz w:val="18"/>
                <w:szCs w:val="18"/>
              </w:rPr>
              <w:t xml:space="preserve">4-5 </w:t>
            </w:r>
            <w:r>
              <w:rPr>
                <w:rFonts w:hint="eastAsia" w:ascii="宋体" w:hAnsi="宋体" w:eastAsia="宋体" w:cs="宋体"/>
                <w:sz w:val="18"/>
                <w:szCs w:val="18"/>
              </w:rPr>
              <w:t>年</w:t>
            </w:r>
          </w:p>
        </w:tc>
        <w:tc>
          <w:tcPr>
            <w:tcW w:w="2823" w:type="dxa"/>
            <w:tcBorders>
              <w:top w:val="nil"/>
              <w:left w:val="nil"/>
              <w:bottom w:val="single" w:color="auto" w:sz="8" w:space="0"/>
              <w:right w:val="single" w:color="auto" w:sz="8" w:space="0"/>
            </w:tcBorders>
            <w:shd w:val="clear" w:color="auto" w:fill="auto"/>
            <w:vAlign w:val="top"/>
          </w:tcPr>
          <w:p w14:paraId="4811BC1B">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3,853,170.36</w:t>
            </w:r>
          </w:p>
        </w:tc>
        <w:tc>
          <w:tcPr>
            <w:tcW w:w="2665" w:type="dxa"/>
            <w:tcBorders>
              <w:top w:val="nil"/>
              <w:left w:val="nil"/>
              <w:bottom w:val="single" w:color="auto" w:sz="8" w:space="0"/>
              <w:right w:val="single" w:color="auto" w:sz="8" w:space="0"/>
            </w:tcBorders>
            <w:shd w:val="clear" w:color="auto" w:fill="auto"/>
            <w:vAlign w:val="top"/>
          </w:tcPr>
          <w:p w14:paraId="5DBF394A">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3,679,151.19</w:t>
            </w:r>
          </w:p>
        </w:tc>
      </w:tr>
      <w:tr w14:paraId="7EB24A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840" w:type="dxa"/>
            <w:tcBorders>
              <w:top w:val="nil"/>
              <w:left w:val="single" w:color="auto" w:sz="8" w:space="0"/>
              <w:bottom w:val="single" w:color="auto" w:sz="8" w:space="0"/>
              <w:right w:val="single" w:color="auto" w:sz="8" w:space="0"/>
            </w:tcBorders>
            <w:shd w:val="clear" w:color="auto" w:fill="auto"/>
            <w:vAlign w:val="top"/>
          </w:tcPr>
          <w:p w14:paraId="4ABAE177">
            <w:pPr>
              <w:pStyle w:val="2"/>
              <w:keepNext w:val="0"/>
              <w:keepLines w:val="0"/>
              <w:widowControl/>
              <w:suppressLineNumbers w:val="0"/>
              <w:spacing w:before="62" w:beforeAutospacing="0" w:after="0" w:afterAutospacing="0"/>
              <w:ind w:left="74" w:right="0"/>
              <w:rPr>
                <w:rFonts w:hint="default" w:ascii="Arial Narrow" w:hAnsi="Arial Narrow" w:eastAsia="Arial Narrow" w:cs="Arial Narrow"/>
                <w:sz w:val="22"/>
                <w:szCs w:val="22"/>
              </w:rPr>
            </w:pPr>
            <w:r>
              <w:rPr>
                <w:rFonts w:hint="default" w:ascii="Arial Narrow" w:hAnsi="Arial Narrow" w:eastAsia="Arial Narrow" w:cs="Arial Narrow"/>
                <w:sz w:val="18"/>
                <w:szCs w:val="18"/>
              </w:rPr>
              <w:t xml:space="preserve">5 </w:t>
            </w:r>
            <w:r>
              <w:rPr>
                <w:rFonts w:hint="eastAsia" w:ascii="宋体" w:hAnsi="宋体" w:eastAsia="宋体" w:cs="宋体"/>
                <w:sz w:val="18"/>
                <w:szCs w:val="18"/>
              </w:rPr>
              <w:t>年以上</w:t>
            </w:r>
          </w:p>
        </w:tc>
        <w:tc>
          <w:tcPr>
            <w:tcW w:w="2823" w:type="dxa"/>
            <w:tcBorders>
              <w:top w:val="nil"/>
              <w:left w:val="nil"/>
              <w:bottom w:val="single" w:color="auto" w:sz="8" w:space="0"/>
              <w:right w:val="single" w:color="auto" w:sz="8" w:space="0"/>
            </w:tcBorders>
            <w:shd w:val="clear" w:color="auto" w:fill="auto"/>
            <w:vAlign w:val="top"/>
          </w:tcPr>
          <w:p w14:paraId="62AFB71E">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15,390,724.41</w:t>
            </w:r>
          </w:p>
        </w:tc>
        <w:tc>
          <w:tcPr>
            <w:tcW w:w="2665" w:type="dxa"/>
            <w:tcBorders>
              <w:top w:val="nil"/>
              <w:left w:val="nil"/>
              <w:bottom w:val="single" w:color="auto" w:sz="8" w:space="0"/>
              <w:right w:val="single" w:color="auto" w:sz="8" w:space="0"/>
            </w:tcBorders>
            <w:shd w:val="clear" w:color="auto" w:fill="auto"/>
            <w:vAlign w:val="top"/>
          </w:tcPr>
          <w:p w14:paraId="4F496BF4">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4,008,547.98</w:t>
            </w:r>
          </w:p>
        </w:tc>
      </w:tr>
      <w:tr w14:paraId="63942D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840" w:type="dxa"/>
            <w:tcBorders>
              <w:top w:val="nil"/>
              <w:left w:val="single" w:color="auto" w:sz="8" w:space="0"/>
              <w:bottom w:val="single" w:color="auto" w:sz="8" w:space="0"/>
              <w:right w:val="single" w:color="auto" w:sz="8" w:space="0"/>
            </w:tcBorders>
            <w:shd w:val="clear" w:color="auto" w:fill="auto"/>
            <w:vAlign w:val="top"/>
          </w:tcPr>
          <w:p w14:paraId="15A7072E">
            <w:pPr>
              <w:pStyle w:val="2"/>
              <w:keepNext w:val="0"/>
              <w:keepLines w:val="0"/>
              <w:widowControl/>
              <w:suppressLineNumbers w:val="0"/>
              <w:spacing w:before="62" w:beforeAutospacing="0" w:after="0" w:afterAutospacing="0"/>
              <w:ind w:left="1192" w:right="1148"/>
              <w:jc w:val="center"/>
              <w:rPr>
                <w:rFonts w:hint="default" w:ascii="Arial Narrow" w:hAnsi="Arial Narrow" w:eastAsia="Arial Narrow" w:cs="Arial Narrow"/>
                <w:sz w:val="22"/>
                <w:szCs w:val="22"/>
              </w:rPr>
            </w:pPr>
            <w:r>
              <w:rPr>
                <w:rFonts w:hint="eastAsia" w:ascii="宋体" w:hAnsi="宋体" w:eastAsia="宋体" w:cs="宋体"/>
                <w:sz w:val="18"/>
                <w:szCs w:val="18"/>
              </w:rPr>
              <w:t>合计</w:t>
            </w:r>
          </w:p>
        </w:tc>
        <w:tc>
          <w:tcPr>
            <w:tcW w:w="2823" w:type="dxa"/>
            <w:tcBorders>
              <w:top w:val="nil"/>
              <w:left w:val="nil"/>
              <w:bottom w:val="single" w:color="auto" w:sz="8" w:space="0"/>
              <w:right w:val="single" w:color="auto" w:sz="8" w:space="0"/>
            </w:tcBorders>
            <w:shd w:val="clear" w:color="auto" w:fill="auto"/>
            <w:vAlign w:val="top"/>
          </w:tcPr>
          <w:p w14:paraId="741D1DF4">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36,810,803.75</w:t>
            </w:r>
          </w:p>
        </w:tc>
        <w:tc>
          <w:tcPr>
            <w:tcW w:w="2665" w:type="dxa"/>
            <w:tcBorders>
              <w:top w:val="nil"/>
              <w:left w:val="nil"/>
              <w:bottom w:val="single" w:color="auto" w:sz="8" w:space="0"/>
              <w:right w:val="single" w:color="auto" w:sz="8" w:space="0"/>
            </w:tcBorders>
            <w:shd w:val="clear" w:color="auto" w:fill="auto"/>
            <w:vAlign w:val="top"/>
          </w:tcPr>
          <w:p w14:paraId="54D81C80">
            <w:pPr>
              <w:pStyle w:val="2"/>
              <w:keepNext w:val="0"/>
              <w:keepLines w:val="0"/>
              <w:widowControl/>
              <w:suppressLineNumbers w:val="0"/>
              <w:spacing w:before="0" w:beforeAutospacing="0" w:after="0" w:afterAutospacing="0"/>
              <w:ind w:left="0" w:right="0"/>
              <w:jc w:val="right"/>
              <w:textAlignment w:val="top"/>
              <w:rPr>
                <w:rFonts w:hint="default" w:ascii="Times New Roman" w:hAnsi="Times New Roman" w:cs="Times New Roman"/>
                <w:sz w:val="21"/>
                <w:szCs w:val="21"/>
              </w:rPr>
            </w:pPr>
            <w:r>
              <w:rPr>
                <w:rFonts w:hint="default" w:ascii="Arial Narrow" w:hAnsi="Arial Narrow" w:eastAsia="Arial Narrow" w:cs="Arial Narrow"/>
                <w:color w:val="000000"/>
                <w:sz w:val="18"/>
                <w:szCs w:val="18"/>
              </w:rPr>
              <w:t>18,939,680.27</w:t>
            </w:r>
          </w:p>
        </w:tc>
      </w:tr>
    </w:tbl>
    <w:p w14:paraId="34D1FC65">
      <w:pPr>
        <w:keepNext/>
        <w:keepLines/>
        <w:spacing w:before="300" w:after="300" w:line="280" w:lineRule="exact"/>
        <w:jc w:val="left"/>
        <w:outlineLvl w:val="3"/>
        <w:rPr>
          <w:rFonts w:ascii="宋体" w:hAnsi="宋体" w:eastAsia="宋体" w:cs="宋体"/>
          <w:b/>
          <w:bCs/>
          <w:sz w:val="21"/>
          <w:szCs w:val="21"/>
        </w:rPr>
      </w:pPr>
      <w:bookmarkStart w:id="322" w:name="_Toc989209"/>
      <w:r>
        <w:rPr>
          <w:rFonts w:ascii="宋体" w:hAnsi="宋体" w:eastAsia="宋体" w:cs="宋体"/>
          <w:b/>
          <w:bCs/>
          <w:sz w:val="21"/>
          <w:szCs w:val="21"/>
        </w:rPr>
        <w:t>（5） 固定资产的减值测试情况</w:t>
      </w:r>
      <w:bookmarkEnd w:id="322"/>
    </w:p>
    <w:p w14:paraId="6AC42915">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283903DF">
      <w:pPr>
        <w:spacing w:before="100" w:after="100" w:line="240" w:lineRule="exact"/>
        <w:jc w:val="left"/>
        <w:rPr>
          <w:rFonts w:ascii="宋体" w:hAnsi="宋体" w:eastAsia="宋体" w:cs="宋体"/>
          <w:sz w:val="18"/>
          <w:szCs w:val="18"/>
        </w:rPr>
      </w:pPr>
      <w:r>
        <w:rPr>
          <w:rFonts w:ascii="宋体" w:hAnsi="宋体" w:eastAsia="宋体" w:cs="宋体"/>
          <w:sz w:val="18"/>
          <w:szCs w:val="18"/>
        </w:rPr>
        <w:t>可收回金额按公允价值减去处置费用后的净额确定</w:t>
      </w:r>
    </w:p>
    <w:p w14:paraId="5B1D30F2">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6DA58B20">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7BF3E1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B380ADA">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7E63290">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82A9528">
            <w:pPr>
              <w:spacing w:before="40" w:after="40" w:line="240" w:lineRule="exact"/>
              <w:jc w:val="center"/>
              <w:rPr>
                <w:rFonts w:ascii="宋体" w:hAnsi="宋体" w:eastAsia="宋体" w:cs="宋体"/>
                <w:sz w:val="18"/>
                <w:szCs w:val="18"/>
              </w:rPr>
            </w:pPr>
            <w:r>
              <w:rPr>
                <w:rFonts w:ascii="宋体" w:hAnsi="宋体" w:eastAsia="宋体" w:cs="宋体"/>
                <w:sz w:val="18"/>
                <w:szCs w:val="18"/>
              </w:rPr>
              <w:t>可收回金额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5B44B86">
            <w:pPr>
              <w:spacing w:before="40" w:after="40" w:line="240" w:lineRule="exact"/>
              <w:jc w:val="center"/>
              <w:rPr>
                <w:rFonts w:ascii="宋体" w:hAnsi="宋体" w:eastAsia="宋体" w:cs="宋体"/>
                <w:sz w:val="18"/>
                <w:szCs w:val="18"/>
              </w:rPr>
            </w:pPr>
            <w:r>
              <w:rPr>
                <w:rFonts w:ascii="宋体" w:hAnsi="宋体" w:eastAsia="宋体" w:cs="宋体"/>
                <w:sz w:val="18"/>
                <w:szCs w:val="18"/>
              </w:rPr>
              <w:t>减值金额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ED1F43C">
            <w:pPr>
              <w:spacing w:before="40" w:after="40" w:line="240" w:lineRule="exact"/>
              <w:jc w:val="center"/>
              <w:rPr>
                <w:rFonts w:ascii="宋体" w:hAnsi="宋体" w:eastAsia="宋体" w:cs="宋体"/>
                <w:sz w:val="18"/>
                <w:szCs w:val="18"/>
              </w:rPr>
            </w:pPr>
            <w:r>
              <w:rPr>
                <w:rFonts w:ascii="宋体" w:hAnsi="宋体" w:eastAsia="宋体" w:cs="宋体"/>
                <w:sz w:val="18"/>
                <w:szCs w:val="18"/>
              </w:rPr>
              <w:t>公允价值和处置费用的确定方式</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6582F66">
            <w:pPr>
              <w:spacing w:before="40" w:after="40" w:line="240" w:lineRule="exact"/>
              <w:jc w:val="center"/>
              <w:rPr>
                <w:rFonts w:ascii="宋体" w:hAnsi="宋体" w:eastAsia="宋体" w:cs="宋体"/>
                <w:sz w:val="18"/>
                <w:szCs w:val="18"/>
              </w:rPr>
            </w:pPr>
            <w:r>
              <w:rPr>
                <w:rFonts w:ascii="宋体" w:hAnsi="宋体" w:eastAsia="宋体" w:cs="宋体"/>
                <w:sz w:val="18"/>
                <w:szCs w:val="18"/>
              </w:rPr>
              <w:t>关键参数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86517F9">
            <w:pPr>
              <w:spacing w:before="40" w:after="40" w:line="240" w:lineRule="exact"/>
              <w:jc w:val="center"/>
              <w:rPr>
                <w:rFonts w:ascii="宋体" w:hAnsi="宋体" w:eastAsia="宋体" w:cs="宋体"/>
                <w:sz w:val="18"/>
                <w:szCs w:val="18"/>
              </w:rPr>
            </w:pPr>
            <w:r>
              <w:rPr>
                <w:rFonts w:ascii="宋体" w:hAnsi="宋体" w:eastAsia="宋体" w:cs="宋体"/>
                <w:sz w:val="18"/>
                <w:szCs w:val="18"/>
              </w:rPr>
              <w:t>关键参数的确定依据</w:t>
            </w:r>
          </w:p>
        </w:tc>
      </w:tr>
      <w:tr w14:paraId="38CF48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1BA39E2A">
            <w:pPr>
              <w:spacing w:before="0" w:after="0" w:line="240" w:lineRule="exact"/>
              <w:jc w:val="left"/>
              <w:rPr>
                <w:rFonts w:ascii="宋体" w:hAnsi="宋体" w:eastAsia="宋体" w:cs="宋体"/>
                <w:sz w:val="18"/>
                <w:szCs w:val="18"/>
              </w:rPr>
            </w:pPr>
            <w:r>
              <w:rPr>
                <w:rFonts w:ascii="宋体" w:hAnsi="宋体" w:eastAsia="宋体" w:cs="宋体"/>
                <w:sz w:val="18"/>
                <w:szCs w:val="18"/>
              </w:rPr>
              <w:t>办公设备</w:t>
            </w:r>
          </w:p>
        </w:tc>
        <w:tc>
          <w:tcPr>
            <w:tcW w:w="1377" w:type="dxa"/>
            <w:tcBorders>
              <w:top w:val="single" w:color="auto" w:sz="2" w:space="0"/>
              <w:left w:val="single" w:color="auto" w:sz="2" w:space="0"/>
              <w:bottom w:val="single" w:color="auto" w:sz="2" w:space="0"/>
              <w:right w:val="single" w:color="auto" w:sz="2" w:space="0"/>
            </w:tcBorders>
            <w:vAlign w:val="center"/>
          </w:tcPr>
          <w:p w14:paraId="73D0DA75">
            <w:pPr>
              <w:spacing w:before="0" w:after="0" w:line="240" w:lineRule="exact"/>
              <w:jc w:val="right"/>
              <w:rPr>
                <w:rFonts w:ascii="宋体" w:hAnsi="宋体" w:eastAsia="宋体" w:cs="宋体"/>
                <w:sz w:val="18"/>
                <w:szCs w:val="18"/>
              </w:rPr>
            </w:pPr>
            <w:r>
              <w:rPr>
                <w:rFonts w:ascii="宋体" w:hAnsi="宋体" w:eastAsia="宋体" w:cs="宋体"/>
                <w:sz w:val="18"/>
                <w:szCs w:val="18"/>
              </w:rPr>
              <w:t>1,305.08</w:t>
            </w:r>
          </w:p>
        </w:tc>
        <w:tc>
          <w:tcPr>
            <w:tcW w:w="1377" w:type="dxa"/>
            <w:tcBorders>
              <w:top w:val="single" w:color="auto" w:sz="2" w:space="0"/>
              <w:left w:val="single" w:color="auto" w:sz="2" w:space="0"/>
              <w:bottom w:val="single" w:color="auto" w:sz="2" w:space="0"/>
              <w:right w:val="single" w:color="auto" w:sz="2" w:space="0"/>
            </w:tcBorders>
            <w:vAlign w:val="center"/>
          </w:tcPr>
          <w:p w14:paraId="488DD887">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c>
          <w:tcPr>
            <w:tcW w:w="1377" w:type="dxa"/>
            <w:tcBorders>
              <w:top w:val="single" w:color="auto" w:sz="2" w:space="0"/>
              <w:left w:val="single" w:color="auto" w:sz="2" w:space="0"/>
              <w:bottom w:val="single" w:color="auto" w:sz="2" w:space="0"/>
              <w:right w:val="single" w:color="auto" w:sz="2" w:space="0"/>
            </w:tcBorders>
            <w:vAlign w:val="center"/>
          </w:tcPr>
          <w:p w14:paraId="3916961D">
            <w:pPr>
              <w:spacing w:before="0" w:after="0" w:line="240" w:lineRule="exact"/>
              <w:jc w:val="right"/>
              <w:rPr>
                <w:rFonts w:ascii="宋体" w:hAnsi="宋体" w:eastAsia="宋体" w:cs="宋体"/>
                <w:sz w:val="18"/>
                <w:szCs w:val="18"/>
              </w:rPr>
            </w:pPr>
            <w:r>
              <w:rPr>
                <w:rFonts w:ascii="宋体" w:hAnsi="宋体" w:eastAsia="宋体" w:cs="宋体"/>
                <w:sz w:val="18"/>
                <w:szCs w:val="18"/>
              </w:rPr>
              <w:t>1,305.08</w:t>
            </w:r>
          </w:p>
        </w:tc>
        <w:tc>
          <w:tcPr>
            <w:tcW w:w="1377" w:type="dxa"/>
            <w:tcBorders>
              <w:top w:val="single" w:color="auto" w:sz="2" w:space="0"/>
              <w:left w:val="single" w:color="auto" w:sz="2" w:space="0"/>
              <w:bottom w:val="single" w:color="auto" w:sz="2" w:space="0"/>
              <w:right w:val="single" w:color="auto" w:sz="2" w:space="0"/>
            </w:tcBorders>
            <w:vAlign w:val="center"/>
          </w:tcPr>
          <w:p w14:paraId="3A219FC7">
            <w:pPr>
              <w:spacing w:before="0" w:after="0" w:line="240" w:lineRule="exact"/>
              <w:jc w:val="lef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EB7F317">
            <w:pPr>
              <w:spacing w:before="0" w:after="0" w:line="240" w:lineRule="exact"/>
              <w:jc w:val="lef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D7C55F9">
            <w:pPr>
              <w:spacing w:before="0" w:after="0" w:line="240" w:lineRule="exact"/>
              <w:jc w:val="left"/>
              <w:rPr>
                <w:rFonts w:ascii="宋体" w:hAnsi="宋体" w:eastAsia="宋体" w:cs="宋体"/>
                <w:sz w:val="18"/>
                <w:szCs w:val="18"/>
              </w:rPr>
            </w:pPr>
          </w:p>
        </w:tc>
      </w:tr>
      <w:tr w14:paraId="6EBFD4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5729541">
            <w:pPr>
              <w:spacing w:before="0" w:after="0" w:line="240" w:lineRule="exact"/>
              <w:jc w:val="left"/>
              <w:rPr>
                <w:rFonts w:ascii="宋体" w:hAnsi="宋体" w:eastAsia="宋体" w:cs="宋体"/>
                <w:sz w:val="18"/>
                <w:szCs w:val="18"/>
              </w:rPr>
            </w:pPr>
            <w:r>
              <w:rPr>
                <w:rFonts w:ascii="宋体" w:hAnsi="宋体" w:eastAsia="宋体" w:cs="宋体"/>
                <w:sz w:val="18"/>
                <w:szCs w:val="18"/>
              </w:rPr>
              <w:t>机器设备</w:t>
            </w:r>
          </w:p>
        </w:tc>
        <w:tc>
          <w:tcPr>
            <w:tcW w:w="1377" w:type="dxa"/>
            <w:tcBorders>
              <w:top w:val="single" w:color="auto" w:sz="2" w:space="0"/>
              <w:left w:val="single" w:color="auto" w:sz="2" w:space="0"/>
              <w:bottom w:val="single" w:color="auto" w:sz="2" w:space="0"/>
              <w:right w:val="single" w:color="auto" w:sz="2" w:space="0"/>
            </w:tcBorders>
            <w:vAlign w:val="center"/>
          </w:tcPr>
          <w:p w14:paraId="24691CC7">
            <w:pPr>
              <w:spacing w:before="0" w:after="0" w:line="240" w:lineRule="exact"/>
              <w:jc w:val="right"/>
              <w:rPr>
                <w:rFonts w:ascii="宋体" w:hAnsi="宋体" w:eastAsia="宋体" w:cs="宋体"/>
                <w:sz w:val="18"/>
                <w:szCs w:val="18"/>
              </w:rPr>
            </w:pPr>
            <w:r>
              <w:rPr>
                <w:rFonts w:ascii="宋体" w:hAnsi="宋体" w:eastAsia="宋体" w:cs="宋体"/>
                <w:sz w:val="18"/>
                <w:szCs w:val="18"/>
              </w:rPr>
              <w:t>37,125,160.41</w:t>
            </w:r>
          </w:p>
        </w:tc>
        <w:tc>
          <w:tcPr>
            <w:tcW w:w="1377" w:type="dxa"/>
            <w:tcBorders>
              <w:top w:val="single" w:color="auto" w:sz="2" w:space="0"/>
              <w:left w:val="single" w:color="auto" w:sz="2" w:space="0"/>
              <w:bottom w:val="single" w:color="auto" w:sz="2" w:space="0"/>
              <w:right w:val="single" w:color="auto" w:sz="2" w:space="0"/>
            </w:tcBorders>
            <w:vAlign w:val="center"/>
          </w:tcPr>
          <w:p w14:paraId="1D3052EA">
            <w:pPr>
              <w:spacing w:before="0" w:after="0" w:line="240" w:lineRule="exact"/>
              <w:jc w:val="right"/>
              <w:rPr>
                <w:rFonts w:ascii="宋体" w:hAnsi="宋体" w:eastAsia="宋体" w:cs="宋体"/>
                <w:sz w:val="18"/>
                <w:szCs w:val="18"/>
              </w:rPr>
            </w:pPr>
            <w:r>
              <w:rPr>
                <w:rFonts w:ascii="宋体" w:hAnsi="宋体" w:eastAsia="宋体" w:cs="宋体"/>
                <w:sz w:val="18"/>
                <w:szCs w:val="18"/>
              </w:rPr>
              <w:t>32,840,177.77</w:t>
            </w:r>
          </w:p>
        </w:tc>
        <w:tc>
          <w:tcPr>
            <w:tcW w:w="1377" w:type="dxa"/>
            <w:tcBorders>
              <w:top w:val="single" w:color="auto" w:sz="2" w:space="0"/>
              <w:left w:val="single" w:color="auto" w:sz="2" w:space="0"/>
              <w:bottom w:val="single" w:color="auto" w:sz="2" w:space="0"/>
              <w:right w:val="single" w:color="auto" w:sz="2" w:space="0"/>
            </w:tcBorders>
            <w:vAlign w:val="center"/>
          </w:tcPr>
          <w:p w14:paraId="40639F31">
            <w:pPr>
              <w:spacing w:before="0" w:after="0" w:line="240" w:lineRule="exact"/>
              <w:jc w:val="right"/>
              <w:rPr>
                <w:rFonts w:ascii="宋体" w:hAnsi="宋体" w:eastAsia="宋体" w:cs="宋体"/>
                <w:sz w:val="18"/>
                <w:szCs w:val="18"/>
              </w:rPr>
            </w:pPr>
            <w:r>
              <w:rPr>
                <w:rFonts w:ascii="宋体" w:hAnsi="宋体" w:eastAsia="宋体" w:cs="宋体"/>
                <w:sz w:val="18"/>
                <w:szCs w:val="18"/>
              </w:rPr>
              <w:t>4,284,982.64</w:t>
            </w:r>
          </w:p>
        </w:tc>
        <w:tc>
          <w:tcPr>
            <w:tcW w:w="1377" w:type="dxa"/>
            <w:tcBorders>
              <w:top w:val="single" w:color="auto" w:sz="2" w:space="0"/>
              <w:left w:val="single" w:color="auto" w:sz="2" w:space="0"/>
              <w:bottom w:val="single" w:color="auto" w:sz="2" w:space="0"/>
              <w:right w:val="single" w:color="auto" w:sz="2" w:space="0"/>
            </w:tcBorders>
            <w:vAlign w:val="center"/>
          </w:tcPr>
          <w:p w14:paraId="390BB3A5">
            <w:pPr>
              <w:spacing w:before="0" w:after="0" w:line="240" w:lineRule="exact"/>
              <w:jc w:val="lef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7517995">
            <w:pPr>
              <w:spacing w:before="0" w:after="0" w:line="240" w:lineRule="exact"/>
              <w:jc w:val="lef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46A8282">
            <w:pPr>
              <w:spacing w:before="0" w:after="0" w:line="240" w:lineRule="exact"/>
              <w:jc w:val="left"/>
              <w:rPr>
                <w:rFonts w:ascii="宋体" w:hAnsi="宋体" w:eastAsia="宋体" w:cs="宋体"/>
                <w:sz w:val="18"/>
                <w:szCs w:val="18"/>
              </w:rPr>
            </w:pPr>
          </w:p>
        </w:tc>
      </w:tr>
      <w:tr w14:paraId="2B630D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E02B85D">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3DFDF61F">
            <w:pPr>
              <w:spacing w:before="0" w:after="0" w:line="240" w:lineRule="exact"/>
              <w:jc w:val="right"/>
              <w:rPr>
                <w:rFonts w:ascii="宋体" w:hAnsi="宋体" w:eastAsia="宋体" w:cs="宋体"/>
                <w:sz w:val="18"/>
                <w:szCs w:val="18"/>
              </w:rPr>
            </w:pPr>
            <w:r>
              <w:rPr>
                <w:rFonts w:ascii="宋体" w:hAnsi="宋体" w:eastAsia="宋体" w:cs="宋体"/>
                <w:sz w:val="18"/>
                <w:szCs w:val="18"/>
              </w:rPr>
              <w:t>37,126,465.49</w:t>
            </w:r>
          </w:p>
        </w:tc>
        <w:tc>
          <w:tcPr>
            <w:tcW w:w="1377" w:type="dxa"/>
            <w:tcBorders>
              <w:top w:val="single" w:color="auto" w:sz="2" w:space="0"/>
              <w:left w:val="single" w:color="auto" w:sz="2" w:space="0"/>
              <w:bottom w:val="single" w:color="auto" w:sz="2" w:space="0"/>
              <w:right w:val="single" w:color="auto" w:sz="2" w:space="0"/>
            </w:tcBorders>
            <w:vAlign w:val="center"/>
          </w:tcPr>
          <w:p w14:paraId="71592DAB">
            <w:pPr>
              <w:spacing w:before="0" w:after="0" w:line="240" w:lineRule="exact"/>
              <w:jc w:val="right"/>
              <w:rPr>
                <w:rFonts w:ascii="宋体" w:hAnsi="宋体" w:eastAsia="宋体" w:cs="宋体"/>
                <w:sz w:val="18"/>
                <w:szCs w:val="18"/>
              </w:rPr>
            </w:pPr>
            <w:r>
              <w:rPr>
                <w:rFonts w:ascii="宋体" w:hAnsi="宋体" w:eastAsia="宋体" w:cs="宋体"/>
                <w:sz w:val="18"/>
                <w:szCs w:val="18"/>
              </w:rPr>
              <w:t>32,840,177.77</w:t>
            </w:r>
          </w:p>
        </w:tc>
        <w:tc>
          <w:tcPr>
            <w:tcW w:w="1377" w:type="dxa"/>
            <w:tcBorders>
              <w:top w:val="single" w:color="auto" w:sz="2" w:space="0"/>
              <w:left w:val="single" w:color="auto" w:sz="2" w:space="0"/>
              <w:bottom w:val="single" w:color="auto" w:sz="2" w:space="0"/>
              <w:right w:val="single" w:color="auto" w:sz="2" w:space="0"/>
            </w:tcBorders>
            <w:vAlign w:val="center"/>
          </w:tcPr>
          <w:p w14:paraId="077E5C83">
            <w:pPr>
              <w:spacing w:before="0" w:after="0" w:line="240" w:lineRule="exact"/>
              <w:jc w:val="right"/>
              <w:rPr>
                <w:rFonts w:ascii="宋体" w:hAnsi="宋体" w:eastAsia="宋体" w:cs="宋体"/>
                <w:sz w:val="18"/>
                <w:szCs w:val="18"/>
              </w:rPr>
            </w:pPr>
            <w:r>
              <w:rPr>
                <w:rFonts w:ascii="宋体" w:hAnsi="宋体" w:eastAsia="宋体" w:cs="宋体"/>
                <w:sz w:val="18"/>
                <w:szCs w:val="18"/>
              </w:rPr>
              <w:t>4,286,287.72</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F058F52"/>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28653D1"/>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D2A3231"/>
        </w:tc>
      </w:tr>
    </w:tbl>
    <w:p w14:paraId="6CC5A23C">
      <w:pPr>
        <w:spacing w:before="100" w:after="100" w:line="240" w:lineRule="exact"/>
        <w:jc w:val="left"/>
        <w:rPr>
          <w:rFonts w:ascii="宋体" w:hAnsi="宋体" w:eastAsia="宋体" w:cs="宋体"/>
          <w:sz w:val="18"/>
          <w:szCs w:val="18"/>
        </w:rPr>
      </w:pPr>
      <w:r>
        <w:rPr>
          <w:rFonts w:ascii="宋体" w:hAnsi="宋体" w:eastAsia="宋体" w:cs="宋体"/>
          <w:sz w:val="18"/>
          <w:szCs w:val="18"/>
        </w:rPr>
        <w:t>可收回金额按预计未来现金流量的现值确定</w:t>
      </w:r>
    </w:p>
    <w:p w14:paraId="1A203436">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A298A0F">
      <w:pPr>
        <w:spacing w:before="100" w:after="100" w:line="240" w:lineRule="exact"/>
        <w:jc w:val="left"/>
        <w:rPr>
          <w:rFonts w:ascii="宋体" w:hAnsi="宋体" w:eastAsia="宋体" w:cs="宋体"/>
          <w:sz w:val="18"/>
          <w:szCs w:val="18"/>
        </w:rPr>
      </w:pPr>
      <w:r>
        <w:rPr>
          <w:rFonts w:ascii="宋体" w:hAnsi="宋体" w:eastAsia="宋体" w:cs="宋体"/>
          <w:sz w:val="18"/>
          <w:szCs w:val="18"/>
        </w:rPr>
        <w:t>前述信息与以前年度减值测试采用的信息或外部信息明显不一致的差异原因</w:t>
      </w:r>
    </w:p>
    <w:p w14:paraId="4DE4EC9E">
      <w:pPr>
        <w:spacing w:before="100" w:after="100" w:line="240" w:lineRule="exact"/>
        <w:jc w:val="left"/>
        <w:rPr>
          <w:rFonts w:ascii="宋体" w:hAnsi="宋体" w:eastAsia="宋体" w:cs="宋体"/>
          <w:sz w:val="18"/>
          <w:szCs w:val="18"/>
        </w:rPr>
      </w:pPr>
      <w:r>
        <w:rPr>
          <w:rFonts w:ascii="宋体" w:hAnsi="宋体" w:eastAsia="宋体" w:cs="宋体"/>
          <w:sz w:val="18"/>
          <w:szCs w:val="18"/>
        </w:rPr>
        <w:t>公司以前年度减值测试采用信息与当年实际情况明显不一致的差异原因</w:t>
      </w:r>
    </w:p>
    <w:p w14:paraId="66ED64E0">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143063B">
      <w:pPr>
        <w:keepNext/>
        <w:keepLines/>
        <w:spacing w:before="300" w:after="300" w:line="280" w:lineRule="exact"/>
        <w:jc w:val="left"/>
        <w:outlineLvl w:val="3"/>
        <w:rPr>
          <w:rFonts w:ascii="宋体" w:hAnsi="宋体" w:eastAsia="宋体" w:cs="宋体"/>
          <w:b/>
          <w:bCs/>
          <w:sz w:val="21"/>
          <w:szCs w:val="21"/>
        </w:rPr>
      </w:pPr>
      <w:bookmarkStart w:id="323" w:name="_Toc989210"/>
      <w:r>
        <w:rPr>
          <w:rFonts w:ascii="宋体" w:hAnsi="宋体" w:eastAsia="宋体" w:cs="宋体"/>
          <w:b/>
          <w:bCs/>
          <w:sz w:val="21"/>
          <w:szCs w:val="21"/>
        </w:rPr>
        <w:t>（6） 固定资产清理</w:t>
      </w:r>
      <w:bookmarkEnd w:id="323"/>
    </w:p>
    <w:p w14:paraId="5F225C9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E54AE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6F7EBD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E05BA96">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31D7E3F">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38DB165B">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771E8BE">
      <w:pPr>
        <w:keepNext/>
        <w:keepLines/>
        <w:spacing w:before="300" w:after="300" w:line="280" w:lineRule="exact"/>
        <w:jc w:val="left"/>
        <w:outlineLvl w:val="2"/>
        <w:rPr>
          <w:rFonts w:ascii="宋体" w:hAnsi="宋体" w:eastAsia="宋体" w:cs="宋体"/>
          <w:b/>
          <w:bCs/>
          <w:sz w:val="21"/>
          <w:szCs w:val="21"/>
        </w:rPr>
      </w:pPr>
      <w:bookmarkStart w:id="324" w:name="_Toc989211"/>
      <w:r>
        <w:rPr>
          <w:rFonts w:ascii="宋体" w:hAnsi="宋体" w:eastAsia="宋体" w:cs="宋体"/>
          <w:b/>
          <w:bCs/>
          <w:sz w:val="21"/>
          <w:szCs w:val="21"/>
        </w:rPr>
        <w:t>22、在建工程</w:t>
      </w:r>
      <w:bookmarkEnd w:id="324"/>
    </w:p>
    <w:p w14:paraId="7D553E2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5A9FA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44488AD">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4ABAB6D">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19D9A77">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05B088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D315301">
            <w:pPr>
              <w:spacing w:before="40" w:after="40" w:line="240" w:lineRule="exact"/>
              <w:jc w:val="left"/>
              <w:rPr>
                <w:rFonts w:ascii="宋体" w:hAnsi="宋体" w:eastAsia="宋体" w:cs="宋体"/>
                <w:sz w:val="18"/>
                <w:szCs w:val="18"/>
              </w:rPr>
            </w:pPr>
            <w:r>
              <w:rPr>
                <w:rFonts w:ascii="宋体" w:hAnsi="宋体" w:eastAsia="宋体" w:cs="宋体"/>
                <w:sz w:val="18"/>
                <w:szCs w:val="18"/>
              </w:rPr>
              <w:t>在建工程</w:t>
            </w:r>
          </w:p>
        </w:tc>
        <w:tc>
          <w:tcPr>
            <w:tcW w:w="3213" w:type="dxa"/>
            <w:tcBorders>
              <w:top w:val="single" w:color="auto" w:sz="2" w:space="0"/>
              <w:left w:val="single" w:color="auto" w:sz="2" w:space="0"/>
              <w:bottom w:val="single" w:color="auto" w:sz="2" w:space="0"/>
              <w:right w:val="single" w:color="auto" w:sz="2" w:space="0"/>
            </w:tcBorders>
            <w:vAlign w:val="center"/>
          </w:tcPr>
          <w:p w14:paraId="5DECE641">
            <w:pPr>
              <w:spacing w:before="0" w:after="0" w:line="240" w:lineRule="exact"/>
              <w:jc w:val="right"/>
              <w:rPr>
                <w:rFonts w:ascii="宋体" w:hAnsi="宋体" w:eastAsia="宋体" w:cs="宋体"/>
                <w:sz w:val="18"/>
                <w:szCs w:val="18"/>
              </w:rPr>
            </w:pPr>
            <w:r>
              <w:rPr>
                <w:rFonts w:ascii="宋体" w:hAnsi="宋体" w:eastAsia="宋体" w:cs="宋体"/>
                <w:sz w:val="18"/>
                <w:szCs w:val="18"/>
              </w:rPr>
              <w:t>29,763,197.65</w:t>
            </w:r>
          </w:p>
        </w:tc>
        <w:tc>
          <w:tcPr>
            <w:tcW w:w="3213" w:type="dxa"/>
            <w:tcBorders>
              <w:top w:val="single" w:color="auto" w:sz="2" w:space="0"/>
              <w:left w:val="single" w:color="auto" w:sz="2" w:space="0"/>
              <w:bottom w:val="single" w:color="auto" w:sz="2" w:space="0"/>
              <w:right w:val="single" w:color="auto" w:sz="2" w:space="0"/>
            </w:tcBorders>
            <w:vAlign w:val="center"/>
          </w:tcPr>
          <w:p w14:paraId="6AAEAD9F">
            <w:pPr>
              <w:spacing w:before="0" w:after="0" w:line="240" w:lineRule="exact"/>
              <w:jc w:val="right"/>
              <w:rPr>
                <w:rFonts w:ascii="宋体" w:hAnsi="宋体" w:eastAsia="宋体" w:cs="宋体"/>
                <w:sz w:val="18"/>
                <w:szCs w:val="18"/>
              </w:rPr>
            </w:pPr>
            <w:r>
              <w:rPr>
                <w:rFonts w:ascii="宋体" w:hAnsi="宋体" w:eastAsia="宋体" w:cs="宋体"/>
                <w:sz w:val="18"/>
                <w:szCs w:val="18"/>
              </w:rPr>
              <w:t>29,860,540.26</w:t>
            </w:r>
          </w:p>
        </w:tc>
      </w:tr>
      <w:tr w14:paraId="562A28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6B1AC9F">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64C390DD">
            <w:pPr>
              <w:spacing w:before="0" w:after="0" w:line="240" w:lineRule="exact"/>
              <w:jc w:val="right"/>
              <w:rPr>
                <w:rFonts w:ascii="宋体" w:hAnsi="宋体" w:eastAsia="宋体" w:cs="宋体"/>
                <w:sz w:val="18"/>
                <w:szCs w:val="18"/>
              </w:rPr>
            </w:pPr>
            <w:r>
              <w:rPr>
                <w:rFonts w:ascii="宋体" w:hAnsi="宋体" w:eastAsia="宋体" w:cs="宋体"/>
                <w:sz w:val="18"/>
                <w:szCs w:val="18"/>
              </w:rPr>
              <w:t>29,763,197.65</w:t>
            </w:r>
          </w:p>
        </w:tc>
        <w:tc>
          <w:tcPr>
            <w:tcW w:w="3213" w:type="dxa"/>
            <w:tcBorders>
              <w:top w:val="single" w:color="auto" w:sz="2" w:space="0"/>
              <w:left w:val="single" w:color="auto" w:sz="2" w:space="0"/>
              <w:bottom w:val="single" w:color="auto" w:sz="2" w:space="0"/>
              <w:right w:val="single" w:color="auto" w:sz="2" w:space="0"/>
            </w:tcBorders>
            <w:vAlign w:val="center"/>
          </w:tcPr>
          <w:p w14:paraId="51276835">
            <w:pPr>
              <w:spacing w:before="0" w:after="0" w:line="240" w:lineRule="exact"/>
              <w:jc w:val="right"/>
              <w:rPr>
                <w:rFonts w:ascii="宋体" w:hAnsi="宋体" w:eastAsia="宋体" w:cs="宋体"/>
                <w:sz w:val="18"/>
                <w:szCs w:val="18"/>
              </w:rPr>
            </w:pPr>
            <w:r>
              <w:rPr>
                <w:rFonts w:ascii="宋体" w:hAnsi="宋体" w:eastAsia="宋体" w:cs="宋体"/>
                <w:sz w:val="18"/>
                <w:szCs w:val="18"/>
              </w:rPr>
              <w:t>29,860,540.26</w:t>
            </w:r>
          </w:p>
        </w:tc>
      </w:tr>
    </w:tbl>
    <w:p w14:paraId="6D2F4AA5">
      <w:pPr>
        <w:keepNext/>
        <w:keepLines/>
        <w:spacing w:before="300" w:after="300" w:line="280" w:lineRule="exact"/>
        <w:jc w:val="left"/>
        <w:outlineLvl w:val="3"/>
        <w:rPr>
          <w:rFonts w:ascii="宋体" w:hAnsi="宋体" w:eastAsia="宋体" w:cs="宋体"/>
          <w:b/>
          <w:bCs/>
          <w:sz w:val="21"/>
          <w:szCs w:val="21"/>
        </w:rPr>
      </w:pPr>
      <w:bookmarkStart w:id="325" w:name="_Toc989212"/>
      <w:r>
        <w:rPr>
          <w:rFonts w:ascii="宋体" w:hAnsi="宋体" w:eastAsia="宋体" w:cs="宋体"/>
          <w:b/>
          <w:bCs/>
          <w:sz w:val="21"/>
          <w:szCs w:val="21"/>
        </w:rPr>
        <w:t>（1） 在建工程情况</w:t>
      </w:r>
      <w:bookmarkEnd w:id="325"/>
    </w:p>
    <w:p w14:paraId="6490B62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4464BB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B037CC8">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40EED296">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7404C1B5">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6732D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D6E6805"/>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2BEE935">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B06E42D">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E41D742">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F547E90">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C397F34">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DDA15B8">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695E2B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408E29CD">
            <w:pPr>
              <w:spacing w:before="0" w:after="0" w:line="240" w:lineRule="exact"/>
              <w:jc w:val="left"/>
              <w:rPr>
                <w:rFonts w:ascii="宋体" w:hAnsi="宋体" w:eastAsia="宋体" w:cs="宋体"/>
                <w:sz w:val="18"/>
                <w:szCs w:val="18"/>
              </w:rPr>
            </w:pPr>
            <w:r>
              <w:rPr>
                <w:rFonts w:ascii="宋体" w:hAnsi="宋体" w:eastAsia="宋体" w:cs="宋体"/>
                <w:sz w:val="18"/>
                <w:szCs w:val="18"/>
              </w:rPr>
              <w:t>金塘雨水强排池</w:t>
            </w:r>
          </w:p>
        </w:tc>
        <w:tc>
          <w:tcPr>
            <w:tcW w:w="1377" w:type="dxa"/>
            <w:tcBorders>
              <w:top w:val="single" w:color="auto" w:sz="2" w:space="0"/>
              <w:left w:val="single" w:color="auto" w:sz="2" w:space="0"/>
              <w:bottom w:val="single" w:color="auto" w:sz="2" w:space="0"/>
              <w:right w:val="single" w:color="auto" w:sz="2" w:space="0"/>
            </w:tcBorders>
            <w:vAlign w:val="center"/>
          </w:tcPr>
          <w:p w14:paraId="10E93B90">
            <w:pPr>
              <w:spacing w:before="0" w:after="0" w:line="240" w:lineRule="exact"/>
              <w:jc w:val="right"/>
              <w:rPr>
                <w:rFonts w:ascii="宋体" w:hAnsi="宋体" w:eastAsia="宋体" w:cs="宋体"/>
                <w:sz w:val="18"/>
                <w:szCs w:val="18"/>
              </w:rPr>
            </w:pPr>
            <w:r>
              <w:rPr>
                <w:rFonts w:ascii="宋体" w:hAnsi="宋体" w:eastAsia="宋体" w:cs="宋体"/>
                <w:sz w:val="18"/>
                <w:szCs w:val="18"/>
              </w:rPr>
              <w:t>455,351.10</w:t>
            </w:r>
          </w:p>
        </w:tc>
        <w:tc>
          <w:tcPr>
            <w:tcW w:w="1377" w:type="dxa"/>
            <w:tcBorders>
              <w:top w:val="single" w:color="auto" w:sz="2" w:space="0"/>
              <w:left w:val="single" w:color="auto" w:sz="2" w:space="0"/>
              <w:bottom w:val="single" w:color="auto" w:sz="2" w:space="0"/>
              <w:right w:val="single" w:color="auto" w:sz="2" w:space="0"/>
            </w:tcBorders>
            <w:vAlign w:val="center"/>
          </w:tcPr>
          <w:p w14:paraId="177D317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801666D">
            <w:pPr>
              <w:spacing w:before="0" w:after="0" w:line="240" w:lineRule="exact"/>
              <w:jc w:val="right"/>
              <w:rPr>
                <w:rFonts w:ascii="宋体" w:hAnsi="宋体" w:eastAsia="宋体" w:cs="宋体"/>
                <w:sz w:val="18"/>
                <w:szCs w:val="18"/>
              </w:rPr>
            </w:pPr>
            <w:r>
              <w:rPr>
                <w:rFonts w:ascii="宋体" w:hAnsi="宋体" w:eastAsia="宋体" w:cs="宋体"/>
                <w:sz w:val="18"/>
                <w:szCs w:val="18"/>
              </w:rPr>
              <w:t>455,351.10</w:t>
            </w:r>
          </w:p>
        </w:tc>
        <w:tc>
          <w:tcPr>
            <w:tcW w:w="1377" w:type="dxa"/>
            <w:tcBorders>
              <w:top w:val="single" w:color="auto" w:sz="2" w:space="0"/>
              <w:left w:val="single" w:color="auto" w:sz="2" w:space="0"/>
              <w:bottom w:val="single" w:color="auto" w:sz="2" w:space="0"/>
              <w:right w:val="single" w:color="auto" w:sz="2" w:space="0"/>
            </w:tcBorders>
            <w:vAlign w:val="center"/>
          </w:tcPr>
          <w:p w14:paraId="5E6F6B3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0DE697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0905ACB">
            <w:pPr>
              <w:spacing w:before="0" w:after="0" w:line="240" w:lineRule="exact"/>
              <w:jc w:val="right"/>
              <w:rPr>
                <w:rFonts w:ascii="宋体" w:hAnsi="宋体" w:eastAsia="宋体" w:cs="宋体"/>
                <w:sz w:val="18"/>
                <w:szCs w:val="18"/>
              </w:rPr>
            </w:pPr>
          </w:p>
        </w:tc>
      </w:tr>
      <w:tr w14:paraId="4A1EEF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145FFA2D">
            <w:pPr>
              <w:spacing w:before="0" w:after="0" w:line="240" w:lineRule="exact"/>
              <w:jc w:val="left"/>
              <w:rPr>
                <w:rFonts w:ascii="宋体" w:hAnsi="宋体" w:eastAsia="宋体" w:cs="宋体"/>
                <w:sz w:val="18"/>
                <w:szCs w:val="18"/>
              </w:rPr>
            </w:pPr>
            <w:r>
              <w:rPr>
                <w:rFonts w:ascii="宋体" w:hAnsi="宋体" w:eastAsia="宋体" w:cs="宋体"/>
                <w:sz w:val="18"/>
                <w:szCs w:val="18"/>
              </w:rPr>
              <w:t>待安装设备</w:t>
            </w:r>
          </w:p>
        </w:tc>
        <w:tc>
          <w:tcPr>
            <w:tcW w:w="1377" w:type="dxa"/>
            <w:tcBorders>
              <w:top w:val="single" w:color="auto" w:sz="2" w:space="0"/>
              <w:left w:val="single" w:color="auto" w:sz="2" w:space="0"/>
              <w:bottom w:val="single" w:color="auto" w:sz="2" w:space="0"/>
              <w:right w:val="single" w:color="auto" w:sz="2" w:space="0"/>
            </w:tcBorders>
            <w:vAlign w:val="center"/>
          </w:tcPr>
          <w:p w14:paraId="6ACBCAE8">
            <w:pPr>
              <w:spacing w:before="0" w:after="0" w:line="240" w:lineRule="exact"/>
              <w:jc w:val="right"/>
              <w:rPr>
                <w:rFonts w:ascii="宋体" w:hAnsi="宋体" w:eastAsia="宋体" w:cs="宋体"/>
                <w:sz w:val="18"/>
                <w:szCs w:val="18"/>
              </w:rPr>
            </w:pPr>
            <w:r>
              <w:rPr>
                <w:rFonts w:ascii="宋体" w:hAnsi="宋体" w:eastAsia="宋体" w:cs="宋体"/>
                <w:sz w:val="18"/>
                <w:szCs w:val="18"/>
              </w:rPr>
              <w:t>5,033,096.33</w:t>
            </w:r>
          </w:p>
        </w:tc>
        <w:tc>
          <w:tcPr>
            <w:tcW w:w="1377" w:type="dxa"/>
            <w:tcBorders>
              <w:top w:val="single" w:color="auto" w:sz="2" w:space="0"/>
              <w:left w:val="single" w:color="auto" w:sz="2" w:space="0"/>
              <w:bottom w:val="single" w:color="auto" w:sz="2" w:space="0"/>
              <w:right w:val="single" w:color="auto" w:sz="2" w:space="0"/>
            </w:tcBorders>
            <w:vAlign w:val="center"/>
          </w:tcPr>
          <w:p w14:paraId="2D273E6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5BF803C">
            <w:pPr>
              <w:spacing w:before="0" w:after="0" w:line="240" w:lineRule="exact"/>
              <w:jc w:val="right"/>
              <w:rPr>
                <w:rFonts w:ascii="宋体" w:hAnsi="宋体" w:eastAsia="宋体" w:cs="宋体"/>
                <w:sz w:val="18"/>
                <w:szCs w:val="18"/>
              </w:rPr>
            </w:pPr>
            <w:r>
              <w:rPr>
                <w:rFonts w:ascii="宋体" w:hAnsi="宋体" w:eastAsia="宋体" w:cs="宋体"/>
                <w:sz w:val="18"/>
                <w:szCs w:val="18"/>
              </w:rPr>
              <w:t>5,033,096.33</w:t>
            </w:r>
          </w:p>
        </w:tc>
        <w:tc>
          <w:tcPr>
            <w:tcW w:w="1377" w:type="dxa"/>
            <w:tcBorders>
              <w:top w:val="single" w:color="auto" w:sz="2" w:space="0"/>
              <w:left w:val="single" w:color="auto" w:sz="2" w:space="0"/>
              <w:bottom w:val="single" w:color="auto" w:sz="2" w:space="0"/>
              <w:right w:val="single" w:color="auto" w:sz="2" w:space="0"/>
            </w:tcBorders>
            <w:vAlign w:val="center"/>
          </w:tcPr>
          <w:p w14:paraId="78E4D5BB">
            <w:pPr>
              <w:spacing w:before="0" w:after="0" w:line="240" w:lineRule="exact"/>
              <w:jc w:val="right"/>
              <w:rPr>
                <w:rFonts w:ascii="宋体" w:hAnsi="宋体" w:eastAsia="宋体" w:cs="宋体"/>
                <w:sz w:val="18"/>
                <w:szCs w:val="18"/>
              </w:rPr>
            </w:pPr>
            <w:r>
              <w:rPr>
                <w:rFonts w:ascii="宋体" w:hAnsi="宋体" w:eastAsia="宋体" w:cs="宋体"/>
                <w:sz w:val="18"/>
                <w:szCs w:val="18"/>
              </w:rPr>
              <w:t>3,657,611.03</w:t>
            </w:r>
          </w:p>
        </w:tc>
        <w:tc>
          <w:tcPr>
            <w:tcW w:w="1377" w:type="dxa"/>
            <w:tcBorders>
              <w:top w:val="single" w:color="auto" w:sz="2" w:space="0"/>
              <w:left w:val="single" w:color="auto" w:sz="2" w:space="0"/>
              <w:bottom w:val="single" w:color="auto" w:sz="2" w:space="0"/>
              <w:right w:val="single" w:color="auto" w:sz="2" w:space="0"/>
            </w:tcBorders>
            <w:vAlign w:val="center"/>
          </w:tcPr>
          <w:p w14:paraId="219D8B3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9741021">
            <w:pPr>
              <w:spacing w:before="0" w:after="0" w:line="240" w:lineRule="exact"/>
              <w:jc w:val="right"/>
              <w:rPr>
                <w:rFonts w:ascii="宋体" w:hAnsi="宋体" w:eastAsia="宋体" w:cs="宋体"/>
                <w:sz w:val="18"/>
                <w:szCs w:val="18"/>
              </w:rPr>
            </w:pPr>
            <w:r>
              <w:rPr>
                <w:rFonts w:ascii="宋体" w:hAnsi="宋体" w:eastAsia="宋体" w:cs="宋体"/>
                <w:sz w:val="18"/>
                <w:szCs w:val="18"/>
              </w:rPr>
              <w:t>3,657,611.03</w:t>
            </w:r>
          </w:p>
        </w:tc>
      </w:tr>
      <w:tr w14:paraId="3811E3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494AA67">
            <w:pPr>
              <w:spacing w:before="0" w:after="0" w:line="240" w:lineRule="exact"/>
              <w:jc w:val="left"/>
              <w:rPr>
                <w:rFonts w:ascii="宋体" w:hAnsi="宋体" w:eastAsia="宋体" w:cs="宋体"/>
                <w:sz w:val="18"/>
                <w:szCs w:val="18"/>
              </w:rPr>
            </w:pPr>
            <w:r>
              <w:rPr>
                <w:rFonts w:ascii="宋体" w:hAnsi="宋体" w:eastAsia="宋体" w:cs="宋体"/>
                <w:sz w:val="18"/>
                <w:szCs w:val="18"/>
              </w:rPr>
              <w:t>系统软件开发</w:t>
            </w:r>
          </w:p>
        </w:tc>
        <w:tc>
          <w:tcPr>
            <w:tcW w:w="1377" w:type="dxa"/>
            <w:tcBorders>
              <w:top w:val="single" w:color="auto" w:sz="2" w:space="0"/>
              <w:left w:val="single" w:color="auto" w:sz="2" w:space="0"/>
              <w:bottom w:val="single" w:color="auto" w:sz="2" w:space="0"/>
              <w:right w:val="single" w:color="auto" w:sz="2" w:space="0"/>
            </w:tcBorders>
            <w:vAlign w:val="center"/>
          </w:tcPr>
          <w:p w14:paraId="7FDF1E0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731350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4B14FD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D52F662">
            <w:pPr>
              <w:spacing w:before="0" w:after="0" w:line="240" w:lineRule="exact"/>
              <w:jc w:val="right"/>
              <w:rPr>
                <w:rFonts w:ascii="宋体" w:hAnsi="宋体" w:eastAsia="宋体" w:cs="宋体"/>
                <w:sz w:val="18"/>
                <w:szCs w:val="18"/>
              </w:rPr>
            </w:pPr>
            <w:r>
              <w:rPr>
                <w:rFonts w:ascii="宋体" w:hAnsi="宋体" w:eastAsia="宋体" w:cs="宋体"/>
                <w:sz w:val="18"/>
                <w:szCs w:val="18"/>
              </w:rPr>
              <w:t>2,064,236.10</w:t>
            </w:r>
          </w:p>
        </w:tc>
        <w:tc>
          <w:tcPr>
            <w:tcW w:w="1377" w:type="dxa"/>
            <w:tcBorders>
              <w:top w:val="single" w:color="auto" w:sz="2" w:space="0"/>
              <w:left w:val="single" w:color="auto" w:sz="2" w:space="0"/>
              <w:bottom w:val="single" w:color="auto" w:sz="2" w:space="0"/>
              <w:right w:val="single" w:color="auto" w:sz="2" w:space="0"/>
            </w:tcBorders>
            <w:vAlign w:val="center"/>
          </w:tcPr>
          <w:p w14:paraId="74F1107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FEE6351">
            <w:pPr>
              <w:spacing w:before="0" w:after="0" w:line="240" w:lineRule="exact"/>
              <w:jc w:val="right"/>
              <w:rPr>
                <w:rFonts w:ascii="宋体" w:hAnsi="宋体" w:eastAsia="宋体" w:cs="宋体"/>
                <w:sz w:val="18"/>
                <w:szCs w:val="18"/>
              </w:rPr>
            </w:pPr>
            <w:r>
              <w:rPr>
                <w:rFonts w:ascii="宋体" w:hAnsi="宋体" w:eastAsia="宋体" w:cs="宋体"/>
                <w:sz w:val="18"/>
                <w:szCs w:val="18"/>
              </w:rPr>
              <w:t>2,064,236.10</w:t>
            </w:r>
          </w:p>
        </w:tc>
      </w:tr>
      <w:tr w14:paraId="1D994C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3D75A5CD">
            <w:pPr>
              <w:spacing w:before="0" w:after="0" w:line="240" w:lineRule="exact"/>
              <w:jc w:val="left"/>
              <w:rPr>
                <w:rFonts w:ascii="宋体" w:hAnsi="宋体" w:eastAsia="宋体" w:cs="宋体"/>
                <w:sz w:val="18"/>
                <w:szCs w:val="18"/>
              </w:rPr>
            </w:pPr>
            <w:r>
              <w:rPr>
                <w:rFonts w:ascii="宋体" w:hAnsi="宋体" w:eastAsia="宋体" w:cs="宋体"/>
                <w:sz w:val="18"/>
                <w:szCs w:val="18"/>
              </w:rPr>
              <w:t>柘荣国际制剂产业化项目</w:t>
            </w:r>
          </w:p>
        </w:tc>
        <w:tc>
          <w:tcPr>
            <w:tcW w:w="1377" w:type="dxa"/>
            <w:tcBorders>
              <w:top w:val="single" w:color="auto" w:sz="2" w:space="0"/>
              <w:left w:val="single" w:color="auto" w:sz="2" w:space="0"/>
              <w:bottom w:val="single" w:color="auto" w:sz="2" w:space="0"/>
              <w:right w:val="single" w:color="auto" w:sz="2" w:space="0"/>
            </w:tcBorders>
            <w:vAlign w:val="center"/>
          </w:tcPr>
          <w:p w14:paraId="4AF33DC6">
            <w:pPr>
              <w:spacing w:before="0" w:after="0" w:line="240" w:lineRule="exact"/>
              <w:jc w:val="right"/>
              <w:rPr>
                <w:rFonts w:ascii="宋体" w:hAnsi="宋体" w:eastAsia="宋体" w:cs="宋体"/>
                <w:sz w:val="18"/>
                <w:szCs w:val="18"/>
              </w:rPr>
            </w:pPr>
            <w:r>
              <w:rPr>
                <w:rFonts w:ascii="宋体" w:hAnsi="宋体" w:eastAsia="宋体" w:cs="宋体"/>
                <w:sz w:val="18"/>
                <w:szCs w:val="18"/>
              </w:rPr>
              <w:t>753,982.92</w:t>
            </w:r>
          </w:p>
        </w:tc>
        <w:tc>
          <w:tcPr>
            <w:tcW w:w="1377" w:type="dxa"/>
            <w:tcBorders>
              <w:top w:val="single" w:color="auto" w:sz="2" w:space="0"/>
              <w:left w:val="single" w:color="auto" w:sz="2" w:space="0"/>
              <w:bottom w:val="single" w:color="auto" w:sz="2" w:space="0"/>
              <w:right w:val="single" w:color="auto" w:sz="2" w:space="0"/>
            </w:tcBorders>
            <w:vAlign w:val="center"/>
          </w:tcPr>
          <w:p w14:paraId="728D475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CDAE3F4">
            <w:pPr>
              <w:spacing w:before="0" w:after="0" w:line="240" w:lineRule="exact"/>
              <w:jc w:val="right"/>
              <w:rPr>
                <w:rFonts w:ascii="宋体" w:hAnsi="宋体" w:eastAsia="宋体" w:cs="宋体"/>
                <w:sz w:val="18"/>
                <w:szCs w:val="18"/>
              </w:rPr>
            </w:pPr>
            <w:r>
              <w:rPr>
                <w:rFonts w:ascii="宋体" w:hAnsi="宋体" w:eastAsia="宋体" w:cs="宋体"/>
                <w:sz w:val="18"/>
                <w:szCs w:val="18"/>
              </w:rPr>
              <w:t>753,982.92</w:t>
            </w:r>
          </w:p>
        </w:tc>
        <w:tc>
          <w:tcPr>
            <w:tcW w:w="1377" w:type="dxa"/>
            <w:tcBorders>
              <w:top w:val="single" w:color="auto" w:sz="2" w:space="0"/>
              <w:left w:val="single" w:color="auto" w:sz="2" w:space="0"/>
              <w:bottom w:val="single" w:color="auto" w:sz="2" w:space="0"/>
              <w:right w:val="single" w:color="auto" w:sz="2" w:space="0"/>
            </w:tcBorders>
            <w:vAlign w:val="center"/>
          </w:tcPr>
          <w:p w14:paraId="03C896EC">
            <w:pPr>
              <w:spacing w:before="0" w:after="0" w:line="240" w:lineRule="exact"/>
              <w:jc w:val="right"/>
              <w:rPr>
                <w:rFonts w:ascii="宋体" w:hAnsi="宋体" w:eastAsia="宋体" w:cs="宋体"/>
                <w:sz w:val="18"/>
                <w:szCs w:val="18"/>
              </w:rPr>
            </w:pPr>
            <w:r>
              <w:rPr>
                <w:rFonts w:ascii="宋体" w:hAnsi="宋体" w:eastAsia="宋体" w:cs="宋体"/>
                <w:sz w:val="18"/>
                <w:szCs w:val="18"/>
              </w:rPr>
              <w:t>753,982.92</w:t>
            </w:r>
          </w:p>
        </w:tc>
        <w:tc>
          <w:tcPr>
            <w:tcW w:w="1377" w:type="dxa"/>
            <w:tcBorders>
              <w:top w:val="single" w:color="auto" w:sz="2" w:space="0"/>
              <w:left w:val="single" w:color="auto" w:sz="2" w:space="0"/>
              <w:bottom w:val="single" w:color="auto" w:sz="2" w:space="0"/>
              <w:right w:val="single" w:color="auto" w:sz="2" w:space="0"/>
            </w:tcBorders>
            <w:vAlign w:val="center"/>
          </w:tcPr>
          <w:p w14:paraId="0EF05A7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0A17876">
            <w:pPr>
              <w:spacing w:before="0" w:after="0" w:line="240" w:lineRule="exact"/>
              <w:jc w:val="right"/>
              <w:rPr>
                <w:rFonts w:ascii="宋体" w:hAnsi="宋体" w:eastAsia="宋体" w:cs="宋体"/>
                <w:sz w:val="18"/>
                <w:szCs w:val="18"/>
              </w:rPr>
            </w:pPr>
            <w:r>
              <w:rPr>
                <w:rFonts w:ascii="宋体" w:hAnsi="宋体" w:eastAsia="宋体" w:cs="宋体"/>
                <w:sz w:val="18"/>
                <w:szCs w:val="18"/>
              </w:rPr>
              <w:t>753,982.92</w:t>
            </w:r>
          </w:p>
        </w:tc>
      </w:tr>
      <w:tr w14:paraId="13729E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1679BD4D">
            <w:pPr>
              <w:spacing w:before="0" w:after="0" w:line="240" w:lineRule="exact"/>
              <w:jc w:val="left"/>
              <w:rPr>
                <w:rFonts w:ascii="宋体" w:hAnsi="宋体" w:eastAsia="宋体" w:cs="宋体"/>
                <w:sz w:val="18"/>
                <w:szCs w:val="18"/>
              </w:rPr>
            </w:pPr>
            <w:r>
              <w:rPr>
                <w:rFonts w:ascii="宋体" w:hAnsi="宋体" w:eastAsia="宋体" w:cs="宋体"/>
                <w:sz w:val="18"/>
                <w:szCs w:val="18"/>
              </w:rPr>
              <w:t>固体制剂车间二期工程</w:t>
            </w:r>
          </w:p>
        </w:tc>
        <w:tc>
          <w:tcPr>
            <w:tcW w:w="1377" w:type="dxa"/>
            <w:tcBorders>
              <w:top w:val="single" w:color="auto" w:sz="2" w:space="0"/>
              <w:left w:val="single" w:color="auto" w:sz="2" w:space="0"/>
              <w:bottom w:val="single" w:color="auto" w:sz="2" w:space="0"/>
              <w:right w:val="single" w:color="auto" w:sz="2" w:space="0"/>
            </w:tcBorders>
            <w:vAlign w:val="center"/>
          </w:tcPr>
          <w:p w14:paraId="474818C8">
            <w:pPr>
              <w:spacing w:before="0" w:after="0" w:line="240" w:lineRule="exact"/>
              <w:jc w:val="right"/>
              <w:rPr>
                <w:rFonts w:ascii="宋体" w:hAnsi="宋体" w:eastAsia="宋体" w:cs="宋体"/>
                <w:sz w:val="18"/>
                <w:szCs w:val="18"/>
              </w:rPr>
            </w:pPr>
            <w:r>
              <w:rPr>
                <w:rFonts w:ascii="宋体" w:hAnsi="宋体" w:eastAsia="宋体" w:cs="宋体"/>
                <w:sz w:val="18"/>
                <w:szCs w:val="18"/>
              </w:rPr>
              <w:t>23,399,307.00</w:t>
            </w:r>
          </w:p>
        </w:tc>
        <w:tc>
          <w:tcPr>
            <w:tcW w:w="1377" w:type="dxa"/>
            <w:tcBorders>
              <w:top w:val="single" w:color="auto" w:sz="2" w:space="0"/>
              <w:left w:val="single" w:color="auto" w:sz="2" w:space="0"/>
              <w:bottom w:val="single" w:color="auto" w:sz="2" w:space="0"/>
              <w:right w:val="single" w:color="auto" w:sz="2" w:space="0"/>
            </w:tcBorders>
            <w:vAlign w:val="center"/>
          </w:tcPr>
          <w:p w14:paraId="4D896E6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3267853">
            <w:pPr>
              <w:spacing w:before="0" w:after="0" w:line="240" w:lineRule="exact"/>
              <w:jc w:val="right"/>
              <w:rPr>
                <w:rFonts w:ascii="宋体" w:hAnsi="宋体" w:eastAsia="宋体" w:cs="宋体"/>
                <w:sz w:val="18"/>
                <w:szCs w:val="18"/>
              </w:rPr>
            </w:pPr>
            <w:r>
              <w:rPr>
                <w:rFonts w:ascii="宋体" w:hAnsi="宋体" w:eastAsia="宋体" w:cs="宋体"/>
                <w:sz w:val="18"/>
                <w:szCs w:val="18"/>
              </w:rPr>
              <w:t>23,399,307.00</w:t>
            </w:r>
          </w:p>
        </w:tc>
        <w:tc>
          <w:tcPr>
            <w:tcW w:w="1377" w:type="dxa"/>
            <w:tcBorders>
              <w:top w:val="single" w:color="auto" w:sz="2" w:space="0"/>
              <w:left w:val="single" w:color="auto" w:sz="2" w:space="0"/>
              <w:bottom w:val="single" w:color="auto" w:sz="2" w:space="0"/>
              <w:right w:val="single" w:color="auto" w:sz="2" w:space="0"/>
            </w:tcBorders>
            <w:vAlign w:val="center"/>
          </w:tcPr>
          <w:p w14:paraId="199D7D26">
            <w:pPr>
              <w:spacing w:before="0" w:after="0" w:line="240" w:lineRule="exact"/>
              <w:jc w:val="right"/>
              <w:rPr>
                <w:rFonts w:ascii="宋体" w:hAnsi="宋体" w:eastAsia="宋体" w:cs="宋体"/>
                <w:sz w:val="18"/>
                <w:szCs w:val="18"/>
              </w:rPr>
            </w:pPr>
            <w:r>
              <w:rPr>
                <w:rFonts w:ascii="宋体" w:hAnsi="宋体" w:eastAsia="宋体" w:cs="宋体"/>
                <w:sz w:val="18"/>
                <w:szCs w:val="18"/>
              </w:rPr>
              <w:t>23,337,540.40</w:t>
            </w:r>
          </w:p>
        </w:tc>
        <w:tc>
          <w:tcPr>
            <w:tcW w:w="1377" w:type="dxa"/>
            <w:tcBorders>
              <w:top w:val="single" w:color="auto" w:sz="2" w:space="0"/>
              <w:left w:val="single" w:color="auto" w:sz="2" w:space="0"/>
              <w:bottom w:val="single" w:color="auto" w:sz="2" w:space="0"/>
              <w:right w:val="single" w:color="auto" w:sz="2" w:space="0"/>
            </w:tcBorders>
            <w:vAlign w:val="center"/>
          </w:tcPr>
          <w:p w14:paraId="1FAF27C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03ED24D">
            <w:pPr>
              <w:spacing w:before="0" w:after="0" w:line="240" w:lineRule="exact"/>
              <w:jc w:val="right"/>
              <w:rPr>
                <w:rFonts w:ascii="宋体" w:hAnsi="宋体" w:eastAsia="宋体" w:cs="宋体"/>
                <w:sz w:val="18"/>
                <w:szCs w:val="18"/>
              </w:rPr>
            </w:pPr>
            <w:r>
              <w:rPr>
                <w:rFonts w:ascii="宋体" w:hAnsi="宋体" w:eastAsia="宋体" w:cs="宋体"/>
                <w:sz w:val="18"/>
                <w:szCs w:val="18"/>
              </w:rPr>
              <w:t>23,337,540.40</w:t>
            </w:r>
          </w:p>
        </w:tc>
      </w:tr>
      <w:tr w14:paraId="164AA0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0A56E9C0">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vAlign w:val="center"/>
          </w:tcPr>
          <w:p w14:paraId="42276E8E">
            <w:pPr>
              <w:spacing w:before="0" w:after="0" w:line="240" w:lineRule="exact"/>
              <w:jc w:val="right"/>
              <w:rPr>
                <w:rFonts w:ascii="宋体" w:hAnsi="宋体" w:eastAsia="宋体" w:cs="宋体"/>
                <w:sz w:val="18"/>
                <w:szCs w:val="18"/>
              </w:rPr>
            </w:pPr>
            <w:r>
              <w:rPr>
                <w:rFonts w:ascii="宋体" w:hAnsi="宋体" w:eastAsia="宋体" w:cs="宋体"/>
                <w:sz w:val="18"/>
                <w:szCs w:val="18"/>
              </w:rPr>
              <w:t>121,460.30</w:t>
            </w:r>
          </w:p>
        </w:tc>
        <w:tc>
          <w:tcPr>
            <w:tcW w:w="1377" w:type="dxa"/>
            <w:tcBorders>
              <w:top w:val="single" w:color="auto" w:sz="2" w:space="0"/>
              <w:left w:val="single" w:color="auto" w:sz="2" w:space="0"/>
              <w:bottom w:val="single" w:color="auto" w:sz="2" w:space="0"/>
              <w:right w:val="single" w:color="auto" w:sz="2" w:space="0"/>
            </w:tcBorders>
            <w:vAlign w:val="center"/>
          </w:tcPr>
          <w:p w14:paraId="07E408D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BF77A72">
            <w:pPr>
              <w:spacing w:before="0" w:after="0" w:line="240" w:lineRule="exact"/>
              <w:jc w:val="right"/>
              <w:rPr>
                <w:rFonts w:ascii="宋体" w:hAnsi="宋体" w:eastAsia="宋体" w:cs="宋体"/>
                <w:sz w:val="18"/>
                <w:szCs w:val="18"/>
              </w:rPr>
            </w:pPr>
            <w:r>
              <w:rPr>
                <w:rFonts w:ascii="宋体" w:hAnsi="宋体" w:eastAsia="宋体" w:cs="宋体"/>
                <w:sz w:val="18"/>
                <w:szCs w:val="18"/>
              </w:rPr>
              <w:t>121,460.30</w:t>
            </w:r>
          </w:p>
        </w:tc>
        <w:tc>
          <w:tcPr>
            <w:tcW w:w="1377" w:type="dxa"/>
            <w:tcBorders>
              <w:top w:val="single" w:color="auto" w:sz="2" w:space="0"/>
              <w:left w:val="single" w:color="auto" w:sz="2" w:space="0"/>
              <w:bottom w:val="single" w:color="auto" w:sz="2" w:space="0"/>
              <w:right w:val="single" w:color="auto" w:sz="2" w:space="0"/>
            </w:tcBorders>
            <w:vAlign w:val="center"/>
          </w:tcPr>
          <w:p w14:paraId="54DF8762">
            <w:pPr>
              <w:spacing w:before="0" w:after="0" w:line="240" w:lineRule="exact"/>
              <w:jc w:val="right"/>
              <w:rPr>
                <w:rFonts w:ascii="宋体" w:hAnsi="宋体" w:eastAsia="宋体" w:cs="宋体"/>
                <w:sz w:val="18"/>
                <w:szCs w:val="18"/>
              </w:rPr>
            </w:pPr>
            <w:r>
              <w:rPr>
                <w:rFonts w:ascii="宋体" w:hAnsi="宋体" w:eastAsia="宋体" w:cs="宋体"/>
                <w:sz w:val="18"/>
                <w:szCs w:val="18"/>
              </w:rPr>
              <w:t>47,169.81</w:t>
            </w:r>
          </w:p>
        </w:tc>
        <w:tc>
          <w:tcPr>
            <w:tcW w:w="1377" w:type="dxa"/>
            <w:tcBorders>
              <w:top w:val="single" w:color="auto" w:sz="2" w:space="0"/>
              <w:left w:val="single" w:color="auto" w:sz="2" w:space="0"/>
              <w:bottom w:val="single" w:color="auto" w:sz="2" w:space="0"/>
              <w:right w:val="single" w:color="auto" w:sz="2" w:space="0"/>
            </w:tcBorders>
            <w:vAlign w:val="center"/>
          </w:tcPr>
          <w:p w14:paraId="3D40C5A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7ED170D">
            <w:pPr>
              <w:spacing w:before="0" w:after="0" w:line="240" w:lineRule="exact"/>
              <w:jc w:val="right"/>
              <w:rPr>
                <w:rFonts w:ascii="宋体" w:hAnsi="宋体" w:eastAsia="宋体" w:cs="宋体"/>
                <w:sz w:val="18"/>
                <w:szCs w:val="18"/>
              </w:rPr>
            </w:pPr>
            <w:r>
              <w:rPr>
                <w:rFonts w:ascii="宋体" w:hAnsi="宋体" w:eastAsia="宋体" w:cs="宋体"/>
                <w:sz w:val="18"/>
                <w:szCs w:val="18"/>
              </w:rPr>
              <w:t>47,169.81</w:t>
            </w:r>
          </w:p>
        </w:tc>
      </w:tr>
      <w:tr w14:paraId="0FDF0E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C656BBC">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614FF085">
            <w:pPr>
              <w:spacing w:before="0" w:after="0" w:line="240" w:lineRule="exact"/>
              <w:jc w:val="right"/>
              <w:rPr>
                <w:rFonts w:ascii="宋体" w:hAnsi="宋体" w:eastAsia="宋体" w:cs="宋体"/>
                <w:sz w:val="18"/>
                <w:szCs w:val="18"/>
              </w:rPr>
            </w:pPr>
            <w:r>
              <w:rPr>
                <w:rFonts w:ascii="宋体" w:hAnsi="宋体" w:eastAsia="宋体" w:cs="宋体"/>
                <w:sz w:val="18"/>
                <w:szCs w:val="18"/>
              </w:rPr>
              <w:t>29,763,197.65</w:t>
            </w:r>
          </w:p>
        </w:tc>
        <w:tc>
          <w:tcPr>
            <w:tcW w:w="1377" w:type="dxa"/>
            <w:tcBorders>
              <w:top w:val="single" w:color="auto" w:sz="2" w:space="0"/>
              <w:left w:val="single" w:color="auto" w:sz="2" w:space="0"/>
              <w:bottom w:val="single" w:color="auto" w:sz="2" w:space="0"/>
              <w:right w:val="single" w:color="auto" w:sz="2" w:space="0"/>
            </w:tcBorders>
            <w:vAlign w:val="center"/>
          </w:tcPr>
          <w:p w14:paraId="5B2F9A9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D03DAC3">
            <w:pPr>
              <w:spacing w:before="0" w:after="0" w:line="240" w:lineRule="exact"/>
              <w:jc w:val="right"/>
              <w:rPr>
                <w:rFonts w:ascii="宋体" w:hAnsi="宋体" w:eastAsia="宋体" w:cs="宋体"/>
                <w:sz w:val="18"/>
                <w:szCs w:val="18"/>
              </w:rPr>
            </w:pPr>
            <w:r>
              <w:rPr>
                <w:rFonts w:ascii="宋体" w:hAnsi="宋体" w:eastAsia="宋体" w:cs="宋体"/>
                <w:sz w:val="18"/>
                <w:szCs w:val="18"/>
              </w:rPr>
              <w:t>29,763,197.65</w:t>
            </w:r>
          </w:p>
        </w:tc>
        <w:tc>
          <w:tcPr>
            <w:tcW w:w="1377" w:type="dxa"/>
            <w:tcBorders>
              <w:top w:val="single" w:color="auto" w:sz="2" w:space="0"/>
              <w:left w:val="single" w:color="auto" w:sz="2" w:space="0"/>
              <w:bottom w:val="single" w:color="auto" w:sz="2" w:space="0"/>
              <w:right w:val="single" w:color="auto" w:sz="2" w:space="0"/>
            </w:tcBorders>
            <w:vAlign w:val="center"/>
          </w:tcPr>
          <w:p w14:paraId="4C12E0BE">
            <w:pPr>
              <w:spacing w:before="0" w:after="0" w:line="240" w:lineRule="exact"/>
              <w:jc w:val="right"/>
              <w:rPr>
                <w:rFonts w:ascii="宋体" w:hAnsi="宋体" w:eastAsia="宋体" w:cs="宋体"/>
                <w:sz w:val="18"/>
                <w:szCs w:val="18"/>
              </w:rPr>
            </w:pPr>
            <w:r>
              <w:rPr>
                <w:rFonts w:ascii="宋体" w:hAnsi="宋体" w:eastAsia="宋体" w:cs="宋体"/>
                <w:sz w:val="18"/>
                <w:szCs w:val="18"/>
              </w:rPr>
              <w:t>29,860,540.26</w:t>
            </w:r>
          </w:p>
        </w:tc>
        <w:tc>
          <w:tcPr>
            <w:tcW w:w="1377" w:type="dxa"/>
            <w:tcBorders>
              <w:top w:val="single" w:color="auto" w:sz="2" w:space="0"/>
              <w:left w:val="single" w:color="auto" w:sz="2" w:space="0"/>
              <w:bottom w:val="single" w:color="auto" w:sz="2" w:space="0"/>
              <w:right w:val="single" w:color="auto" w:sz="2" w:space="0"/>
            </w:tcBorders>
            <w:vAlign w:val="center"/>
          </w:tcPr>
          <w:p w14:paraId="7A24DAF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D094A3B">
            <w:pPr>
              <w:spacing w:before="0" w:after="0" w:line="240" w:lineRule="exact"/>
              <w:jc w:val="right"/>
              <w:rPr>
                <w:rFonts w:ascii="宋体" w:hAnsi="宋体" w:eastAsia="宋体" w:cs="宋体"/>
                <w:sz w:val="18"/>
                <w:szCs w:val="18"/>
              </w:rPr>
            </w:pPr>
            <w:r>
              <w:rPr>
                <w:rFonts w:ascii="宋体" w:hAnsi="宋体" w:eastAsia="宋体" w:cs="宋体"/>
                <w:sz w:val="18"/>
                <w:szCs w:val="18"/>
              </w:rPr>
              <w:t>29,860,540.26</w:t>
            </w:r>
          </w:p>
        </w:tc>
      </w:tr>
    </w:tbl>
    <w:p w14:paraId="7C03CFF7">
      <w:pPr>
        <w:keepNext/>
        <w:keepLines/>
        <w:spacing w:before="300" w:after="300" w:line="280" w:lineRule="exact"/>
        <w:jc w:val="left"/>
        <w:outlineLvl w:val="3"/>
        <w:rPr>
          <w:rFonts w:ascii="宋体" w:hAnsi="宋体" w:eastAsia="宋体" w:cs="宋体"/>
          <w:b/>
          <w:bCs/>
          <w:sz w:val="21"/>
          <w:szCs w:val="21"/>
        </w:rPr>
      </w:pPr>
      <w:bookmarkStart w:id="326" w:name="_Toc989213"/>
      <w:r>
        <w:rPr>
          <w:rFonts w:ascii="宋体" w:hAnsi="宋体" w:eastAsia="宋体" w:cs="宋体"/>
          <w:b/>
          <w:bCs/>
          <w:sz w:val="21"/>
          <w:szCs w:val="21"/>
        </w:rPr>
        <w:t>（2） 重要在建工程项目本期变动情况</w:t>
      </w:r>
      <w:bookmarkEnd w:id="326"/>
    </w:p>
    <w:p w14:paraId="60188CE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41"/>
        <w:gridCol w:w="741"/>
        <w:gridCol w:w="741"/>
        <w:gridCol w:w="741"/>
        <w:gridCol w:w="741"/>
        <w:gridCol w:w="741"/>
        <w:gridCol w:w="741"/>
        <w:gridCol w:w="741"/>
        <w:gridCol w:w="741"/>
        <w:gridCol w:w="741"/>
        <w:gridCol w:w="741"/>
        <w:gridCol w:w="741"/>
        <w:gridCol w:w="741"/>
      </w:tblGrid>
      <w:tr w14:paraId="121CBC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4A732E1">
            <w:pPr>
              <w:spacing w:before="40" w:after="40" w:line="240" w:lineRule="exact"/>
              <w:jc w:val="center"/>
              <w:rPr>
                <w:rFonts w:ascii="宋体" w:hAnsi="宋体" w:eastAsia="宋体" w:cs="宋体"/>
                <w:sz w:val="18"/>
                <w:szCs w:val="18"/>
              </w:rPr>
            </w:pPr>
            <w:r>
              <w:rPr>
                <w:rFonts w:ascii="宋体" w:hAnsi="宋体" w:eastAsia="宋体" w:cs="宋体"/>
                <w:sz w:val="18"/>
                <w:szCs w:val="18"/>
              </w:rPr>
              <w:t>项目名称</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77EBBA3">
            <w:pPr>
              <w:spacing w:before="40" w:after="40" w:line="240" w:lineRule="exact"/>
              <w:jc w:val="center"/>
              <w:rPr>
                <w:rFonts w:ascii="宋体" w:hAnsi="宋体" w:eastAsia="宋体" w:cs="宋体"/>
                <w:sz w:val="18"/>
                <w:szCs w:val="18"/>
              </w:rPr>
            </w:pPr>
            <w:r>
              <w:rPr>
                <w:rFonts w:ascii="宋体" w:hAnsi="宋体" w:eastAsia="宋体" w:cs="宋体"/>
                <w:sz w:val="18"/>
                <w:szCs w:val="18"/>
              </w:rPr>
              <w:t>预算数</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5FFEC53">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2FF1C0E">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3451659">
            <w:pPr>
              <w:spacing w:before="40" w:after="40" w:line="240" w:lineRule="exact"/>
              <w:jc w:val="center"/>
              <w:rPr>
                <w:rFonts w:ascii="宋体" w:hAnsi="宋体" w:eastAsia="宋体" w:cs="宋体"/>
                <w:sz w:val="18"/>
                <w:szCs w:val="18"/>
              </w:rPr>
            </w:pPr>
            <w:r>
              <w:rPr>
                <w:rFonts w:ascii="宋体" w:hAnsi="宋体" w:eastAsia="宋体" w:cs="宋体"/>
                <w:sz w:val="18"/>
                <w:szCs w:val="18"/>
              </w:rPr>
              <w:t>本期转入固定资产金额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D595C08">
            <w:pPr>
              <w:spacing w:before="40" w:after="40" w:line="240" w:lineRule="exact"/>
              <w:jc w:val="center"/>
              <w:rPr>
                <w:rFonts w:ascii="宋体" w:hAnsi="宋体" w:eastAsia="宋体" w:cs="宋体"/>
                <w:sz w:val="18"/>
                <w:szCs w:val="18"/>
              </w:rPr>
            </w:pPr>
            <w:r>
              <w:rPr>
                <w:rFonts w:ascii="宋体" w:hAnsi="宋体" w:eastAsia="宋体" w:cs="宋体"/>
                <w:sz w:val="18"/>
                <w:szCs w:val="18"/>
              </w:rPr>
              <w:t>本期其他减少金额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8D17B27">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D145E5A">
            <w:pPr>
              <w:spacing w:before="40" w:after="40" w:line="240" w:lineRule="exact"/>
              <w:jc w:val="center"/>
              <w:rPr>
                <w:rFonts w:ascii="宋体" w:hAnsi="宋体" w:eastAsia="宋体" w:cs="宋体"/>
                <w:sz w:val="18"/>
                <w:szCs w:val="18"/>
              </w:rPr>
            </w:pPr>
            <w:r>
              <w:rPr>
                <w:rFonts w:ascii="宋体" w:hAnsi="宋体" w:eastAsia="宋体" w:cs="宋体"/>
                <w:sz w:val="18"/>
                <w:szCs w:val="18"/>
              </w:rPr>
              <w:t>工程累计投入占预算比例</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EFF92AA">
            <w:pPr>
              <w:spacing w:before="40" w:after="40" w:line="240" w:lineRule="exact"/>
              <w:jc w:val="center"/>
              <w:rPr>
                <w:rFonts w:ascii="宋体" w:hAnsi="宋体" w:eastAsia="宋体" w:cs="宋体"/>
                <w:sz w:val="18"/>
                <w:szCs w:val="18"/>
              </w:rPr>
            </w:pPr>
            <w:r>
              <w:rPr>
                <w:rFonts w:ascii="宋体" w:hAnsi="宋体" w:eastAsia="宋体" w:cs="宋体"/>
                <w:sz w:val="18"/>
                <w:szCs w:val="18"/>
              </w:rPr>
              <w:t>工程进度</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3444B61">
            <w:pPr>
              <w:spacing w:before="40" w:after="40" w:line="240" w:lineRule="exact"/>
              <w:jc w:val="center"/>
              <w:rPr>
                <w:rFonts w:ascii="宋体" w:hAnsi="宋体" w:eastAsia="宋体" w:cs="宋体"/>
                <w:sz w:val="18"/>
                <w:szCs w:val="18"/>
              </w:rPr>
            </w:pPr>
            <w:r>
              <w:rPr>
                <w:rFonts w:ascii="宋体" w:hAnsi="宋体" w:eastAsia="宋体" w:cs="宋体"/>
                <w:sz w:val="18"/>
                <w:szCs w:val="18"/>
              </w:rPr>
              <w:t>利息资本化累计金额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738EB86">
            <w:pPr>
              <w:spacing w:before="40" w:after="40" w:line="240" w:lineRule="exact"/>
              <w:jc w:val="center"/>
              <w:rPr>
                <w:rFonts w:ascii="宋体" w:hAnsi="宋体" w:eastAsia="宋体" w:cs="宋体"/>
                <w:sz w:val="18"/>
                <w:szCs w:val="18"/>
              </w:rPr>
            </w:pPr>
            <w:r>
              <w:rPr>
                <w:rFonts w:ascii="宋体" w:hAnsi="宋体" w:eastAsia="宋体" w:cs="宋体"/>
                <w:sz w:val="18"/>
                <w:szCs w:val="18"/>
              </w:rPr>
              <w:t>其中：本期利息资本化金额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696EEBE">
            <w:pPr>
              <w:spacing w:before="40" w:after="40" w:line="240" w:lineRule="exact"/>
              <w:jc w:val="center"/>
              <w:rPr>
                <w:rFonts w:ascii="宋体" w:hAnsi="宋体" w:eastAsia="宋体" w:cs="宋体"/>
                <w:sz w:val="18"/>
                <w:szCs w:val="18"/>
              </w:rPr>
            </w:pPr>
            <w:r>
              <w:rPr>
                <w:rFonts w:ascii="宋体" w:hAnsi="宋体" w:eastAsia="宋体" w:cs="宋体"/>
                <w:sz w:val="18"/>
                <w:szCs w:val="18"/>
              </w:rPr>
              <w:t>本期利息资本化率</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F867883">
            <w:pPr>
              <w:spacing w:before="40" w:after="40" w:line="240" w:lineRule="exact"/>
              <w:jc w:val="center"/>
              <w:rPr>
                <w:rFonts w:ascii="宋体" w:hAnsi="宋体" w:eastAsia="宋体" w:cs="宋体"/>
                <w:sz w:val="18"/>
                <w:szCs w:val="18"/>
              </w:rPr>
            </w:pPr>
            <w:r>
              <w:rPr>
                <w:rFonts w:ascii="宋体" w:hAnsi="宋体" w:eastAsia="宋体" w:cs="宋体"/>
                <w:sz w:val="18"/>
                <w:szCs w:val="18"/>
              </w:rPr>
              <w:t>资金来源</w:t>
            </w:r>
          </w:p>
        </w:tc>
      </w:tr>
      <w:tr w14:paraId="788066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77A31C01">
            <w:pPr>
              <w:spacing w:before="0" w:after="0" w:line="240" w:lineRule="exact"/>
              <w:jc w:val="left"/>
              <w:rPr>
                <w:rFonts w:ascii="宋体" w:hAnsi="宋体" w:eastAsia="宋体" w:cs="宋体"/>
                <w:sz w:val="18"/>
                <w:szCs w:val="18"/>
              </w:rPr>
            </w:pPr>
            <w:r>
              <w:rPr>
                <w:rFonts w:ascii="宋体" w:hAnsi="宋体" w:eastAsia="宋体" w:cs="宋体"/>
                <w:sz w:val="18"/>
                <w:szCs w:val="18"/>
              </w:rPr>
              <w:t>待安装设备</w:t>
            </w:r>
          </w:p>
        </w:tc>
        <w:tc>
          <w:tcPr>
            <w:tcW w:w="741" w:type="dxa"/>
            <w:tcBorders>
              <w:top w:val="single" w:color="auto" w:sz="2" w:space="0"/>
              <w:left w:val="single" w:color="auto" w:sz="2" w:space="0"/>
              <w:bottom w:val="single" w:color="auto" w:sz="2" w:space="0"/>
              <w:right w:val="single" w:color="auto" w:sz="2" w:space="0"/>
            </w:tcBorders>
            <w:vAlign w:val="center"/>
          </w:tcPr>
          <w:p w14:paraId="57B4444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5643F97">
            <w:pPr>
              <w:spacing w:before="0" w:after="0" w:line="240" w:lineRule="exact"/>
              <w:jc w:val="right"/>
              <w:rPr>
                <w:rFonts w:ascii="宋体" w:hAnsi="宋体" w:eastAsia="宋体" w:cs="宋体"/>
                <w:sz w:val="18"/>
                <w:szCs w:val="18"/>
              </w:rPr>
            </w:pPr>
            <w:r>
              <w:rPr>
                <w:rFonts w:ascii="宋体" w:hAnsi="宋体" w:eastAsia="宋体" w:cs="宋体"/>
                <w:sz w:val="18"/>
                <w:szCs w:val="18"/>
              </w:rPr>
              <w:t>3,657,611.03</w:t>
            </w:r>
          </w:p>
        </w:tc>
        <w:tc>
          <w:tcPr>
            <w:tcW w:w="741" w:type="dxa"/>
            <w:tcBorders>
              <w:top w:val="single" w:color="auto" w:sz="2" w:space="0"/>
              <w:left w:val="single" w:color="auto" w:sz="2" w:space="0"/>
              <w:bottom w:val="single" w:color="auto" w:sz="2" w:space="0"/>
              <w:right w:val="single" w:color="auto" w:sz="2" w:space="0"/>
            </w:tcBorders>
            <w:vAlign w:val="center"/>
          </w:tcPr>
          <w:p w14:paraId="695F3126">
            <w:pPr>
              <w:spacing w:before="0" w:after="0" w:line="240" w:lineRule="exact"/>
              <w:jc w:val="right"/>
              <w:rPr>
                <w:rFonts w:ascii="宋体" w:hAnsi="宋体" w:eastAsia="宋体" w:cs="宋体"/>
                <w:sz w:val="18"/>
                <w:szCs w:val="18"/>
              </w:rPr>
            </w:pPr>
            <w:r>
              <w:rPr>
                <w:rFonts w:ascii="宋体" w:hAnsi="宋体" w:eastAsia="宋体" w:cs="宋体"/>
                <w:sz w:val="18"/>
                <w:szCs w:val="18"/>
              </w:rPr>
              <w:t>5,416,608.91</w:t>
            </w:r>
          </w:p>
        </w:tc>
        <w:tc>
          <w:tcPr>
            <w:tcW w:w="741" w:type="dxa"/>
            <w:tcBorders>
              <w:top w:val="single" w:color="auto" w:sz="2" w:space="0"/>
              <w:left w:val="single" w:color="auto" w:sz="2" w:space="0"/>
              <w:bottom w:val="single" w:color="auto" w:sz="2" w:space="0"/>
              <w:right w:val="single" w:color="auto" w:sz="2" w:space="0"/>
            </w:tcBorders>
            <w:vAlign w:val="center"/>
          </w:tcPr>
          <w:p w14:paraId="0B43E2C6">
            <w:pPr>
              <w:spacing w:before="0" w:after="0" w:line="240" w:lineRule="exact"/>
              <w:jc w:val="right"/>
              <w:rPr>
                <w:rFonts w:ascii="宋体" w:hAnsi="宋体" w:eastAsia="宋体" w:cs="宋体"/>
                <w:sz w:val="18"/>
                <w:szCs w:val="18"/>
              </w:rPr>
            </w:pPr>
            <w:r>
              <w:rPr>
                <w:rFonts w:ascii="宋体" w:hAnsi="宋体" w:eastAsia="宋体" w:cs="宋体"/>
                <w:sz w:val="18"/>
                <w:szCs w:val="18"/>
              </w:rPr>
              <w:t>4,041,123.61</w:t>
            </w:r>
          </w:p>
        </w:tc>
        <w:tc>
          <w:tcPr>
            <w:tcW w:w="741" w:type="dxa"/>
            <w:tcBorders>
              <w:top w:val="single" w:color="auto" w:sz="2" w:space="0"/>
              <w:left w:val="single" w:color="auto" w:sz="2" w:space="0"/>
              <w:bottom w:val="single" w:color="auto" w:sz="2" w:space="0"/>
              <w:right w:val="single" w:color="auto" w:sz="2" w:space="0"/>
            </w:tcBorders>
            <w:vAlign w:val="center"/>
          </w:tcPr>
          <w:p w14:paraId="361D03F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2340CE3">
            <w:pPr>
              <w:spacing w:before="0" w:after="0" w:line="240" w:lineRule="exact"/>
              <w:jc w:val="right"/>
              <w:rPr>
                <w:rFonts w:ascii="宋体" w:hAnsi="宋体" w:eastAsia="宋体" w:cs="宋体"/>
                <w:sz w:val="18"/>
                <w:szCs w:val="18"/>
              </w:rPr>
            </w:pPr>
            <w:r>
              <w:rPr>
                <w:rFonts w:ascii="宋体" w:hAnsi="宋体" w:eastAsia="宋体" w:cs="宋体"/>
                <w:sz w:val="18"/>
                <w:szCs w:val="18"/>
              </w:rPr>
              <w:t>5,033,096.33</w:t>
            </w:r>
          </w:p>
        </w:tc>
        <w:tc>
          <w:tcPr>
            <w:tcW w:w="741" w:type="dxa"/>
            <w:tcBorders>
              <w:top w:val="single" w:color="auto" w:sz="2" w:space="0"/>
              <w:left w:val="single" w:color="auto" w:sz="2" w:space="0"/>
              <w:bottom w:val="single" w:color="auto" w:sz="2" w:space="0"/>
              <w:right w:val="single" w:color="auto" w:sz="2" w:space="0"/>
            </w:tcBorders>
            <w:vAlign w:val="center"/>
          </w:tcPr>
          <w:p w14:paraId="019D0B7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8C61A95">
            <w:pPr>
              <w:spacing w:before="0" w:after="0" w:line="240" w:lineRule="exact"/>
              <w:jc w:val="lef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CA89FC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14164B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137246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5C38A34">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r>
      <w:tr w14:paraId="0F911C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2D3CDB62">
            <w:pPr>
              <w:spacing w:before="0" w:after="0" w:line="240" w:lineRule="exact"/>
              <w:jc w:val="left"/>
              <w:rPr>
                <w:rFonts w:ascii="宋体" w:hAnsi="宋体" w:eastAsia="宋体" w:cs="宋体"/>
                <w:sz w:val="18"/>
                <w:szCs w:val="18"/>
              </w:rPr>
            </w:pPr>
            <w:r>
              <w:rPr>
                <w:rFonts w:ascii="宋体" w:hAnsi="宋体" w:eastAsia="宋体" w:cs="宋体"/>
                <w:sz w:val="18"/>
                <w:szCs w:val="18"/>
              </w:rPr>
              <w:t>系统软件开发</w:t>
            </w:r>
          </w:p>
        </w:tc>
        <w:tc>
          <w:tcPr>
            <w:tcW w:w="741" w:type="dxa"/>
            <w:tcBorders>
              <w:top w:val="single" w:color="auto" w:sz="2" w:space="0"/>
              <w:left w:val="single" w:color="auto" w:sz="2" w:space="0"/>
              <w:bottom w:val="single" w:color="auto" w:sz="2" w:space="0"/>
              <w:right w:val="single" w:color="auto" w:sz="2" w:space="0"/>
            </w:tcBorders>
            <w:vAlign w:val="center"/>
          </w:tcPr>
          <w:p w14:paraId="6179A58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B44FCF4">
            <w:pPr>
              <w:spacing w:before="0" w:after="0" w:line="240" w:lineRule="exact"/>
              <w:jc w:val="right"/>
              <w:rPr>
                <w:rFonts w:ascii="宋体" w:hAnsi="宋体" w:eastAsia="宋体" w:cs="宋体"/>
                <w:sz w:val="18"/>
                <w:szCs w:val="18"/>
              </w:rPr>
            </w:pPr>
            <w:r>
              <w:rPr>
                <w:rFonts w:ascii="宋体" w:hAnsi="宋体" w:eastAsia="宋体" w:cs="宋体"/>
                <w:sz w:val="18"/>
                <w:szCs w:val="18"/>
              </w:rPr>
              <w:t>2,064,236.10</w:t>
            </w:r>
          </w:p>
        </w:tc>
        <w:tc>
          <w:tcPr>
            <w:tcW w:w="741" w:type="dxa"/>
            <w:tcBorders>
              <w:top w:val="single" w:color="auto" w:sz="2" w:space="0"/>
              <w:left w:val="single" w:color="auto" w:sz="2" w:space="0"/>
              <w:bottom w:val="single" w:color="auto" w:sz="2" w:space="0"/>
              <w:right w:val="single" w:color="auto" w:sz="2" w:space="0"/>
            </w:tcBorders>
            <w:vAlign w:val="center"/>
          </w:tcPr>
          <w:p w14:paraId="0062033B">
            <w:pPr>
              <w:spacing w:before="0" w:after="0" w:line="240" w:lineRule="exact"/>
              <w:jc w:val="right"/>
              <w:rPr>
                <w:rFonts w:ascii="宋体" w:hAnsi="宋体" w:eastAsia="宋体" w:cs="宋体"/>
                <w:sz w:val="18"/>
                <w:szCs w:val="18"/>
              </w:rPr>
            </w:pPr>
            <w:r>
              <w:rPr>
                <w:rFonts w:ascii="宋体" w:hAnsi="宋体" w:eastAsia="宋体" w:cs="宋体"/>
                <w:sz w:val="18"/>
                <w:szCs w:val="18"/>
              </w:rPr>
              <w:t>257,800.88</w:t>
            </w:r>
          </w:p>
        </w:tc>
        <w:tc>
          <w:tcPr>
            <w:tcW w:w="741" w:type="dxa"/>
            <w:tcBorders>
              <w:top w:val="single" w:color="auto" w:sz="2" w:space="0"/>
              <w:left w:val="single" w:color="auto" w:sz="2" w:space="0"/>
              <w:bottom w:val="single" w:color="auto" w:sz="2" w:space="0"/>
              <w:right w:val="single" w:color="auto" w:sz="2" w:space="0"/>
            </w:tcBorders>
            <w:vAlign w:val="center"/>
          </w:tcPr>
          <w:p w14:paraId="6F4AC9D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7D21539">
            <w:pPr>
              <w:spacing w:before="0" w:after="0" w:line="240" w:lineRule="exact"/>
              <w:jc w:val="right"/>
              <w:rPr>
                <w:rFonts w:ascii="宋体" w:hAnsi="宋体" w:eastAsia="宋体" w:cs="宋体"/>
                <w:sz w:val="18"/>
                <w:szCs w:val="18"/>
              </w:rPr>
            </w:pPr>
            <w:r>
              <w:rPr>
                <w:rFonts w:ascii="宋体" w:hAnsi="宋体" w:eastAsia="宋体" w:cs="宋体"/>
                <w:sz w:val="18"/>
                <w:szCs w:val="18"/>
              </w:rPr>
              <w:t>2,322,036.98</w:t>
            </w:r>
          </w:p>
        </w:tc>
        <w:tc>
          <w:tcPr>
            <w:tcW w:w="741" w:type="dxa"/>
            <w:tcBorders>
              <w:top w:val="single" w:color="auto" w:sz="2" w:space="0"/>
              <w:left w:val="single" w:color="auto" w:sz="2" w:space="0"/>
              <w:bottom w:val="single" w:color="auto" w:sz="2" w:space="0"/>
              <w:right w:val="single" w:color="auto" w:sz="2" w:space="0"/>
            </w:tcBorders>
            <w:vAlign w:val="center"/>
          </w:tcPr>
          <w:p w14:paraId="0AF7A56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66F78A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8F8D4C5">
            <w:pPr>
              <w:spacing w:before="0" w:after="0" w:line="240" w:lineRule="exact"/>
              <w:jc w:val="lef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861679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9570BF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8632B6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E875AFB">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r>
      <w:tr w14:paraId="20344E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31B18A77">
            <w:pPr>
              <w:spacing w:before="0" w:after="0" w:line="240" w:lineRule="exact"/>
              <w:jc w:val="left"/>
              <w:rPr>
                <w:rFonts w:ascii="宋体" w:hAnsi="宋体" w:eastAsia="宋体" w:cs="宋体"/>
                <w:sz w:val="18"/>
                <w:szCs w:val="18"/>
              </w:rPr>
            </w:pPr>
            <w:r>
              <w:rPr>
                <w:rFonts w:ascii="宋体" w:hAnsi="宋体" w:eastAsia="宋体" w:cs="宋体"/>
                <w:sz w:val="18"/>
                <w:szCs w:val="18"/>
              </w:rPr>
              <w:t>柘荣国际制剂产业化项目</w:t>
            </w:r>
          </w:p>
        </w:tc>
        <w:tc>
          <w:tcPr>
            <w:tcW w:w="741" w:type="dxa"/>
            <w:tcBorders>
              <w:top w:val="single" w:color="auto" w:sz="2" w:space="0"/>
              <w:left w:val="single" w:color="auto" w:sz="2" w:space="0"/>
              <w:bottom w:val="single" w:color="auto" w:sz="2" w:space="0"/>
              <w:right w:val="single" w:color="auto" w:sz="2" w:space="0"/>
            </w:tcBorders>
            <w:vAlign w:val="center"/>
          </w:tcPr>
          <w:p w14:paraId="24D0098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E9D4AEC">
            <w:pPr>
              <w:spacing w:before="0" w:after="0" w:line="240" w:lineRule="exact"/>
              <w:jc w:val="right"/>
              <w:rPr>
                <w:rFonts w:ascii="宋体" w:hAnsi="宋体" w:eastAsia="宋体" w:cs="宋体"/>
                <w:sz w:val="18"/>
                <w:szCs w:val="18"/>
              </w:rPr>
            </w:pPr>
            <w:r>
              <w:rPr>
                <w:rFonts w:ascii="宋体" w:hAnsi="宋体" w:eastAsia="宋体" w:cs="宋体"/>
                <w:sz w:val="18"/>
                <w:szCs w:val="18"/>
              </w:rPr>
              <w:t>753,982.92</w:t>
            </w:r>
          </w:p>
        </w:tc>
        <w:tc>
          <w:tcPr>
            <w:tcW w:w="741" w:type="dxa"/>
            <w:tcBorders>
              <w:top w:val="single" w:color="auto" w:sz="2" w:space="0"/>
              <w:left w:val="single" w:color="auto" w:sz="2" w:space="0"/>
              <w:bottom w:val="single" w:color="auto" w:sz="2" w:space="0"/>
              <w:right w:val="single" w:color="auto" w:sz="2" w:space="0"/>
            </w:tcBorders>
            <w:vAlign w:val="center"/>
          </w:tcPr>
          <w:p w14:paraId="19F8109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319BD0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F111D5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85E5087">
            <w:pPr>
              <w:spacing w:before="0" w:after="0" w:line="240" w:lineRule="exact"/>
              <w:jc w:val="right"/>
              <w:rPr>
                <w:rFonts w:ascii="宋体" w:hAnsi="宋体" w:eastAsia="宋体" w:cs="宋体"/>
                <w:sz w:val="18"/>
                <w:szCs w:val="18"/>
              </w:rPr>
            </w:pPr>
            <w:r>
              <w:rPr>
                <w:rFonts w:ascii="宋体" w:hAnsi="宋体" w:eastAsia="宋体" w:cs="宋体"/>
                <w:sz w:val="18"/>
                <w:szCs w:val="18"/>
              </w:rPr>
              <w:t>753,982.92</w:t>
            </w:r>
          </w:p>
        </w:tc>
        <w:tc>
          <w:tcPr>
            <w:tcW w:w="741" w:type="dxa"/>
            <w:tcBorders>
              <w:top w:val="single" w:color="auto" w:sz="2" w:space="0"/>
              <w:left w:val="single" w:color="auto" w:sz="2" w:space="0"/>
              <w:bottom w:val="single" w:color="auto" w:sz="2" w:space="0"/>
              <w:right w:val="single" w:color="auto" w:sz="2" w:space="0"/>
            </w:tcBorders>
            <w:vAlign w:val="center"/>
          </w:tcPr>
          <w:p w14:paraId="3EA2298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40952D0">
            <w:pPr>
              <w:spacing w:before="0" w:after="0" w:line="240" w:lineRule="exact"/>
              <w:jc w:val="lef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81FC25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A711F7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198764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7922B05">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r>
      <w:tr w14:paraId="4278C5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6772C298">
            <w:pPr>
              <w:spacing w:before="0" w:after="0" w:line="240" w:lineRule="exact"/>
              <w:jc w:val="left"/>
              <w:rPr>
                <w:rFonts w:ascii="宋体" w:hAnsi="宋体" w:eastAsia="宋体" w:cs="宋体"/>
                <w:sz w:val="18"/>
                <w:szCs w:val="18"/>
              </w:rPr>
            </w:pPr>
            <w:r>
              <w:rPr>
                <w:rFonts w:ascii="宋体" w:hAnsi="宋体" w:eastAsia="宋体" w:cs="宋体"/>
                <w:sz w:val="18"/>
                <w:szCs w:val="18"/>
              </w:rPr>
              <w:t>固体制剂车间二期工程</w:t>
            </w:r>
          </w:p>
        </w:tc>
        <w:tc>
          <w:tcPr>
            <w:tcW w:w="741" w:type="dxa"/>
            <w:tcBorders>
              <w:top w:val="single" w:color="auto" w:sz="2" w:space="0"/>
              <w:left w:val="single" w:color="auto" w:sz="2" w:space="0"/>
              <w:bottom w:val="single" w:color="auto" w:sz="2" w:space="0"/>
              <w:right w:val="single" w:color="auto" w:sz="2" w:space="0"/>
            </w:tcBorders>
            <w:vAlign w:val="center"/>
          </w:tcPr>
          <w:p w14:paraId="0FB3981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D7BC7D3">
            <w:pPr>
              <w:spacing w:before="0" w:after="0" w:line="240" w:lineRule="exact"/>
              <w:jc w:val="right"/>
              <w:rPr>
                <w:rFonts w:ascii="宋体" w:hAnsi="宋体" w:eastAsia="宋体" w:cs="宋体"/>
                <w:sz w:val="18"/>
                <w:szCs w:val="18"/>
              </w:rPr>
            </w:pPr>
            <w:r>
              <w:rPr>
                <w:rFonts w:ascii="宋体" w:hAnsi="宋体" w:eastAsia="宋体" w:cs="宋体"/>
                <w:sz w:val="18"/>
                <w:szCs w:val="18"/>
              </w:rPr>
              <w:t>23,337,540.40</w:t>
            </w:r>
          </w:p>
        </w:tc>
        <w:tc>
          <w:tcPr>
            <w:tcW w:w="741" w:type="dxa"/>
            <w:tcBorders>
              <w:top w:val="single" w:color="auto" w:sz="2" w:space="0"/>
              <w:left w:val="single" w:color="auto" w:sz="2" w:space="0"/>
              <w:bottom w:val="single" w:color="auto" w:sz="2" w:space="0"/>
              <w:right w:val="single" w:color="auto" w:sz="2" w:space="0"/>
            </w:tcBorders>
            <w:vAlign w:val="center"/>
          </w:tcPr>
          <w:p w14:paraId="4C667470">
            <w:pPr>
              <w:spacing w:before="0" w:after="0" w:line="240" w:lineRule="exact"/>
              <w:jc w:val="right"/>
              <w:rPr>
                <w:rFonts w:ascii="宋体" w:hAnsi="宋体" w:eastAsia="宋体" w:cs="宋体"/>
                <w:sz w:val="18"/>
                <w:szCs w:val="18"/>
              </w:rPr>
            </w:pPr>
            <w:r>
              <w:rPr>
                <w:rFonts w:ascii="宋体" w:hAnsi="宋体" w:eastAsia="宋体" w:cs="宋体"/>
                <w:sz w:val="18"/>
                <w:szCs w:val="18"/>
              </w:rPr>
              <w:t>61,766.60</w:t>
            </w:r>
          </w:p>
        </w:tc>
        <w:tc>
          <w:tcPr>
            <w:tcW w:w="741" w:type="dxa"/>
            <w:tcBorders>
              <w:top w:val="single" w:color="auto" w:sz="2" w:space="0"/>
              <w:left w:val="single" w:color="auto" w:sz="2" w:space="0"/>
              <w:bottom w:val="single" w:color="auto" w:sz="2" w:space="0"/>
              <w:right w:val="single" w:color="auto" w:sz="2" w:space="0"/>
            </w:tcBorders>
            <w:vAlign w:val="center"/>
          </w:tcPr>
          <w:p w14:paraId="7B1262B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9B9B7B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2D44110">
            <w:pPr>
              <w:spacing w:before="0" w:after="0" w:line="240" w:lineRule="exact"/>
              <w:jc w:val="right"/>
              <w:rPr>
                <w:rFonts w:ascii="宋体" w:hAnsi="宋体" w:eastAsia="宋体" w:cs="宋体"/>
                <w:sz w:val="18"/>
                <w:szCs w:val="18"/>
              </w:rPr>
            </w:pPr>
            <w:r>
              <w:rPr>
                <w:rFonts w:ascii="宋体" w:hAnsi="宋体" w:eastAsia="宋体" w:cs="宋体"/>
                <w:sz w:val="18"/>
                <w:szCs w:val="18"/>
              </w:rPr>
              <w:t>23,399,307.00</w:t>
            </w:r>
          </w:p>
        </w:tc>
        <w:tc>
          <w:tcPr>
            <w:tcW w:w="741" w:type="dxa"/>
            <w:tcBorders>
              <w:top w:val="single" w:color="auto" w:sz="2" w:space="0"/>
              <w:left w:val="single" w:color="auto" w:sz="2" w:space="0"/>
              <w:bottom w:val="single" w:color="auto" w:sz="2" w:space="0"/>
              <w:right w:val="single" w:color="auto" w:sz="2" w:space="0"/>
            </w:tcBorders>
            <w:vAlign w:val="center"/>
          </w:tcPr>
          <w:p w14:paraId="3D662E9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79511AB">
            <w:pPr>
              <w:spacing w:before="0" w:after="0" w:line="240" w:lineRule="exact"/>
              <w:jc w:val="lef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A68EA69">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40AED2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B5A966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1A205B2">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r>
      <w:tr w14:paraId="2706CD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A655DCA">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741" w:type="dxa"/>
            <w:tcBorders>
              <w:top w:val="single" w:color="auto" w:sz="2" w:space="0"/>
              <w:left w:val="single" w:color="auto" w:sz="2" w:space="0"/>
              <w:bottom w:val="single" w:color="auto" w:sz="2" w:space="0"/>
              <w:right w:val="single" w:color="auto" w:sz="2" w:space="0"/>
            </w:tcBorders>
            <w:vAlign w:val="center"/>
          </w:tcPr>
          <w:p w14:paraId="2B92F45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576BA63">
            <w:pPr>
              <w:spacing w:before="0" w:after="0" w:line="240" w:lineRule="exact"/>
              <w:jc w:val="right"/>
              <w:rPr>
                <w:rFonts w:ascii="宋体" w:hAnsi="宋体" w:eastAsia="宋体" w:cs="宋体"/>
                <w:sz w:val="18"/>
                <w:szCs w:val="18"/>
              </w:rPr>
            </w:pPr>
            <w:r>
              <w:rPr>
                <w:rFonts w:ascii="宋体" w:hAnsi="宋体" w:eastAsia="宋体" w:cs="宋体"/>
                <w:sz w:val="18"/>
                <w:szCs w:val="18"/>
              </w:rPr>
              <w:t>29,813,370.45</w:t>
            </w:r>
          </w:p>
        </w:tc>
        <w:tc>
          <w:tcPr>
            <w:tcW w:w="741" w:type="dxa"/>
            <w:tcBorders>
              <w:top w:val="single" w:color="auto" w:sz="2" w:space="0"/>
              <w:left w:val="single" w:color="auto" w:sz="2" w:space="0"/>
              <w:bottom w:val="single" w:color="auto" w:sz="2" w:space="0"/>
              <w:right w:val="single" w:color="auto" w:sz="2" w:space="0"/>
            </w:tcBorders>
            <w:vAlign w:val="center"/>
          </w:tcPr>
          <w:p w14:paraId="09188288">
            <w:pPr>
              <w:spacing w:before="0" w:after="0" w:line="240" w:lineRule="exact"/>
              <w:jc w:val="right"/>
              <w:rPr>
                <w:rFonts w:ascii="宋体" w:hAnsi="宋体" w:eastAsia="宋体" w:cs="宋体"/>
                <w:sz w:val="18"/>
                <w:szCs w:val="18"/>
              </w:rPr>
            </w:pPr>
            <w:r>
              <w:rPr>
                <w:rFonts w:ascii="宋体" w:hAnsi="宋体" w:eastAsia="宋体" w:cs="宋体"/>
                <w:sz w:val="18"/>
                <w:szCs w:val="18"/>
              </w:rPr>
              <w:t>5,736,176.39</w:t>
            </w:r>
          </w:p>
        </w:tc>
        <w:tc>
          <w:tcPr>
            <w:tcW w:w="741" w:type="dxa"/>
            <w:tcBorders>
              <w:top w:val="single" w:color="auto" w:sz="2" w:space="0"/>
              <w:left w:val="single" w:color="auto" w:sz="2" w:space="0"/>
              <w:bottom w:val="single" w:color="auto" w:sz="2" w:space="0"/>
              <w:right w:val="single" w:color="auto" w:sz="2" w:space="0"/>
            </w:tcBorders>
            <w:vAlign w:val="center"/>
          </w:tcPr>
          <w:p w14:paraId="55EC5140">
            <w:pPr>
              <w:spacing w:before="0" w:after="0" w:line="240" w:lineRule="exact"/>
              <w:jc w:val="right"/>
              <w:rPr>
                <w:rFonts w:ascii="宋体" w:hAnsi="宋体" w:eastAsia="宋体" w:cs="宋体"/>
                <w:sz w:val="18"/>
                <w:szCs w:val="18"/>
              </w:rPr>
            </w:pPr>
            <w:r>
              <w:rPr>
                <w:rFonts w:ascii="宋体" w:hAnsi="宋体" w:eastAsia="宋体" w:cs="宋体"/>
                <w:sz w:val="18"/>
                <w:szCs w:val="18"/>
              </w:rPr>
              <w:t>4,041,123.61</w:t>
            </w:r>
          </w:p>
        </w:tc>
        <w:tc>
          <w:tcPr>
            <w:tcW w:w="741" w:type="dxa"/>
            <w:tcBorders>
              <w:top w:val="single" w:color="auto" w:sz="2" w:space="0"/>
              <w:left w:val="single" w:color="auto" w:sz="2" w:space="0"/>
              <w:bottom w:val="single" w:color="auto" w:sz="2" w:space="0"/>
              <w:right w:val="single" w:color="auto" w:sz="2" w:space="0"/>
            </w:tcBorders>
            <w:vAlign w:val="center"/>
          </w:tcPr>
          <w:p w14:paraId="7578F526">
            <w:pPr>
              <w:spacing w:before="0" w:after="0" w:line="240" w:lineRule="exact"/>
              <w:jc w:val="right"/>
              <w:rPr>
                <w:rFonts w:ascii="宋体" w:hAnsi="宋体" w:eastAsia="宋体" w:cs="宋体"/>
                <w:sz w:val="18"/>
                <w:szCs w:val="18"/>
              </w:rPr>
            </w:pPr>
            <w:r>
              <w:rPr>
                <w:rFonts w:ascii="宋体" w:hAnsi="宋体" w:eastAsia="宋体" w:cs="宋体"/>
                <w:sz w:val="18"/>
                <w:szCs w:val="18"/>
              </w:rPr>
              <w:t>2,322,036.98</w:t>
            </w:r>
          </w:p>
        </w:tc>
        <w:tc>
          <w:tcPr>
            <w:tcW w:w="741" w:type="dxa"/>
            <w:tcBorders>
              <w:top w:val="single" w:color="auto" w:sz="2" w:space="0"/>
              <w:left w:val="single" w:color="auto" w:sz="2" w:space="0"/>
              <w:bottom w:val="single" w:color="auto" w:sz="2" w:space="0"/>
              <w:right w:val="single" w:color="auto" w:sz="2" w:space="0"/>
            </w:tcBorders>
            <w:vAlign w:val="center"/>
          </w:tcPr>
          <w:p w14:paraId="53FD3BC5">
            <w:pPr>
              <w:spacing w:before="0" w:after="0" w:line="240" w:lineRule="exact"/>
              <w:jc w:val="right"/>
              <w:rPr>
                <w:rFonts w:ascii="宋体" w:hAnsi="宋体" w:eastAsia="宋体" w:cs="宋体"/>
                <w:sz w:val="18"/>
                <w:szCs w:val="18"/>
              </w:rPr>
            </w:pPr>
            <w:r>
              <w:rPr>
                <w:rFonts w:ascii="宋体" w:hAnsi="宋体" w:eastAsia="宋体" w:cs="宋体"/>
                <w:sz w:val="18"/>
                <w:szCs w:val="18"/>
              </w:rPr>
              <w:t>29,186,386.25</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51C60C4"/>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73CDD1A"/>
        </w:tc>
        <w:tc>
          <w:tcPr>
            <w:tcW w:w="741" w:type="dxa"/>
            <w:tcBorders>
              <w:top w:val="single" w:color="auto" w:sz="2" w:space="0"/>
              <w:left w:val="single" w:color="auto" w:sz="2" w:space="0"/>
              <w:bottom w:val="single" w:color="auto" w:sz="2" w:space="0"/>
              <w:right w:val="single" w:color="auto" w:sz="2" w:space="0"/>
            </w:tcBorders>
            <w:vAlign w:val="center"/>
          </w:tcPr>
          <w:p w14:paraId="57DAD9F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D80FA8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CD22E6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9993ABF"/>
        </w:tc>
      </w:tr>
    </w:tbl>
    <w:p w14:paraId="2D107FFE">
      <w:pPr>
        <w:keepNext/>
        <w:keepLines/>
        <w:spacing w:before="300" w:after="300" w:line="280" w:lineRule="exact"/>
        <w:jc w:val="left"/>
        <w:outlineLvl w:val="3"/>
        <w:rPr>
          <w:rFonts w:ascii="宋体" w:hAnsi="宋体" w:eastAsia="宋体" w:cs="宋体"/>
          <w:b/>
          <w:bCs/>
          <w:sz w:val="21"/>
          <w:szCs w:val="21"/>
        </w:rPr>
      </w:pPr>
      <w:bookmarkStart w:id="327" w:name="_Toc989214"/>
      <w:r>
        <w:rPr>
          <w:rFonts w:ascii="宋体" w:hAnsi="宋体" w:eastAsia="宋体" w:cs="宋体"/>
          <w:b/>
          <w:bCs/>
          <w:sz w:val="21"/>
          <w:szCs w:val="21"/>
        </w:rPr>
        <w:t>（3） 本期计提在建工程减值准备情况</w:t>
      </w:r>
      <w:bookmarkEnd w:id="327"/>
    </w:p>
    <w:p w14:paraId="4CDDF71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150AC1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D45931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EB058CE">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64387B9">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74E2308">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3ED8F13">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D39EF8B">
            <w:pPr>
              <w:spacing w:before="40" w:after="40" w:line="240" w:lineRule="exact"/>
              <w:jc w:val="center"/>
              <w:rPr>
                <w:rFonts w:ascii="宋体" w:hAnsi="宋体" w:eastAsia="宋体" w:cs="宋体"/>
                <w:sz w:val="18"/>
                <w:szCs w:val="18"/>
              </w:rPr>
            </w:pPr>
            <w:r>
              <w:rPr>
                <w:rFonts w:ascii="宋体" w:hAnsi="宋体" w:eastAsia="宋体" w:cs="宋体"/>
                <w:sz w:val="18"/>
                <w:szCs w:val="18"/>
              </w:rPr>
              <w:t>计提原因</w:t>
            </w:r>
          </w:p>
        </w:tc>
      </w:tr>
    </w:tbl>
    <w:p w14:paraId="36A60EC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DE8D7AF">
      <w:pPr>
        <w:keepNext/>
        <w:keepLines/>
        <w:spacing w:before="300" w:after="300" w:line="280" w:lineRule="exact"/>
        <w:jc w:val="left"/>
        <w:outlineLvl w:val="3"/>
        <w:rPr>
          <w:rFonts w:ascii="宋体" w:hAnsi="宋体" w:eastAsia="宋体" w:cs="宋体"/>
          <w:b/>
          <w:bCs/>
          <w:sz w:val="21"/>
          <w:szCs w:val="21"/>
        </w:rPr>
      </w:pPr>
      <w:bookmarkStart w:id="328" w:name="_Toc989215"/>
      <w:r>
        <w:rPr>
          <w:rFonts w:ascii="宋体" w:hAnsi="宋体" w:eastAsia="宋体" w:cs="宋体"/>
          <w:b/>
          <w:bCs/>
          <w:sz w:val="21"/>
          <w:szCs w:val="21"/>
        </w:rPr>
        <w:t>（4） 在建工程的减值测试情况</w:t>
      </w:r>
      <w:bookmarkEnd w:id="328"/>
    </w:p>
    <w:p w14:paraId="13AED0CC">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E08D1B7">
      <w:pPr>
        <w:keepNext/>
        <w:keepLines/>
        <w:spacing w:before="300" w:after="300" w:line="280" w:lineRule="exact"/>
        <w:jc w:val="left"/>
        <w:outlineLvl w:val="3"/>
        <w:rPr>
          <w:rFonts w:ascii="宋体" w:hAnsi="宋体" w:eastAsia="宋体" w:cs="宋体"/>
          <w:b/>
          <w:bCs/>
          <w:sz w:val="21"/>
          <w:szCs w:val="21"/>
        </w:rPr>
      </w:pPr>
      <w:bookmarkStart w:id="329" w:name="_Toc989216"/>
      <w:r>
        <w:rPr>
          <w:rFonts w:ascii="宋体" w:hAnsi="宋体" w:eastAsia="宋体" w:cs="宋体"/>
          <w:b/>
          <w:bCs/>
          <w:sz w:val="21"/>
          <w:szCs w:val="21"/>
        </w:rPr>
        <w:t>（5） 工程物资</w:t>
      </w:r>
      <w:bookmarkEnd w:id="329"/>
    </w:p>
    <w:p w14:paraId="3335A33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110709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3F3EED6">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72AEC6CD">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50A9C856">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41118B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CCDE747"/>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A3DC23B">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63C618B">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C1EBA73">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6908B6E">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E3B72F5">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6C10245">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bl>
    <w:p w14:paraId="7835CDE5">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5088BC4">
      <w:pPr>
        <w:keepNext/>
        <w:keepLines/>
        <w:spacing w:before="300" w:after="300" w:line="280" w:lineRule="exact"/>
        <w:jc w:val="left"/>
        <w:outlineLvl w:val="2"/>
        <w:rPr>
          <w:rFonts w:ascii="宋体" w:hAnsi="宋体" w:eastAsia="宋体" w:cs="宋体"/>
          <w:b/>
          <w:bCs/>
          <w:sz w:val="21"/>
          <w:szCs w:val="21"/>
        </w:rPr>
      </w:pPr>
      <w:bookmarkStart w:id="330" w:name="_Toc989217"/>
      <w:r>
        <w:rPr>
          <w:rFonts w:ascii="宋体" w:hAnsi="宋体" w:eastAsia="宋体" w:cs="宋体"/>
          <w:b/>
          <w:bCs/>
          <w:sz w:val="21"/>
          <w:szCs w:val="21"/>
        </w:rPr>
        <w:t>23、生产性生物资产</w:t>
      </w:r>
      <w:bookmarkEnd w:id="330"/>
    </w:p>
    <w:p w14:paraId="131578A0">
      <w:pPr>
        <w:keepNext/>
        <w:keepLines/>
        <w:spacing w:before="300" w:after="300" w:line="280" w:lineRule="exact"/>
        <w:jc w:val="left"/>
        <w:outlineLvl w:val="3"/>
        <w:rPr>
          <w:rFonts w:ascii="宋体" w:hAnsi="宋体" w:eastAsia="宋体" w:cs="宋体"/>
          <w:b/>
          <w:bCs/>
          <w:sz w:val="21"/>
          <w:szCs w:val="21"/>
        </w:rPr>
      </w:pPr>
      <w:bookmarkStart w:id="331" w:name="_Toc989218"/>
      <w:r>
        <w:rPr>
          <w:rFonts w:ascii="宋体" w:hAnsi="宋体" w:eastAsia="宋体" w:cs="宋体"/>
          <w:b/>
          <w:bCs/>
          <w:sz w:val="21"/>
          <w:szCs w:val="21"/>
        </w:rPr>
        <w:t>（1） 采用成本计量模式的生产性生物资产</w:t>
      </w:r>
      <w:bookmarkEnd w:id="331"/>
    </w:p>
    <w:p w14:paraId="39C964C3">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FAD2426">
      <w:pPr>
        <w:keepNext/>
        <w:keepLines/>
        <w:spacing w:before="300" w:after="300" w:line="280" w:lineRule="exact"/>
        <w:jc w:val="left"/>
        <w:outlineLvl w:val="3"/>
        <w:rPr>
          <w:rFonts w:ascii="宋体" w:hAnsi="宋体" w:eastAsia="宋体" w:cs="宋体"/>
          <w:b/>
          <w:bCs/>
          <w:sz w:val="21"/>
          <w:szCs w:val="21"/>
        </w:rPr>
      </w:pPr>
      <w:bookmarkStart w:id="332" w:name="_Toc989219"/>
      <w:r>
        <w:rPr>
          <w:rFonts w:ascii="宋体" w:hAnsi="宋体" w:eastAsia="宋体" w:cs="宋体"/>
          <w:b/>
          <w:bCs/>
          <w:sz w:val="21"/>
          <w:szCs w:val="21"/>
        </w:rPr>
        <w:t>（2） 采用成本计量模式的生产性生物资产的减值测试情况</w:t>
      </w:r>
      <w:bookmarkEnd w:id="332"/>
    </w:p>
    <w:p w14:paraId="7F1874C2">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E242D2F">
      <w:pPr>
        <w:keepNext/>
        <w:keepLines/>
        <w:spacing w:before="300" w:after="300" w:line="280" w:lineRule="exact"/>
        <w:jc w:val="left"/>
        <w:outlineLvl w:val="3"/>
        <w:rPr>
          <w:rFonts w:ascii="宋体" w:hAnsi="宋体" w:eastAsia="宋体" w:cs="宋体"/>
          <w:b/>
          <w:bCs/>
          <w:sz w:val="21"/>
          <w:szCs w:val="21"/>
        </w:rPr>
      </w:pPr>
      <w:bookmarkStart w:id="333" w:name="_Toc989220"/>
      <w:r>
        <w:rPr>
          <w:rFonts w:ascii="宋体" w:hAnsi="宋体" w:eastAsia="宋体" w:cs="宋体"/>
          <w:b/>
          <w:bCs/>
          <w:sz w:val="21"/>
          <w:szCs w:val="21"/>
        </w:rPr>
        <w:t>（3） 采用公允价值计量模式的生产性生物资产</w:t>
      </w:r>
      <w:bookmarkEnd w:id="333"/>
    </w:p>
    <w:p w14:paraId="4DCC4297">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D551177">
      <w:pPr>
        <w:keepNext/>
        <w:keepLines/>
        <w:spacing w:before="300" w:after="300" w:line="280" w:lineRule="exact"/>
        <w:jc w:val="left"/>
        <w:outlineLvl w:val="2"/>
        <w:rPr>
          <w:rFonts w:ascii="宋体" w:hAnsi="宋体" w:eastAsia="宋体" w:cs="宋体"/>
          <w:b/>
          <w:bCs/>
          <w:sz w:val="21"/>
          <w:szCs w:val="21"/>
        </w:rPr>
      </w:pPr>
      <w:bookmarkStart w:id="334" w:name="_Toc989221"/>
      <w:r>
        <w:rPr>
          <w:rFonts w:ascii="宋体" w:hAnsi="宋体" w:eastAsia="宋体" w:cs="宋体"/>
          <w:b/>
          <w:bCs/>
          <w:sz w:val="21"/>
          <w:szCs w:val="21"/>
        </w:rPr>
        <w:t>24、油气资产</w:t>
      </w:r>
      <w:bookmarkEnd w:id="334"/>
    </w:p>
    <w:p w14:paraId="13EDD03A">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0D055DB">
      <w:pPr>
        <w:keepNext/>
        <w:keepLines/>
        <w:spacing w:before="300" w:after="300" w:line="280" w:lineRule="exact"/>
        <w:jc w:val="left"/>
        <w:outlineLvl w:val="2"/>
        <w:rPr>
          <w:rFonts w:ascii="宋体" w:hAnsi="宋体" w:eastAsia="宋体" w:cs="宋体"/>
          <w:b/>
          <w:bCs/>
          <w:sz w:val="21"/>
          <w:szCs w:val="21"/>
        </w:rPr>
      </w:pPr>
      <w:bookmarkStart w:id="335" w:name="_Toc989222"/>
      <w:r>
        <w:rPr>
          <w:rFonts w:ascii="宋体" w:hAnsi="宋体" w:eastAsia="宋体" w:cs="宋体"/>
          <w:b/>
          <w:bCs/>
          <w:sz w:val="21"/>
          <w:szCs w:val="21"/>
        </w:rPr>
        <w:t>25、使用权资产</w:t>
      </w:r>
      <w:bookmarkEnd w:id="335"/>
    </w:p>
    <w:p w14:paraId="05ED841F">
      <w:pPr>
        <w:keepNext/>
        <w:keepLines/>
        <w:spacing w:before="300" w:after="300" w:line="280" w:lineRule="exact"/>
        <w:jc w:val="left"/>
        <w:outlineLvl w:val="3"/>
        <w:rPr>
          <w:rFonts w:ascii="宋体" w:hAnsi="宋体" w:eastAsia="宋体" w:cs="宋体"/>
          <w:b/>
          <w:bCs/>
          <w:sz w:val="21"/>
          <w:szCs w:val="21"/>
        </w:rPr>
      </w:pPr>
      <w:bookmarkStart w:id="336" w:name="_Toc989223"/>
      <w:r>
        <w:rPr>
          <w:rFonts w:ascii="宋体" w:hAnsi="宋体" w:eastAsia="宋体" w:cs="宋体"/>
          <w:b/>
          <w:bCs/>
          <w:sz w:val="21"/>
          <w:szCs w:val="21"/>
        </w:rPr>
        <w:t>（1） 使用权资产情况</w:t>
      </w:r>
      <w:bookmarkEnd w:id="336"/>
    </w:p>
    <w:p w14:paraId="4EDDCB0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55E0DC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825F47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vAlign w:val="center"/>
          </w:tcPr>
          <w:p w14:paraId="6B44BF6F">
            <w:pPr>
              <w:spacing w:before="0" w:after="0" w:line="240" w:lineRule="exact"/>
              <w:jc w:val="center"/>
              <w:rPr>
                <w:rFonts w:ascii="宋体" w:hAnsi="宋体" w:eastAsia="宋体" w:cs="宋体"/>
                <w:sz w:val="18"/>
                <w:szCs w:val="18"/>
              </w:rPr>
            </w:pPr>
            <w:r>
              <w:rPr>
                <w:rFonts w:ascii="宋体" w:hAnsi="宋体" w:eastAsia="宋体" w:cs="宋体"/>
                <w:sz w:val="18"/>
                <w:szCs w:val="18"/>
              </w:rPr>
              <w:t>房屋及建筑物</w:t>
            </w:r>
          </w:p>
        </w:tc>
        <w:tc>
          <w:tcPr>
            <w:tcW w:w="2410" w:type="dxa"/>
            <w:tcBorders>
              <w:top w:val="single" w:color="auto" w:sz="2" w:space="0"/>
              <w:left w:val="single" w:color="auto" w:sz="2" w:space="0"/>
              <w:bottom w:val="single" w:color="auto" w:sz="2" w:space="0"/>
              <w:right w:val="single" w:color="auto" w:sz="2" w:space="0"/>
            </w:tcBorders>
            <w:vAlign w:val="center"/>
          </w:tcPr>
          <w:p w14:paraId="2E6F3F5B">
            <w:pPr>
              <w:spacing w:before="0" w:after="0" w:line="240" w:lineRule="exact"/>
              <w:jc w:val="center"/>
              <w:rPr>
                <w:rFonts w:ascii="宋体" w:hAnsi="宋体" w:eastAsia="宋体" w:cs="宋体"/>
                <w:sz w:val="18"/>
                <w:szCs w:val="18"/>
              </w:rPr>
            </w:pPr>
            <w:r>
              <w:rPr>
                <w:rFonts w:ascii="宋体" w:hAnsi="宋体" w:eastAsia="宋体" w:cs="宋体"/>
                <w:sz w:val="18"/>
                <w:szCs w:val="18"/>
              </w:rPr>
              <w:t>运输工具</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28E27F1">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72D89D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9B514E6">
            <w:pPr>
              <w:spacing w:before="40" w:after="40" w:line="240" w:lineRule="exact"/>
              <w:jc w:val="left"/>
              <w:rPr>
                <w:rFonts w:ascii="宋体" w:hAnsi="宋体" w:eastAsia="宋体" w:cs="宋体"/>
                <w:sz w:val="18"/>
                <w:szCs w:val="18"/>
              </w:rPr>
            </w:pPr>
            <w:r>
              <w:rPr>
                <w:rFonts w:ascii="宋体" w:hAnsi="宋体" w:eastAsia="宋体" w:cs="宋体"/>
                <w:sz w:val="18"/>
                <w:szCs w:val="18"/>
              </w:rPr>
              <w:t>一、账面原值</w:t>
            </w:r>
          </w:p>
        </w:tc>
        <w:tc>
          <w:tcPr>
            <w:tcW w:w="2410" w:type="dxa"/>
            <w:tcBorders>
              <w:top w:val="single" w:color="auto" w:sz="2" w:space="0"/>
              <w:left w:val="single" w:color="auto" w:sz="2" w:space="0"/>
              <w:bottom w:val="single" w:color="auto" w:sz="2" w:space="0"/>
              <w:right w:val="single" w:color="auto" w:sz="2" w:space="0"/>
            </w:tcBorders>
            <w:vAlign w:val="center"/>
          </w:tcPr>
          <w:p w14:paraId="76F7CDBF">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143603B">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83D8930">
            <w:pPr>
              <w:spacing w:before="0" w:after="0" w:line="240" w:lineRule="exact"/>
              <w:jc w:val="right"/>
              <w:rPr>
                <w:rFonts w:ascii="宋体" w:hAnsi="宋体" w:eastAsia="宋体" w:cs="宋体"/>
                <w:sz w:val="18"/>
                <w:szCs w:val="18"/>
              </w:rPr>
            </w:pPr>
          </w:p>
        </w:tc>
      </w:tr>
      <w:tr w14:paraId="587248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F185E68">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1.期初余额</w:t>
            </w:r>
          </w:p>
        </w:tc>
        <w:tc>
          <w:tcPr>
            <w:tcW w:w="2410" w:type="dxa"/>
            <w:tcBorders>
              <w:top w:val="single" w:color="auto" w:sz="2" w:space="0"/>
              <w:left w:val="single" w:color="auto" w:sz="2" w:space="0"/>
              <w:bottom w:val="single" w:color="auto" w:sz="2" w:space="0"/>
              <w:right w:val="single" w:color="auto" w:sz="2" w:space="0"/>
            </w:tcBorders>
            <w:vAlign w:val="center"/>
          </w:tcPr>
          <w:p w14:paraId="20EFDACD">
            <w:pPr>
              <w:spacing w:before="0" w:after="0" w:line="240" w:lineRule="exact"/>
              <w:jc w:val="right"/>
              <w:rPr>
                <w:rFonts w:ascii="宋体" w:hAnsi="宋体" w:eastAsia="宋体" w:cs="宋体"/>
                <w:sz w:val="18"/>
                <w:szCs w:val="18"/>
              </w:rPr>
            </w:pPr>
            <w:r>
              <w:rPr>
                <w:rFonts w:ascii="宋体" w:hAnsi="宋体" w:eastAsia="宋体" w:cs="宋体"/>
                <w:sz w:val="18"/>
                <w:szCs w:val="18"/>
              </w:rPr>
              <w:t>373,651.28</w:t>
            </w:r>
          </w:p>
        </w:tc>
        <w:tc>
          <w:tcPr>
            <w:tcW w:w="2410" w:type="dxa"/>
            <w:tcBorders>
              <w:top w:val="single" w:color="auto" w:sz="2" w:space="0"/>
              <w:left w:val="single" w:color="auto" w:sz="2" w:space="0"/>
              <w:bottom w:val="single" w:color="auto" w:sz="2" w:space="0"/>
              <w:right w:val="single" w:color="auto" w:sz="2" w:space="0"/>
            </w:tcBorders>
            <w:vAlign w:val="center"/>
          </w:tcPr>
          <w:p w14:paraId="53829E12">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c>
          <w:tcPr>
            <w:tcW w:w="2410" w:type="dxa"/>
            <w:tcBorders>
              <w:top w:val="single" w:color="auto" w:sz="2" w:space="0"/>
              <w:left w:val="single" w:color="auto" w:sz="2" w:space="0"/>
              <w:bottom w:val="single" w:color="auto" w:sz="2" w:space="0"/>
              <w:right w:val="single" w:color="auto" w:sz="2" w:space="0"/>
            </w:tcBorders>
            <w:vAlign w:val="center"/>
          </w:tcPr>
          <w:p w14:paraId="2BAD3326">
            <w:pPr>
              <w:spacing w:before="0" w:after="0" w:line="240" w:lineRule="exact"/>
              <w:jc w:val="right"/>
              <w:rPr>
                <w:rFonts w:ascii="宋体" w:hAnsi="宋体" w:eastAsia="宋体" w:cs="宋体"/>
                <w:sz w:val="18"/>
                <w:szCs w:val="18"/>
              </w:rPr>
            </w:pPr>
            <w:r>
              <w:rPr>
                <w:rFonts w:ascii="宋体" w:hAnsi="宋体" w:eastAsia="宋体" w:cs="宋体"/>
                <w:sz w:val="18"/>
                <w:szCs w:val="18"/>
              </w:rPr>
              <w:t>613,651.28</w:t>
            </w:r>
          </w:p>
        </w:tc>
      </w:tr>
      <w:tr w14:paraId="647099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3F57856">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2.本期增加金额</w:t>
            </w:r>
          </w:p>
        </w:tc>
        <w:tc>
          <w:tcPr>
            <w:tcW w:w="2410" w:type="dxa"/>
            <w:tcBorders>
              <w:top w:val="single" w:color="auto" w:sz="2" w:space="0"/>
              <w:left w:val="single" w:color="auto" w:sz="2" w:space="0"/>
              <w:bottom w:val="single" w:color="auto" w:sz="2" w:space="0"/>
              <w:right w:val="single" w:color="auto" w:sz="2" w:space="0"/>
            </w:tcBorders>
            <w:vAlign w:val="center"/>
          </w:tcPr>
          <w:p w14:paraId="39777EB3">
            <w:pPr>
              <w:spacing w:before="0" w:after="0" w:line="240" w:lineRule="exact"/>
              <w:jc w:val="right"/>
              <w:rPr>
                <w:rFonts w:ascii="宋体" w:hAnsi="宋体" w:eastAsia="宋体" w:cs="宋体"/>
                <w:sz w:val="18"/>
                <w:szCs w:val="18"/>
              </w:rPr>
            </w:pPr>
            <w:r>
              <w:rPr>
                <w:rFonts w:ascii="宋体" w:hAnsi="宋体" w:eastAsia="宋体" w:cs="宋体"/>
                <w:sz w:val="18"/>
                <w:szCs w:val="18"/>
              </w:rPr>
              <w:t>1,096.03</w:t>
            </w:r>
          </w:p>
        </w:tc>
        <w:tc>
          <w:tcPr>
            <w:tcW w:w="2410" w:type="dxa"/>
            <w:tcBorders>
              <w:top w:val="single" w:color="auto" w:sz="2" w:space="0"/>
              <w:left w:val="single" w:color="auto" w:sz="2" w:space="0"/>
              <w:bottom w:val="single" w:color="auto" w:sz="2" w:space="0"/>
              <w:right w:val="single" w:color="auto" w:sz="2" w:space="0"/>
            </w:tcBorders>
            <w:vAlign w:val="center"/>
          </w:tcPr>
          <w:p w14:paraId="73FF5E62">
            <w:pPr>
              <w:spacing w:before="0" w:after="0" w:line="240" w:lineRule="exact"/>
              <w:jc w:val="right"/>
              <w:rPr>
                <w:rFonts w:ascii="宋体" w:hAnsi="宋体" w:eastAsia="宋体" w:cs="宋体"/>
                <w:sz w:val="18"/>
                <w:szCs w:val="18"/>
              </w:rPr>
            </w:pPr>
            <w:r>
              <w:rPr>
                <w:rFonts w:ascii="宋体" w:hAnsi="宋体" w:eastAsia="宋体" w:cs="宋体"/>
                <w:sz w:val="18"/>
                <w:szCs w:val="18"/>
              </w:rPr>
              <w:t>416,991.15</w:t>
            </w:r>
          </w:p>
        </w:tc>
        <w:tc>
          <w:tcPr>
            <w:tcW w:w="2410" w:type="dxa"/>
            <w:tcBorders>
              <w:top w:val="single" w:color="auto" w:sz="2" w:space="0"/>
              <w:left w:val="single" w:color="auto" w:sz="2" w:space="0"/>
              <w:bottom w:val="single" w:color="auto" w:sz="2" w:space="0"/>
              <w:right w:val="single" w:color="auto" w:sz="2" w:space="0"/>
            </w:tcBorders>
            <w:vAlign w:val="center"/>
          </w:tcPr>
          <w:p w14:paraId="5BAB1521">
            <w:pPr>
              <w:spacing w:before="0" w:after="0" w:line="240" w:lineRule="exact"/>
              <w:jc w:val="right"/>
              <w:rPr>
                <w:rFonts w:ascii="宋体" w:hAnsi="宋体" w:eastAsia="宋体" w:cs="宋体"/>
                <w:sz w:val="18"/>
                <w:szCs w:val="18"/>
              </w:rPr>
            </w:pPr>
            <w:r>
              <w:rPr>
                <w:rFonts w:ascii="宋体" w:hAnsi="宋体" w:eastAsia="宋体" w:cs="宋体"/>
                <w:sz w:val="18"/>
                <w:szCs w:val="18"/>
              </w:rPr>
              <w:t>418,087.18</w:t>
            </w:r>
          </w:p>
        </w:tc>
      </w:tr>
      <w:tr w14:paraId="023529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6301D2A2">
            <w:pPr>
              <w:spacing w:before="0" w:after="0" w:line="240" w:lineRule="exact"/>
              <w:jc w:val="left"/>
              <w:rPr>
                <w:rFonts w:ascii="宋体" w:hAnsi="宋体" w:eastAsia="宋体" w:cs="宋体"/>
                <w:sz w:val="18"/>
                <w:szCs w:val="18"/>
              </w:rPr>
            </w:pPr>
            <w:r>
              <w:rPr>
                <w:rFonts w:ascii="宋体" w:hAnsi="宋体" w:eastAsia="宋体" w:cs="宋体"/>
                <w:sz w:val="18"/>
                <w:szCs w:val="18"/>
              </w:rPr>
              <w:t>租赁</w:t>
            </w:r>
          </w:p>
        </w:tc>
        <w:tc>
          <w:tcPr>
            <w:tcW w:w="2410" w:type="dxa"/>
            <w:tcBorders>
              <w:top w:val="single" w:color="auto" w:sz="2" w:space="0"/>
              <w:left w:val="single" w:color="auto" w:sz="2" w:space="0"/>
              <w:bottom w:val="single" w:color="auto" w:sz="2" w:space="0"/>
              <w:right w:val="single" w:color="auto" w:sz="2" w:space="0"/>
            </w:tcBorders>
            <w:vAlign w:val="center"/>
          </w:tcPr>
          <w:p w14:paraId="6A990B6A">
            <w:pPr>
              <w:spacing w:before="0" w:after="0" w:line="240" w:lineRule="exact"/>
              <w:jc w:val="right"/>
              <w:rPr>
                <w:rFonts w:ascii="宋体" w:hAnsi="宋体" w:eastAsia="宋体" w:cs="宋体"/>
                <w:sz w:val="18"/>
                <w:szCs w:val="18"/>
              </w:rPr>
            </w:pPr>
            <w:r>
              <w:rPr>
                <w:rFonts w:ascii="宋体" w:hAnsi="宋体" w:eastAsia="宋体" w:cs="宋体"/>
                <w:sz w:val="18"/>
                <w:szCs w:val="18"/>
              </w:rPr>
              <w:t>1,096.03</w:t>
            </w:r>
          </w:p>
        </w:tc>
        <w:tc>
          <w:tcPr>
            <w:tcW w:w="2410" w:type="dxa"/>
            <w:tcBorders>
              <w:top w:val="single" w:color="auto" w:sz="2" w:space="0"/>
              <w:left w:val="single" w:color="auto" w:sz="2" w:space="0"/>
              <w:bottom w:val="single" w:color="auto" w:sz="2" w:space="0"/>
              <w:right w:val="single" w:color="auto" w:sz="2" w:space="0"/>
            </w:tcBorders>
            <w:vAlign w:val="center"/>
          </w:tcPr>
          <w:p w14:paraId="1B8B7620">
            <w:pPr>
              <w:spacing w:before="0" w:after="0" w:line="240" w:lineRule="exact"/>
              <w:jc w:val="right"/>
              <w:rPr>
                <w:rFonts w:ascii="宋体" w:hAnsi="宋体" w:eastAsia="宋体" w:cs="宋体"/>
                <w:sz w:val="18"/>
                <w:szCs w:val="18"/>
              </w:rPr>
            </w:pPr>
            <w:r>
              <w:rPr>
                <w:rFonts w:ascii="宋体" w:hAnsi="宋体" w:eastAsia="宋体" w:cs="宋体"/>
                <w:sz w:val="18"/>
                <w:szCs w:val="18"/>
              </w:rPr>
              <w:t>416,991.15</w:t>
            </w:r>
          </w:p>
        </w:tc>
        <w:tc>
          <w:tcPr>
            <w:tcW w:w="2410" w:type="dxa"/>
            <w:tcBorders>
              <w:top w:val="single" w:color="auto" w:sz="2" w:space="0"/>
              <w:left w:val="single" w:color="auto" w:sz="2" w:space="0"/>
              <w:bottom w:val="single" w:color="auto" w:sz="2" w:space="0"/>
              <w:right w:val="single" w:color="auto" w:sz="2" w:space="0"/>
            </w:tcBorders>
            <w:vAlign w:val="center"/>
          </w:tcPr>
          <w:p w14:paraId="3262F528">
            <w:pPr>
              <w:spacing w:before="0" w:after="0" w:line="240" w:lineRule="exact"/>
              <w:jc w:val="right"/>
              <w:rPr>
                <w:rFonts w:ascii="宋体" w:hAnsi="宋体" w:eastAsia="宋体" w:cs="宋体"/>
                <w:sz w:val="18"/>
                <w:szCs w:val="18"/>
              </w:rPr>
            </w:pPr>
            <w:r>
              <w:rPr>
                <w:rFonts w:ascii="宋体" w:hAnsi="宋体" w:eastAsia="宋体" w:cs="宋体"/>
                <w:sz w:val="18"/>
                <w:szCs w:val="18"/>
              </w:rPr>
              <w:t>418,087.18</w:t>
            </w:r>
          </w:p>
        </w:tc>
      </w:tr>
      <w:tr w14:paraId="7C5A2D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2F3E9B2">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3.本期减少金额</w:t>
            </w:r>
          </w:p>
        </w:tc>
        <w:tc>
          <w:tcPr>
            <w:tcW w:w="2410" w:type="dxa"/>
            <w:tcBorders>
              <w:top w:val="single" w:color="auto" w:sz="2" w:space="0"/>
              <w:left w:val="single" w:color="auto" w:sz="2" w:space="0"/>
              <w:bottom w:val="single" w:color="auto" w:sz="2" w:space="0"/>
              <w:right w:val="single" w:color="auto" w:sz="2" w:space="0"/>
            </w:tcBorders>
            <w:vAlign w:val="center"/>
          </w:tcPr>
          <w:p w14:paraId="67AC3AC7">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5D0C157">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c>
          <w:tcPr>
            <w:tcW w:w="2410" w:type="dxa"/>
            <w:tcBorders>
              <w:top w:val="single" w:color="auto" w:sz="2" w:space="0"/>
              <w:left w:val="single" w:color="auto" w:sz="2" w:space="0"/>
              <w:bottom w:val="single" w:color="auto" w:sz="2" w:space="0"/>
              <w:right w:val="single" w:color="auto" w:sz="2" w:space="0"/>
            </w:tcBorders>
            <w:vAlign w:val="center"/>
          </w:tcPr>
          <w:p w14:paraId="742B846C">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r>
      <w:tr w14:paraId="46BFE6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DCF3553">
            <w:pPr>
              <w:spacing w:before="0" w:after="0" w:line="240" w:lineRule="exact"/>
              <w:jc w:val="left"/>
              <w:rPr>
                <w:rFonts w:ascii="宋体" w:hAnsi="宋体" w:eastAsia="宋体" w:cs="宋体"/>
                <w:sz w:val="18"/>
                <w:szCs w:val="18"/>
              </w:rPr>
            </w:pPr>
            <w:r>
              <w:rPr>
                <w:rFonts w:ascii="宋体" w:hAnsi="宋体" w:eastAsia="宋体" w:cs="宋体"/>
                <w:sz w:val="18"/>
                <w:szCs w:val="18"/>
              </w:rPr>
              <w:t>租赁到期</w:t>
            </w:r>
          </w:p>
        </w:tc>
        <w:tc>
          <w:tcPr>
            <w:tcW w:w="2410" w:type="dxa"/>
            <w:tcBorders>
              <w:top w:val="single" w:color="auto" w:sz="2" w:space="0"/>
              <w:left w:val="single" w:color="auto" w:sz="2" w:space="0"/>
              <w:bottom w:val="single" w:color="auto" w:sz="2" w:space="0"/>
              <w:right w:val="single" w:color="auto" w:sz="2" w:space="0"/>
            </w:tcBorders>
            <w:vAlign w:val="center"/>
          </w:tcPr>
          <w:p w14:paraId="2C181C2F">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2B15034">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c>
          <w:tcPr>
            <w:tcW w:w="2410" w:type="dxa"/>
            <w:tcBorders>
              <w:top w:val="single" w:color="auto" w:sz="2" w:space="0"/>
              <w:left w:val="single" w:color="auto" w:sz="2" w:space="0"/>
              <w:bottom w:val="single" w:color="auto" w:sz="2" w:space="0"/>
              <w:right w:val="single" w:color="auto" w:sz="2" w:space="0"/>
            </w:tcBorders>
            <w:vAlign w:val="center"/>
          </w:tcPr>
          <w:p w14:paraId="6B3AD99A">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r>
      <w:tr w14:paraId="1DFC69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A9C509A">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4.期末余额</w:t>
            </w:r>
          </w:p>
        </w:tc>
        <w:tc>
          <w:tcPr>
            <w:tcW w:w="2410" w:type="dxa"/>
            <w:tcBorders>
              <w:top w:val="single" w:color="auto" w:sz="2" w:space="0"/>
              <w:left w:val="single" w:color="auto" w:sz="2" w:space="0"/>
              <w:bottom w:val="single" w:color="auto" w:sz="2" w:space="0"/>
              <w:right w:val="single" w:color="auto" w:sz="2" w:space="0"/>
            </w:tcBorders>
            <w:vAlign w:val="center"/>
          </w:tcPr>
          <w:p w14:paraId="115E5DC7">
            <w:pPr>
              <w:spacing w:before="0" w:after="0" w:line="240" w:lineRule="exact"/>
              <w:jc w:val="right"/>
              <w:rPr>
                <w:rFonts w:ascii="宋体" w:hAnsi="宋体" w:eastAsia="宋体" w:cs="宋体"/>
                <w:sz w:val="18"/>
                <w:szCs w:val="18"/>
              </w:rPr>
            </w:pPr>
            <w:r>
              <w:rPr>
                <w:rFonts w:ascii="宋体" w:hAnsi="宋体" w:eastAsia="宋体" w:cs="宋体"/>
                <w:sz w:val="18"/>
                <w:szCs w:val="18"/>
              </w:rPr>
              <w:t>374,747.31</w:t>
            </w:r>
          </w:p>
        </w:tc>
        <w:tc>
          <w:tcPr>
            <w:tcW w:w="2410" w:type="dxa"/>
            <w:tcBorders>
              <w:top w:val="single" w:color="auto" w:sz="2" w:space="0"/>
              <w:left w:val="single" w:color="auto" w:sz="2" w:space="0"/>
              <w:bottom w:val="single" w:color="auto" w:sz="2" w:space="0"/>
              <w:right w:val="single" w:color="auto" w:sz="2" w:space="0"/>
            </w:tcBorders>
            <w:vAlign w:val="center"/>
          </w:tcPr>
          <w:p w14:paraId="72164757">
            <w:pPr>
              <w:spacing w:before="0" w:after="0" w:line="240" w:lineRule="exact"/>
              <w:jc w:val="right"/>
              <w:rPr>
                <w:rFonts w:ascii="宋体" w:hAnsi="宋体" w:eastAsia="宋体" w:cs="宋体"/>
                <w:sz w:val="18"/>
                <w:szCs w:val="18"/>
              </w:rPr>
            </w:pPr>
            <w:r>
              <w:rPr>
                <w:rFonts w:ascii="宋体" w:hAnsi="宋体" w:eastAsia="宋体" w:cs="宋体"/>
                <w:sz w:val="18"/>
                <w:szCs w:val="18"/>
              </w:rPr>
              <w:t>416,991.15</w:t>
            </w:r>
          </w:p>
        </w:tc>
        <w:tc>
          <w:tcPr>
            <w:tcW w:w="2410" w:type="dxa"/>
            <w:tcBorders>
              <w:top w:val="single" w:color="auto" w:sz="2" w:space="0"/>
              <w:left w:val="single" w:color="auto" w:sz="2" w:space="0"/>
              <w:bottom w:val="single" w:color="auto" w:sz="2" w:space="0"/>
              <w:right w:val="single" w:color="auto" w:sz="2" w:space="0"/>
            </w:tcBorders>
            <w:vAlign w:val="center"/>
          </w:tcPr>
          <w:p w14:paraId="5F759934">
            <w:pPr>
              <w:spacing w:before="0" w:after="0" w:line="240" w:lineRule="exact"/>
              <w:jc w:val="right"/>
              <w:rPr>
                <w:rFonts w:ascii="宋体" w:hAnsi="宋体" w:eastAsia="宋体" w:cs="宋体"/>
                <w:sz w:val="18"/>
                <w:szCs w:val="18"/>
              </w:rPr>
            </w:pPr>
            <w:r>
              <w:rPr>
                <w:rFonts w:ascii="宋体" w:hAnsi="宋体" w:eastAsia="宋体" w:cs="宋体"/>
                <w:sz w:val="18"/>
                <w:szCs w:val="18"/>
              </w:rPr>
              <w:t>791,738.46</w:t>
            </w:r>
          </w:p>
        </w:tc>
      </w:tr>
      <w:tr w14:paraId="70AAA8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BB0610B">
            <w:pPr>
              <w:spacing w:before="40" w:after="40" w:line="240" w:lineRule="exact"/>
              <w:jc w:val="left"/>
              <w:rPr>
                <w:rFonts w:ascii="宋体" w:hAnsi="宋体" w:eastAsia="宋体" w:cs="宋体"/>
                <w:sz w:val="18"/>
                <w:szCs w:val="18"/>
              </w:rPr>
            </w:pPr>
            <w:r>
              <w:rPr>
                <w:rFonts w:ascii="宋体" w:hAnsi="宋体" w:eastAsia="宋体" w:cs="宋体"/>
                <w:sz w:val="18"/>
                <w:szCs w:val="18"/>
              </w:rPr>
              <w:t>二、累计折旧</w:t>
            </w:r>
          </w:p>
        </w:tc>
        <w:tc>
          <w:tcPr>
            <w:tcW w:w="2410" w:type="dxa"/>
            <w:tcBorders>
              <w:top w:val="single" w:color="auto" w:sz="2" w:space="0"/>
              <w:left w:val="single" w:color="auto" w:sz="2" w:space="0"/>
              <w:bottom w:val="single" w:color="auto" w:sz="2" w:space="0"/>
              <w:right w:val="single" w:color="auto" w:sz="2" w:space="0"/>
            </w:tcBorders>
            <w:vAlign w:val="center"/>
          </w:tcPr>
          <w:p w14:paraId="34B65030">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AF77DED">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5E3C94A">
            <w:pPr>
              <w:spacing w:before="0" w:after="0" w:line="240" w:lineRule="exact"/>
              <w:jc w:val="right"/>
              <w:rPr>
                <w:rFonts w:ascii="宋体" w:hAnsi="宋体" w:eastAsia="宋体" w:cs="宋体"/>
                <w:sz w:val="18"/>
                <w:szCs w:val="18"/>
              </w:rPr>
            </w:pPr>
          </w:p>
        </w:tc>
      </w:tr>
      <w:tr w14:paraId="73BE32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36A4A5E">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1.期初余额</w:t>
            </w:r>
          </w:p>
        </w:tc>
        <w:tc>
          <w:tcPr>
            <w:tcW w:w="2410" w:type="dxa"/>
            <w:tcBorders>
              <w:top w:val="single" w:color="auto" w:sz="2" w:space="0"/>
              <w:left w:val="single" w:color="auto" w:sz="2" w:space="0"/>
              <w:bottom w:val="single" w:color="auto" w:sz="2" w:space="0"/>
              <w:right w:val="single" w:color="auto" w:sz="2" w:space="0"/>
            </w:tcBorders>
            <w:vAlign w:val="center"/>
          </w:tcPr>
          <w:p w14:paraId="37AE71E0">
            <w:pPr>
              <w:spacing w:before="0" w:after="0" w:line="240" w:lineRule="exact"/>
              <w:jc w:val="right"/>
              <w:rPr>
                <w:rFonts w:ascii="宋体" w:hAnsi="宋体" w:eastAsia="宋体" w:cs="宋体"/>
                <w:sz w:val="18"/>
                <w:szCs w:val="18"/>
              </w:rPr>
            </w:pPr>
            <w:r>
              <w:rPr>
                <w:rFonts w:ascii="宋体" w:hAnsi="宋体" w:eastAsia="宋体" w:cs="宋体"/>
                <w:sz w:val="18"/>
                <w:szCs w:val="18"/>
              </w:rPr>
              <w:t>15,568.88</w:t>
            </w:r>
          </w:p>
        </w:tc>
        <w:tc>
          <w:tcPr>
            <w:tcW w:w="2410" w:type="dxa"/>
            <w:tcBorders>
              <w:top w:val="single" w:color="auto" w:sz="2" w:space="0"/>
              <w:left w:val="single" w:color="auto" w:sz="2" w:space="0"/>
              <w:bottom w:val="single" w:color="auto" w:sz="2" w:space="0"/>
              <w:right w:val="single" w:color="auto" w:sz="2" w:space="0"/>
            </w:tcBorders>
            <w:vAlign w:val="center"/>
          </w:tcPr>
          <w:p w14:paraId="0FDAE6DB">
            <w:pPr>
              <w:spacing w:before="0" w:after="0" w:line="240" w:lineRule="exact"/>
              <w:jc w:val="right"/>
              <w:rPr>
                <w:rFonts w:ascii="宋体" w:hAnsi="宋体" w:eastAsia="宋体" w:cs="宋体"/>
                <w:sz w:val="18"/>
                <w:szCs w:val="18"/>
              </w:rPr>
            </w:pPr>
            <w:r>
              <w:rPr>
                <w:rFonts w:ascii="宋体" w:hAnsi="宋体" w:eastAsia="宋体" w:cs="宋体"/>
                <w:sz w:val="18"/>
                <w:szCs w:val="18"/>
              </w:rPr>
              <w:t>100,000.00</w:t>
            </w:r>
          </w:p>
        </w:tc>
        <w:tc>
          <w:tcPr>
            <w:tcW w:w="2410" w:type="dxa"/>
            <w:tcBorders>
              <w:top w:val="single" w:color="auto" w:sz="2" w:space="0"/>
              <w:left w:val="single" w:color="auto" w:sz="2" w:space="0"/>
              <w:bottom w:val="single" w:color="auto" w:sz="2" w:space="0"/>
              <w:right w:val="single" w:color="auto" w:sz="2" w:space="0"/>
            </w:tcBorders>
            <w:vAlign w:val="center"/>
          </w:tcPr>
          <w:p w14:paraId="64680348">
            <w:pPr>
              <w:spacing w:before="0" w:after="0" w:line="240" w:lineRule="exact"/>
              <w:jc w:val="right"/>
              <w:rPr>
                <w:rFonts w:ascii="宋体" w:hAnsi="宋体" w:eastAsia="宋体" w:cs="宋体"/>
                <w:sz w:val="18"/>
                <w:szCs w:val="18"/>
              </w:rPr>
            </w:pPr>
            <w:r>
              <w:rPr>
                <w:rFonts w:ascii="宋体" w:hAnsi="宋体" w:eastAsia="宋体" w:cs="宋体"/>
                <w:sz w:val="18"/>
                <w:szCs w:val="18"/>
              </w:rPr>
              <w:t>115,568.88</w:t>
            </w:r>
          </w:p>
        </w:tc>
      </w:tr>
      <w:tr w14:paraId="21EA72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43F93C5">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2.本期增加金额</w:t>
            </w:r>
          </w:p>
        </w:tc>
        <w:tc>
          <w:tcPr>
            <w:tcW w:w="2410" w:type="dxa"/>
            <w:tcBorders>
              <w:top w:val="single" w:color="auto" w:sz="2" w:space="0"/>
              <w:left w:val="single" w:color="auto" w:sz="2" w:space="0"/>
              <w:bottom w:val="single" w:color="auto" w:sz="2" w:space="0"/>
              <w:right w:val="single" w:color="auto" w:sz="2" w:space="0"/>
            </w:tcBorders>
            <w:vAlign w:val="center"/>
          </w:tcPr>
          <w:p w14:paraId="3CF1B6AC">
            <w:pPr>
              <w:spacing w:before="0" w:after="0" w:line="240" w:lineRule="exact"/>
              <w:jc w:val="right"/>
              <w:rPr>
                <w:rFonts w:ascii="宋体" w:hAnsi="宋体" w:eastAsia="宋体" w:cs="宋体"/>
                <w:sz w:val="18"/>
                <w:szCs w:val="18"/>
              </w:rPr>
            </w:pPr>
            <w:r>
              <w:rPr>
                <w:rFonts w:ascii="宋体" w:hAnsi="宋体" w:eastAsia="宋体" w:cs="宋体"/>
                <w:sz w:val="18"/>
                <w:szCs w:val="18"/>
              </w:rPr>
              <w:t>187,419.31</w:t>
            </w:r>
          </w:p>
        </w:tc>
        <w:tc>
          <w:tcPr>
            <w:tcW w:w="2410" w:type="dxa"/>
            <w:tcBorders>
              <w:top w:val="single" w:color="auto" w:sz="2" w:space="0"/>
              <w:left w:val="single" w:color="auto" w:sz="2" w:space="0"/>
              <w:bottom w:val="single" w:color="auto" w:sz="2" w:space="0"/>
              <w:right w:val="single" w:color="auto" w:sz="2" w:space="0"/>
            </w:tcBorders>
            <w:vAlign w:val="center"/>
          </w:tcPr>
          <w:p w14:paraId="41C0E8D1">
            <w:pPr>
              <w:spacing w:before="0" w:after="0" w:line="240" w:lineRule="exact"/>
              <w:jc w:val="right"/>
              <w:rPr>
                <w:rFonts w:ascii="宋体" w:hAnsi="宋体" w:eastAsia="宋体" w:cs="宋体"/>
                <w:sz w:val="18"/>
                <w:szCs w:val="18"/>
              </w:rPr>
            </w:pPr>
            <w:r>
              <w:rPr>
                <w:rFonts w:ascii="宋体" w:hAnsi="宋体" w:eastAsia="宋体" w:cs="宋体"/>
                <w:sz w:val="18"/>
                <w:szCs w:val="18"/>
              </w:rPr>
              <w:t>357,994.08</w:t>
            </w:r>
          </w:p>
        </w:tc>
        <w:tc>
          <w:tcPr>
            <w:tcW w:w="2410" w:type="dxa"/>
            <w:tcBorders>
              <w:top w:val="single" w:color="auto" w:sz="2" w:space="0"/>
              <w:left w:val="single" w:color="auto" w:sz="2" w:space="0"/>
              <w:bottom w:val="single" w:color="auto" w:sz="2" w:space="0"/>
              <w:right w:val="single" w:color="auto" w:sz="2" w:space="0"/>
            </w:tcBorders>
            <w:vAlign w:val="center"/>
          </w:tcPr>
          <w:p w14:paraId="3BE73211">
            <w:pPr>
              <w:spacing w:before="0" w:after="0" w:line="240" w:lineRule="exact"/>
              <w:jc w:val="right"/>
              <w:rPr>
                <w:rFonts w:ascii="宋体" w:hAnsi="宋体" w:eastAsia="宋体" w:cs="宋体"/>
                <w:sz w:val="18"/>
                <w:szCs w:val="18"/>
              </w:rPr>
            </w:pPr>
            <w:r>
              <w:rPr>
                <w:rFonts w:ascii="宋体" w:hAnsi="宋体" w:eastAsia="宋体" w:cs="宋体"/>
                <w:sz w:val="18"/>
                <w:szCs w:val="18"/>
              </w:rPr>
              <w:t>545,413.39</w:t>
            </w:r>
          </w:p>
        </w:tc>
      </w:tr>
      <w:tr w14:paraId="30EEE5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5B1587E">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（1）计提</w:t>
            </w:r>
          </w:p>
        </w:tc>
        <w:tc>
          <w:tcPr>
            <w:tcW w:w="2410" w:type="dxa"/>
            <w:tcBorders>
              <w:top w:val="single" w:color="auto" w:sz="2" w:space="0"/>
              <w:left w:val="single" w:color="auto" w:sz="2" w:space="0"/>
              <w:bottom w:val="single" w:color="auto" w:sz="2" w:space="0"/>
              <w:right w:val="single" w:color="auto" w:sz="2" w:space="0"/>
            </w:tcBorders>
            <w:vAlign w:val="center"/>
          </w:tcPr>
          <w:p w14:paraId="125056DA">
            <w:pPr>
              <w:spacing w:before="0" w:after="0" w:line="240" w:lineRule="exact"/>
              <w:jc w:val="right"/>
              <w:rPr>
                <w:rFonts w:ascii="宋体" w:hAnsi="宋体" w:eastAsia="宋体" w:cs="宋体"/>
                <w:sz w:val="18"/>
                <w:szCs w:val="18"/>
              </w:rPr>
            </w:pPr>
            <w:r>
              <w:rPr>
                <w:rFonts w:ascii="宋体" w:hAnsi="宋体" w:eastAsia="宋体" w:cs="宋体"/>
                <w:sz w:val="18"/>
                <w:szCs w:val="18"/>
              </w:rPr>
              <w:t>187,419.31</w:t>
            </w:r>
          </w:p>
        </w:tc>
        <w:tc>
          <w:tcPr>
            <w:tcW w:w="2410" w:type="dxa"/>
            <w:tcBorders>
              <w:top w:val="single" w:color="auto" w:sz="2" w:space="0"/>
              <w:left w:val="single" w:color="auto" w:sz="2" w:space="0"/>
              <w:bottom w:val="single" w:color="auto" w:sz="2" w:space="0"/>
              <w:right w:val="single" w:color="auto" w:sz="2" w:space="0"/>
            </w:tcBorders>
            <w:vAlign w:val="center"/>
          </w:tcPr>
          <w:p w14:paraId="1C658E49">
            <w:pPr>
              <w:spacing w:before="0" w:after="0" w:line="240" w:lineRule="exact"/>
              <w:jc w:val="right"/>
              <w:rPr>
                <w:rFonts w:ascii="宋体" w:hAnsi="宋体" w:eastAsia="宋体" w:cs="宋体"/>
                <w:sz w:val="18"/>
                <w:szCs w:val="18"/>
              </w:rPr>
            </w:pPr>
            <w:r>
              <w:rPr>
                <w:rFonts w:ascii="宋体" w:hAnsi="宋体" w:eastAsia="宋体" w:cs="宋体"/>
                <w:sz w:val="18"/>
                <w:szCs w:val="18"/>
              </w:rPr>
              <w:t>357,994.08</w:t>
            </w:r>
          </w:p>
        </w:tc>
        <w:tc>
          <w:tcPr>
            <w:tcW w:w="2410" w:type="dxa"/>
            <w:tcBorders>
              <w:top w:val="single" w:color="auto" w:sz="2" w:space="0"/>
              <w:left w:val="single" w:color="auto" w:sz="2" w:space="0"/>
              <w:bottom w:val="single" w:color="auto" w:sz="2" w:space="0"/>
              <w:right w:val="single" w:color="auto" w:sz="2" w:space="0"/>
            </w:tcBorders>
            <w:vAlign w:val="center"/>
          </w:tcPr>
          <w:p w14:paraId="75ABD18F">
            <w:pPr>
              <w:spacing w:before="0" w:after="0" w:line="240" w:lineRule="exact"/>
              <w:jc w:val="right"/>
              <w:rPr>
                <w:rFonts w:ascii="宋体" w:hAnsi="宋体" w:eastAsia="宋体" w:cs="宋体"/>
                <w:sz w:val="18"/>
                <w:szCs w:val="18"/>
              </w:rPr>
            </w:pPr>
            <w:r>
              <w:rPr>
                <w:rFonts w:ascii="宋体" w:hAnsi="宋体" w:eastAsia="宋体" w:cs="宋体"/>
                <w:sz w:val="18"/>
                <w:szCs w:val="18"/>
              </w:rPr>
              <w:t>545,413.39</w:t>
            </w:r>
          </w:p>
        </w:tc>
      </w:tr>
      <w:tr w14:paraId="29C3B1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AA6C94A">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E0F5620">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2EB9FC3">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14BABB8">
            <w:pPr>
              <w:spacing w:before="0" w:after="0" w:line="240" w:lineRule="exact"/>
              <w:jc w:val="right"/>
              <w:rPr>
                <w:rFonts w:ascii="宋体" w:hAnsi="宋体" w:eastAsia="宋体" w:cs="宋体"/>
                <w:sz w:val="18"/>
                <w:szCs w:val="18"/>
              </w:rPr>
            </w:pPr>
          </w:p>
        </w:tc>
      </w:tr>
      <w:tr w14:paraId="40E9B4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91A6FDE">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3.本期减少金额</w:t>
            </w:r>
          </w:p>
        </w:tc>
        <w:tc>
          <w:tcPr>
            <w:tcW w:w="2410" w:type="dxa"/>
            <w:tcBorders>
              <w:top w:val="single" w:color="auto" w:sz="2" w:space="0"/>
              <w:left w:val="single" w:color="auto" w:sz="2" w:space="0"/>
              <w:bottom w:val="single" w:color="auto" w:sz="2" w:space="0"/>
              <w:right w:val="single" w:color="auto" w:sz="2" w:space="0"/>
            </w:tcBorders>
            <w:vAlign w:val="center"/>
          </w:tcPr>
          <w:p w14:paraId="6B7BAD12">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980D209">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c>
          <w:tcPr>
            <w:tcW w:w="2410" w:type="dxa"/>
            <w:tcBorders>
              <w:top w:val="single" w:color="auto" w:sz="2" w:space="0"/>
              <w:left w:val="single" w:color="auto" w:sz="2" w:space="0"/>
              <w:bottom w:val="single" w:color="auto" w:sz="2" w:space="0"/>
              <w:right w:val="single" w:color="auto" w:sz="2" w:space="0"/>
            </w:tcBorders>
            <w:vAlign w:val="center"/>
          </w:tcPr>
          <w:p w14:paraId="0CBD494E">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r>
      <w:tr w14:paraId="166AEC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7DD3EF1">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（1）处置</w:t>
            </w:r>
          </w:p>
        </w:tc>
        <w:tc>
          <w:tcPr>
            <w:tcW w:w="2410" w:type="dxa"/>
            <w:tcBorders>
              <w:top w:val="single" w:color="auto" w:sz="2" w:space="0"/>
              <w:left w:val="single" w:color="auto" w:sz="2" w:space="0"/>
              <w:bottom w:val="single" w:color="auto" w:sz="2" w:space="0"/>
              <w:right w:val="single" w:color="auto" w:sz="2" w:space="0"/>
            </w:tcBorders>
            <w:vAlign w:val="center"/>
          </w:tcPr>
          <w:p w14:paraId="1250216C">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F6729B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32D910B">
            <w:pPr>
              <w:spacing w:before="0" w:after="0" w:line="240" w:lineRule="exact"/>
              <w:jc w:val="right"/>
              <w:rPr>
                <w:rFonts w:ascii="宋体" w:hAnsi="宋体" w:eastAsia="宋体" w:cs="宋体"/>
                <w:sz w:val="18"/>
                <w:szCs w:val="18"/>
              </w:rPr>
            </w:pPr>
          </w:p>
        </w:tc>
      </w:tr>
      <w:tr w14:paraId="63E83D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688BA7A8">
            <w:pPr>
              <w:spacing w:before="0" w:after="0" w:line="240" w:lineRule="exact"/>
              <w:jc w:val="left"/>
              <w:rPr>
                <w:rFonts w:ascii="宋体" w:hAnsi="宋体" w:eastAsia="宋体" w:cs="宋体"/>
                <w:sz w:val="18"/>
                <w:szCs w:val="18"/>
              </w:rPr>
            </w:pPr>
            <w:r>
              <w:rPr>
                <w:rFonts w:ascii="宋体" w:hAnsi="宋体" w:eastAsia="宋体" w:cs="宋体"/>
                <w:sz w:val="18"/>
                <w:szCs w:val="18"/>
              </w:rPr>
              <w:t>租赁到期</w:t>
            </w:r>
          </w:p>
        </w:tc>
        <w:tc>
          <w:tcPr>
            <w:tcW w:w="2410" w:type="dxa"/>
            <w:tcBorders>
              <w:top w:val="single" w:color="auto" w:sz="2" w:space="0"/>
              <w:left w:val="single" w:color="auto" w:sz="2" w:space="0"/>
              <w:bottom w:val="single" w:color="auto" w:sz="2" w:space="0"/>
              <w:right w:val="single" w:color="auto" w:sz="2" w:space="0"/>
            </w:tcBorders>
            <w:vAlign w:val="center"/>
          </w:tcPr>
          <w:p w14:paraId="0686A74D">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420A06B">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c>
          <w:tcPr>
            <w:tcW w:w="2410" w:type="dxa"/>
            <w:tcBorders>
              <w:top w:val="single" w:color="auto" w:sz="2" w:space="0"/>
              <w:left w:val="single" w:color="auto" w:sz="2" w:space="0"/>
              <w:bottom w:val="single" w:color="auto" w:sz="2" w:space="0"/>
              <w:right w:val="single" w:color="auto" w:sz="2" w:space="0"/>
            </w:tcBorders>
            <w:vAlign w:val="center"/>
          </w:tcPr>
          <w:p w14:paraId="47B2F4AF">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r>
      <w:tr w14:paraId="1E3CB5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A2E2514">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4.期末余额</w:t>
            </w:r>
          </w:p>
        </w:tc>
        <w:tc>
          <w:tcPr>
            <w:tcW w:w="2410" w:type="dxa"/>
            <w:tcBorders>
              <w:top w:val="single" w:color="auto" w:sz="2" w:space="0"/>
              <w:left w:val="single" w:color="auto" w:sz="2" w:space="0"/>
              <w:bottom w:val="single" w:color="auto" w:sz="2" w:space="0"/>
              <w:right w:val="single" w:color="auto" w:sz="2" w:space="0"/>
            </w:tcBorders>
            <w:vAlign w:val="center"/>
          </w:tcPr>
          <w:p w14:paraId="7DB1AFFD">
            <w:pPr>
              <w:spacing w:before="0" w:after="0" w:line="240" w:lineRule="exact"/>
              <w:jc w:val="right"/>
              <w:rPr>
                <w:rFonts w:ascii="宋体" w:hAnsi="宋体" w:eastAsia="宋体" w:cs="宋体"/>
                <w:sz w:val="18"/>
                <w:szCs w:val="18"/>
              </w:rPr>
            </w:pPr>
            <w:r>
              <w:rPr>
                <w:rFonts w:ascii="宋体" w:hAnsi="宋体" w:eastAsia="宋体" w:cs="宋体"/>
                <w:sz w:val="18"/>
                <w:szCs w:val="18"/>
              </w:rPr>
              <w:t>202,988.19</w:t>
            </w:r>
          </w:p>
        </w:tc>
        <w:tc>
          <w:tcPr>
            <w:tcW w:w="2410" w:type="dxa"/>
            <w:tcBorders>
              <w:top w:val="single" w:color="auto" w:sz="2" w:space="0"/>
              <w:left w:val="single" w:color="auto" w:sz="2" w:space="0"/>
              <w:bottom w:val="single" w:color="auto" w:sz="2" w:space="0"/>
              <w:right w:val="single" w:color="auto" w:sz="2" w:space="0"/>
            </w:tcBorders>
            <w:vAlign w:val="center"/>
          </w:tcPr>
          <w:p w14:paraId="048C73C0">
            <w:pPr>
              <w:spacing w:before="0" w:after="0" w:line="240" w:lineRule="exact"/>
              <w:jc w:val="right"/>
              <w:rPr>
                <w:rFonts w:ascii="宋体" w:hAnsi="宋体" w:eastAsia="宋体" w:cs="宋体"/>
                <w:sz w:val="18"/>
                <w:szCs w:val="18"/>
              </w:rPr>
            </w:pPr>
            <w:r>
              <w:rPr>
                <w:rFonts w:ascii="宋体" w:hAnsi="宋体" w:eastAsia="宋体" w:cs="宋体"/>
                <w:sz w:val="18"/>
                <w:szCs w:val="18"/>
              </w:rPr>
              <w:t>217,994.08</w:t>
            </w:r>
          </w:p>
        </w:tc>
        <w:tc>
          <w:tcPr>
            <w:tcW w:w="2410" w:type="dxa"/>
            <w:tcBorders>
              <w:top w:val="single" w:color="auto" w:sz="2" w:space="0"/>
              <w:left w:val="single" w:color="auto" w:sz="2" w:space="0"/>
              <w:bottom w:val="single" w:color="auto" w:sz="2" w:space="0"/>
              <w:right w:val="single" w:color="auto" w:sz="2" w:space="0"/>
            </w:tcBorders>
            <w:vAlign w:val="center"/>
          </w:tcPr>
          <w:p w14:paraId="5D9475B9">
            <w:pPr>
              <w:spacing w:before="0" w:after="0" w:line="240" w:lineRule="exact"/>
              <w:jc w:val="right"/>
              <w:rPr>
                <w:rFonts w:ascii="宋体" w:hAnsi="宋体" w:eastAsia="宋体" w:cs="宋体"/>
                <w:sz w:val="18"/>
                <w:szCs w:val="18"/>
              </w:rPr>
            </w:pPr>
            <w:r>
              <w:rPr>
                <w:rFonts w:ascii="宋体" w:hAnsi="宋体" w:eastAsia="宋体" w:cs="宋体"/>
                <w:sz w:val="18"/>
                <w:szCs w:val="18"/>
              </w:rPr>
              <w:t>420,982.27</w:t>
            </w:r>
          </w:p>
        </w:tc>
      </w:tr>
      <w:tr w14:paraId="20AF45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5F86ADB">
            <w:pPr>
              <w:spacing w:before="40" w:after="40" w:line="240" w:lineRule="exact"/>
              <w:jc w:val="left"/>
              <w:rPr>
                <w:rFonts w:ascii="宋体" w:hAnsi="宋体" w:eastAsia="宋体" w:cs="宋体"/>
                <w:sz w:val="18"/>
                <w:szCs w:val="18"/>
              </w:rPr>
            </w:pPr>
            <w:r>
              <w:rPr>
                <w:rFonts w:ascii="宋体" w:hAnsi="宋体" w:eastAsia="宋体" w:cs="宋体"/>
                <w:sz w:val="18"/>
                <w:szCs w:val="18"/>
              </w:rPr>
              <w:t>三、减值准备</w:t>
            </w:r>
          </w:p>
        </w:tc>
        <w:tc>
          <w:tcPr>
            <w:tcW w:w="2410" w:type="dxa"/>
            <w:tcBorders>
              <w:top w:val="single" w:color="auto" w:sz="2" w:space="0"/>
              <w:left w:val="single" w:color="auto" w:sz="2" w:space="0"/>
              <w:bottom w:val="single" w:color="auto" w:sz="2" w:space="0"/>
              <w:right w:val="single" w:color="auto" w:sz="2" w:space="0"/>
            </w:tcBorders>
            <w:vAlign w:val="center"/>
          </w:tcPr>
          <w:p w14:paraId="2B7E0662">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17CF9F3">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26F96C0">
            <w:pPr>
              <w:spacing w:before="0" w:after="0" w:line="240" w:lineRule="exact"/>
              <w:jc w:val="right"/>
              <w:rPr>
                <w:rFonts w:ascii="宋体" w:hAnsi="宋体" w:eastAsia="宋体" w:cs="宋体"/>
                <w:sz w:val="18"/>
                <w:szCs w:val="18"/>
              </w:rPr>
            </w:pPr>
          </w:p>
        </w:tc>
      </w:tr>
      <w:tr w14:paraId="4301F2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266A1C3">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1.期初余额</w:t>
            </w:r>
          </w:p>
        </w:tc>
        <w:tc>
          <w:tcPr>
            <w:tcW w:w="2410" w:type="dxa"/>
            <w:tcBorders>
              <w:top w:val="single" w:color="auto" w:sz="2" w:space="0"/>
              <w:left w:val="single" w:color="auto" w:sz="2" w:space="0"/>
              <w:bottom w:val="single" w:color="auto" w:sz="2" w:space="0"/>
              <w:right w:val="single" w:color="auto" w:sz="2" w:space="0"/>
            </w:tcBorders>
            <w:vAlign w:val="center"/>
          </w:tcPr>
          <w:p w14:paraId="39EABD61">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C60E7F6">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98F91CC">
            <w:pPr>
              <w:spacing w:before="0" w:after="0" w:line="240" w:lineRule="exact"/>
              <w:jc w:val="right"/>
              <w:rPr>
                <w:rFonts w:ascii="宋体" w:hAnsi="宋体" w:eastAsia="宋体" w:cs="宋体"/>
                <w:sz w:val="18"/>
                <w:szCs w:val="18"/>
              </w:rPr>
            </w:pPr>
          </w:p>
        </w:tc>
      </w:tr>
      <w:tr w14:paraId="0886C0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A55AC1F">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2.本期增加金额</w:t>
            </w:r>
          </w:p>
        </w:tc>
        <w:tc>
          <w:tcPr>
            <w:tcW w:w="2410" w:type="dxa"/>
            <w:tcBorders>
              <w:top w:val="single" w:color="auto" w:sz="2" w:space="0"/>
              <w:left w:val="single" w:color="auto" w:sz="2" w:space="0"/>
              <w:bottom w:val="single" w:color="auto" w:sz="2" w:space="0"/>
              <w:right w:val="single" w:color="auto" w:sz="2" w:space="0"/>
            </w:tcBorders>
            <w:vAlign w:val="center"/>
          </w:tcPr>
          <w:p w14:paraId="68635352">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FCCB74F">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EFFE559">
            <w:pPr>
              <w:spacing w:before="0" w:after="0" w:line="240" w:lineRule="exact"/>
              <w:jc w:val="right"/>
              <w:rPr>
                <w:rFonts w:ascii="宋体" w:hAnsi="宋体" w:eastAsia="宋体" w:cs="宋体"/>
                <w:sz w:val="18"/>
                <w:szCs w:val="18"/>
              </w:rPr>
            </w:pPr>
          </w:p>
        </w:tc>
      </w:tr>
      <w:tr w14:paraId="39C6DA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4A257BF">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（1）计提</w:t>
            </w:r>
          </w:p>
        </w:tc>
        <w:tc>
          <w:tcPr>
            <w:tcW w:w="2410" w:type="dxa"/>
            <w:tcBorders>
              <w:top w:val="single" w:color="auto" w:sz="2" w:space="0"/>
              <w:left w:val="single" w:color="auto" w:sz="2" w:space="0"/>
              <w:bottom w:val="single" w:color="auto" w:sz="2" w:space="0"/>
              <w:right w:val="single" w:color="auto" w:sz="2" w:space="0"/>
            </w:tcBorders>
            <w:vAlign w:val="center"/>
          </w:tcPr>
          <w:p w14:paraId="55A98E45">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A3CA833">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58CEC4E">
            <w:pPr>
              <w:spacing w:before="0" w:after="0" w:line="240" w:lineRule="exact"/>
              <w:jc w:val="right"/>
              <w:rPr>
                <w:rFonts w:ascii="宋体" w:hAnsi="宋体" w:eastAsia="宋体" w:cs="宋体"/>
                <w:sz w:val="18"/>
                <w:szCs w:val="18"/>
              </w:rPr>
            </w:pPr>
          </w:p>
        </w:tc>
      </w:tr>
      <w:tr w14:paraId="5F3350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C88A301">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3FAE669">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40759E1E">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09E912C">
            <w:pPr>
              <w:spacing w:before="0" w:after="0" w:line="240" w:lineRule="exact"/>
              <w:jc w:val="right"/>
              <w:rPr>
                <w:rFonts w:ascii="宋体" w:hAnsi="宋体" w:eastAsia="宋体" w:cs="宋体"/>
                <w:sz w:val="18"/>
                <w:szCs w:val="18"/>
              </w:rPr>
            </w:pPr>
          </w:p>
        </w:tc>
      </w:tr>
      <w:tr w14:paraId="23D007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BA6C48D">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3.本期减少金额</w:t>
            </w:r>
          </w:p>
        </w:tc>
        <w:tc>
          <w:tcPr>
            <w:tcW w:w="2410" w:type="dxa"/>
            <w:tcBorders>
              <w:top w:val="single" w:color="auto" w:sz="2" w:space="0"/>
              <w:left w:val="single" w:color="auto" w:sz="2" w:space="0"/>
              <w:bottom w:val="single" w:color="auto" w:sz="2" w:space="0"/>
              <w:right w:val="single" w:color="auto" w:sz="2" w:space="0"/>
            </w:tcBorders>
            <w:vAlign w:val="center"/>
          </w:tcPr>
          <w:p w14:paraId="0CC77973">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60DB65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D9A5FB4">
            <w:pPr>
              <w:spacing w:before="0" w:after="0" w:line="240" w:lineRule="exact"/>
              <w:jc w:val="right"/>
              <w:rPr>
                <w:rFonts w:ascii="宋体" w:hAnsi="宋体" w:eastAsia="宋体" w:cs="宋体"/>
                <w:sz w:val="18"/>
                <w:szCs w:val="18"/>
              </w:rPr>
            </w:pPr>
          </w:p>
        </w:tc>
      </w:tr>
      <w:tr w14:paraId="220A8E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1493551">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（1）处置</w:t>
            </w:r>
          </w:p>
        </w:tc>
        <w:tc>
          <w:tcPr>
            <w:tcW w:w="2410" w:type="dxa"/>
            <w:tcBorders>
              <w:top w:val="single" w:color="auto" w:sz="2" w:space="0"/>
              <w:left w:val="single" w:color="auto" w:sz="2" w:space="0"/>
              <w:bottom w:val="single" w:color="auto" w:sz="2" w:space="0"/>
              <w:right w:val="single" w:color="auto" w:sz="2" w:space="0"/>
            </w:tcBorders>
            <w:vAlign w:val="center"/>
          </w:tcPr>
          <w:p w14:paraId="2F524747">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070E02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4212B21">
            <w:pPr>
              <w:spacing w:before="0" w:after="0" w:line="240" w:lineRule="exact"/>
              <w:jc w:val="right"/>
              <w:rPr>
                <w:rFonts w:ascii="宋体" w:hAnsi="宋体" w:eastAsia="宋体" w:cs="宋体"/>
                <w:sz w:val="18"/>
                <w:szCs w:val="18"/>
              </w:rPr>
            </w:pPr>
          </w:p>
        </w:tc>
      </w:tr>
      <w:tr w14:paraId="7158A6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A0A237D">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F03E09C">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14BC513">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CECAD61">
            <w:pPr>
              <w:spacing w:before="0" w:after="0" w:line="240" w:lineRule="exact"/>
              <w:jc w:val="right"/>
              <w:rPr>
                <w:rFonts w:ascii="宋体" w:hAnsi="宋体" w:eastAsia="宋体" w:cs="宋体"/>
                <w:sz w:val="18"/>
                <w:szCs w:val="18"/>
              </w:rPr>
            </w:pPr>
          </w:p>
        </w:tc>
      </w:tr>
      <w:tr w14:paraId="7B0A2B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D82AC13">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4.期末余额</w:t>
            </w:r>
          </w:p>
        </w:tc>
        <w:tc>
          <w:tcPr>
            <w:tcW w:w="2410" w:type="dxa"/>
            <w:tcBorders>
              <w:top w:val="single" w:color="auto" w:sz="2" w:space="0"/>
              <w:left w:val="single" w:color="auto" w:sz="2" w:space="0"/>
              <w:bottom w:val="single" w:color="auto" w:sz="2" w:space="0"/>
              <w:right w:val="single" w:color="auto" w:sz="2" w:space="0"/>
            </w:tcBorders>
            <w:vAlign w:val="center"/>
          </w:tcPr>
          <w:p w14:paraId="6E371BE0">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C3D4E0D">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704B51C">
            <w:pPr>
              <w:spacing w:before="0" w:after="0" w:line="240" w:lineRule="exact"/>
              <w:jc w:val="right"/>
              <w:rPr>
                <w:rFonts w:ascii="宋体" w:hAnsi="宋体" w:eastAsia="宋体" w:cs="宋体"/>
                <w:sz w:val="18"/>
                <w:szCs w:val="18"/>
              </w:rPr>
            </w:pPr>
          </w:p>
        </w:tc>
      </w:tr>
      <w:tr w14:paraId="330A0E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A628A06">
            <w:pPr>
              <w:spacing w:before="40" w:after="40" w:line="240" w:lineRule="exact"/>
              <w:jc w:val="left"/>
              <w:rPr>
                <w:rFonts w:ascii="宋体" w:hAnsi="宋体" w:eastAsia="宋体" w:cs="宋体"/>
                <w:sz w:val="18"/>
                <w:szCs w:val="18"/>
              </w:rPr>
            </w:pPr>
            <w:r>
              <w:rPr>
                <w:rFonts w:ascii="宋体" w:hAnsi="宋体" w:eastAsia="宋体" w:cs="宋体"/>
                <w:sz w:val="18"/>
                <w:szCs w:val="18"/>
              </w:rPr>
              <w:t>四、账面价值</w:t>
            </w:r>
          </w:p>
        </w:tc>
        <w:tc>
          <w:tcPr>
            <w:tcW w:w="2410" w:type="dxa"/>
            <w:tcBorders>
              <w:top w:val="single" w:color="auto" w:sz="2" w:space="0"/>
              <w:left w:val="single" w:color="auto" w:sz="2" w:space="0"/>
              <w:bottom w:val="single" w:color="auto" w:sz="2" w:space="0"/>
              <w:right w:val="single" w:color="auto" w:sz="2" w:space="0"/>
            </w:tcBorders>
            <w:vAlign w:val="center"/>
          </w:tcPr>
          <w:p w14:paraId="573A46C5">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1F3DEDC">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8E6CD51">
            <w:pPr>
              <w:spacing w:before="0" w:after="0" w:line="240" w:lineRule="exact"/>
              <w:jc w:val="right"/>
              <w:rPr>
                <w:rFonts w:ascii="宋体" w:hAnsi="宋体" w:eastAsia="宋体" w:cs="宋体"/>
                <w:sz w:val="18"/>
                <w:szCs w:val="18"/>
              </w:rPr>
            </w:pPr>
          </w:p>
        </w:tc>
      </w:tr>
      <w:tr w14:paraId="2523C8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6ED8826">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1.期末账面价值</w:t>
            </w:r>
          </w:p>
        </w:tc>
        <w:tc>
          <w:tcPr>
            <w:tcW w:w="2410" w:type="dxa"/>
            <w:tcBorders>
              <w:top w:val="single" w:color="auto" w:sz="2" w:space="0"/>
              <w:left w:val="single" w:color="auto" w:sz="2" w:space="0"/>
              <w:bottom w:val="single" w:color="auto" w:sz="2" w:space="0"/>
              <w:right w:val="single" w:color="auto" w:sz="2" w:space="0"/>
            </w:tcBorders>
            <w:vAlign w:val="center"/>
          </w:tcPr>
          <w:p w14:paraId="6C8A625F">
            <w:pPr>
              <w:spacing w:before="0" w:after="0" w:line="240" w:lineRule="exact"/>
              <w:jc w:val="right"/>
              <w:rPr>
                <w:rFonts w:ascii="宋体" w:hAnsi="宋体" w:eastAsia="宋体" w:cs="宋体"/>
                <w:sz w:val="18"/>
                <w:szCs w:val="18"/>
              </w:rPr>
            </w:pPr>
            <w:r>
              <w:rPr>
                <w:rFonts w:ascii="宋体" w:hAnsi="宋体" w:eastAsia="宋体" w:cs="宋体"/>
                <w:sz w:val="18"/>
                <w:szCs w:val="18"/>
              </w:rPr>
              <w:t>171,759.12</w:t>
            </w:r>
          </w:p>
        </w:tc>
        <w:tc>
          <w:tcPr>
            <w:tcW w:w="2410" w:type="dxa"/>
            <w:tcBorders>
              <w:top w:val="single" w:color="auto" w:sz="2" w:space="0"/>
              <w:left w:val="single" w:color="auto" w:sz="2" w:space="0"/>
              <w:bottom w:val="single" w:color="auto" w:sz="2" w:space="0"/>
              <w:right w:val="single" w:color="auto" w:sz="2" w:space="0"/>
            </w:tcBorders>
            <w:vAlign w:val="center"/>
          </w:tcPr>
          <w:p w14:paraId="021D5F84">
            <w:pPr>
              <w:spacing w:before="0" w:after="0" w:line="240" w:lineRule="exact"/>
              <w:jc w:val="right"/>
              <w:rPr>
                <w:rFonts w:ascii="宋体" w:hAnsi="宋体" w:eastAsia="宋体" w:cs="宋体"/>
                <w:sz w:val="18"/>
                <w:szCs w:val="18"/>
              </w:rPr>
            </w:pPr>
            <w:r>
              <w:rPr>
                <w:rFonts w:ascii="宋体" w:hAnsi="宋体" w:eastAsia="宋体" w:cs="宋体"/>
                <w:sz w:val="18"/>
                <w:szCs w:val="18"/>
              </w:rPr>
              <w:t>198,997.07</w:t>
            </w:r>
          </w:p>
        </w:tc>
        <w:tc>
          <w:tcPr>
            <w:tcW w:w="2410" w:type="dxa"/>
            <w:tcBorders>
              <w:top w:val="single" w:color="auto" w:sz="2" w:space="0"/>
              <w:left w:val="single" w:color="auto" w:sz="2" w:space="0"/>
              <w:bottom w:val="single" w:color="auto" w:sz="2" w:space="0"/>
              <w:right w:val="single" w:color="auto" w:sz="2" w:space="0"/>
            </w:tcBorders>
            <w:vAlign w:val="center"/>
          </w:tcPr>
          <w:p w14:paraId="4D6ECD59">
            <w:pPr>
              <w:spacing w:before="0" w:after="0" w:line="240" w:lineRule="exact"/>
              <w:jc w:val="right"/>
              <w:rPr>
                <w:rFonts w:ascii="宋体" w:hAnsi="宋体" w:eastAsia="宋体" w:cs="宋体"/>
                <w:sz w:val="18"/>
                <w:szCs w:val="18"/>
              </w:rPr>
            </w:pPr>
            <w:r>
              <w:rPr>
                <w:rFonts w:ascii="宋体" w:hAnsi="宋体" w:eastAsia="宋体" w:cs="宋体"/>
                <w:sz w:val="18"/>
                <w:szCs w:val="18"/>
              </w:rPr>
              <w:t>370,756.19</w:t>
            </w:r>
          </w:p>
        </w:tc>
      </w:tr>
      <w:tr w14:paraId="412052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4F3DA1F">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2.期初账面价值</w:t>
            </w:r>
          </w:p>
        </w:tc>
        <w:tc>
          <w:tcPr>
            <w:tcW w:w="2410" w:type="dxa"/>
            <w:tcBorders>
              <w:top w:val="single" w:color="auto" w:sz="2" w:space="0"/>
              <w:left w:val="single" w:color="auto" w:sz="2" w:space="0"/>
              <w:bottom w:val="single" w:color="auto" w:sz="2" w:space="0"/>
              <w:right w:val="single" w:color="auto" w:sz="2" w:space="0"/>
            </w:tcBorders>
            <w:vAlign w:val="center"/>
          </w:tcPr>
          <w:p w14:paraId="4BE157CE">
            <w:pPr>
              <w:spacing w:before="0" w:after="0" w:line="240" w:lineRule="exact"/>
              <w:jc w:val="right"/>
              <w:rPr>
                <w:rFonts w:ascii="宋体" w:hAnsi="宋体" w:eastAsia="宋体" w:cs="宋体"/>
                <w:sz w:val="18"/>
                <w:szCs w:val="18"/>
              </w:rPr>
            </w:pPr>
            <w:r>
              <w:rPr>
                <w:rFonts w:ascii="宋体" w:hAnsi="宋体" w:eastAsia="宋体" w:cs="宋体"/>
                <w:sz w:val="18"/>
                <w:szCs w:val="18"/>
              </w:rPr>
              <w:t>358,082.40</w:t>
            </w:r>
          </w:p>
        </w:tc>
        <w:tc>
          <w:tcPr>
            <w:tcW w:w="2410" w:type="dxa"/>
            <w:tcBorders>
              <w:top w:val="single" w:color="auto" w:sz="2" w:space="0"/>
              <w:left w:val="single" w:color="auto" w:sz="2" w:space="0"/>
              <w:bottom w:val="single" w:color="auto" w:sz="2" w:space="0"/>
              <w:right w:val="single" w:color="auto" w:sz="2" w:space="0"/>
            </w:tcBorders>
            <w:vAlign w:val="center"/>
          </w:tcPr>
          <w:p w14:paraId="571C7769">
            <w:pPr>
              <w:spacing w:before="0" w:after="0" w:line="240" w:lineRule="exact"/>
              <w:jc w:val="right"/>
              <w:rPr>
                <w:rFonts w:ascii="宋体" w:hAnsi="宋体" w:eastAsia="宋体" w:cs="宋体"/>
                <w:sz w:val="18"/>
                <w:szCs w:val="18"/>
              </w:rPr>
            </w:pPr>
            <w:r>
              <w:rPr>
                <w:rFonts w:ascii="宋体" w:hAnsi="宋体" w:eastAsia="宋体" w:cs="宋体"/>
                <w:sz w:val="18"/>
                <w:szCs w:val="18"/>
              </w:rPr>
              <w:t>140,000.00</w:t>
            </w:r>
          </w:p>
        </w:tc>
        <w:tc>
          <w:tcPr>
            <w:tcW w:w="2410" w:type="dxa"/>
            <w:tcBorders>
              <w:top w:val="single" w:color="auto" w:sz="2" w:space="0"/>
              <w:left w:val="single" w:color="auto" w:sz="2" w:space="0"/>
              <w:bottom w:val="single" w:color="auto" w:sz="2" w:space="0"/>
              <w:right w:val="single" w:color="auto" w:sz="2" w:space="0"/>
            </w:tcBorders>
            <w:vAlign w:val="center"/>
          </w:tcPr>
          <w:p w14:paraId="2FC60279">
            <w:pPr>
              <w:spacing w:before="0" w:after="0" w:line="240" w:lineRule="exact"/>
              <w:jc w:val="right"/>
              <w:rPr>
                <w:rFonts w:ascii="宋体" w:hAnsi="宋体" w:eastAsia="宋体" w:cs="宋体"/>
                <w:sz w:val="18"/>
                <w:szCs w:val="18"/>
              </w:rPr>
            </w:pPr>
            <w:r>
              <w:rPr>
                <w:rFonts w:ascii="宋体" w:hAnsi="宋体" w:eastAsia="宋体" w:cs="宋体"/>
                <w:sz w:val="18"/>
                <w:szCs w:val="18"/>
              </w:rPr>
              <w:t>498,082.40</w:t>
            </w:r>
          </w:p>
        </w:tc>
      </w:tr>
    </w:tbl>
    <w:p w14:paraId="0A91F035">
      <w:pPr>
        <w:keepNext/>
        <w:keepLines/>
        <w:spacing w:before="300" w:after="300" w:line="280" w:lineRule="exact"/>
        <w:jc w:val="left"/>
        <w:outlineLvl w:val="3"/>
        <w:rPr>
          <w:rFonts w:ascii="宋体" w:hAnsi="宋体" w:eastAsia="宋体" w:cs="宋体"/>
          <w:b/>
          <w:bCs/>
          <w:sz w:val="21"/>
          <w:szCs w:val="21"/>
        </w:rPr>
      </w:pPr>
      <w:bookmarkStart w:id="337" w:name="_Toc989224"/>
      <w:r>
        <w:rPr>
          <w:rFonts w:ascii="宋体" w:hAnsi="宋体" w:eastAsia="宋体" w:cs="宋体"/>
          <w:b/>
          <w:bCs/>
          <w:sz w:val="21"/>
          <w:szCs w:val="21"/>
        </w:rPr>
        <w:t>（2） 使用权资产的减值测试情况</w:t>
      </w:r>
      <w:bookmarkEnd w:id="337"/>
    </w:p>
    <w:p w14:paraId="0E2F6289">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088DC6E">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64825B9">
      <w:pPr>
        <w:keepNext/>
        <w:keepLines/>
        <w:spacing w:before="300" w:after="300" w:line="280" w:lineRule="exact"/>
        <w:jc w:val="left"/>
        <w:outlineLvl w:val="2"/>
        <w:rPr>
          <w:rFonts w:ascii="宋体" w:hAnsi="宋体" w:eastAsia="宋体" w:cs="宋体"/>
          <w:b/>
          <w:bCs/>
          <w:sz w:val="21"/>
          <w:szCs w:val="21"/>
        </w:rPr>
      </w:pPr>
      <w:bookmarkStart w:id="338" w:name="_Toc989225"/>
      <w:r>
        <w:rPr>
          <w:rFonts w:ascii="宋体" w:hAnsi="宋体" w:eastAsia="宋体" w:cs="宋体"/>
          <w:b/>
          <w:bCs/>
          <w:sz w:val="21"/>
          <w:szCs w:val="21"/>
        </w:rPr>
        <w:t>26、无形资产</w:t>
      </w:r>
      <w:bookmarkEnd w:id="338"/>
    </w:p>
    <w:p w14:paraId="1FFC93BD">
      <w:pPr>
        <w:keepNext/>
        <w:keepLines/>
        <w:spacing w:before="300" w:after="300" w:line="280" w:lineRule="exact"/>
        <w:jc w:val="left"/>
        <w:outlineLvl w:val="3"/>
        <w:rPr>
          <w:rFonts w:ascii="宋体" w:hAnsi="宋体" w:eastAsia="宋体" w:cs="宋体"/>
          <w:b/>
          <w:bCs/>
          <w:sz w:val="21"/>
          <w:szCs w:val="21"/>
        </w:rPr>
      </w:pPr>
      <w:bookmarkStart w:id="339" w:name="_Toc989226"/>
      <w:r>
        <w:rPr>
          <w:rFonts w:ascii="宋体" w:hAnsi="宋体" w:eastAsia="宋体" w:cs="宋体"/>
          <w:b/>
          <w:bCs/>
          <w:sz w:val="21"/>
          <w:szCs w:val="21"/>
        </w:rPr>
        <w:t>（1） 无形资产情况</w:t>
      </w:r>
      <w:bookmarkEnd w:id="339"/>
    </w:p>
    <w:p w14:paraId="52F350A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64"/>
        <w:gridCol w:w="964"/>
        <w:gridCol w:w="964"/>
        <w:gridCol w:w="964"/>
        <w:gridCol w:w="964"/>
        <w:gridCol w:w="964"/>
        <w:gridCol w:w="964"/>
        <w:gridCol w:w="964"/>
        <w:gridCol w:w="964"/>
        <w:gridCol w:w="964"/>
      </w:tblGrid>
      <w:tr w14:paraId="0B6ACF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6942EDA6">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5A2E51A4">
            <w:pPr>
              <w:spacing w:before="40" w:after="40" w:line="240" w:lineRule="exact"/>
              <w:jc w:val="center"/>
              <w:rPr>
                <w:rFonts w:ascii="宋体" w:hAnsi="宋体" w:eastAsia="宋体" w:cs="宋体"/>
                <w:sz w:val="18"/>
                <w:szCs w:val="18"/>
              </w:rPr>
            </w:pPr>
            <w:r>
              <w:rPr>
                <w:rFonts w:ascii="宋体" w:hAnsi="宋体" w:eastAsia="宋体" w:cs="宋体"/>
                <w:sz w:val="18"/>
                <w:szCs w:val="18"/>
              </w:rPr>
              <w:t>土地使用权</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E05C027">
            <w:pPr>
              <w:spacing w:before="40" w:after="40" w:line="240" w:lineRule="exact"/>
              <w:jc w:val="center"/>
              <w:rPr>
                <w:rFonts w:ascii="宋体" w:hAnsi="宋体" w:eastAsia="宋体" w:cs="宋体"/>
                <w:sz w:val="18"/>
                <w:szCs w:val="18"/>
              </w:rPr>
            </w:pPr>
            <w:r>
              <w:rPr>
                <w:rFonts w:ascii="宋体" w:hAnsi="宋体" w:eastAsia="宋体" w:cs="宋体"/>
                <w:sz w:val="18"/>
                <w:szCs w:val="18"/>
              </w:rPr>
              <w:t>专利权</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1DD8DB92">
            <w:pPr>
              <w:spacing w:before="40" w:after="40" w:line="240" w:lineRule="exact"/>
              <w:jc w:val="center"/>
              <w:rPr>
                <w:rFonts w:ascii="宋体" w:hAnsi="宋体" w:eastAsia="宋体" w:cs="宋体"/>
                <w:sz w:val="18"/>
                <w:szCs w:val="18"/>
              </w:rPr>
            </w:pPr>
            <w:r>
              <w:rPr>
                <w:rFonts w:ascii="宋体" w:hAnsi="宋体" w:eastAsia="宋体" w:cs="宋体"/>
                <w:sz w:val="18"/>
                <w:szCs w:val="18"/>
              </w:rPr>
              <w:t>非专利技术</w:t>
            </w:r>
          </w:p>
        </w:tc>
        <w:tc>
          <w:tcPr>
            <w:tcW w:w="964" w:type="dxa"/>
            <w:tcBorders>
              <w:top w:val="single" w:color="auto" w:sz="2" w:space="0"/>
              <w:left w:val="single" w:color="auto" w:sz="2" w:space="0"/>
              <w:bottom w:val="single" w:color="auto" w:sz="2" w:space="0"/>
              <w:right w:val="single" w:color="auto" w:sz="2" w:space="0"/>
            </w:tcBorders>
            <w:vAlign w:val="center"/>
          </w:tcPr>
          <w:p w14:paraId="0BAAF664">
            <w:pPr>
              <w:spacing w:before="0" w:after="0" w:line="240" w:lineRule="exact"/>
              <w:jc w:val="center"/>
              <w:rPr>
                <w:rFonts w:ascii="宋体" w:hAnsi="宋体" w:eastAsia="宋体" w:cs="宋体"/>
                <w:sz w:val="18"/>
                <w:szCs w:val="18"/>
              </w:rPr>
            </w:pPr>
            <w:r>
              <w:rPr>
                <w:rFonts w:ascii="宋体" w:hAnsi="宋体" w:eastAsia="宋体" w:cs="宋体"/>
                <w:sz w:val="18"/>
                <w:szCs w:val="18"/>
              </w:rPr>
              <w:t>土地使用权</w:t>
            </w:r>
          </w:p>
        </w:tc>
        <w:tc>
          <w:tcPr>
            <w:tcW w:w="964" w:type="dxa"/>
            <w:tcBorders>
              <w:top w:val="single" w:color="auto" w:sz="2" w:space="0"/>
              <w:left w:val="single" w:color="auto" w:sz="2" w:space="0"/>
              <w:bottom w:val="single" w:color="auto" w:sz="2" w:space="0"/>
              <w:right w:val="single" w:color="auto" w:sz="2" w:space="0"/>
            </w:tcBorders>
            <w:vAlign w:val="center"/>
          </w:tcPr>
          <w:p w14:paraId="5BCBEB2C">
            <w:pPr>
              <w:spacing w:before="0" w:after="0" w:line="240" w:lineRule="exact"/>
              <w:jc w:val="center"/>
              <w:rPr>
                <w:rFonts w:ascii="宋体" w:hAnsi="宋体" w:eastAsia="宋体" w:cs="宋体"/>
                <w:sz w:val="18"/>
                <w:szCs w:val="18"/>
              </w:rPr>
            </w:pPr>
            <w:r>
              <w:rPr>
                <w:rFonts w:ascii="宋体" w:hAnsi="宋体" w:eastAsia="宋体" w:cs="宋体"/>
                <w:sz w:val="18"/>
                <w:szCs w:val="18"/>
              </w:rPr>
              <w:t>专有技术权</w:t>
            </w:r>
          </w:p>
        </w:tc>
        <w:tc>
          <w:tcPr>
            <w:tcW w:w="964" w:type="dxa"/>
            <w:tcBorders>
              <w:top w:val="single" w:color="auto" w:sz="2" w:space="0"/>
              <w:left w:val="single" w:color="auto" w:sz="2" w:space="0"/>
              <w:bottom w:val="single" w:color="auto" w:sz="2" w:space="0"/>
              <w:right w:val="single" w:color="auto" w:sz="2" w:space="0"/>
            </w:tcBorders>
            <w:vAlign w:val="center"/>
          </w:tcPr>
          <w:p w14:paraId="49A3EB63">
            <w:pPr>
              <w:spacing w:before="0" w:after="0" w:line="240" w:lineRule="exact"/>
              <w:jc w:val="center"/>
              <w:rPr>
                <w:rFonts w:ascii="宋体" w:hAnsi="宋体" w:eastAsia="宋体" w:cs="宋体"/>
                <w:sz w:val="18"/>
                <w:szCs w:val="18"/>
              </w:rPr>
            </w:pPr>
            <w:r>
              <w:rPr>
                <w:rFonts w:ascii="宋体" w:hAnsi="宋体" w:eastAsia="宋体" w:cs="宋体"/>
                <w:sz w:val="18"/>
                <w:szCs w:val="18"/>
              </w:rPr>
              <w:t>软件</w:t>
            </w:r>
          </w:p>
        </w:tc>
        <w:tc>
          <w:tcPr>
            <w:tcW w:w="964" w:type="dxa"/>
            <w:tcBorders>
              <w:top w:val="single" w:color="auto" w:sz="2" w:space="0"/>
              <w:left w:val="single" w:color="auto" w:sz="2" w:space="0"/>
              <w:bottom w:val="single" w:color="auto" w:sz="2" w:space="0"/>
              <w:right w:val="single" w:color="auto" w:sz="2" w:space="0"/>
            </w:tcBorders>
            <w:vAlign w:val="center"/>
          </w:tcPr>
          <w:p w14:paraId="077AC1C7">
            <w:pPr>
              <w:spacing w:before="0" w:after="0" w:line="240" w:lineRule="exact"/>
              <w:jc w:val="center"/>
              <w:rPr>
                <w:rFonts w:ascii="宋体" w:hAnsi="宋体" w:eastAsia="宋体" w:cs="宋体"/>
                <w:sz w:val="18"/>
                <w:szCs w:val="18"/>
              </w:rPr>
            </w:pPr>
            <w:r>
              <w:rPr>
                <w:rFonts w:ascii="宋体" w:hAnsi="宋体" w:eastAsia="宋体" w:cs="宋体"/>
                <w:sz w:val="18"/>
                <w:szCs w:val="18"/>
              </w:rPr>
              <w:t> 商标权</w:t>
            </w:r>
          </w:p>
        </w:tc>
        <w:tc>
          <w:tcPr>
            <w:tcW w:w="964" w:type="dxa"/>
            <w:tcBorders>
              <w:top w:val="single" w:color="auto" w:sz="2" w:space="0"/>
              <w:left w:val="single" w:color="auto" w:sz="2" w:space="0"/>
              <w:bottom w:val="single" w:color="auto" w:sz="2" w:space="0"/>
              <w:right w:val="single" w:color="auto" w:sz="2" w:space="0"/>
            </w:tcBorders>
            <w:vAlign w:val="center"/>
          </w:tcPr>
          <w:p w14:paraId="684FBFCF">
            <w:pPr>
              <w:spacing w:before="0" w:after="0" w:line="240" w:lineRule="exact"/>
              <w:jc w:val="center"/>
              <w:rPr>
                <w:rFonts w:ascii="宋体" w:hAnsi="宋体" w:eastAsia="宋体" w:cs="宋体"/>
                <w:sz w:val="18"/>
                <w:szCs w:val="18"/>
              </w:rPr>
            </w:pPr>
            <w:r>
              <w:rPr>
                <w:rFonts w:ascii="宋体" w:hAnsi="宋体" w:eastAsia="宋体" w:cs="宋体"/>
                <w:sz w:val="18"/>
                <w:szCs w:val="18"/>
              </w:rPr>
              <w:t>特许权</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64842764">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2B63A8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1DAC22D">
            <w:pPr>
              <w:spacing w:before="40" w:after="40" w:line="240" w:lineRule="exact"/>
              <w:jc w:val="left"/>
              <w:rPr>
                <w:rFonts w:ascii="宋体" w:hAnsi="宋体" w:eastAsia="宋体" w:cs="宋体"/>
                <w:sz w:val="18"/>
                <w:szCs w:val="18"/>
              </w:rPr>
            </w:pPr>
            <w:r>
              <w:rPr>
                <w:rFonts w:ascii="宋体" w:hAnsi="宋体" w:eastAsia="宋体" w:cs="宋体"/>
                <w:sz w:val="18"/>
                <w:szCs w:val="18"/>
              </w:rPr>
              <w:t>一、账面原值</w:t>
            </w:r>
          </w:p>
        </w:tc>
        <w:tc>
          <w:tcPr>
            <w:tcW w:w="964" w:type="dxa"/>
            <w:tcBorders>
              <w:top w:val="single" w:color="auto" w:sz="2" w:space="0"/>
              <w:left w:val="single" w:color="auto" w:sz="2" w:space="0"/>
              <w:bottom w:val="single" w:color="auto" w:sz="2" w:space="0"/>
              <w:right w:val="single" w:color="auto" w:sz="2" w:space="0"/>
            </w:tcBorders>
            <w:vAlign w:val="center"/>
          </w:tcPr>
          <w:p w14:paraId="42B2BD4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547EA9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7070D9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052A9B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BDD5EE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F2092D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884638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AD1E150">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ADE7936">
            <w:pPr>
              <w:spacing w:before="0" w:after="0" w:line="240" w:lineRule="exact"/>
              <w:jc w:val="right"/>
              <w:rPr>
                <w:rFonts w:ascii="宋体" w:hAnsi="宋体" w:eastAsia="宋体" w:cs="宋体"/>
                <w:sz w:val="18"/>
                <w:szCs w:val="18"/>
              </w:rPr>
            </w:pPr>
          </w:p>
        </w:tc>
      </w:tr>
      <w:tr w14:paraId="4790AB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AB46CD4">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1.期初余额</w:t>
            </w:r>
          </w:p>
        </w:tc>
        <w:tc>
          <w:tcPr>
            <w:tcW w:w="964" w:type="dxa"/>
            <w:tcBorders>
              <w:top w:val="single" w:color="auto" w:sz="2" w:space="0"/>
              <w:left w:val="single" w:color="auto" w:sz="2" w:space="0"/>
              <w:bottom w:val="single" w:color="auto" w:sz="2" w:space="0"/>
              <w:right w:val="single" w:color="auto" w:sz="2" w:space="0"/>
            </w:tcBorders>
            <w:vAlign w:val="center"/>
          </w:tcPr>
          <w:p w14:paraId="4D8A89A0">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2140B1E">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D7C85D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55807FD">
            <w:pPr>
              <w:spacing w:before="0" w:after="0" w:line="240" w:lineRule="exact"/>
              <w:jc w:val="right"/>
              <w:rPr>
                <w:rFonts w:ascii="宋体" w:hAnsi="宋体" w:eastAsia="宋体" w:cs="宋体"/>
                <w:sz w:val="18"/>
                <w:szCs w:val="18"/>
              </w:rPr>
            </w:pPr>
            <w:r>
              <w:rPr>
                <w:rFonts w:ascii="宋体" w:hAnsi="宋体" w:eastAsia="宋体" w:cs="宋体"/>
                <w:sz w:val="18"/>
                <w:szCs w:val="18"/>
              </w:rPr>
              <w:t>61,557,794.24</w:t>
            </w:r>
          </w:p>
        </w:tc>
        <w:tc>
          <w:tcPr>
            <w:tcW w:w="964" w:type="dxa"/>
            <w:tcBorders>
              <w:top w:val="single" w:color="auto" w:sz="2" w:space="0"/>
              <w:left w:val="single" w:color="auto" w:sz="2" w:space="0"/>
              <w:bottom w:val="single" w:color="auto" w:sz="2" w:space="0"/>
              <w:right w:val="single" w:color="auto" w:sz="2" w:space="0"/>
            </w:tcBorders>
            <w:vAlign w:val="center"/>
          </w:tcPr>
          <w:p w14:paraId="64E6B40F">
            <w:pPr>
              <w:spacing w:before="0" w:after="0" w:line="240" w:lineRule="exact"/>
              <w:jc w:val="right"/>
              <w:rPr>
                <w:rFonts w:ascii="宋体" w:hAnsi="宋体" w:eastAsia="宋体" w:cs="宋体"/>
                <w:sz w:val="18"/>
                <w:szCs w:val="18"/>
              </w:rPr>
            </w:pPr>
            <w:r>
              <w:rPr>
                <w:rFonts w:ascii="宋体" w:hAnsi="宋体" w:eastAsia="宋体" w:cs="宋体"/>
                <w:sz w:val="18"/>
                <w:szCs w:val="18"/>
              </w:rPr>
              <w:t>349,618,878.88</w:t>
            </w:r>
          </w:p>
        </w:tc>
        <w:tc>
          <w:tcPr>
            <w:tcW w:w="964" w:type="dxa"/>
            <w:tcBorders>
              <w:top w:val="single" w:color="auto" w:sz="2" w:space="0"/>
              <w:left w:val="single" w:color="auto" w:sz="2" w:space="0"/>
              <w:bottom w:val="single" w:color="auto" w:sz="2" w:space="0"/>
              <w:right w:val="single" w:color="auto" w:sz="2" w:space="0"/>
            </w:tcBorders>
            <w:vAlign w:val="center"/>
          </w:tcPr>
          <w:p w14:paraId="25C107A8">
            <w:pPr>
              <w:spacing w:before="0" w:after="0" w:line="240" w:lineRule="exact"/>
              <w:jc w:val="right"/>
              <w:rPr>
                <w:rFonts w:ascii="宋体" w:hAnsi="宋体" w:eastAsia="宋体" w:cs="宋体"/>
                <w:sz w:val="18"/>
                <w:szCs w:val="18"/>
              </w:rPr>
            </w:pPr>
            <w:r>
              <w:rPr>
                <w:rFonts w:ascii="宋体" w:hAnsi="宋体" w:eastAsia="宋体" w:cs="宋体"/>
                <w:sz w:val="18"/>
                <w:szCs w:val="18"/>
              </w:rPr>
              <w:t>2,796,863.55</w:t>
            </w:r>
          </w:p>
        </w:tc>
        <w:tc>
          <w:tcPr>
            <w:tcW w:w="964" w:type="dxa"/>
            <w:tcBorders>
              <w:top w:val="single" w:color="auto" w:sz="2" w:space="0"/>
              <w:left w:val="single" w:color="auto" w:sz="2" w:space="0"/>
              <w:bottom w:val="single" w:color="auto" w:sz="2" w:space="0"/>
              <w:right w:val="single" w:color="auto" w:sz="2" w:space="0"/>
            </w:tcBorders>
            <w:vAlign w:val="center"/>
          </w:tcPr>
          <w:p w14:paraId="2B77ECBA">
            <w:pPr>
              <w:spacing w:before="0" w:after="0" w:line="240" w:lineRule="exact"/>
              <w:jc w:val="right"/>
              <w:rPr>
                <w:rFonts w:ascii="宋体" w:hAnsi="宋体" w:eastAsia="宋体" w:cs="宋体"/>
                <w:sz w:val="18"/>
                <w:szCs w:val="18"/>
              </w:rPr>
            </w:pPr>
            <w:r>
              <w:rPr>
                <w:rFonts w:ascii="宋体" w:hAnsi="宋体" w:eastAsia="宋体" w:cs="宋体"/>
                <w:sz w:val="18"/>
                <w:szCs w:val="18"/>
              </w:rPr>
              <w:t>790,955.30</w:t>
            </w:r>
          </w:p>
        </w:tc>
        <w:tc>
          <w:tcPr>
            <w:tcW w:w="964" w:type="dxa"/>
            <w:tcBorders>
              <w:top w:val="single" w:color="auto" w:sz="2" w:space="0"/>
              <w:left w:val="single" w:color="auto" w:sz="2" w:space="0"/>
              <w:bottom w:val="single" w:color="auto" w:sz="2" w:space="0"/>
              <w:right w:val="single" w:color="auto" w:sz="2" w:space="0"/>
            </w:tcBorders>
            <w:vAlign w:val="center"/>
          </w:tcPr>
          <w:p w14:paraId="6339CA87">
            <w:pPr>
              <w:spacing w:before="0" w:after="0" w:line="240" w:lineRule="exact"/>
              <w:jc w:val="right"/>
              <w:rPr>
                <w:rFonts w:ascii="宋体" w:hAnsi="宋体" w:eastAsia="宋体" w:cs="宋体"/>
                <w:sz w:val="18"/>
                <w:szCs w:val="18"/>
              </w:rPr>
            </w:pPr>
            <w:r>
              <w:rPr>
                <w:rFonts w:ascii="宋体" w:hAnsi="宋体" w:eastAsia="宋体" w:cs="宋体"/>
                <w:sz w:val="18"/>
                <w:szCs w:val="18"/>
              </w:rPr>
              <w:t>468,219.66</w:t>
            </w:r>
          </w:p>
        </w:tc>
        <w:tc>
          <w:tcPr>
            <w:tcW w:w="964" w:type="dxa"/>
            <w:tcBorders>
              <w:top w:val="single" w:color="auto" w:sz="2" w:space="0"/>
              <w:left w:val="single" w:color="auto" w:sz="2" w:space="0"/>
              <w:bottom w:val="single" w:color="auto" w:sz="2" w:space="0"/>
              <w:right w:val="single" w:color="auto" w:sz="2" w:space="0"/>
            </w:tcBorders>
            <w:vAlign w:val="center"/>
          </w:tcPr>
          <w:p w14:paraId="5968ECCF">
            <w:pPr>
              <w:spacing w:before="0" w:after="0" w:line="240" w:lineRule="exact"/>
              <w:jc w:val="right"/>
              <w:rPr>
                <w:rFonts w:ascii="宋体" w:hAnsi="宋体" w:eastAsia="宋体" w:cs="宋体"/>
                <w:sz w:val="18"/>
                <w:szCs w:val="18"/>
              </w:rPr>
            </w:pPr>
            <w:r>
              <w:rPr>
                <w:rFonts w:ascii="宋体" w:hAnsi="宋体" w:eastAsia="宋体" w:cs="宋体"/>
                <w:sz w:val="18"/>
                <w:szCs w:val="18"/>
              </w:rPr>
              <w:t>415,232,711.63</w:t>
            </w:r>
          </w:p>
        </w:tc>
      </w:tr>
      <w:tr w14:paraId="3AC207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BCCD68F">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2.本期增加金额</w:t>
            </w:r>
          </w:p>
        </w:tc>
        <w:tc>
          <w:tcPr>
            <w:tcW w:w="964" w:type="dxa"/>
            <w:tcBorders>
              <w:top w:val="single" w:color="auto" w:sz="2" w:space="0"/>
              <w:left w:val="single" w:color="auto" w:sz="2" w:space="0"/>
              <w:bottom w:val="single" w:color="auto" w:sz="2" w:space="0"/>
              <w:right w:val="single" w:color="auto" w:sz="2" w:space="0"/>
            </w:tcBorders>
            <w:vAlign w:val="center"/>
          </w:tcPr>
          <w:p w14:paraId="10A6509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2EEE89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37EB3D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4263C9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0D3B42E">
            <w:pPr>
              <w:spacing w:before="0" w:after="0" w:line="240" w:lineRule="exact"/>
              <w:jc w:val="right"/>
              <w:rPr>
                <w:rFonts w:ascii="宋体" w:hAnsi="宋体" w:eastAsia="宋体" w:cs="宋体"/>
                <w:sz w:val="18"/>
                <w:szCs w:val="18"/>
              </w:rPr>
            </w:pPr>
            <w:r>
              <w:rPr>
                <w:rFonts w:ascii="宋体" w:hAnsi="宋体" w:eastAsia="宋体" w:cs="宋体"/>
                <w:sz w:val="18"/>
                <w:szCs w:val="18"/>
              </w:rPr>
              <w:t>13,500,000.00</w:t>
            </w:r>
          </w:p>
        </w:tc>
        <w:tc>
          <w:tcPr>
            <w:tcW w:w="964" w:type="dxa"/>
            <w:tcBorders>
              <w:top w:val="single" w:color="auto" w:sz="2" w:space="0"/>
              <w:left w:val="single" w:color="auto" w:sz="2" w:space="0"/>
              <w:bottom w:val="single" w:color="auto" w:sz="2" w:space="0"/>
              <w:right w:val="single" w:color="auto" w:sz="2" w:space="0"/>
            </w:tcBorders>
            <w:vAlign w:val="center"/>
          </w:tcPr>
          <w:p w14:paraId="0AE3829E">
            <w:pPr>
              <w:spacing w:before="0" w:after="0" w:line="240" w:lineRule="exact"/>
              <w:jc w:val="right"/>
              <w:rPr>
                <w:rFonts w:ascii="宋体" w:hAnsi="宋体" w:eastAsia="宋体" w:cs="宋体"/>
                <w:sz w:val="18"/>
                <w:szCs w:val="18"/>
              </w:rPr>
            </w:pPr>
            <w:r>
              <w:rPr>
                <w:rFonts w:ascii="宋体" w:hAnsi="宋体" w:eastAsia="宋体" w:cs="宋体"/>
                <w:sz w:val="18"/>
                <w:szCs w:val="18"/>
              </w:rPr>
              <w:t>2,322,036.98</w:t>
            </w:r>
          </w:p>
        </w:tc>
        <w:tc>
          <w:tcPr>
            <w:tcW w:w="964" w:type="dxa"/>
            <w:tcBorders>
              <w:top w:val="single" w:color="auto" w:sz="2" w:space="0"/>
              <w:left w:val="single" w:color="auto" w:sz="2" w:space="0"/>
              <w:bottom w:val="single" w:color="auto" w:sz="2" w:space="0"/>
              <w:right w:val="single" w:color="auto" w:sz="2" w:space="0"/>
            </w:tcBorders>
            <w:vAlign w:val="center"/>
          </w:tcPr>
          <w:p w14:paraId="44FFE5C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6E52D6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502FEF5">
            <w:pPr>
              <w:spacing w:before="0" w:after="0" w:line="240" w:lineRule="exact"/>
              <w:jc w:val="right"/>
              <w:rPr>
                <w:rFonts w:ascii="宋体" w:hAnsi="宋体" w:eastAsia="宋体" w:cs="宋体"/>
                <w:sz w:val="18"/>
                <w:szCs w:val="18"/>
              </w:rPr>
            </w:pPr>
            <w:r>
              <w:rPr>
                <w:rFonts w:ascii="宋体" w:hAnsi="宋体" w:eastAsia="宋体" w:cs="宋体"/>
                <w:sz w:val="18"/>
                <w:szCs w:val="18"/>
              </w:rPr>
              <w:t>15,822,036.98</w:t>
            </w:r>
          </w:p>
        </w:tc>
      </w:tr>
      <w:tr w14:paraId="3B855C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2D95CF17">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（1）购置</w:t>
            </w:r>
          </w:p>
        </w:tc>
        <w:tc>
          <w:tcPr>
            <w:tcW w:w="964" w:type="dxa"/>
            <w:tcBorders>
              <w:top w:val="single" w:color="auto" w:sz="2" w:space="0"/>
              <w:left w:val="single" w:color="auto" w:sz="2" w:space="0"/>
              <w:bottom w:val="single" w:color="auto" w:sz="2" w:space="0"/>
              <w:right w:val="single" w:color="auto" w:sz="2" w:space="0"/>
            </w:tcBorders>
            <w:vAlign w:val="center"/>
          </w:tcPr>
          <w:p w14:paraId="548457B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68559A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BFAB27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02A064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35FB075">
            <w:pPr>
              <w:spacing w:before="0" w:after="0" w:line="240" w:lineRule="exact"/>
              <w:jc w:val="right"/>
              <w:rPr>
                <w:rFonts w:ascii="宋体" w:hAnsi="宋体" w:eastAsia="宋体" w:cs="宋体"/>
                <w:sz w:val="18"/>
                <w:szCs w:val="18"/>
              </w:rPr>
            </w:pPr>
            <w:r>
              <w:rPr>
                <w:rFonts w:ascii="宋体" w:hAnsi="宋体" w:eastAsia="宋体" w:cs="宋体"/>
                <w:sz w:val="18"/>
                <w:szCs w:val="18"/>
              </w:rPr>
              <w:t>13,500,000.00</w:t>
            </w:r>
          </w:p>
        </w:tc>
        <w:tc>
          <w:tcPr>
            <w:tcW w:w="964" w:type="dxa"/>
            <w:tcBorders>
              <w:top w:val="single" w:color="auto" w:sz="2" w:space="0"/>
              <w:left w:val="single" w:color="auto" w:sz="2" w:space="0"/>
              <w:bottom w:val="single" w:color="auto" w:sz="2" w:space="0"/>
              <w:right w:val="single" w:color="auto" w:sz="2" w:space="0"/>
            </w:tcBorders>
            <w:vAlign w:val="center"/>
          </w:tcPr>
          <w:p w14:paraId="07BA92BB">
            <w:pPr>
              <w:spacing w:before="0" w:after="0" w:line="240" w:lineRule="exact"/>
              <w:jc w:val="right"/>
              <w:rPr>
                <w:rFonts w:ascii="宋体" w:hAnsi="宋体" w:eastAsia="宋体" w:cs="宋体"/>
                <w:sz w:val="18"/>
                <w:szCs w:val="18"/>
              </w:rPr>
            </w:pPr>
            <w:r>
              <w:rPr>
                <w:rFonts w:ascii="宋体" w:hAnsi="宋体" w:eastAsia="宋体" w:cs="宋体"/>
                <w:sz w:val="18"/>
                <w:szCs w:val="18"/>
              </w:rPr>
              <w:t>2,322,036.98</w:t>
            </w:r>
          </w:p>
        </w:tc>
        <w:tc>
          <w:tcPr>
            <w:tcW w:w="964" w:type="dxa"/>
            <w:tcBorders>
              <w:top w:val="single" w:color="auto" w:sz="2" w:space="0"/>
              <w:left w:val="single" w:color="auto" w:sz="2" w:space="0"/>
              <w:bottom w:val="single" w:color="auto" w:sz="2" w:space="0"/>
              <w:right w:val="single" w:color="auto" w:sz="2" w:space="0"/>
            </w:tcBorders>
            <w:vAlign w:val="center"/>
          </w:tcPr>
          <w:p w14:paraId="7A616A4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777C9F0">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F517041">
            <w:pPr>
              <w:spacing w:before="0" w:after="0" w:line="240" w:lineRule="exact"/>
              <w:jc w:val="right"/>
              <w:rPr>
                <w:rFonts w:ascii="宋体" w:hAnsi="宋体" w:eastAsia="宋体" w:cs="宋体"/>
                <w:sz w:val="18"/>
                <w:szCs w:val="18"/>
              </w:rPr>
            </w:pPr>
            <w:r>
              <w:rPr>
                <w:rFonts w:ascii="宋体" w:hAnsi="宋体" w:eastAsia="宋体" w:cs="宋体"/>
                <w:sz w:val="18"/>
                <w:szCs w:val="18"/>
              </w:rPr>
              <w:t>15,822,036.98</w:t>
            </w:r>
          </w:p>
        </w:tc>
      </w:tr>
      <w:tr w14:paraId="68E088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6A111DA1">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（2）内部研发</w:t>
            </w:r>
          </w:p>
        </w:tc>
        <w:tc>
          <w:tcPr>
            <w:tcW w:w="964" w:type="dxa"/>
            <w:tcBorders>
              <w:top w:val="single" w:color="auto" w:sz="2" w:space="0"/>
              <w:left w:val="single" w:color="auto" w:sz="2" w:space="0"/>
              <w:bottom w:val="single" w:color="auto" w:sz="2" w:space="0"/>
              <w:right w:val="single" w:color="auto" w:sz="2" w:space="0"/>
            </w:tcBorders>
            <w:vAlign w:val="center"/>
          </w:tcPr>
          <w:p w14:paraId="13096FC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63BBE6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BEBEF7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58B17C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B80307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F07EF9C">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9F330C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A75DF6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25BFD37">
            <w:pPr>
              <w:spacing w:before="0" w:after="0" w:line="240" w:lineRule="exact"/>
              <w:jc w:val="right"/>
              <w:rPr>
                <w:rFonts w:ascii="宋体" w:hAnsi="宋体" w:eastAsia="宋体" w:cs="宋体"/>
                <w:sz w:val="18"/>
                <w:szCs w:val="18"/>
              </w:rPr>
            </w:pPr>
          </w:p>
        </w:tc>
      </w:tr>
      <w:tr w14:paraId="27AFAE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7A6E3F84">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（3）企业合并增加</w:t>
            </w:r>
          </w:p>
        </w:tc>
        <w:tc>
          <w:tcPr>
            <w:tcW w:w="964" w:type="dxa"/>
            <w:tcBorders>
              <w:top w:val="single" w:color="auto" w:sz="2" w:space="0"/>
              <w:left w:val="single" w:color="auto" w:sz="2" w:space="0"/>
              <w:bottom w:val="single" w:color="auto" w:sz="2" w:space="0"/>
              <w:right w:val="single" w:color="auto" w:sz="2" w:space="0"/>
            </w:tcBorders>
            <w:vAlign w:val="center"/>
          </w:tcPr>
          <w:p w14:paraId="05DC694E">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2CA903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00AD92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E13C0F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D21107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8D40FE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72E3355">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9455C4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195ADB9">
            <w:pPr>
              <w:spacing w:before="0" w:after="0" w:line="240" w:lineRule="exact"/>
              <w:jc w:val="right"/>
              <w:rPr>
                <w:rFonts w:ascii="宋体" w:hAnsi="宋体" w:eastAsia="宋体" w:cs="宋体"/>
                <w:sz w:val="18"/>
                <w:szCs w:val="18"/>
              </w:rPr>
            </w:pPr>
          </w:p>
        </w:tc>
      </w:tr>
      <w:tr w14:paraId="487D18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vAlign w:val="center"/>
          </w:tcPr>
          <w:p w14:paraId="1C56F8ED">
            <w:pPr>
              <w:spacing w:before="0" w:after="0" w:line="240" w:lineRule="exact"/>
              <w:jc w:val="lef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5756D0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CB2D532">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3BE536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AFA030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574E5D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7C8659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39F6BB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7BFE4E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B86D35A">
            <w:pPr>
              <w:spacing w:before="0" w:after="0" w:line="240" w:lineRule="exact"/>
              <w:jc w:val="right"/>
              <w:rPr>
                <w:rFonts w:ascii="宋体" w:hAnsi="宋体" w:eastAsia="宋体" w:cs="宋体"/>
                <w:sz w:val="18"/>
                <w:szCs w:val="18"/>
              </w:rPr>
            </w:pPr>
          </w:p>
        </w:tc>
      </w:tr>
      <w:tr w14:paraId="57324D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69FA2B9E">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3.本期减少金额</w:t>
            </w:r>
          </w:p>
        </w:tc>
        <w:tc>
          <w:tcPr>
            <w:tcW w:w="964" w:type="dxa"/>
            <w:tcBorders>
              <w:top w:val="single" w:color="auto" w:sz="2" w:space="0"/>
              <w:left w:val="single" w:color="auto" w:sz="2" w:space="0"/>
              <w:bottom w:val="single" w:color="auto" w:sz="2" w:space="0"/>
              <w:right w:val="single" w:color="auto" w:sz="2" w:space="0"/>
            </w:tcBorders>
            <w:vAlign w:val="center"/>
          </w:tcPr>
          <w:p w14:paraId="1DE29D9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F8D5E20">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3FC299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8CB5DF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9D2CEE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AD5BA6E">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35590E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9C155C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4FFB2EF">
            <w:pPr>
              <w:spacing w:before="0" w:after="0" w:line="240" w:lineRule="exact"/>
              <w:jc w:val="right"/>
              <w:rPr>
                <w:rFonts w:ascii="宋体" w:hAnsi="宋体" w:eastAsia="宋体" w:cs="宋体"/>
                <w:sz w:val="18"/>
                <w:szCs w:val="18"/>
              </w:rPr>
            </w:pPr>
          </w:p>
        </w:tc>
      </w:tr>
      <w:tr w14:paraId="0BFD03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2385D5C9">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（1）处置</w:t>
            </w:r>
          </w:p>
        </w:tc>
        <w:tc>
          <w:tcPr>
            <w:tcW w:w="964" w:type="dxa"/>
            <w:tcBorders>
              <w:top w:val="single" w:color="auto" w:sz="2" w:space="0"/>
              <w:left w:val="single" w:color="auto" w:sz="2" w:space="0"/>
              <w:bottom w:val="single" w:color="auto" w:sz="2" w:space="0"/>
              <w:right w:val="single" w:color="auto" w:sz="2" w:space="0"/>
            </w:tcBorders>
            <w:vAlign w:val="center"/>
          </w:tcPr>
          <w:p w14:paraId="0A486830">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3C0074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70BC1C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FDA90E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6866042">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71C777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C0E42D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9215290">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CA8B53F">
            <w:pPr>
              <w:spacing w:before="0" w:after="0" w:line="240" w:lineRule="exact"/>
              <w:jc w:val="right"/>
              <w:rPr>
                <w:rFonts w:ascii="宋体" w:hAnsi="宋体" w:eastAsia="宋体" w:cs="宋体"/>
                <w:sz w:val="18"/>
                <w:szCs w:val="18"/>
              </w:rPr>
            </w:pPr>
          </w:p>
        </w:tc>
      </w:tr>
      <w:tr w14:paraId="5E00D8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vAlign w:val="center"/>
          </w:tcPr>
          <w:p w14:paraId="5D9E80A2">
            <w:pPr>
              <w:spacing w:before="0" w:after="0" w:line="240" w:lineRule="exact"/>
              <w:jc w:val="lef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531642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988E27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3DFBEB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774A42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4EAD50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FE5E9D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19901BC">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D7239F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B422071">
            <w:pPr>
              <w:spacing w:before="0" w:after="0" w:line="240" w:lineRule="exact"/>
              <w:jc w:val="right"/>
              <w:rPr>
                <w:rFonts w:ascii="宋体" w:hAnsi="宋体" w:eastAsia="宋体" w:cs="宋体"/>
                <w:sz w:val="18"/>
                <w:szCs w:val="18"/>
              </w:rPr>
            </w:pPr>
          </w:p>
        </w:tc>
      </w:tr>
      <w:tr w14:paraId="6E6D29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6457AE04">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4.期末余额</w:t>
            </w:r>
          </w:p>
        </w:tc>
        <w:tc>
          <w:tcPr>
            <w:tcW w:w="964" w:type="dxa"/>
            <w:tcBorders>
              <w:top w:val="single" w:color="auto" w:sz="2" w:space="0"/>
              <w:left w:val="single" w:color="auto" w:sz="2" w:space="0"/>
              <w:bottom w:val="single" w:color="auto" w:sz="2" w:space="0"/>
              <w:right w:val="single" w:color="auto" w:sz="2" w:space="0"/>
            </w:tcBorders>
            <w:vAlign w:val="center"/>
          </w:tcPr>
          <w:p w14:paraId="65C67FF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C6D1E3C">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29E1AAC">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5D0C88A">
            <w:pPr>
              <w:spacing w:before="0" w:after="0" w:line="240" w:lineRule="exact"/>
              <w:jc w:val="right"/>
              <w:rPr>
                <w:rFonts w:ascii="宋体" w:hAnsi="宋体" w:eastAsia="宋体" w:cs="宋体"/>
                <w:sz w:val="18"/>
                <w:szCs w:val="18"/>
              </w:rPr>
            </w:pPr>
            <w:r>
              <w:rPr>
                <w:rFonts w:ascii="宋体" w:hAnsi="宋体" w:eastAsia="宋体" w:cs="宋体"/>
                <w:sz w:val="18"/>
                <w:szCs w:val="18"/>
              </w:rPr>
              <w:t>61,557,794.24</w:t>
            </w:r>
          </w:p>
        </w:tc>
        <w:tc>
          <w:tcPr>
            <w:tcW w:w="964" w:type="dxa"/>
            <w:tcBorders>
              <w:top w:val="single" w:color="auto" w:sz="2" w:space="0"/>
              <w:left w:val="single" w:color="auto" w:sz="2" w:space="0"/>
              <w:bottom w:val="single" w:color="auto" w:sz="2" w:space="0"/>
              <w:right w:val="single" w:color="auto" w:sz="2" w:space="0"/>
            </w:tcBorders>
            <w:vAlign w:val="center"/>
          </w:tcPr>
          <w:p w14:paraId="5567D173">
            <w:pPr>
              <w:spacing w:before="0" w:after="0" w:line="240" w:lineRule="exact"/>
              <w:jc w:val="right"/>
              <w:rPr>
                <w:rFonts w:ascii="宋体" w:hAnsi="宋体" w:eastAsia="宋体" w:cs="宋体"/>
                <w:sz w:val="18"/>
                <w:szCs w:val="18"/>
              </w:rPr>
            </w:pPr>
            <w:r>
              <w:rPr>
                <w:rFonts w:ascii="宋体" w:hAnsi="宋体" w:eastAsia="宋体" w:cs="宋体"/>
                <w:sz w:val="18"/>
                <w:szCs w:val="18"/>
              </w:rPr>
              <w:t>363,118,878.88</w:t>
            </w:r>
          </w:p>
        </w:tc>
        <w:tc>
          <w:tcPr>
            <w:tcW w:w="964" w:type="dxa"/>
            <w:tcBorders>
              <w:top w:val="single" w:color="auto" w:sz="2" w:space="0"/>
              <w:left w:val="single" w:color="auto" w:sz="2" w:space="0"/>
              <w:bottom w:val="single" w:color="auto" w:sz="2" w:space="0"/>
              <w:right w:val="single" w:color="auto" w:sz="2" w:space="0"/>
            </w:tcBorders>
            <w:vAlign w:val="center"/>
          </w:tcPr>
          <w:p w14:paraId="63401262">
            <w:pPr>
              <w:spacing w:before="0" w:after="0" w:line="240" w:lineRule="exact"/>
              <w:jc w:val="right"/>
              <w:rPr>
                <w:rFonts w:ascii="宋体" w:hAnsi="宋体" w:eastAsia="宋体" w:cs="宋体"/>
                <w:sz w:val="18"/>
                <w:szCs w:val="18"/>
              </w:rPr>
            </w:pPr>
            <w:r>
              <w:rPr>
                <w:rFonts w:ascii="宋体" w:hAnsi="宋体" w:eastAsia="宋体" w:cs="宋体"/>
                <w:sz w:val="18"/>
                <w:szCs w:val="18"/>
              </w:rPr>
              <w:t>5,118,900.53</w:t>
            </w:r>
          </w:p>
        </w:tc>
        <w:tc>
          <w:tcPr>
            <w:tcW w:w="964" w:type="dxa"/>
            <w:tcBorders>
              <w:top w:val="single" w:color="auto" w:sz="2" w:space="0"/>
              <w:left w:val="single" w:color="auto" w:sz="2" w:space="0"/>
              <w:bottom w:val="single" w:color="auto" w:sz="2" w:space="0"/>
              <w:right w:val="single" w:color="auto" w:sz="2" w:space="0"/>
            </w:tcBorders>
            <w:vAlign w:val="center"/>
          </w:tcPr>
          <w:p w14:paraId="34717877">
            <w:pPr>
              <w:spacing w:before="0" w:after="0" w:line="240" w:lineRule="exact"/>
              <w:jc w:val="right"/>
              <w:rPr>
                <w:rFonts w:ascii="宋体" w:hAnsi="宋体" w:eastAsia="宋体" w:cs="宋体"/>
                <w:sz w:val="18"/>
                <w:szCs w:val="18"/>
              </w:rPr>
            </w:pPr>
            <w:r>
              <w:rPr>
                <w:rFonts w:ascii="宋体" w:hAnsi="宋体" w:eastAsia="宋体" w:cs="宋体"/>
                <w:sz w:val="18"/>
                <w:szCs w:val="18"/>
              </w:rPr>
              <w:t>790,955.30</w:t>
            </w:r>
          </w:p>
        </w:tc>
        <w:tc>
          <w:tcPr>
            <w:tcW w:w="964" w:type="dxa"/>
            <w:tcBorders>
              <w:top w:val="single" w:color="auto" w:sz="2" w:space="0"/>
              <w:left w:val="single" w:color="auto" w:sz="2" w:space="0"/>
              <w:bottom w:val="single" w:color="auto" w:sz="2" w:space="0"/>
              <w:right w:val="single" w:color="auto" w:sz="2" w:space="0"/>
            </w:tcBorders>
            <w:vAlign w:val="center"/>
          </w:tcPr>
          <w:p w14:paraId="4C270A32">
            <w:pPr>
              <w:spacing w:before="0" w:after="0" w:line="240" w:lineRule="exact"/>
              <w:jc w:val="right"/>
              <w:rPr>
                <w:rFonts w:ascii="宋体" w:hAnsi="宋体" w:eastAsia="宋体" w:cs="宋体"/>
                <w:sz w:val="18"/>
                <w:szCs w:val="18"/>
              </w:rPr>
            </w:pPr>
            <w:r>
              <w:rPr>
                <w:rFonts w:ascii="宋体" w:hAnsi="宋体" w:eastAsia="宋体" w:cs="宋体"/>
                <w:sz w:val="18"/>
                <w:szCs w:val="18"/>
              </w:rPr>
              <w:t>468,219.66</w:t>
            </w:r>
          </w:p>
        </w:tc>
        <w:tc>
          <w:tcPr>
            <w:tcW w:w="964" w:type="dxa"/>
            <w:tcBorders>
              <w:top w:val="single" w:color="auto" w:sz="2" w:space="0"/>
              <w:left w:val="single" w:color="auto" w:sz="2" w:space="0"/>
              <w:bottom w:val="single" w:color="auto" w:sz="2" w:space="0"/>
              <w:right w:val="single" w:color="auto" w:sz="2" w:space="0"/>
            </w:tcBorders>
            <w:vAlign w:val="center"/>
          </w:tcPr>
          <w:p w14:paraId="7497FD72">
            <w:pPr>
              <w:spacing w:before="0" w:after="0" w:line="240" w:lineRule="exact"/>
              <w:jc w:val="right"/>
              <w:rPr>
                <w:rFonts w:ascii="宋体" w:hAnsi="宋体" w:eastAsia="宋体" w:cs="宋体"/>
                <w:sz w:val="18"/>
                <w:szCs w:val="18"/>
              </w:rPr>
            </w:pPr>
            <w:r>
              <w:rPr>
                <w:rFonts w:ascii="宋体" w:hAnsi="宋体" w:eastAsia="宋体" w:cs="宋体"/>
                <w:sz w:val="18"/>
                <w:szCs w:val="18"/>
              </w:rPr>
              <w:t>431,054,748.61</w:t>
            </w:r>
          </w:p>
        </w:tc>
      </w:tr>
      <w:tr w14:paraId="2CCE06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76962F4B">
            <w:pPr>
              <w:spacing w:before="40" w:after="40" w:line="240" w:lineRule="exact"/>
              <w:jc w:val="left"/>
              <w:rPr>
                <w:rFonts w:ascii="宋体" w:hAnsi="宋体" w:eastAsia="宋体" w:cs="宋体"/>
                <w:sz w:val="18"/>
                <w:szCs w:val="18"/>
              </w:rPr>
            </w:pPr>
            <w:r>
              <w:rPr>
                <w:rFonts w:ascii="宋体" w:hAnsi="宋体" w:eastAsia="宋体" w:cs="宋体"/>
                <w:sz w:val="18"/>
                <w:szCs w:val="18"/>
              </w:rPr>
              <w:t>二、累计摊销</w:t>
            </w:r>
          </w:p>
        </w:tc>
        <w:tc>
          <w:tcPr>
            <w:tcW w:w="964" w:type="dxa"/>
            <w:tcBorders>
              <w:top w:val="single" w:color="auto" w:sz="2" w:space="0"/>
              <w:left w:val="single" w:color="auto" w:sz="2" w:space="0"/>
              <w:bottom w:val="single" w:color="auto" w:sz="2" w:space="0"/>
              <w:right w:val="single" w:color="auto" w:sz="2" w:space="0"/>
            </w:tcBorders>
            <w:vAlign w:val="center"/>
          </w:tcPr>
          <w:p w14:paraId="133DE45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3832D4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06A80E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2E8E50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F17E5C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59B83F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7FB3DC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08DE59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751433F">
            <w:pPr>
              <w:spacing w:before="0" w:after="0" w:line="240" w:lineRule="exact"/>
              <w:jc w:val="right"/>
              <w:rPr>
                <w:rFonts w:ascii="宋体" w:hAnsi="宋体" w:eastAsia="宋体" w:cs="宋体"/>
                <w:sz w:val="18"/>
                <w:szCs w:val="18"/>
              </w:rPr>
            </w:pPr>
          </w:p>
        </w:tc>
      </w:tr>
      <w:tr w14:paraId="7DDEFC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4F72D747">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1.期初余额</w:t>
            </w:r>
          </w:p>
        </w:tc>
        <w:tc>
          <w:tcPr>
            <w:tcW w:w="964" w:type="dxa"/>
            <w:tcBorders>
              <w:top w:val="single" w:color="auto" w:sz="2" w:space="0"/>
              <w:left w:val="single" w:color="auto" w:sz="2" w:space="0"/>
              <w:bottom w:val="single" w:color="auto" w:sz="2" w:space="0"/>
              <w:right w:val="single" w:color="auto" w:sz="2" w:space="0"/>
            </w:tcBorders>
            <w:vAlign w:val="center"/>
          </w:tcPr>
          <w:p w14:paraId="299A593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D05D7B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7B80AB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1EA1F41">
            <w:pPr>
              <w:spacing w:before="0" w:after="0" w:line="240" w:lineRule="exact"/>
              <w:jc w:val="right"/>
              <w:rPr>
                <w:rFonts w:ascii="宋体" w:hAnsi="宋体" w:eastAsia="宋体" w:cs="宋体"/>
                <w:sz w:val="18"/>
                <w:szCs w:val="18"/>
              </w:rPr>
            </w:pPr>
            <w:r>
              <w:rPr>
                <w:rFonts w:ascii="宋体" w:hAnsi="宋体" w:eastAsia="宋体" w:cs="宋体"/>
                <w:sz w:val="18"/>
                <w:szCs w:val="18"/>
              </w:rPr>
              <w:t>10,224,780.64</w:t>
            </w:r>
          </w:p>
        </w:tc>
        <w:tc>
          <w:tcPr>
            <w:tcW w:w="964" w:type="dxa"/>
            <w:tcBorders>
              <w:top w:val="single" w:color="auto" w:sz="2" w:space="0"/>
              <w:left w:val="single" w:color="auto" w:sz="2" w:space="0"/>
              <w:bottom w:val="single" w:color="auto" w:sz="2" w:space="0"/>
              <w:right w:val="single" w:color="auto" w:sz="2" w:space="0"/>
            </w:tcBorders>
            <w:vAlign w:val="center"/>
          </w:tcPr>
          <w:p w14:paraId="52F98034">
            <w:pPr>
              <w:spacing w:before="0" w:after="0" w:line="240" w:lineRule="exact"/>
              <w:jc w:val="right"/>
              <w:rPr>
                <w:rFonts w:ascii="宋体" w:hAnsi="宋体" w:eastAsia="宋体" w:cs="宋体"/>
                <w:sz w:val="18"/>
                <w:szCs w:val="18"/>
              </w:rPr>
            </w:pPr>
            <w:r>
              <w:rPr>
                <w:rFonts w:ascii="宋体" w:hAnsi="宋体" w:eastAsia="宋体" w:cs="宋体"/>
                <w:sz w:val="18"/>
                <w:szCs w:val="18"/>
              </w:rPr>
              <w:t>109,591,683.42</w:t>
            </w:r>
          </w:p>
        </w:tc>
        <w:tc>
          <w:tcPr>
            <w:tcW w:w="964" w:type="dxa"/>
            <w:tcBorders>
              <w:top w:val="single" w:color="auto" w:sz="2" w:space="0"/>
              <w:left w:val="single" w:color="auto" w:sz="2" w:space="0"/>
              <w:bottom w:val="single" w:color="auto" w:sz="2" w:space="0"/>
              <w:right w:val="single" w:color="auto" w:sz="2" w:space="0"/>
            </w:tcBorders>
            <w:vAlign w:val="center"/>
          </w:tcPr>
          <w:p w14:paraId="2E7DB533">
            <w:pPr>
              <w:spacing w:before="0" w:after="0" w:line="240" w:lineRule="exact"/>
              <w:jc w:val="right"/>
              <w:rPr>
                <w:rFonts w:ascii="宋体" w:hAnsi="宋体" w:eastAsia="宋体" w:cs="宋体"/>
                <w:sz w:val="18"/>
                <w:szCs w:val="18"/>
              </w:rPr>
            </w:pPr>
            <w:r>
              <w:rPr>
                <w:rFonts w:ascii="宋体" w:hAnsi="宋体" w:eastAsia="宋体" w:cs="宋体"/>
                <w:sz w:val="18"/>
                <w:szCs w:val="18"/>
              </w:rPr>
              <w:t>2,626,560.11</w:t>
            </w:r>
          </w:p>
        </w:tc>
        <w:tc>
          <w:tcPr>
            <w:tcW w:w="964" w:type="dxa"/>
            <w:tcBorders>
              <w:top w:val="single" w:color="auto" w:sz="2" w:space="0"/>
              <w:left w:val="single" w:color="auto" w:sz="2" w:space="0"/>
              <w:bottom w:val="single" w:color="auto" w:sz="2" w:space="0"/>
              <w:right w:val="single" w:color="auto" w:sz="2" w:space="0"/>
            </w:tcBorders>
            <w:vAlign w:val="center"/>
          </w:tcPr>
          <w:p w14:paraId="6117C97E">
            <w:pPr>
              <w:spacing w:before="0" w:after="0" w:line="240" w:lineRule="exact"/>
              <w:jc w:val="right"/>
              <w:rPr>
                <w:rFonts w:ascii="宋体" w:hAnsi="宋体" w:eastAsia="宋体" w:cs="宋体"/>
                <w:sz w:val="18"/>
                <w:szCs w:val="18"/>
              </w:rPr>
            </w:pPr>
            <w:r>
              <w:rPr>
                <w:rFonts w:ascii="宋体" w:hAnsi="宋体" w:eastAsia="宋体" w:cs="宋体"/>
                <w:sz w:val="18"/>
                <w:szCs w:val="18"/>
              </w:rPr>
              <w:t>577,721.92</w:t>
            </w:r>
          </w:p>
        </w:tc>
        <w:tc>
          <w:tcPr>
            <w:tcW w:w="964" w:type="dxa"/>
            <w:tcBorders>
              <w:top w:val="single" w:color="auto" w:sz="2" w:space="0"/>
              <w:left w:val="single" w:color="auto" w:sz="2" w:space="0"/>
              <w:bottom w:val="single" w:color="auto" w:sz="2" w:space="0"/>
              <w:right w:val="single" w:color="auto" w:sz="2" w:space="0"/>
            </w:tcBorders>
            <w:vAlign w:val="center"/>
          </w:tcPr>
          <w:p w14:paraId="6D618D23">
            <w:pPr>
              <w:spacing w:before="0" w:after="0" w:line="240" w:lineRule="exact"/>
              <w:jc w:val="right"/>
              <w:rPr>
                <w:rFonts w:ascii="宋体" w:hAnsi="宋体" w:eastAsia="宋体" w:cs="宋体"/>
                <w:sz w:val="18"/>
                <w:szCs w:val="18"/>
              </w:rPr>
            </w:pPr>
            <w:r>
              <w:rPr>
                <w:rFonts w:ascii="宋体" w:hAnsi="宋体" w:eastAsia="宋体" w:cs="宋体"/>
                <w:sz w:val="18"/>
                <w:szCs w:val="18"/>
              </w:rPr>
              <w:t>135,762.90</w:t>
            </w:r>
          </w:p>
        </w:tc>
        <w:tc>
          <w:tcPr>
            <w:tcW w:w="964" w:type="dxa"/>
            <w:tcBorders>
              <w:top w:val="single" w:color="auto" w:sz="2" w:space="0"/>
              <w:left w:val="single" w:color="auto" w:sz="2" w:space="0"/>
              <w:bottom w:val="single" w:color="auto" w:sz="2" w:space="0"/>
              <w:right w:val="single" w:color="auto" w:sz="2" w:space="0"/>
            </w:tcBorders>
            <w:vAlign w:val="center"/>
          </w:tcPr>
          <w:p w14:paraId="5385D90E">
            <w:pPr>
              <w:spacing w:before="0" w:after="0" w:line="240" w:lineRule="exact"/>
              <w:jc w:val="right"/>
              <w:rPr>
                <w:rFonts w:ascii="宋体" w:hAnsi="宋体" w:eastAsia="宋体" w:cs="宋体"/>
                <w:sz w:val="18"/>
                <w:szCs w:val="18"/>
              </w:rPr>
            </w:pPr>
            <w:r>
              <w:rPr>
                <w:rFonts w:ascii="宋体" w:hAnsi="宋体" w:eastAsia="宋体" w:cs="宋体"/>
                <w:sz w:val="18"/>
                <w:szCs w:val="18"/>
              </w:rPr>
              <w:t>123,156,508.99</w:t>
            </w:r>
          </w:p>
        </w:tc>
      </w:tr>
      <w:tr w14:paraId="251AA2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487AE80">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2.本期增加金额</w:t>
            </w:r>
          </w:p>
        </w:tc>
        <w:tc>
          <w:tcPr>
            <w:tcW w:w="964" w:type="dxa"/>
            <w:tcBorders>
              <w:top w:val="single" w:color="auto" w:sz="2" w:space="0"/>
              <w:left w:val="single" w:color="auto" w:sz="2" w:space="0"/>
              <w:bottom w:val="single" w:color="auto" w:sz="2" w:space="0"/>
              <w:right w:val="single" w:color="auto" w:sz="2" w:space="0"/>
            </w:tcBorders>
            <w:vAlign w:val="center"/>
          </w:tcPr>
          <w:p w14:paraId="4F113AA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AE3A27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B64F54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A3D6718">
            <w:pPr>
              <w:spacing w:before="0" w:after="0" w:line="240" w:lineRule="exact"/>
              <w:jc w:val="right"/>
              <w:rPr>
                <w:rFonts w:ascii="宋体" w:hAnsi="宋体" w:eastAsia="宋体" w:cs="宋体"/>
                <w:sz w:val="18"/>
                <w:szCs w:val="18"/>
              </w:rPr>
            </w:pPr>
            <w:r>
              <w:rPr>
                <w:rFonts w:ascii="宋体" w:hAnsi="宋体" w:eastAsia="宋体" w:cs="宋体"/>
                <w:sz w:val="18"/>
                <w:szCs w:val="18"/>
              </w:rPr>
              <w:t>1,253,331.87</w:t>
            </w:r>
          </w:p>
        </w:tc>
        <w:tc>
          <w:tcPr>
            <w:tcW w:w="964" w:type="dxa"/>
            <w:tcBorders>
              <w:top w:val="single" w:color="auto" w:sz="2" w:space="0"/>
              <w:left w:val="single" w:color="auto" w:sz="2" w:space="0"/>
              <w:bottom w:val="single" w:color="auto" w:sz="2" w:space="0"/>
              <w:right w:val="single" w:color="auto" w:sz="2" w:space="0"/>
            </w:tcBorders>
            <w:vAlign w:val="center"/>
          </w:tcPr>
          <w:p w14:paraId="1AA95336">
            <w:pPr>
              <w:spacing w:before="0" w:after="0" w:line="240" w:lineRule="exact"/>
              <w:jc w:val="right"/>
              <w:rPr>
                <w:rFonts w:ascii="宋体" w:hAnsi="宋体" w:eastAsia="宋体" w:cs="宋体"/>
                <w:sz w:val="18"/>
                <w:szCs w:val="18"/>
              </w:rPr>
            </w:pPr>
            <w:r>
              <w:rPr>
                <w:rFonts w:ascii="宋体" w:hAnsi="宋体" w:eastAsia="宋体" w:cs="宋体"/>
                <w:sz w:val="18"/>
                <w:szCs w:val="18"/>
              </w:rPr>
              <w:t>41,264,654.01</w:t>
            </w:r>
          </w:p>
        </w:tc>
        <w:tc>
          <w:tcPr>
            <w:tcW w:w="964" w:type="dxa"/>
            <w:tcBorders>
              <w:top w:val="single" w:color="auto" w:sz="2" w:space="0"/>
              <w:left w:val="single" w:color="auto" w:sz="2" w:space="0"/>
              <w:bottom w:val="single" w:color="auto" w:sz="2" w:space="0"/>
              <w:right w:val="single" w:color="auto" w:sz="2" w:space="0"/>
            </w:tcBorders>
            <w:vAlign w:val="center"/>
          </w:tcPr>
          <w:p w14:paraId="3066EF4A">
            <w:pPr>
              <w:spacing w:before="0" w:after="0" w:line="240" w:lineRule="exact"/>
              <w:jc w:val="right"/>
              <w:rPr>
                <w:rFonts w:ascii="宋体" w:hAnsi="宋体" w:eastAsia="宋体" w:cs="宋体"/>
                <w:sz w:val="18"/>
                <w:szCs w:val="18"/>
              </w:rPr>
            </w:pPr>
            <w:r>
              <w:rPr>
                <w:rFonts w:ascii="宋体" w:hAnsi="宋体" w:eastAsia="宋体" w:cs="宋体"/>
                <w:sz w:val="18"/>
                <w:szCs w:val="18"/>
              </w:rPr>
              <w:t>285,200.49</w:t>
            </w:r>
          </w:p>
        </w:tc>
        <w:tc>
          <w:tcPr>
            <w:tcW w:w="964" w:type="dxa"/>
            <w:tcBorders>
              <w:top w:val="single" w:color="auto" w:sz="2" w:space="0"/>
              <w:left w:val="single" w:color="auto" w:sz="2" w:space="0"/>
              <w:bottom w:val="single" w:color="auto" w:sz="2" w:space="0"/>
              <w:right w:val="single" w:color="auto" w:sz="2" w:space="0"/>
            </w:tcBorders>
            <w:vAlign w:val="center"/>
          </w:tcPr>
          <w:p w14:paraId="52C2D4E7">
            <w:pPr>
              <w:spacing w:before="0" w:after="0" w:line="240" w:lineRule="exact"/>
              <w:jc w:val="right"/>
              <w:rPr>
                <w:rFonts w:ascii="宋体" w:hAnsi="宋体" w:eastAsia="宋体" w:cs="宋体"/>
                <w:sz w:val="18"/>
                <w:szCs w:val="18"/>
              </w:rPr>
            </w:pPr>
            <w:r>
              <w:rPr>
                <w:rFonts w:ascii="宋体" w:hAnsi="宋体" w:eastAsia="宋体" w:cs="宋体"/>
                <w:sz w:val="18"/>
                <w:szCs w:val="18"/>
              </w:rPr>
              <w:t>85,293.35</w:t>
            </w:r>
          </w:p>
        </w:tc>
        <w:tc>
          <w:tcPr>
            <w:tcW w:w="964" w:type="dxa"/>
            <w:tcBorders>
              <w:top w:val="single" w:color="auto" w:sz="2" w:space="0"/>
              <w:left w:val="single" w:color="auto" w:sz="2" w:space="0"/>
              <w:bottom w:val="single" w:color="auto" w:sz="2" w:space="0"/>
              <w:right w:val="single" w:color="auto" w:sz="2" w:space="0"/>
            </w:tcBorders>
            <w:vAlign w:val="center"/>
          </w:tcPr>
          <w:p w14:paraId="527D8DBF">
            <w:pPr>
              <w:spacing w:before="0" w:after="0" w:line="240" w:lineRule="exact"/>
              <w:jc w:val="right"/>
              <w:rPr>
                <w:rFonts w:ascii="宋体" w:hAnsi="宋体" w:eastAsia="宋体" w:cs="宋体"/>
                <w:sz w:val="18"/>
                <w:szCs w:val="18"/>
              </w:rPr>
            </w:pPr>
            <w:r>
              <w:rPr>
                <w:rFonts w:ascii="宋体" w:hAnsi="宋体" w:eastAsia="宋体" w:cs="宋体"/>
                <w:sz w:val="18"/>
                <w:szCs w:val="18"/>
              </w:rPr>
              <w:t>93,643.92</w:t>
            </w:r>
          </w:p>
        </w:tc>
        <w:tc>
          <w:tcPr>
            <w:tcW w:w="964" w:type="dxa"/>
            <w:tcBorders>
              <w:top w:val="single" w:color="auto" w:sz="2" w:space="0"/>
              <w:left w:val="single" w:color="auto" w:sz="2" w:space="0"/>
              <w:bottom w:val="single" w:color="auto" w:sz="2" w:space="0"/>
              <w:right w:val="single" w:color="auto" w:sz="2" w:space="0"/>
            </w:tcBorders>
            <w:vAlign w:val="center"/>
          </w:tcPr>
          <w:p w14:paraId="2563D12D">
            <w:pPr>
              <w:spacing w:before="0" w:after="0" w:line="240" w:lineRule="exact"/>
              <w:jc w:val="right"/>
              <w:rPr>
                <w:rFonts w:ascii="宋体" w:hAnsi="宋体" w:eastAsia="宋体" w:cs="宋体"/>
                <w:sz w:val="18"/>
                <w:szCs w:val="18"/>
              </w:rPr>
            </w:pPr>
            <w:r>
              <w:rPr>
                <w:rFonts w:ascii="宋体" w:hAnsi="宋体" w:eastAsia="宋体" w:cs="宋体"/>
                <w:sz w:val="18"/>
                <w:szCs w:val="18"/>
              </w:rPr>
              <w:t>42,982,123.64</w:t>
            </w:r>
          </w:p>
        </w:tc>
      </w:tr>
      <w:tr w14:paraId="4A6F36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4B5BB24F">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（1）计提</w:t>
            </w:r>
          </w:p>
        </w:tc>
        <w:tc>
          <w:tcPr>
            <w:tcW w:w="964" w:type="dxa"/>
            <w:tcBorders>
              <w:top w:val="single" w:color="auto" w:sz="2" w:space="0"/>
              <w:left w:val="single" w:color="auto" w:sz="2" w:space="0"/>
              <w:bottom w:val="single" w:color="auto" w:sz="2" w:space="0"/>
              <w:right w:val="single" w:color="auto" w:sz="2" w:space="0"/>
            </w:tcBorders>
            <w:vAlign w:val="center"/>
          </w:tcPr>
          <w:p w14:paraId="0AD2F0E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D23375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D9EBE9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44EB1A4">
            <w:pPr>
              <w:spacing w:before="0" w:after="0" w:line="240" w:lineRule="exact"/>
              <w:jc w:val="right"/>
              <w:rPr>
                <w:rFonts w:ascii="宋体" w:hAnsi="宋体" w:eastAsia="宋体" w:cs="宋体"/>
                <w:sz w:val="18"/>
                <w:szCs w:val="18"/>
              </w:rPr>
            </w:pPr>
            <w:r>
              <w:rPr>
                <w:rFonts w:ascii="宋体" w:hAnsi="宋体" w:eastAsia="宋体" w:cs="宋体"/>
                <w:sz w:val="18"/>
                <w:szCs w:val="18"/>
              </w:rPr>
              <w:t>1,253,331.87</w:t>
            </w:r>
          </w:p>
        </w:tc>
        <w:tc>
          <w:tcPr>
            <w:tcW w:w="964" w:type="dxa"/>
            <w:tcBorders>
              <w:top w:val="single" w:color="auto" w:sz="2" w:space="0"/>
              <w:left w:val="single" w:color="auto" w:sz="2" w:space="0"/>
              <w:bottom w:val="single" w:color="auto" w:sz="2" w:space="0"/>
              <w:right w:val="single" w:color="auto" w:sz="2" w:space="0"/>
            </w:tcBorders>
            <w:vAlign w:val="center"/>
          </w:tcPr>
          <w:p w14:paraId="4FFC18E1">
            <w:pPr>
              <w:spacing w:before="0" w:after="0" w:line="240" w:lineRule="exact"/>
              <w:jc w:val="right"/>
              <w:rPr>
                <w:rFonts w:ascii="宋体" w:hAnsi="宋体" w:eastAsia="宋体" w:cs="宋体"/>
                <w:sz w:val="18"/>
                <w:szCs w:val="18"/>
              </w:rPr>
            </w:pPr>
            <w:r>
              <w:rPr>
                <w:rFonts w:ascii="宋体" w:hAnsi="宋体" w:eastAsia="宋体" w:cs="宋体"/>
                <w:sz w:val="18"/>
                <w:szCs w:val="18"/>
              </w:rPr>
              <w:t>41,264,654.01</w:t>
            </w:r>
          </w:p>
        </w:tc>
        <w:tc>
          <w:tcPr>
            <w:tcW w:w="964" w:type="dxa"/>
            <w:tcBorders>
              <w:top w:val="single" w:color="auto" w:sz="2" w:space="0"/>
              <w:left w:val="single" w:color="auto" w:sz="2" w:space="0"/>
              <w:bottom w:val="single" w:color="auto" w:sz="2" w:space="0"/>
              <w:right w:val="single" w:color="auto" w:sz="2" w:space="0"/>
            </w:tcBorders>
            <w:vAlign w:val="center"/>
          </w:tcPr>
          <w:p w14:paraId="7FA84262">
            <w:pPr>
              <w:spacing w:before="0" w:after="0" w:line="240" w:lineRule="exact"/>
              <w:jc w:val="right"/>
              <w:rPr>
                <w:rFonts w:ascii="宋体" w:hAnsi="宋体" w:eastAsia="宋体" w:cs="宋体"/>
                <w:sz w:val="18"/>
                <w:szCs w:val="18"/>
              </w:rPr>
            </w:pPr>
            <w:r>
              <w:rPr>
                <w:rFonts w:ascii="宋体" w:hAnsi="宋体" w:eastAsia="宋体" w:cs="宋体"/>
                <w:sz w:val="18"/>
                <w:szCs w:val="18"/>
              </w:rPr>
              <w:t>285,200.49</w:t>
            </w:r>
          </w:p>
        </w:tc>
        <w:tc>
          <w:tcPr>
            <w:tcW w:w="964" w:type="dxa"/>
            <w:tcBorders>
              <w:top w:val="single" w:color="auto" w:sz="2" w:space="0"/>
              <w:left w:val="single" w:color="auto" w:sz="2" w:space="0"/>
              <w:bottom w:val="single" w:color="auto" w:sz="2" w:space="0"/>
              <w:right w:val="single" w:color="auto" w:sz="2" w:space="0"/>
            </w:tcBorders>
            <w:vAlign w:val="center"/>
          </w:tcPr>
          <w:p w14:paraId="1B067018">
            <w:pPr>
              <w:spacing w:before="0" w:after="0" w:line="240" w:lineRule="exact"/>
              <w:jc w:val="right"/>
              <w:rPr>
                <w:rFonts w:ascii="宋体" w:hAnsi="宋体" w:eastAsia="宋体" w:cs="宋体"/>
                <w:sz w:val="18"/>
                <w:szCs w:val="18"/>
              </w:rPr>
            </w:pPr>
            <w:r>
              <w:rPr>
                <w:rFonts w:ascii="宋体" w:hAnsi="宋体" w:eastAsia="宋体" w:cs="宋体"/>
                <w:sz w:val="18"/>
                <w:szCs w:val="18"/>
              </w:rPr>
              <w:t>85,293.35</w:t>
            </w:r>
          </w:p>
        </w:tc>
        <w:tc>
          <w:tcPr>
            <w:tcW w:w="964" w:type="dxa"/>
            <w:tcBorders>
              <w:top w:val="single" w:color="auto" w:sz="2" w:space="0"/>
              <w:left w:val="single" w:color="auto" w:sz="2" w:space="0"/>
              <w:bottom w:val="single" w:color="auto" w:sz="2" w:space="0"/>
              <w:right w:val="single" w:color="auto" w:sz="2" w:space="0"/>
            </w:tcBorders>
            <w:vAlign w:val="center"/>
          </w:tcPr>
          <w:p w14:paraId="146B014E">
            <w:pPr>
              <w:spacing w:before="0" w:after="0" w:line="240" w:lineRule="exact"/>
              <w:jc w:val="right"/>
              <w:rPr>
                <w:rFonts w:ascii="宋体" w:hAnsi="宋体" w:eastAsia="宋体" w:cs="宋体"/>
                <w:sz w:val="18"/>
                <w:szCs w:val="18"/>
              </w:rPr>
            </w:pPr>
            <w:r>
              <w:rPr>
                <w:rFonts w:ascii="宋体" w:hAnsi="宋体" w:eastAsia="宋体" w:cs="宋体"/>
                <w:sz w:val="18"/>
                <w:szCs w:val="18"/>
              </w:rPr>
              <w:t>93,643.92</w:t>
            </w:r>
          </w:p>
        </w:tc>
        <w:tc>
          <w:tcPr>
            <w:tcW w:w="964" w:type="dxa"/>
            <w:tcBorders>
              <w:top w:val="single" w:color="auto" w:sz="2" w:space="0"/>
              <w:left w:val="single" w:color="auto" w:sz="2" w:space="0"/>
              <w:bottom w:val="single" w:color="auto" w:sz="2" w:space="0"/>
              <w:right w:val="single" w:color="auto" w:sz="2" w:space="0"/>
            </w:tcBorders>
            <w:vAlign w:val="center"/>
          </w:tcPr>
          <w:p w14:paraId="271E7E12">
            <w:pPr>
              <w:spacing w:before="0" w:after="0" w:line="240" w:lineRule="exact"/>
              <w:jc w:val="right"/>
              <w:rPr>
                <w:rFonts w:ascii="宋体" w:hAnsi="宋体" w:eastAsia="宋体" w:cs="宋体"/>
                <w:sz w:val="18"/>
                <w:szCs w:val="18"/>
              </w:rPr>
            </w:pPr>
            <w:r>
              <w:rPr>
                <w:rFonts w:ascii="宋体" w:hAnsi="宋体" w:eastAsia="宋体" w:cs="宋体"/>
                <w:sz w:val="18"/>
                <w:szCs w:val="18"/>
              </w:rPr>
              <w:t>42,982,123.64</w:t>
            </w:r>
          </w:p>
        </w:tc>
      </w:tr>
      <w:tr w14:paraId="7DF866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vAlign w:val="center"/>
          </w:tcPr>
          <w:p w14:paraId="3BD32399">
            <w:pPr>
              <w:spacing w:before="0" w:after="0" w:line="240" w:lineRule="exact"/>
              <w:jc w:val="lef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6604E9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C39B44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C12197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F3E116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724E9B2">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4B2F4B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EF356CE">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49F142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7B52C51">
            <w:pPr>
              <w:spacing w:before="0" w:after="0" w:line="240" w:lineRule="exact"/>
              <w:jc w:val="right"/>
              <w:rPr>
                <w:rFonts w:ascii="宋体" w:hAnsi="宋体" w:eastAsia="宋体" w:cs="宋体"/>
                <w:sz w:val="18"/>
                <w:szCs w:val="18"/>
              </w:rPr>
            </w:pPr>
          </w:p>
        </w:tc>
      </w:tr>
      <w:tr w14:paraId="2EED52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39AE9AA0">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3.本期减少金额</w:t>
            </w:r>
          </w:p>
        </w:tc>
        <w:tc>
          <w:tcPr>
            <w:tcW w:w="964" w:type="dxa"/>
            <w:tcBorders>
              <w:top w:val="single" w:color="auto" w:sz="2" w:space="0"/>
              <w:left w:val="single" w:color="auto" w:sz="2" w:space="0"/>
              <w:bottom w:val="single" w:color="auto" w:sz="2" w:space="0"/>
              <w:right w:val="single" w:color="auto" w:sz="2" w:space="0"/>
            </w:tcBorders>
            <w:vAlign w:val="center"/>
          </w:tcPr>
          <w:p w14:paraId="06D547C0">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B484C4E">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C6C3805">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E8766C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6C729A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4C7DC6E">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362695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07116C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245C594">
            <w:pPr>
              <w:spacing w:before="0" w:after="0" w:line="240" w:lineRule="exact"/>
              <w:jc w:val="right"/>
              <w:rPr>
                <w:rFonts w:ascii="宋体" w:hAnsi="宋体" w:eastAsia="宋体" w:cs="宋体"/>
                <w:sz w:val="18"/>
                <w:szCs w:val="18"/>
              </w:rPr>
            </w:pPr>
          </w:p>
        </w:tc>
      </w:tr>
      <w:tr w14:paraId="43E000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5CD9BEF5">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（1）处置</w:t>
            </w:r>
          </w:p>
        </w:tc>
        <w:tc>
          <w:tcPr>
            <w:tcW w:w="964" w:type="dxa"/>
            <w:tcBorders>
              <w:top w:val="single" w:color="auto" w:sz="2" w:space="0"/>
              <w:left w:val="single" w:color="auto" w:sz="2" w:space="0"/>
              <w:bottom w:val="single" w:color="auto" w:sz="2" w:space="0"/>
              <w:right w:val="single" w:color="auto" w:sz="2" w:space="0"/>
            </w:tcBorders>
            <w:vAlign w:val="center"/>
          </w:tcPr>
          <w:p w14:paraId="21E7B992">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824EA1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2350BC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60D9B5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903D290">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C06ACD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EA3ED3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426D94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0406DFD">
            <w:pPr>
              <w:spacing w:before="0" w:after="0" w:line="240" w:lineRule="exact"/>
              <w:jc w:val="right"/>
              <w:rPr>
                <w:rFonts w:ascii="宋体" w:hAnsi="宋体" w:eastAsia="宋体" w:cs="宋体"/>
                <w:sz w:val="18"/>
                <w:szCs w:val="18"/>
              </w:rPr>
            </w:pPr>
          </w:p>
        </w:tc>
      </w:tr>
      <w:tr w14:paraId="723203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vAlign w:val="center"/>
          </w:tcPr>
          <w:p w14:paraId="3B357AB5">
            <w:pPr>
              <w:spacing w:before="0" w:after="0" w:line="240" w:lineRule="exact"/>
              <w:jc w:val="lef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9F3894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6BEF21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42AF6D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FA6EC6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E943B9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1A1CF6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E18470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0DB1B4E">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66809E6">
            <w:pPr>
              <w:spacing w:before="0" w:after="0" w:line="240" w:lineRule="exact"/>
              <w:jc w:val="right"/>
              <w:rPr>
                <w:rFonts w:ascii="宋体" w:hAnsi="宋体" w:eastAsia="宋体" w:cs="宋体"/>
                <w:sz w:val="18"/>
                <w:szCs w:val="18"/>
              </w:rPr>
            </w:pPr>
          </w:p>
        </w:tc>
      </w:tr>
      <w:tr w14:paraId="6D078D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6084B8C7">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4.期末余额</w:t>
            </w:r>
          </w:p>
        </w:tc>
        <w:tc>
          <w:tcPr>
            <w:tcW w:w="964" w:type="dxa"/>
            <w:tcBorders>
              <w:top w:val="single" w:color="auto" w:sz="2" w:space="0"/>
              <w:left w:val="single" w:color="auto" w:sz="2" w:space="0"/>
              <w:bottom w:val="single" w:color="auto" w:sz="2" w:space="0"/>
              <w:right w:val="single" w:color="auto" w:sz="2" w:space="0"/>
            </w:tcBorders>
            <w:vAlign w:val="center"/>
          </w:tcPr>
          <w:p w14:paraId="766FB19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0F4998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1977A8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84E3693">
            <w:pPr>
              <w:spacing w:before="0" w:after="0" w:line="240" w:lineRule="exact"/>
              <w:jc w:val="right"/>
              <w:rPr>
                <w:rFonts w:ascii="宋体" w:hAnsi="宋体" w:eastAsia="宋体" w:cs="宋体"/>
                <w:sz w:val="18"/>
                <w:szCs w:val="18"/>
              </w:rPr>
            </w:pPr>
            <w:r>
              <w:rPr>
                <w:rFonts w:ascii="宋体" w:hAnsi="宋体" w:eastAsia="宋体" w:cs="宋体"/>
                <w:sz w:val="18"/>
                <w:szCs w:val="18"/>
              </w:rPr>
              <w:t>11,478,112.51</w:t>
            </w:r>
          </w:p>
        </w:tc>
        <w:tc>
          <w:tcPr>
            <w:tcW w:w="964" w:type="dxa"/>
            <w:tcBorders>
              <w:top w:val="single" w:color="auto" w:sz="2" w:space="0"/>
              <w:left w:val="single" w:color="auto" w:sz="2" w:space="0"/>
              <w:bottom w:val="single" w:color="auto" w:sz="2" w:space="0"/>
              <w:right w:val="single" w:color="auto" w:sz="2" w:space="0"/>
            </w:tcBorders>
            <w:vAlign w:val="center"/>
          </w:tcPr>
          <w:p w14:paraId="5F4983AD">
            <w:pPr>
              <w:spacing w:before="0" w:after="0" w:line="240" w:lineRule="exact"/>
              <w:jc w:val="right"/>
              <w:rPr>
                <w:rFonts w:ascii="宋体" w:hAnsi="宋体" w:eastAsia="宋体" w:cs="宋体"/>
                <w:sz w:val="18"/>
                <w:szCs w:val="18"/>
              </w:rPr>
            </w:pPr>
            <w:r>
              <w:rPr>
                <w:rFonts w:ascii="宋体" w:hAnsi="宋体" w:eastAsia="宋体" w:cs="宋体"/>
                <w:sz w:val="18"/>
                <w:szCs w:val="18"/>
              </w:rPr>
              <w:t>150,856,337.43</w:t>
            </w:r>
          </w:p>
        </w:tc>
        <w:tc>
          <w:tcPr>
            <w:tcW w:w="964" w:type="dxa"/>
            <w:tcBorders>
              <w:top w:val="single" w:color="auto" w:sz="2" w:space="0"/>
              <w:left w:val="single" w:color="auto" w:sz="2" w:space="0"/>
              <w:bottom w:val="single" w:color="auto" w:sz="2" w:space="0"/>
              <w:right w:val="single" w:color="auto" w:sz="2" w:space="0"/>
            </w:tcBorders>
            <w:vAlign w:val="center"/>
          </w:tcPr>
          <w:p w14:paraId="36E86FD2">
            <w:pPr>
              <w:spacing w:before="0" w:after="0" w:line="240" w:lineRule="exact"/>
              <w:jc w:val="right"/>
              <w:rPr>
                <w:rFonts w:ascii="宋体" w:hAnsi="宋体" w:eastAsia="宋体" w:cs="宋体"/>
                <w:sz w:val="18"/>
                <w:szCs w:val="18"/>
              </w:rPr>
            </w:pPr>
            <w:r>
              <w:rPr>
                <w:rFonts w:ascii="宋体" w:hAnsi="宋体" w:eastAsia="宋体" w:cs="宋体"/>
                <w:sz w:val="18"/>
                <w:szCs w:val="18"/>
              </w:rPr>
              <w:t>2,911,760.60</w:t>
            </w:r>
          </w:p>
        </w:tc>
        <w:tc>
          <w:tcPr>
            <w:tcW w:w="964" w:type="dxa"/>
            <w:tcBorders>
              <w:top w:val="single" w:color="auto" w:sz="2" w:space="0"/>
              <w:left w:val="single" w:color="auto" w:sz="2" w:space="0"/>
              <w:bottom w:val="single" w:color="auto" w:sz="2" w:space="0"/>
              <w:right w:val="single" w:color="auto" w:sz="2" w:space="0"/>
            </w:tcBorders>
            <w:vAlign w:val="center"/>
          </w:tcPr>
          <w:p w14:paraId="71DA7280">
            <w:pPr>
              <w:spacing w:before="0" w:after="0" w:line="240" w:lineRule="exact"/>
              <w:jc w:val="right"/>
              <w:rPr>
                <w:rFonts w:ascii="宋体" w:hAnsi="宋体" w:eastAsia="宋体" w:cs="宋体"/>
                <w:sz w:val="18"/>
                <w:szCs w:val="18"/>
              </w:rPr>
            </w:pPr>
            <w:r>
              <w:rPr>
                <w:rFonts w:ascii="宋体" w:hAnsi="宋体" w:eastAsia="宋体" w:cs="宋体"/>
                <w:sz w:val="18"/>
                <w:szCs w:val="18"/>
              </w:rPr>
              <w:t>663,015.27</w:t>
            </w:r>
          </w:p>
        </w:tc>
        <w:tc>
          <w:tcPr>
            <w:tcW w:w="964" w:type="dxa"/>
            <w:tcBorders>
              <w:top w:val="single" w:color="auto" w:sz="2" w:space="0"/>
              <w:left w:val="single" w:color="auto" w:sz="2" w:space="0"/>
              <w:bottom w:val="single" w:color="auto" w:sz="2" w:space="0"/>
              <w:right w:val="single" w:color="auto" w:sz="2" w:space="0"/>
            </w:tcBorders>
            <w:vAlign w:val="center"/>
          </w:tcPr>
          <w:p w14:paraId="1B9DA236">
            <w:pPr>
              <w:spacing w:before="0" w:after="0" w:line="240" w:lineRule="exact"/>
              <w:jc w:val="right"/>
              <w:rPr>
                <w:rFonts w:ascii="宋体" w:hAnsi="宋体" w:eastAsia="宋体" w:cs="宋体"/>
                <w:sz w:val="18"/>
                <w:szCs w:val="18"/>
              </w:rPr>
            </w:pPr>
            <w:r>
              <w:rPr>
                <w:rFonts w:ascii="宋体" w:hAnsi="宋体" w:eastAsia="宋体" w:cs="宋体"/>
                <w:sz w:val="18"/>
                <w:szCs w:val="18"/>
              </w:rPr>
              <w:t>229,406.82</w:t>
            </w:r>
          </w:p>
        </w:tc>
        <w:tc>
          <w:tcPr>
            <w:tcW w:w="964" w:type="dxa"/>
            <w:tcBorders>
              <w:top w:val="single" w:color="auto" w:sz="2" w:space="0"/>
              <w:left w:val="single" w:color="auto" w:sz="2" w:space="0"/>
              <w:bottom w:val="single" w:color="auto" w:sz="2" w:space="0"/>
              <w:right w:val="single" w:color="auto" w:sz="2" w:space="0"/>
            </w:tcBorders>
            <w:vAlign w:val="center"/>
          </w:tcPr>
          <w:p w14:paraId="2DB3CACA">
            <w:pPr>
              <w:spacing w:before="0" w:after="0" w:line="240" w:lineRule="exact"/>
              <w:jc w:val="right"/>
              <w:rPr>
                <w:rFonts w:ascii="宋体" w:hAnsi="宋体" w:eastAsia="宋体" w:cs="宋体"/>
                <w:sz w:val="18"/>
                <w:szCs w:val="18"/>
              </w:rPr>
            </w:pPr>
            <w:r>
              <w:rPr>
                <w:rFonts w:ascii="宋体" w:hAnsi="宋体" w:eastAsia="宋体" w:cs="宋体"/>
                <w:sz w:val="18"/>
                <w:szCs w:val="18"/>
              </w:rPr>
              <w:t>166,138,632.63</w:t>
            </w:r>
          </w:p>
        </w:tc>
      </w:tr>
      <w:tr w14:paraId="34CA9F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8CD7A91">
            <w:pPr>
              <w:spacing w:before="40" w:after="40" w:line="240" w:lineRule="exact"/>
              <w:jc w:val="left"/>
              <w:rPr>
                <w:rFonts w:ascii="宋体" w:hAnsi="宋体" w:eastAsia="宋体" w:cs="宋体"/>
                <w:sz w:val="18"/>
                <w:szCs w:val="18"/>
              </w:rPr>
            </w:pPr>
            <w:r>
              <w:rPr>
                <w:rFonts w:ascii="宋体" w:hAnsi="宋体" w:eastAsia="宋体" w:cs="宋体"/>
                <w:sz w:val="18"/>
                <w:szCs w:val="18"/>
              </w:rPr>
              <w:t>三、减值准备</w:t>
            </w:r>
          </w:p>
        </w:tc>
        <w:tc>
          <w:tcPr>
            <w:tcW w:w="964" w:type="dxa"/>
            <w:tcBorders>
              <w:top w:val="single" w:color="auto" w:sz="2" w:space="0"/>
              <w:left w:val="single" w:color="auto" w:sz="2" w:space="0"/>
              <w:bottom w:val="single" w:color="auto" w:sz="2" w:space="0"/>
              <w:right w:val="single" w:color="auto" w:sz="2" w:space="0"/>
            </w:tcBorders>
            <w:vAlign w:val="center"/>
          </w:tcPr>
          <w:p w14:paraId="3767835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481BAE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422CBC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7C542A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CDBE21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6E4322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6CAFA3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B31FAEC">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466F4F9">
            <w:pPr>
              <w:spacing w:before="0" w:after="0" w:line="240" w:lineRule="exact"/>
              <w:jc w:val="right"/>
              <w:rPr>
                <w:rFonts w:ascii="宋体" w:hAnsi="宋体" w:eastAsia="宋体" w:cs="宋体"/>
                <w:sz w:val="18"/>
                <w:szCs w:val="18"/>
              </w:rPr>
            </w:pPr>
          </w:p>
        </w:tc>
      </w:tr>
      <w:tr w14:paraId="7EB5F2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26D99B2A">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1.期初余额</w:t>
            </w:r>
          </w:p>
        </w:tc>
        <w:tc>
          <w:tcPr>
            <w:tcW w:w="964" w:type="dxa"/>
            <w:tcBorders>
              <w:top w:val="single" w:color="auto" w:sz="2" w:space="0"/>
              <w:left w:val="single" w:color="auto" w:sz="2" w:space="0"/>
              <w:bottom w:val="single" w:color="auto" w:sz="2" w:space="0"/>
              <w:right w:val="single" w:color="auto" w:sz="2" w:space="0"/>
            </w:tcBorders>
            <w:vAlign w:val="center"/>
          </w:tcPr>
          <w:p w14:paraId="23240C6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3E9941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16B125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736A94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5B61075">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7886A3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4E48A5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A5308C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951EC91">
            <w:pPr>
              <w:spacing w:before="0" w:after="0" w:line="240" w:lineRule="exact"/>
              <w:jc w:val="right"/>
              <w:rPr>
                <w:rFonts w:ascii="宋体" w:hAnsi="宋体" w:eastAsia="宋体" w:cs="宋体"/>
                <w:sz w:val="18"/>
                <w:szCs w:val="18"/>
              </w:rPr>
            </w:pPr>
          </w:p>
        </w:tc>
      </w:tr>
      <w:tr w14:paraId="7CEA29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29A0180A">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2.本期增加金额</w:t>
            </w:r>
          </w:p>
        </w:tc>
        <w:tc>
          <w:tcPr>
            <w:tcW w:w="964" w:type="dxa"/>
            <w:tcBorders>
              <w:top w:val="single" w:color="auto" w:sz="2" w:space="0"/>
              <w:left w:val="single" w:color="auto" w:sz="2" w:space="0"/>
              <w:bottom w:val="single" w:color="auto" w:sz="2" w:space="0"/>
              <w:right w:val="single" w:color="auto" w:sz="2" w:space="0"/>
            </w:tcBorders>
            <w:vAlign w:val="center"/>
          </w:tcPr>
          <w:p w14:paraId="1482045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F588A9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192A3C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A472C1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F8F71F9">
            <w:pPr>
              <w:spacing w:before="0" w:after="0" w:line="240" w:lineRule="exact"/>
              <w:jc w:val="right"/>
              <w:rPr>
                <w:rFonts w:ascii="宋体" w:hAnsi="宋体" w:eastAsia="宋体" w:cs="宋体"/>
                <w:sz w:val="18"/>
                <w:szCs w:val="18"/>
              </w:rPr>
            </w:pPr>
            <w:r>
              <w:rPr>
                <w:rFonts w:ascii="宋体" w:hAnsi="宋体" w:eastAsia="宋体" w:cs="宋体"/>
                <w:sz w:val="18"/>
                <w:szCs w:val="18"/>
              </w:rPr>
              <w:t>13,260,901.06</w:t>
            </w:r>
          </w:p>
        </w:tc>
        <w:tc>
          <w:tcPr>
            <w:tcW w:w="964" w:type="dxa"/>
            <w:tcBorders>
              <w:top w:val="single" w:color="auto" w:sz="2" w:space="0"/>
              <w:left w:val="single" w:color="auto" w:sz="2" w:space="0"/>
              <w:bottom w:val="single" w:color="auto" w:sz="2" w:space="0"/>
              <w:right w:val="single" w:color="auto" w:sz="2" w:space="0"/>
            </w:tcBorders>
            <w:vAlign w:val="center"/>
          </w:tcPr>
          <w:p w14:paraId="025F4ED0">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372592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2D2A4C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CF3BB5E">
            <w:pPr>
              <w:spacing w:before="0" w:after="0" w:line="240" w:lineRule="exact"/>
              <w:jc w:val="right"/>
              <w:rPr>
                <w:rFonts w:ascii="宋体" w:hAnsi="宋体" w:eastAsia="宋体" w:cs="宋体"/>
                <w:sz w:val="18"/>
                <w:szCs w:val="18"/>
              </w:rPr>
            </w:pPr>
            <w:r>
              <w:rPr>
                <w:rFonts w:ascii="宋体" w:hAnsi="宋体" w:eastAsia="宋体" w:cs="宋体"/>
                <w:sz w:val="18"/>
                <w:szCs w:val="18"/>
              </w:rPr>
              <w:t>13,260,901.06</w:t>
            </w:r>
          </w:p>
        </w:tc>
      </w:tr>
      <w:tr w14:paraId="52F6AC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29EDD84D">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（1）计提</w:t>
            </w:r>
          </w:p>
        </w:tc>
        <w:tc>
          <w:tcPr>
            <w:tcW w:w="964" w:type="dxa"/>
            <w:tcBorders>
              <w:top w:val="single" w:color="auto" w:sz="2" w:space="0"/>
              <w:left w:val="single" w:color="auto" w:sz="2" w:space="0"/>
              <w:bottom w:val="single" w:color="auto" w:sz="2" w:space="0"/>
              <w:right w:val="single" w:color="auto" w:sz="2" w:space="0"/>
            </w:tcBorders>
            <w:vAlign w:val="center"/>
          </w:tcPr>
          <w:p w14:paraId="6A7853B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4CA9E2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8531E4E">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F871B71">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7B157EF">
            <w:pPr>
              <w:spacing w:before="0" w:after="0" w:line="240" w:lineRule="exact"/>
              <w:jc w:val="right"/>
              <w:rPr>
                <w:rFonts w:ascii="宋体" w:hAnsi="宋体" w:eastAsia="宋体" w:cs="宋体"/>
                <w:sz w:val="18"/>
                <w:szCs w:val="18"/>
              </w:rPr>
            </w:pPr>
            <w:r>
              <w:rPr>
                <w:rFonts w:ascii="宋体" w:hAnsi="宋体" w:eastAsia="宋体" w:cs="宋体"/>
                <w:sz w:val="18"/>
                <w:szCs w:val="18"/>
              </w:rPr>
              <w:t>13,260,901.06</w:t>
            </w:r>
          </w:p>
        </w:tc>
        <w:tc>
          <w:tcPr>
            <w:tcW w:w="964" w:type="dxa"/>
            <w:tcBorders>
              <w:top w:val="single" w:color="auto" w:sz="2" w:space="0"/>
              <w:left w:val="single" w:color="auto" w:sz="2" w:space="0"/>
              <w:bottom w:val="single" w:color="auto" w:sz="2" w:space="0"/>
              <w:right w:val="single" w:color="auto" w:sz="2" w:space="0"/>
            </w:tcBorders>
            <w:vAlign w:val="center"/>
          </w:tcPr>
          <w:p w14:paraId="0664EAFE">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227C6F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AE2F3E2">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834826A">
            <w:pPr>
              <w:spacing w:before="0" w:after="0" w:line="240" w:lineRule="exact"/>
              <w:jc w:val="right"/>
              <w:rPr>
                <w:rFonts w:ascii="宋体" w:hAnsi="宋体" w:eastAsia="宋体" w:cs="宋体"/>
                <w:sz w:val="18"/>
                <w:szCs w:val="18"/>
              </w:rPr>
            </w:pPr>
            <w:r>
              <w:rPr>
                <w:rFonts w:ascii="宋体" w:hAnsi="宋体" w:eastAsia="宋体" w:cs="宋体"/>
                <w:sz w:val="18"/>
                <w:szCs w:val="18"/>
              </w:rPr>
              <w:t>13,260,901.06</w:t>
            </w:r>
          </w:p>
        </w:tc>
      </w:tr>
      <w:tr w14:paraId="58653B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vAlign w:val="center"/>
          </w:tcPr>
          <w:p w14:paraId="1B2CB797">
            <w:pPr>
              <w:spacing w:before="0" w:after="0" w:line="240" w:lineRule="exact"/>
              <w:jc w:val="lef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9A39CFE">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DE82CE2">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B2385A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EC4497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C8E436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7CF0EFE">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4405D3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DD6CBD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CF8DAA1">
            <w:pPr>
              <w:spacing w:before="0" w:after="0" w:line="240" w:lineRule="exact"/>
              <w:jc w:val="right"/>
              <w:rPr>
                <w:rFonts w:ascii="宋体" w:hAnsi="宋体" w:eastAsia="宋体" w:cs="宋体"/>
                <w:sz w:val="18"/>
                <w:szCs w:val="18"/>
              </w:rPr>
            </w:pPr>
          </w:p>
        </w:tc>
      </w:tr>
      <w:tr w14:paraId="3ED9D9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239407C">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3.本期减少金额</w:t>
            </w:r>
          </w:p>
        </w:tc>
        <w:tc>
          <w:tcPr>
            <w:tcW w:w="964" w:type="dxa"/>
            <w:tcBorders>
              <w:top w:val="single" w:color="auto" w:sz="2" w:space="0"/>
              <w:left w:val="single" w:color="auto" w:sz="2" w:space="0"/>
              <w:bottom w:val="single" w:color="auto" w:sz="2" w:space="0"/>
              <w:right w:val="single" w:color="auto" w:sz="2" w:space="0"/>
            </w:tcBorders>
            <w:vAlign w:val="center"/>
          </w:tcPr>
          <w:p w14:paraId="3F633E9C">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EA24D5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70B5142">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00E02AC">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A40F813">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0B663D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AF3579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52188B2">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6CE339A">
            <w:pPr>
              <w:spacing w:before="0" w:after="0" w:line="240" w:lineRule="exact"/>
              <w:jc w:val="right"/>
              <w:rPr>
                <w:rFonts w:ascii="宋体" w:hAnsi="宋体" w:eastAsia="宋体" w:cs="宋体"/>
                <w:sz w:val="18"/>
                <w:szCs w:val="18"/>
              </w:rPr>
            </w:pPr>
          </w:p>
        </w:tc>
      </w:tr>
      <w:tr w14:paraId="1867AC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146DF30">
            <w:pPr>
              <w:spacing w:before="40" w:after="40" w:line="240" w:lineRule="exact"/>
              <w:ind w:firstLine="720" w:firstLineChars="400"/>
              <w:jc w:val="left"/>
              <w:rPr>
                <w:rFonts w:ascii="宋体" w:hAnsi="宋体" w:eastAsia="宋体" w:cs="宋体"/>
                <w:sz w:val="18"/>
                <w:szCs w:val="18"/>
              </w:rPr>
            </w:pPr>
            <w:r>
              <w:rPr>
                <w:rFonts w:ascii="宋体" w:hAnsi="宋体" w:eastAsia="宋体" w:cs="宋体"/>
                <w:sz w:val="18"/>
                <w:szCs w:val="18"/>
              </w:rPr>
              <w:t>（1）处置</w:t>
            </w:r>
          </w:p>
        </w:tc>
        <w:tc>
          <w:tcPr>
            <w:tcW w:w="964" w:type="dxa"/>
            <w:tcBorders>
              <w:top w:val="single" w:color="auto" w:sz="2" w:space="0"/>
              <w:left w:val="single" w:color="auto" w:sz="2" w:space="0"/>
              <w:bottom w:val="single" w:color="auto" w:sz="2" w:space="0"/>
              <w:right w:val="single" w:color="auto" w:sz="2" w:space="0"/>
            </w:tcBorders>
            <w:vAlign w:val="center"/>
          </w:tcPr>
          <w:p w14:paraId="581DD2F2">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B8C71F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1BB6BB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AA6A495">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50F33B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66AD82C">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8A1BBA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F9BAB5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D458EC4">
            <w:pPr>
              <w:spacing w:before="0" w:after="0" w:line="240" w:lineRule="exact"/>
              <w:jc w:val="right"/>
              <w:rPr>
                <w:rFonts w:ascii="宋体" w:hAnsi="宋体" w:eastAsia="宋体" w:cs="宋体"/>
                <w:sz w:val="18"/>
                <w:szCs w:val="18"/>
              </w:rPr>
            </w:pPr>
          </w:p>
        </w:tc>
      </w:tr>
      <w:tr w14:paraId="555945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vAlign w:val="center"/>
          </w:tcPr>
          <w:p w14:paraId="68CC67C6">
            <w:pPr>
              <w:spacing w:before="0" w:after="0" w:line="240" w:lineRule="exact"/>
              <w:jc w:val="lef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7CB985D">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BDD1592">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61B807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FC77B8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46B221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CF4871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E1C2BC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67E459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697E28A">
            <w:pPr>
              <w:spacing w:before="0" w:after="0" w:line="240" w:lineRule="exact"/>
              <w:jc w:val="right"/>
              <w:rPr>
                <w:rFonts w:ascii="宋体" w:hAnsi="宋体" w:eastAsia="宋体" w:cs="宋体"/>
                <w:sz w:val="18"/>
                <w:szCs w:val="18"/>
              </w:rPr>
            </w:pPr>
          </w:p>
        </w:tc>
      </w:tr>
      <w:tr w14:paraId="025395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3B037CDA">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4.期末余额</w:t>
            </w:r>
          </w:p>
        </w:tc>
        <w:tc>
          <w:tcPr>
            <w:tcW w:w="964" w:type="dxa"/>
            <w:tcBorders>
              <w:top w:val="single" w:color="auto" w:sz="2" w:space="0"/>
              <w:left w:val="single" w:color="auto" w:sz="2" w:space="0"/>
              <w:bottom w:val="single" w:color="auto" w:sz="2" w:space="0"/>
              <w:right w:val="single" w:color="auto" w:sz="2" w:space="0"/>
            </w:tcBorders>
            <w:vAlign w:val="center"/>
          </w:tcPr>
          <w:p w14:paraId="3BAD8415">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B7FD3E5">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92715A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1A1861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6B2C88D">
            <w:pPr>
              <w:spacing w:before="0" w:after="0" w:line="240" w:lineRule="exact"/>
              <w:jc w:val="right"/>
              <w:rPr>
                <w:rFonts w:ascii="宋体" w:hAnsi="宋体" w:eastAsia="宋体" w:cs="宋体"/>
                <w:sz w:val="18"/>
                <w:szCs w:val="18"/>
              </w:rPr>
            </w:pPr>
            <w:r>
              <w:rPr>
                <w:rFonts w:ascii="宋体" w:hAnsi="宋体" w:eastAsia="宋体" w:cs="宋体"/>
                <w:sz w:val="18"/>
                <w:szCs w:val="18"/>
              </w:rPr>
              <w:t>13,260,901.06</w:t>
            </w:r>
          </w:p>
        </w:tc>
        <w:tc>
          <w:tcPr>
            <w:tcW w:w="964" w:type="dxa"/>
            <w:tcBorders>
              <w:top w:val="single" w:color="auto" w:sz="2" w:space="0"/>
              <w:left w:val="single" w:color="auto" w:sz="2" w:space="0"/>
              <w:bottom w:val="single" w:color="auto" w:sz="2" w:space="0"/>
              <w:right w:val="single" w:color="auto" w:sz="2" w:space="0"/>
            </w:tcBorders>
            <w:vAlign w:val="center"/>
          </w:tcPr>
          <w:p w14:paraId="251EE795">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31C9CDC9">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F0A1015">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D35C419">
            <w:pPr>
              <w:spacing w:before="0" w:after="0" w:line="240" w:lineRule="exact"/>
              <w:jc w:val="right"/>
              <w:rPr>
                <w:rFonts w:ascii="宋体" w:hAnsi="宋体" w:eastAsia="宋体" w:cs="宋体"/>
                <w:sz w:val="18"/>
                <w:szCs w:val="18"/>
              </w:rPr>
            </w:pPr>
            <w:r>
              <w:rPr>
                <w:rFonts w:ascii="宋体" w:hAnsi="宋体" w:eastAsia="宋体" w:cs="宋体"/>
                <w:sz w:val="18"/>
                <w:szCs w:val="18"/>
              </w:rPr>
              <w:t>13,260,901.06</w:t>
            </w:r>
          </w:p>
        </w:tc>
      </w:tr>
      <w:tr w14:paraId="536EFA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1BBD73A3">
            <w:pPr>
              <w:spacing w:before="40" w:after="40" w:line="240" w:lineRule="exact"/>
              <w:jc w:val="left"/>
              <w:rPr>
                <w:rFonts w:ascii="宋体" w:hAnsi="宋体" w:eastAsia="宋体" w:cs="宋体"/>
                <w:sz w:val="18"/>
                <w:szCs w:val="18"/>
              </w:rPr>
            </w:pPr>
            <w:r>
              <w:rPr>
                <w:rFonts w:ascii="宋体" w:hAnsi="宋体" w:eastAsia="宋体" w:cs="宋体"/>
                <w:sz w:val="18"/>
                <w:szCs w:val="18"/>
              </w:rPr>
              <w:t>四、账面价值</w:t>
            </w:r>
          </w:p>
        </w:tc>
        <w:tc>
          <w:tcPr>
            <w:tcW w:w="964" w:type="dxa"/>
            <w:tcBorders>
              <w:top w:val="single" w:color="auto" w:sz="2" w:space="0"/>
              <w:left w:val="single" w:color="auto" w:sz="2" w:space="0"/>
              <w:bottom w:val="single" w:color="auto" w:sz="2" w:space="0"/>
              <w:right w:val="single" w:color="auto" w:sz="2" w:space="0"/>
            </w:tcBorders>
            <w:vAlign w:val="center"/>
          </w:tcPr>
          <w:p w14:paraId="4622AF85">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C4FEA48">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C9B92E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F4D27DB">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BF0E7E0">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22370B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19FFD0D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AD5796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47C7A3C">
            <w:pPr>
              <w:spacing w:before="0" w:after="0" w:line="240" w:lineRule="exact"/>
              <w:jc w:val="right"/>
              <w:rPr>
                <w:rFonts w:ascii="宋体" w:hAnsi="宋体" w:eastAsia="宋体" w:cs="宋体"/>
                <w:sz w:val="18"/>
                <w:szCs w:val="18"/>
              </w:rPr>
            </w:pPr>
          </w:p>
        </w:tc>
      </w:tr>
      <w:tr w14:paraId="54559C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56D42057">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1.期末账面价值</w:t>
            </w:r>
          </w:p>
        </w:tc>
        <w:tc>
          <w:tcPr>
            <w:tcW w:w="964" w:type="dxa"/>
            <w:tcBorders>
              <w:top w:val="single" w:color="auto" w:sz="2" w:space="0"/>
              <w:left w:val="single" w:color="auto" w:sz="2" w:space="0"/>
              <w:bottom w:val="single" w:color="auto" w:sz="2" w:space="0"/>
              <w:right w:val="single" w:color="auto" w:sz="2" w:space="0"/>
            </w:tcBorders>
            <w:vAlign w:val="center"/>
          </w:tcPr>
          <w:p w14:paraId="178FD3EF">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08699DDA">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40B1B3AC">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5E3F8B4B">
            <w:pPr>
              <w:spacing w:before="0" w:after="0" w:line="240" w:lineRule="exact"/>
              <w:jc w:val="right"/>
              <w:rPr>
                <w:rFonts w:ascii="宋体" w:hAnsi="宋体" w:eastAsia="宋体" w:cs="宋体"/>
                <w:sz w:val="18"/>
                <w:szCs w:val="18"/>
              </w:rPr>
            </w:pPr>
            <w:r>
              <w:rPr>
                <w:rFonts w:ascii="宋体" w:hAnsi="宋体" w:eastAsia="宋体" w:cs="宋体"/>
                <w:sz w:val="18"/>
                <w:szCs w:val="18"/>
              </w:rPr>
              <w:t>50,079,681.73</w:t>
            </w:r>
          </w:p>
        </w:tc>
        <w:tc>
          <w:tcPr>
            <w:tcW w:w="964" w:type="dxa"/>
            <w:tcBorders>
              <w:top w:val="single" w:color="auto" w:sz="2" w:space="0"/>
              <w:left w:val="single" w:color="auto" w:sz="2" w:space="0"/>
              <w:bottom w:val="single" w:color="auto" w:sz="2" w:space="0"/>
              <w:right w:val="single" w:color="auto" w:sz="2" w:space="0"/>
            </w:tcBorders>
            <w:vAlign w:val="center"/>
          </w:tcPr>
          <w:p w14:paraId="6A714DA9">
            <w:pPr>
              <w:spacing w:before="0" w:after="0" w:line="240" w:lineRule="exact"/>
              <w:jc w:val="right"/>
              <w:rPr>
                <w:rFonts w:ascii="宋体" w:hAnsi="宋体" w:eastAsia="宋体" w:cs="宋体"/>
                <w:sz w:val="18"/>
                <w:szCs w:val="18"/>
              </w:rPr>
            </w:pPr>
            <w:r>
              <w:rPr>
                <w:rFonts w:ascii="宋体" w:hAnsi="宋体" w:eastAsia="宋体" w:cs="宋体"/>
                <w:sz w:val="18"/>
                <w:szCs w:val="18"/>
              </w:rPr>
              <w:t>199,001,640.39</w:t>
            </w:r>
          </w:p>
        </w:tc>
        <w:tc>
          <w:tcPr>
            <w:tcW w:w="964" w:type="dxa"/>
            <w:tcBorders>
              <w:top w:val="single" w:color="auto" w:sz="2" w:space="0"/>
              <w:left w:val="single" w:color="auto" w:sz="2" w:space="0"/>
              <w:bottom w:val="single" w:color="auto" w:sz="2" w:space="0"/>
              <w:right w:val="single" w:color="auto" w:sz="2" w:space="0"/>
            </w:tcBorders>
            <w:vAlign w:val="center"/>
          </w:tcPr>
          <w:p w14:paraId="4C27F5FB">
            <w:pPr>
              <w:spacing w:before="0" w:after="0" w:line="240" w:lineRule="exact"/>
              <w:jc w:val="right"/>
              <w:rPr>
                <w:rFonts w:ascii="宋体" w:hAnsi="宋体" w:eastAsia="宋体" w:cs="宋体"/>
                <w:sz w:val="18"/>
                <w:szCs w:val="18"/>
              </w:rPr>
            </w:pPr>
            <w:r>
              <w:rPr>
                <w:rFonts w:ascii="宋体" w:hAnsi="宋体" w:eastAsia="宋体" w:cs="宋体"/>
                <w:sz w:val="18"/>
                <w:szCs w:val="18"/>
              </w:rPr>
              <w:t>2,207,139.93</w:t>
            </w:r>
          </w:p>
        </w:tc>
        <w:tc>
          <w:tcPr>
            <w:tcW w:w="964" w:type="dxa"/>
            <w:tcBorders>
              <w:top w:val="single" w:color="auto" w:sz="2" w:space="0"/>
              <w:left w:val="single" w:color="auto" w:sz="2" w:space="0"/>
              <w:bottom w:val="single" w:color="auto" w:sz="2" w:space="0"/>
              <w:right w:val="single" w:color="auto" w:sz="2" w:space="0"/>
            </w:tcBorders>
            <w:vAlign w:val="center"/>
          </w:tcPr>
          <w:p w14:paraId="326DDDDF">
            <w:pPr>
              <w:spacing w:before="0" w:after="0" w:line="240" w:lineRule="exact"/>
              <w:jc w:val="right"/>
              <w:rPr>
                <w:rFonts w:ascii="宋体" w:hAnsi="宋体" w:eastAsia="宋体" w:cs="宋体"/>
                <w:sz w:val="18"/>
                <w:szCs w:val="18"/>
              </w:rPr>
            </w:pPr>
            <w:r>
              <w:rPr>
                <w:rFonts w:ascii="宋体" w:hAnsi="宋体" w:eastAsia="宋体" w:cs="宋体"/>
                <w:sz w:val="18"/>
                <w:szCs w:val="18"/>
              </w:rPr>
              <w:t>127,940.03</w:t>
            </w:r>
          </w:p>
        </w:tc>
        <w:tc>
          <w:tcPr>
            <w:tcW w:w="964" w:type="dxa"/>
            <w:tcBorders>
              <w:top w:val="single" w:color="auto" w:sz="2" w:space="0"/>
              <w:left w:val="single" w:color="auto" w:sz="2" w:space="0"/>
              <w:bottom w:val="single" w:color="auto" w:sz="2" w:space="0"/>
              <w:right w:val="single" w:color="auto" w:sz="2" w:space="0"/>
            </w:tcBorders>
            <w:vAlign w:val="center"/>
          </w:tcPr>
          <w:p w14:paraId="73B4531F">
            <w:pPr>
              <w:spacing w:before="0" w:after="0" w:line="240" w:lineRule="exact"/>
              <w:jc w:val="right"/>
              <w:rPr>
                <w:rFonts w:ascii="宋体" w:hAnsi="宋体" w:eastAsia="宋体" w:cs="宋体"/>
                <w:sz w:val="18"/>
                <w:szCs w:val="18"/>
              </w:rPr>
            </w:pPr>
            <w:r>
              <w:rPr>
                <w:rFonts w:ascii="宋体" w:hAnsi="宋体" w:eastAsia="宋体" w:cs="宋体"/>
                <w:sz w:val="18"/>
                <w:szCs w:val="18"/>
              </w:rPr>
              <w:t>238,812.84</w:t>
            </w:r>
          </w:p>
        </w:tc>
        <w:tc>
          <w:tcPr>
            <w:tcW w:w="964" w:type="dxa"/>
            <w:tcBorders>
              <w:top w:val="single" w:color="auto" w:sz="2" w:space="0"/>
              <w:left w:val="single" w:color="auto" w:sz="2" w:space="0"/>
              <w:bottom w:val="single" w:color="auto" w:sz="2" w:space="0"/>
              <w:right w:val="single" w:color="auto" w:sz="2" w:space="0"/>
            </w:tcBorders>
            <w:vAlign w:val="center"/>
          </w:tcPr>
          <w:p w14:paraId="43B987DD">
            <w:pPr>
              <w:spacing w:before="0" w:after="0" w:line="240" w:lineRule="exact"/>
              <w:jc w:val="right"/>
              <w:rPr>
                <w:rFonts w:ascii="宋体" w:hAnsi="宋体" w:eastAsia="宋体" w:cs="宋体"/>
                <w:sz w:val="18"/>
                <w:szCs w:val="18"/>
              </w:rPr>
            </w:pPr>
            <w:r>
              <w:rPr>
                <w:rFonts w:ascii="宋体" w:hAnsi="宋体" w:eastAsia="宋体" w:cs="宋体"/>
                <w:sz w:val="18"/>
                <w:szCs w:val="18"/>
              </w:rPr>
              <w:t>251,655,214.92</w:t>
            </w:r>
          </w:p>
        </w:tc>
      </w:tr>
      <w:tr w14:paraId="0325C7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593BE722">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2.期初账面价值</w:t>
            </w:r>
          </w:p>
        </w:tc>
        <w:tc>
          <w:tcPr>
            <w:tcW w:w="964" w:type="dxa"/>
            <w:tcBorders>
              <w:top w:val="single" w:color="auto" w:sz="2" w:space="0"/>
              <w:left w:val="single" w:color="auto" w:sz="2" w:space="0"/>
              <w:bottom w:val="single" w:color="auto" w:sz="2" w:space="0"/>
              <w:right w:val="single" w:color="auto" w:sz="2" w:space="0"/>
            </w:tcBorders>
            <w:vAlign w:val="center"/>
          </w:tcPr>
          <w:p w14:paraId="73905346">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2BB50E57">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73BF0544">
            <w:pPr>
              <w:spacing w:before="0" w:after="0" w:line="240" w:lineRule="exact"/>
              <w:jc w:val="right"/>
              <w:rPr>
                <w:rFonts w:ascii="宋体" w:hAnsi="宋体" w:eastAsia="宋体" w:cs="宋体"/>
                <w:sz w:val="18"/>
                <w:szCs w:val="18"/>
              </w:rPr>
            </w:pPr>
          </w:p>
        </w:tc>
        <w:tc>
          <w:tcPr>
            <w:tcW w:w="964" w:type="dxa"/>
            <w:tcBorders>
              <w:top w:val="single" w:color="auto" w:sz="2" w:space="0"/>
              <w:left w:val="single" w:color="auto" w:sz="2" w:space="0"/>
              <w:bottom w:val="single" w:color="auto" w:sz="2" w:space="0"/>
              <w:right w:val="single" w:color="auto" w:sz="2" w:space="0"/>
            </w:tcBorders>
            <w:vAlign w:val="center"/>
          </w:tcPr>
          <w:p w14:paraId="65BBF3B1">
            <w:pPr>
              <w:spacing w:before="0" w:after="0" w:line="240" w:lineRule="exact"/>
              <w:jc w:val="right"/>
              <w:rPr>
                <w:rFonts w:ascii="宋体" w:hAnsi="宋体" w:eastAsia="宋体" w:cs="宋体"/>
                <w:sz w:val="18"/>
                <w:szCs w:val="18"/>
              </w:rPr>
            </w:pPr>
            <w:r>
              <w:rPr>
                <w:rFonts w:ascii="宋体" w:hAnsi="宋体" w:eastAsia="宋体" w:cs="宋体"/>
                <w:sz w:val="18"/>
                <w:szCs w:val="18"/>
              </w:rPr>
              <w:t>51,333,013.60</w:t>
            </w:r>
          </w:p>
        </w:tc>
        <w:tc>
          <w:tcPr>
            <w:tcW w:w="964" w:type="dxa"/>
            <w:tcBorders>
              <w:top w:val="single" w:color="auto" w:sz="2" w:space="0"/>
              <w:left w:val="single" w:color="auto" w:sz="2" w:space="0"/>
              <w:bottom w:val="single" w:color="auto" w:sz="2" w:space="0"/>
              <w:right w:val="single" w:color="auto" w:sz="2" w:space="0"/>
            </w:tcBorders>
            <w:vAlign w:val="center"/>
          </w:tcPr>
          <w:p w14:paraId="10AA2716">
            <w:pPr>
              <w:spacing w:before="0" w:after="0" w:line="240" w:lineRule="exact"/>
              <w:jc w:val="right"/>
              <w:rPr>
                <w:rFonts w:ascii="宋体" w:hAnsi="宋体" w:eastAsia="宋体" w:cs="宋体"/>
                <w:sz w:val="18"/>
                <w:szCs w:val="18"/>
              </w:rPr>
            </w:pPr>
            <w:r>
              <w:rPr>
                <w:rFonts w:ascii="宋体" w:hAnsi="宋体" w:eastAsia="宋体" w:cs="宋体"/>
                <w:sz w:val="18"/>
                <w:szCs w:val="18"/>
              </w:rPr>
              <w:t>240,027,195.46</w:t>
            </w:r>
          </w:p>
        </w:tc>
        <w:tc>
          <w:tcPr>
            <w:tcW w:w="964" w:type="dxa"/>
            <w:tcBorders>
              <w:top w:val="single" w:color="auto" w:sz="2" w:space="0"/>
              <w:left w:val="single" w:color="auto" w:sz="2" w:space="0"/>
              <w:bottom w:val="single" w:color="auto" w:sz="2" w:space="0"/>
              <w:right w:val="single" w:color="auto" w:sz="2" w:space="0"/>
            </w:tcBorders>
            <w:vAlign w:val="center"/>
          </w:tcPr>
          <w:p w14:paraId="0ACE9E9C">
            <w:pPr>
              <w:spacing w:before="0" w:after="0" w:line="240" w:lineRule="exact"/>
              <w:jc w:val="right"/>
              <w:rPr>
                <w:rFonts w:ascii="宋体" w:hAnsi="宋体" w:eastAsia="宋体" w:cs="宋体"/>
                <w:sz w:val="18"/>
                <w:szCs w:val="18"/>
              </w:rPr>
            </w:pPr>
            <w:r>
              <w:rPr>
                <w:rFonts w:ascii="宋体" w:hAnsi="宋体" w:eastAsia="宋体" w:cs="宋体"/>
                <w:sz w:val="18"/>
                <w:szCs w:val="18"/>
              </w:rPr>
              <w:t>170,303.44</w:t>
            </w:r>
          </w:p>
        </w:tc>
        <w:tc>
          <w:tcPr>
            <w:tcW w:w="964" w:type="dxa"/>
            <w:tcBorders>
              <w:top w:val="single" w:color="auto" w:sz="2" w:space="0"/>
              <w:left w:val="single" w:color="auto" w:sz="2" w:space="0"/>
              <w:bottom w:val="single" w:color="auto" w:sz="2" w:space="0"/>
              <w:right w:val="single" w:color="auto" w:sz="2" w:space="0"/>
            </w:tcBorders>
            <w:vAlign w:val="center"/>
          </w:tcPr>
          <w:p w14:paraId="1B3EE103">
            <w:pPr>
              <w:spacing w:before="0" w:after="0" w:line="240" w:lineRule="exact"/>
              <w:jc w:val="right"/>
              <w:rPr>
                <w:rFonts w:ascii="宋体" w:hAnsi="宋体" w:eastAsia="宋体" w:cs="宋体"/>
                <w:sz w:val="18"/>
                <w:szCs w:val="18"/>
              </w:rPr>
            </w:pPr>
            <w:r>
              <w:rPr>
                <w:rFonts w:ascii="宋体" w:hAnsi="宋体" w:eastAsia="宋体" w:cs="宋体"/>
                <w:sz w:val="18"/>
                <w:szCs w:val="18"/>
              </w:rPr>
              <w:t>213,233.38</w:t>
            </w:r>
          </w:p>
        </w:tc>
        <w:tc>
          <w:tcPr>
            <w:tcW w:w="964" w:type="dxa"/>
            <w:tcBorders>
              <w:top w:val="single" w:color="auto" w:sz="2" w:space="0"/>
              <w:left w:val="single" w:color="auto" w:sz="2" w:space="0"/>
              <w:bottom w:val="single" w:color="auto" w:sz="2" w:space="0"/>
              <w:right w:val="single" w:color="auto" w:sz="2" w:space="0"/>
            </w:tcBorders>
            <w:vAlign w:val="center"/>
          </w:tcPr>
          <w:p w14:paraId="4198F209">
            <w:pPr>
              <w:spacing w:before="0" w:after="0" w:line="240" w:lineRule="exact"/>
              <w:jc w:val="right"/>
              <w:rPr>
                <w:rFonts w:ascii="宋体" w:hAnsi="宋体" w:eastAsia="宋体" w:cs="宋体"/>
                <w:sz w:val="18"/>
                <w:szCs w:val="18"/>
              </w:rPr>
            </w:pPr>
            <w:r>
              <w:rPr>
                <w:rFonts w:ascii="宋体" w:hAnsi="宋体" w:eastAsia="宋体" w:cs="宋体"/>
                <w:sz w:val="18"/>
                <w:szCs w:val="18"/>
              </w:rPr>
              <w:t>332,456.76</w:t>
            </w:r>
          </w:p>
        </w:tc>
        <w:tc>
          <w:tcPr>
            <w:tcW w:w="964" w:type="dxa"/>
            <w:tcBorders>
              <w:top w:val="single" w:color="auto" w:sz="2" w:space="0"/>
              <w:left w:val="single" w:color="auto" w:sz="2" w:space="0"/>
              <w:bottom w:val="single" w:color="auto" w:sz="2" w:space="0"/>
              <w:right w:val="single" w:color="auto" w:sz="2" w:space="0"/>
            </w:tcBorders>
            <w:vAlign w:val="center"/>
          </w:tcPr>
          <w:p w14:paraId="7F9F7050">
            <w:pPr>
              <w:spacing w:before="0" w:after="0" w:line="240" w:lineRule="exact"/>
              <w:jc w:val="right"/>
              <w:rPr>
                <w:rFonts w:ascii="宋体" w:hAnsi="宋体" w:eastAsia="宋体" w:cs="宋体"/>
                <w:sz w:val="18"/>
                <w:szCs w:val="18"/>
              </w:rPr>
            </w:pPr>
            <w:r>
              <w:rPr>
                <w:rFonts w:ascii="宋体" w:hAnsi="宋体" w:eastAsia="宋体" w:cs="宋体"/>
                <w:sz w:val="18"/>
                <w:szCs w:val="18"/>
              </w:rPr>
              <w:t>292,076,202.64</w:t>
            </w:r>
          </w:p>
        </w:tc>
      </w:tr>
    </w:tbl>
    <w:p w14:paraId="423CFB2D">
      <w:pPr>
        <w:spacing w:before="100" w:after="100" w:line="0" w:lineRule="exact"/>
        <w:jc w:val="left"/>
      </w:pPr>
    </w:p>
    <w:p w14:paraId="299AF473">
      <w:pPr>
        <w:spacing w:before="0" w:after="0" w:line="240" w:lineRule="exact"/>
        <w:jc w:val="left"/>
        <w:rPr>
          <w:rFonts w:ascii="宋体" w:hAnsi="宋体" w:eastAsia="宋体" w:cs="宋体"/>
          <w:sz w:val="18"/>
          <w:szCs w:val="18"/>
        </w:rPr>
      </w:pPr>
      <w:r>
        <w:rPr>
          <w:rFonts w:ascii="宋体" w:hAnsi="宋体" w:eastAsia="宋体" w:cs="宋体"/>
          <w:sz w:val="18"/>
          <w:szCs w:val="18"/>
        </w:rPr>
        <w:t>本期末通过公司内部研发形成的无形资产占无形资产余额的比例68.72%。</w:t>
      </w:r>
    </w:p>
    <w:p w14:paraId="5E437F4A">
      <w:pPr>
        <w:keepNext/>
        <w:keepLines/>
        <w:spacing w:before="300" w:after="300" w:line="280" w:lineRule="exact"/>
        <w:jc w:val="left"/>
        <w:outlineLvl w:val="3"/>
        <w:rPr>
          <w:rFonts w:ascii="宋体" w:hAnsi="宋体" w:eastAsia="宋体" w:cs="宋体"/>
          <w:b/>
          <w:bCs/>
          <w:sz w:val="21"/>
          <w:szCs w:val="21"/>
        </w:rPr>
      </w:pPr>
      <w:bookmarkStart w:id="340" w:name="_Toc989227"/>
      <w:r>
        <w:rPr>
          <w:rFonts w:ascii="宋体" w:hAnsi="宋体" w:eastAsia="宋体" w:cs="宋体"/>
          <w:b/>
          <w:bCs/>
          <w:sz w:val="21"/>
          <w:szCs w:val="21"/>
        </w:rPr>
        <w:t>（2） 确认为无形资产的数据资源</w:t>
      </w:r>
      <w:bookmarkEnd w:id="340"/>
    </w:p>
    <w:p w14:paraId="730EF9FD">
      <w:pPr>
        <w:spacing w:before="0" w:after="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B70246F">
      <w:pPr>
        <w:keepNext/>
        <w:keepLines/>
        <w:spacing w:before="300" w:after="300" w:line="280" w:lineRule="exact"/>
        <w:jc w:val="left"/>
        <w:outlineLvl w:val="3"/>
        <w:rPr>
          <w:rFonts w:ascii="宋体" w:hAnsi="宋体" w:eastAsia="宋体" w:cs="宋体"/>
          <w:b/>
          <w:bCs/>
          <w:sz w:val="21"/>
          <w:szCs w:val="21"/>
        </w:rPr>
      </w:pPr>
      <w:bookmarkStart w:id="341" w:name="_Toc989228"/>
      <w:r>
        <w:rPr>
          <w:rFonts w:ascii="宋体" w:hAnsi="宋体" w:eastAsia="宋体" w:cs="宋体"/>
          <w:b/>
          <w:bCs/>
          <w:sz w:val="21"/>
          <w:szCs w:val="21"/>
        </w:rPr>
        <w:t>（3） 未办妥产权证书的土地使用权情况</w:t>
      </w:r>
      <w:bookmarkEnd w:id="341"/>
    </w:p>
    <w:p w14:paraId="7DB161B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1EFE6A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AADA8CC">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4B03CC8">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E30E1A4">
            <w:pPr>
              <w:spacing w:before="40" w:after="40" w:line="240" w:lineRule="exact"/>
              <w:jc w:val="center"/>
              <w:rPr>
                <w:rFonts w:ascii="宋体" w:hAnsi="宋体" w:eastAsia="宋体" w:cs="宋体"/>
                <w:sz w:val="18"/>
                <w:szCs w:val="18"/>
              </w:rPr>
            </w:pPr>
            <w:r>
              <w:rPr>
                <w:rFonts w:ascii="宋体" w:hAnsi="宋体" w:eastAsia="宋体" w:cs="宋体"/>
                <w:sz w:val="18"/>
                <w:szCs w:val="18"/>
              </w:rPr>
              <w:t>未办妥产权证书的原因</w:t>
            </w:r>
          </w:p>
        </w:tc>
      </w:tr>
    </w:tbl>
    <w:p w14:paraId="202C8D5A">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E70CFEF">
      <w:pPr>
        <w:keepNext/>
        <w:keepLines/>
        <w:spacing w:before="300" w:after="300" w:line="280" w:lineRule="exact"/>
        <w:jc w:val="left"/>
        <w:outlineLvl w:val="3"/>
        <w:rPr>
          <w:rFonts w:ascii="宋体" w:hAnsi="宋体" w:eastAsia="宋体" w:cs="宋体"/>
          <w:b/>
          <w:bCs/>
          <w:sz w:val="21"/>
          <w:szCs w:val="21"/>
        </w:rPr>
      </w:pPr>
      <w:bookmarkStart w:id="342" w:name="_Toc989229"/>
      <w:r>
        <w:rPr>
          <w:rFonts w:ascii="宋体" w:hAnsi="宋体" w:eastAsia="宋体" w:cs="宋体"/>
          <w:b/>
          <w:bCs/>
          <w:sz w:val="21"/>
          <w:szCs w:val="21"/>
        </w:rPr>
        <w:t>（4） 无形资产的减值测试情况</w:t>
      </w:r>
      <w:bookmarkEnd w:id="342"/>
    </w:p>
    <w:p w14:paraId="48F4C67C">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D79CC54">
      <w:pPr>
        <w:keepNext/>
        <w:keepLines/>
        <w:spacing w:before="300" w:after="300" w:line="280" w:lineRule="exact"/>
        <w:jc w:val="left"/>
        <w:outlineLvl w:val="2"/>
        <w:rPr>
          <w:rFonts w:ascii="宋体" w:hAnsi="宋体" w:eastAsia="宋体" w:cs="宋体"/>
          <w:b/>
          <w:bCs/>
          <w:sz w:val="21"/>
          <w:szCs w:val="21"/>
        </w:rPr>
      </w:pPr>
      <w:bookmarkStart w:id="343" w:name="_Toc989230"/>
      <w:r>
        <w:rPr>
          <w:rFonts w:ascii="宋体" w:hAnsi="宋体" w:eastAsia="宋体" w:cs="宋体"/>
          <w:b/>
          <w:bCs/>
          <w:sz w:val="21"/>
          <w:szCs w:val="21"/>
        </w:rPr>
        <w:t>27、商誉</w:t>
      </w:r>
      <w:bookmarkEnd w:id="343"/>
    </w:p>
    <w:p w14:paraId="4656D6D7">
      <w:pPr>
        <w:keepNext/>
        <w:keepLines/>
        <w:spacing w:before="300" w:after="300" w:line="280" w:lineRule="exact"/>
        <w:jc w:val="left"/>
        <w:outlineLvl w:val="3"/>
        <w:rPr>
          <w:rFonts w:ascii="宋体" w:hAnsi="宋体" w:eastAsia="宋体" w:cs="宋体"/>
          <w:b/>
          <w:bCs/>
          <w:sz w:val="21"/>
          <w:szCs w:val="21"/>
        </w:rPr>
      </w:pPr>
      <w:bookmarkStart w:id="344" w:name="_Toc989231"/>
      <w:r>
        <w:rPr>
          <w:rFonts w:ascii="宋体" w:hAnsi="宋体" w:eastAsia="宋体" w:cs="宋体"/>
          <w:b/>
          <w:bCs/>
          <w:sz w:val="21"/>
          <w:szCs w:val="21"/>
        </w:rPr>
        <w:t>（1） 商誉账面原值</w:t>
      </w:r>
      <w:bookmarkEnd w:id="344"/>
    </w:p>
    <w:p w14:paraId="6B9537B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0163FB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39F79DF">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被投资单位名称或形成商誉的事项</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A717238">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0268F37">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7EE00A4">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D844193">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6DCB25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vAlign w:val="center"/>
          </w:tcPr>
          <w:p w14:paraId="766B767A"/>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6F91F96"/>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5F177A9">
            <w:pPr>
              <w:spacing w:before="40" w:after="40" w:line="240" w:lineRule="exact"/>
              <w:jc w:val="center"/>
              <w:rPr>
                <w:rFonts w:ascii="宋体" w:hAnsi="宋体" w:eastAsia="宋体" w:cs="宋体"/>
                <w:sz w:val="18"/>
                <w:szCs w:val="18"/>
              </w:rPr>
            </w:pPr>
            <w:r>
              <w:rPr>
                <w:rFonts w:ascii="宋体" w:hAnsi="宋体" w:eastAsia="宋体" w:cs="宋体"/>
                <w:sz w:val="18"/>
                <w:szCs w:val="18"/>
              </w:rPr>
              <w:t>企业合并形成的</w:t>
            </w:r>
          </w:p>
        </w:tc>
        <w:tc>
          <w:tcPr>
            <w:tcW w:w="1377" w:type="dxa"/>
            <w:tcBorders>
              <w:top w:val="single" w:color="auto" w:sz="2" w:space="0"/>
              <w:left w:val="single" w:color="auto" w:sz="2" w:space="0"/>
              <w:bottom w:val="single" w:color="auto" w:sz="2" w:space="0"/>
              <w:right w:val="single" w:color="auto" w:sz="2" w:space="0"/>
            </w:tcBorders>
            <w:vAlign w:val="center"/>
          </w:tcPr>
          <w:p w14:paraId="371E829D">
            <w:pPr>
              <w:spacing w:before="0" w:after="0" w:line="240" w:lineRule="exact"/>
              <w:jc w:val="center"/>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6873DB2">
            <w:pPr>
              <w:spacing w:before="40" w:after="40" w:line="240" w:lineRule="exact"/>
              <w:jc w:val="center"/>
              <w:rPr>
                <w:rFonts w:ascii="宋体" w:hAnsi="宋体" w:eastAsia="宋体" w:cs="宋体"/>
                <w:sz w:val="18"/>
                <w:szCs w:val="18"/>
              </w:rPr>
            </w:pPr>
            <w:r>
              <w:rPr>
                <w:rFonts w:ascii="宋体" w:hAnsi="宋体" w:eastAsia="宋体" w:cs="宋体"/>
                <w:sz w:val="18"/>
                <w:szCs w:val="18"/>
              </w:rPr>
              <w:t>处置</w:t>
            </w:r>
          </w:p>
        </w:tc>
        <w:tc>
          <w:tcPr>
            <w:tcW w:w="1377" w:type="dxa"/>
            <w:tcBorders>
              <w:top w:val="single" w:color="auto" w:sz="2" w:space="0"/>
              <w:left w:val="single" w:color="auto" w:sz="2" w:space="0"/>
              <w:bottom w:val="single" w:color="auto" w:sz="2" w:space="0"/>
              <w:right w:val="single" w:color="auto" w:sz="2" w:space="0"/>
            </w:tcBorders>
            <w:vAlign w:val="center"/>
          </w:tcPr>
          <w:p w14:paraId="1F94314A">
            <w:pPr>
              <w:spacing w:before="0" w:after="0" w:line="240" w:lineRule="exact"/>
              <w:jc w:val="center"/>
              <w:rPr>
                <w:rFonts w:ascii="宋体" w:hAnsi="宋体" w:eastAsia="宋体" w:cs="宋体"/>
                <w:sz w:val="18"/>
                <w:szCs w:val="18"/>
              </w:rPr>
            </w:pP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E053A93"/>
        </w:tc>
      </w:tr>
      <w:tr w14:paraId="059B2C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2A0DC5BA">
            <w:pPr>
              <w:spacing w:before="0" w:after="0" w:line="240" w:lineRule="exact"/>
              <w:jc w:val="left"/>
              <w:rPr>
                <w:rFonts w:ascii="宋体" w:hAnsi="宋体" w:eastAsia="宋体" w:cs="宋体"/>
                <w:sz w:val="18"/>
                <w:szCs w:val="18"/>
              </w:rPr>
            </w:pPr>
            <w:r>
              <w:rPr>
                <w:rFonts w:ascii="宋体" w:hAnsi="宋体" w:eastAsia="宋体" w:cs="宋体"/>
                <w:sz w:val="18"/>
                <w:szCs w:val="18"/>
              </w:rPr>
              <w:t>江苏中兴药业有限公司</w:t>
            </w:r>
          </w:p>
        </w:tc>
        <w:tc>
          <w:tcPr>
            <w:tcW w:w="1377" w:type="dxa"/>
            <w:tcBorders>
              <w:top w:val="single" w:color="auto" w:sz="2" w:space="0"/>
              <w:left w:val="single" w:color="auto" w:sz="2" w:space="0"/>
              <w:bottom w:val="single" w:color="auto" w:sz="2" w:space="0"/>
              <w:right w:val="single" w:color="auto" w:sz="2" w:space="0"/>
            </w:tcBorders>
            <w:vAlign w:val="center"/>
          </w:tcPr>
          <w:p w14:paraId="22E7F6A5">
            <w:pPr>
              <w:spacing w:before="0" w:after="0" w:line="240" w:lineRule="exact"/>
              <w:jc w:val="right"/>
              <w:rPr>
                <w:rFonts w:ascii="宋体" w:hAnsi="宋体" w:eastAsia="宋体" w:cs="宋体"/>
                <w:sz w:val="18"/>
                <w:szCs w:val="18"/>
              </w:rPr>
            </w:pPr>
            <w:r>
              <w:rPr>
                <w:rFonts w:ascii="宋体" w:hAnsi="宋体" w:eastAsia="宋体" w:cs="宋体"/>
                <w:sz w:val="18"/>
                <w:szCs w:val="18"/>
              </w:rPr>
              <w:t>58,968,390.42</w:t>
            </w:r>
          </w:p>
        </w:tc>
        <w:tc>
          <w:tcPr>
            <w:tcW w:w="1377" w:type="dxa"/>
            <w:tcBorders>
              <w:top w:val="single" w:color="auto" w:sz="2" w:space="0"/>
              <w:left w:val="single" w:color="auto" w:sz="2" w:space="0"/>
              <w:bottom w:val="single" w:color="auto" w:sz="2" w:space="0"/>
              <w:right w:val="single" w:color="auto" w:sz="2" w:space="0"/>
            </w:tcBorders>
            <w:vAlign w:val="center"/>
          </w:tcPr>
          <w:p w14:paraId="5319060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CF508B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6ED9C4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09A6F6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CBD7B92">
            <w:pPr>
              <w:spacing w:before="0" w:after="0" w:line="240" w:lineRule="exact"/>
              <w:jc w:val="right"/>
              <w:rPr>
                <w:rFonts w:ascii="宋体" w:hAnsi="宋体" w:eastAsia="宋体" w:cs="宋体"/>
                <w:sz w:val="18"/>
                <w:szCs w:val="18"/>
              </w:rPr>
            </w:pPr>
            <w:r>
              <w:rPr>
                <w:rFonts w:ascii="宋体" w:hAnsi="宋体" w:eastAsia="宋体" w:cs="宋体"/>
                <w:sz w:val="18"/>
                <w:szCs w:val="18"/>
              </w:rPr>
              <w:t>58,968,390.42</w:t>
            </w:r>
          </w:p>
        </w:tc>
      </w:tr>
      <w:tr w14:paraId="140433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0192FC2">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4F5C4A7E">
            <w:pPr>
              <w:spacing w:before="0" w:after="0" w:line="240" w:lineRule="exact"/>
              <w:jc w:val="right"/>
              <w:rPr>
                <w:rFonts w:ascii="宋体" w:hAnsi="宋体" w:eastAsia="宋体" w:cs="宋体"/>
                <w:sz w:val="18"/>
                <w:szCs w:val="18"/>
              </w:rPr>
            </w:pPr>
            <w:r>
              <w:rPr>
                <w:rFonts w:ascii="宋体" w:hAnsi="宋体" w:eastAsia="宋体" w:cs="宋体"/>
                <w:sz w:val="18"/>
                <w:szCs w:val="18"/>
              </w:rPr>
              <w:t>58,968,390.42</w:t>
            </w:r>
          </w:p>
        </w:tc>
        <w:tc>
          <w:tcPr>
            <w:tcW w:w="1377" w:type="dxa"/>
            <w:tcBorders>
              <w:top w:val="single" w:color="auto" w:sz="2" w:space="0"/>
              <w:left w:val="single" w:color="auto" w:sz="2" w:space="0"/>
              <w:bottom w:val="single" w:color="auto" w:sz="2" w:space="0"/>
              <w:right w:val="single" w:color="auto" w:sz="2" w:space="0"/>
            </w:tcBorders>
            <w:vAlign w:val="center"/>
          </w:tcPr>
          <w:p w14:paraId="515B566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975B8A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7FFC7A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FA71B7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5C1409A">
            <w:pPr>
              <w:spacing w:before="0" w:after="0" w:line="240" w:lineRule="exact"/>
              <w:jc w:val="right"/>
              <w:rPr>
                <w:rFonts w:ascii="宋体" w:hAnsi="宋体" w:eastAsia="宋体" w:cs="宋体"/>
                <w:sz w:val="18"/>
                <w:szCs w:val="18"/>
              </w:rPr>
            </w:pPr>
            <w:r>
              <w:rPr>
                <w:rFonts w:ascii="宋体" w:hAnsi="宋体" w:eastAsia="宋体" w:cs="宋体"/>
                <w:sz w:val="18"/>
                <w:szCs w:val="18"/>
              </w:rPr>
              <w:t>58,968,390.42</w:t>
            </w:r>
          </w:p>
        </w:tc>
      </w:tr>
    </w:tbl>
    <w:p w14:paraId="13D7F882">
      <w:pPr>
        <w:keepNext/>
        <w:keepLines/>
        <w:spacing w:before="300" w:after="300" w:line="280" w:lineRule="exact"/>
        <w:jc w:val="left"/>
        <w:outlineLvl w:val="3"/>
        <w:rPr>
          <w:rFonts w:ascii="宋体" w:hAnsi="宋体" w:eastAsia="宋体" w:cs="宋体"/>
          <w:b/>
          <w:bCs/>
          <w:sz w:val="21"/>
          <w:szCs w:val="21"/>
        </w:rPr>
      </w:pPr>
      <w:bookmarkStart w:id="345" w:name="_Toc989232"/>
      <w:r>
        <w:rPr>
          <w:rFonts w:ascii="宋体" w:hAnsi="宋体" w:eastAsia="宋体" w:cs="宋体"/>
          <w:b/>
          <w:bCs/>
          <w:sz w:val="21"/>
          <w:szCs w:val="21"/>
        </w:rPr>
        <w:t>（2） 商誉减值准备</w:t>
      </w:r>
      <w:bookmarkEnd w:id="345"/>
    </w:p>
    <w:p w14:paraId="506AD8F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151062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C13DEA1">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被投资单位名称或形成商誉的事项</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DA69CF3">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0FB6B7F">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4F3CD7E">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A0FDA60">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6F1278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vAlign w:val="center"/>
          </w:tcPr>
          <w:p w14:paraId="6301306B"/>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22E41FC"/>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4211DC8">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vAlign w:val="center"/>
          </w:tcPr>
          <w:p w14:paraId="3BF48A00">
            <w:pPr>
              <w:spacing w:before="0" w:after="0" w:line="240" w:lineRule="exact"/>
              <w:jc w:val="center"/>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B40D2E8">
            <w:pPr>
              <w:spacing w:before="40" w:after="40" w:line="240" w:lineRule="exact"/>
              <w:jc w:val="center"/>
              <w:rPr>
                <w:rFonts w:ascii="宋体" w:hAnsi="宋体" w:eastAsia="宋体" w:cs="宋体"/>
                <w:sz w:val="18"/>
                <w:szCs w:val="18"/>
              </w:rPr>
            </w:pPr>
            <w:r>
              <w:rPr>
                <w:rFonts w:ascii="宋体" w:hAnsi="宋体" w:eastAsia="宋体" w:cs="宋体"/>
                <w:sz w:val="18"/>
                <w:szCs w:val="18"/>
              </w:rPr>
              <w:t>处置</w:t>
            </w:r>
          </w:p>
        </w:tc>
        <w:tc>
          <w:tcPr>
            <w:tcW w:w="1377" w:type="dxa"/>
            <w:tcBorders>
              <w:top w:val="single" w:color="auto" w:sz="2" w:space="0"/>
              <w:left w:val="single" w:color="auto" w:sz="2" w:space="0"/>
              <w:bottom w:val="single" w:color="auto" w:sz="2" w:space="0"/>
              <w:right w:val="single" w:color="auto" w:sz="2" w:space="0"/>
            </w:tcBorders>
            <w:vAlign w:val="center"/>
          </w:tcPr>
          <w:p w14:paraId="731D26B9">
            <w:pPr>
              <w:spacing w:before="0" w:after="0" w:line="240" w:lineRule="exact"/>
              <w:jc w:val="center"/>
              <w:rPr>
                <w:rFonts w:ascii="宋体" w:hAnsi="宋体" w:eastAsia="宋体" w:cs="宋体"/>
                <w:sz w:val="18"/>
                <w:szCs w:val="18"/>
              </w:rPr>
            </w:pP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0FEF5F6"/>
        </w:tc>
      </w:tr>
      <w:tr w14:paraId="007E7D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1398ED5">
            <w:pPr>
              <w:spacing w:before="0" w:after="0" w:line="240" w:lineRule="exact"/>
              <w:jc w:val="lef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5DC3B6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16D4F2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B37F82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D74F27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3EA2AF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500E20B">
            <w:pPr>
              <w:spacing w:before="0" w:after="0" w:line="240" w:lineRule="exact"/>
              <w:jc w:val="right"/>
              <w:rPr>
                <w:rFonts w:ascii="宋体" w:hAnsi="宋体" w:eastAsia="宋体" w:cs="宋体"/>
                <w:sz w:val="18"/>
                <w:szCs w:val="18"/>
              </w:rPr>
            </w:pPr>
          </w:p>
        </w:tc>
      </w:tr>
      <w:tr w14:paraId="2403CF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3B561DB">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74BDA22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07C840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0715F5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74CD93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BB6723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FEE49F5">
            <w:pPr>
              <w:spacing w:before="0" w:after="0" w:line="240" w:lineRule="exact"/>
              <w:jc w:val="right"/>
              <w:rPr>
                <w:rFonts w:ascii="宋体" w:hAnsi="宋体" w:eastAsia="宋体" w:cs="宋体"/>
                <w:sz w:val="18"/>
                <w:szCs w:val="18"/>
              </w:rPr>
            </w:pPr>
          </w:p>
        </w:tc>
      </w:tr>
    </w:tbl>
    <w:p w14:paraId="68FBEFC0">
      <w:pPr>
        <w:keepNext/>
        <w:keepLines/>
        <w:spacing w:before="300" w:after="300" w:line="280" w:lineRule="exact"/>
        <w:jc w:val="left"/>
        <w:outlineLvl w:val="3"/>
        <w:rPr>
          <w:rFonts w:ascii="宋体" w:hAnsi="宋体" w:eastAsia="宋体" w:cs="宋体"/>
          <w:b/>
          <w:bCs/>
          <w:sz w:val="21"/>
          <w:szCs w:val="21"/>
        </w:rPr>
      </w:pPr>
      <w:bookmarkStart w:id="346" w:name="_Toc989233"/>
      <w:r>
        <w:rPr>
          <w:rFonts w:ascii="宋体" w:hAnsi="宋体" w:eastAsia="宋体" w:cs="宋体"/>
          <w:b/>
          <w:bCs/>
          <w:sz w:val="21"/>
          <w:szCs w:val="21"/>
        </w:rPr>
        <w:t>（3） 商誉所在资产组或资产组组合的相关信息</w:t>
      </w:r>
      <w:bookmarkEnd w:id="346"/>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5B2F1F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46A3AB5">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6447C16">
            <w:pPr>
              <w:spacing w:before="40" w:after="40" w:line="240" w:lineRule="exact"/>
              <w:jc w:val="center"/>
              <w:rPr>
                <w:rFonts w:ascii="宋体" w:hAnsi="宋体" w:eastAsia="宋体" w:cs="宋体"/>
                <w:sz w:val="18"/>
                <w:szCs w:val="18"/>
              </w:rPr>
            </w:pPr>
            <w:r>
              <w:rPr>
                <w:rFonts w:ascii="宋体" w:hAnsi="宋体" w:eastAsia="宋体" w:cs="宋体"/>
                <w:sz w:val="18"/>
                <w:szCs w:val="18"/>
              </w:rPr>
              <w:t>所属资产组或组合的构成及依据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E14D8EB">
            <w:pPr>
              <w:spacing w:before="40" w:after="40" w:line="240" w:lineRule="exact"/>
              <w:jc w:val="center"/>
              <w:rPr>
                <w:rFonts w:ascii="宋体" w:hAnsi="宋体" w:eastAsia="宋体" w:cs="宋体"/>
                <w:sz w:val="18"/>
                <w:szCs w:val="18"/>
              </w:rPr>
            </w:pPr>
            <w:r>
              <w:rPr>
                <w:rFonts w:ascii="宋体" w:hAnsi="宋体" w:eastAsia="宋体" w:cs="宋体"/>
                <w:sz w:val="18"/>
                <w:szCs w:val="18"/>
              </w:rPr>
              <w:t>所属经营分部及依据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E4D90E6">
            <w:pPr>
              <w:spacing w:before="40" w:after="40" w:line="240" w:lineRule="exact"/>
              <w:jc w:val="center"/>
              <w:rPr>
                <w:rFonts w:ascii="宋体" w:hAnsi="宋体" w:eastAsia="宋体" w:cs="宋体"/>
                <w:sz w:val="18"/>
                <w:szCs w:val="18"/>
              </w:rPr>
            </w:pPr>
            <w:r>
              <w:rPr>
                <w:rFonts w:ascii="宋体" w:hAnsi="宋体" w:eastAsia="宋体" w:cs="宋体"/>
                <w:sz w:val="18"/>
                <w:szCs w:val="18"/>
              </w:rPr>
              <w:t>是否与以前年度保持一致</w:t>
            </w:r>
          </w:p>
        </w:tc>
      </w:tr>
    </w:tbl>
    <w:p w14:paraId="3147B632">
      <w:pPr>
        <w:spacing w:before="100" w:after="100" w:line="240" w:lineRule="exact"/>
        <w:jc w:val="left"/>
        <w:rPr>
          <w:rFonts w:ascii="宋体" w:hAnsi="宋体" w:eastAsia="宋体" w:cs="宋体"/>
          <w:sz w:val="18"/>
          <w:szCs w:val="18"/>
        </w:rPr>
      </w:pPr>
      <w:r>
        <w:rPr>
          <w:rFonts w:ascii="宋体" w:hAnsi="宋体" w:eastAsia="宋体" w:cs="宋体"/>
          <w:sz w:val="18"/>
          <w:szCs w:val="18"/>
        </w:rPr>
        <w:t>资产组或资产组组合发生变化</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0B555A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E60AD22">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0E67D6F">
            <w:pPr>
              <w:spacing w:before="40" w:after="40" w:line="240" w:lineRule="exact"/>
              <w:jc w:val="center"/>
              <w:rPr>
                <w:rFonts w:ascii="宋体" w:hAnsi="宋体" w:eastAsia="宋体" w:cs="宋体"/>
                <w:sz w:val="18"/>
                <w:szCs w:val="18"/>
              </w:rPr>
            </w:pPr>
            <w:r>
              <w:rPr>
                <w:rFonts w:ascii="宋体" w:hAnsi="宋体" w:eastAsia="宋体" w:cs="宋体"/>
                <w:sz w:val="18"/>
                <w:szCs w:val="18"/>
              </w:rPr>
              <w:t>变化前的构成</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D00B5F2">
            <w:pPr>
              <w:spacing w:before="40" w:after="40" w:line="240" w:lineRule="exact"/>
              <w:jc w:val="center"/>
              <w:rPr>
                <w:rFonts w:ascii="宋体" w:hAnsi="宋体" w:eastAsia="宋体" w:cs="宋体"/>
                <w:sz w:val="18"/>
                <w:szCs w:val="18"/>
              </w:rPr>
            </w:pPr>
            <w:r>
              <w:rPr>
                <w:rFonts w:ascii="宋体" w:hAnsi="宋体" w:eastAsia="宋体" w:cs="宋体"/>
                <w:sz w:val="18"/>
                <w:szCs w:val="18"/>
              </w:rPr>
              <w:t>变化后的构成</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766DFDF">
            <w:pPr>
              <w:spacing w:before="40" w:after="40" w:line="240" w:lineRule="exact"/>
              <w:jc w:val="center"/>
              <w:rPr>
                <w:rFonts w:ascii="宋体" w:hAnsi="宋体" w:eastAsia="宋体" w:cs="宋体"/>
                <w:sz w:val="18"/>
                <w:szCs w:val="18"/>
              </w:rPr>
            </w:pPr>
            <w:r>
              <w:rPr>
                <w:rFonts w:ascii="宋体" w:hAnsi="宋体" w:eastAsia="宋体" w:cs="宋体"/>
                <w:sz w:val="18"/>
                <w:szCs w:val="18"/>
              </w:rPr>
              <w:t>导致变化的客观事实及依据</w:t>
            </w:r>
          </w:p>
        </w:tc>
      </w:tr>
    </w:tbl>
    <w:p w14:paraId="5DB7F050">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91B545E">
      <w:pPr>
        <w:pStyle w:val="2"/>
        <w:keepNext w:val="0"/>
        <w:keepLines w:val="0"/>
        <w:widowControl/>
        <w:suppressLineNumbers w:val="0"/>
        <w:spacing w:before="0" w:beforeAutospacing="0" w:after="0" w:afterAutospacing="0" w:line="360" w:lineRule="auto"/>
        <w:ind w:left="0" w:right="0"/>
        <w:jc w:val="both"/>
        <w:rPr>
          <w:rFonts w:hint="eastAsia" w:ascii="宋体" w:hAnsi="宋体" w:eastAsia="宋体" w:cs="宋体"/>
          <w:sz w:val="21"/>
          <w:szCs w:val="21"/>
        </w:rPr>
      </w:pPr>
      <w:r>
        <w:rPr>
          <w:rFonts w:hint="eastAsia" w:ascii="宋体" w:hAnsi="宋体" w:eastAsia="宋体" w:cs="宋体"/>
          <w:sz w:val="21"/>
          <w:szCs w:val="21"/>
        </w:rPr>
        <w:t>本公司将江苏中兴药业有限公司的经营性资产作为以上因收购产生的商誉所在的资产组，纳入商誉所在资产组范围的资产的账面价值为</w:t>
      </w:r>
      <w:r>
        <w:rPr>
          <w:rFonts w:hint="eastAsia" w:ascii="宋体" w:hAnsi="宋体" w:eastAsia="宋体" w:cs="宋体"/>
          <w:color w:val="FF0000"/>
          <w:sz w:val="21"/>
          <w:szCs w:val="21"/>
        </w:rPr>
        <w:t>14,548.23万元。</w:t>
      </w:r>
    </w:p>
    <w:p w14:paraId="3364E82B">
      <w:pPr>
        <w:pStyle w:val="2"/>
        <w:keepNext w:val="0"/>
        <w:keepLines w:val="0"/>
        <w:widowControl/>
        <w:suppressLineNumbers w:val="0"/>
        <w:spacing w:before="0" w:beforeAutospacing="0" w:after="0" w:afterAutospacing="0" w:line="360" w:lineRule="auto"/>
        <w:ind w:left="0" w:right="0"/>
        <w:jc w:val="both"/>
        <w:rPr>
          <w:rFonts w:hint="eastAsia" w:ascii="宋体" w:hAnsi="宋体" w:eastAsia="宋体" w:cs="宋体"/>
          <w:sz w:val="21"/>
          <w:szCs w:val="21"/>
        </w:rPr>
      </w:pPr>
      <w:r>
        <w:rPr>
          <w:rFonts w:hint="eastAsia" w:ascii="宋体" w:hAnsi="宋体" w:eastAsia="宋体" w:cs="宋体"/>
          <w:color w:val="FF0000"/>
          <w:sz w:val="21"/>
          <w:szCs w:val="21"/>
        </w:rPr>
        <w:t>   </w:t>
      </w:r>
      <w:r>
        <w:rPr>
          <w:rFonts w:hint="eastAsia" w:ascii="宋体" w:hAnsi="宋体" w:eastAsia="宋体" w:cs="宋体"/>
          <w:color w:val="000000"/>
          <w:sz w:val="21"/>
          <w:szCs w:val="21"/>
        </w:rPr>
        <w:t>商誉减值测试过程、关键参数及商誉减值损失的确认方法:</w:t>
      </w:r>
    </w:p>
    <w:p w14:paraId="4F80E3EF">
      <w:pPr>
        <w:pStyle w:val="2"/>
        <w:keepNext w:val="0"/>
        <w:keepLines w:val="0"/>
        <w:widowControl/>
        <w:suppressLineNumbers w:val="0"/>
        <w:spacing w:before="0" w:beforeAutospacing="0" w:after="0" w:afterAutospacing="0" w:line="360" w:lineRule="auto"/>
        <w:ind w:left="0" w:right="0"/>
        <w:jc w:val="both"/>
        <w:rPr>
          <w:rFonts w:hint="eastAsia" w:ascii="宋体" w:hAnsi="宋体" w:eastAsia="宋体" w:cs="宋体"/>
          <w:sz w:val="21"/>
          <w:szCs w:val="21"/>
        </w:rPr>
      </w:pPr>
      <w:r>
        <w:rPr>
          <w:rFonts w:hint="eastAsia" w:ascii="宋体" w:hAnsi="宋体" w:eastAsia="宋体" w:cs="宋体"/>
          <w:sz w:val="21"/>
          <w:szCs w:val="21"/>
        </w:rPr>
        <w:t> </w:t>
      </w:r>
    </w:p>
    <w:p w14:paraId="7CA8D8EE">
      <w:pPr>
        <w:pStyle w:val="2"/>
        <w:keepNext w:val="0"/>
        <w:keepLines w:val="0"/>
        <w:widowControl/>
        <w:suppressLineNumbers w:val="0"/>
        <w:spacing w:before="0" w:beforeAutospacing="0" w:after="0" w:afterAutospacing="0" w:line="360" w:lineRule="auto"/>
        <w:ind w:left="0" w:right="0" w:firstLine="416"/>
        <w:jc w:val="both"/>
        <w:rPr>
          <w:rFonts w:hint="eastAsia" w:ascii="宋体" w:hAnsi="宋体" w:eastAsia="宋体" w:cs="宋体"/>
          <w:sz w:val="21"/>
          <w:szCs w:val="21"/>
        </w:rPr>
      </w:pPr>
      <w:r>
        <w:rPr>
          <w:rFonts w:hint="eastAsia" w:ascii="宋体" w:hAnsi="宋体" w:eastAsia="宋体" w:cs="宋体"/>
          <w:sz w:val="21"/>
          <w:szCs w:val="21"/>
        </w:rPr>
        <w:t>本公司将江苏中兴药业有限公司整体资产作为一个资产组，年末对收购江苏中兴公司形成的商誉进行减值测算的依据是北京中企华资产评估有限责任公司于</w:t>
      </w:r>
      <w:r>
        <w:rPr>
          <w:rFonts w:hint="eastAsia" w:ascii="宋体" w:hAnsi="宋体" w:eastAsia="宋体" w:cs="宋体"/>
          <w:color w:val="FF0000"/>
          <w:sz w:val="21"/>
          <w:szCs w:val="21"/>
        </w:rPr>
        <w:t>2025年4月15日出具的中企华评报字(2025)第6220号《评估报告》。</w:t>
      </w:r>
      <w:r>
        <w:rPr>
          <w:rFonts w:hint="eastAsia" w:ascii="宋体" w:hAnsi="宋体" w:eastAsia="宋体" w:cs="宋体"/>
          <w:sz w:val="21"/>
          <w:szCs w:val="21"/>
        </w:rPr>
        <w:t>对商誉相关资产组的可回收金额采用资产组预计未来现金流量的现值确定。主要假设和参数如下：</w:t>
      </w:r>
    </w:p>
    <w:p w14:paraId="75D28A6F">
      <w:pPr>
        <w:pStyle w:val="2"/>
        <w:keepNext w:val="0"/>
        <w:keepLines w:val="0"/>
        <w:widowControl/>
        <w:suppressLineNumbers w:val="0"/>
        <w:spacing w:before="0" w:beforeAutospacing="0" w:after="0" w:afterAutospacing="0" w:line="360" w:lineRule="auto"/>
        <w:ind w:left="0" w:right="0" w:firstLine="416"/>
        <w:jc w:val="both"/>
        <w:rPr>
          <w:rFonts w:hint="eastAsia" w:ascii="宋体" w:hAnsi="宋体" w:eastAsia="宋体" w:cs="宋体"/>
          <w:sz w:val="21"/>
          <w:szCs w:val="21"/>
        </w:rPr>
      </w:pPr>
      <w:r>
        <w:rPr>
          <w:rFonts w:hint="eastAsia" w:ascii="宋体" w:hAnsi="宋体" w:eastAsia="宋体" w:cs="宋体"/>
          <w:sz w:val="21"/>
          <w:szCs w:val="21"/>
        </w:rPr>
        <w:t>（1）重要假设及依据</w:t>
      </w:r>
    </w:p>
    <w:p w14:paraId="617B8E7F">
      <w:pPr>
        <w:pStyle w:val="2"/>
        <w:keepNext w:val="0"/>
        <w:keepLines w:val="0"/>
        <w:widowControl/>
        <w:suppressLineNumbers w:val="0"/>
        <w:spacing w:before="0" w:beforeAutospacing="0" w:after="0" w:afterAutospacing="0" w:line="360" w:lineRule="auto"/>
        <w:ind w:left="0" w:right="0" w:firstLine="416"/>
        <w:jc w:val="both"/>
        <w:rPr>
          <w:rFonts w:hint="eastAsia" w:ascii="宋体" w:hAnsi="宋体" w:eastAsia="宋体" w:cs="宋体"/>
          <w:sz w:val="21"/>
          <w:szCs w:val="21"/>
        </w:rPr>
      </w:pPr>
      <w:r>
        <w:rPr>
          <w:rFonts w:hint="eastAsia" w:ascii="宋体" w:hAnsi="宋体" w:eastAsia="宋体" w:cs="宋体"/>
          <w:sz w:val="21"/>
          <w:szCs w:val="21"/>
        </w:rPr>
        <w:t>①假设评估基准日后有关的国家宏观经济政策、产业政策和区域发展政策无重大变化；</w:t>
      </w:r>
    </w:p>
    <w:p w14:paraId="0B82D80E">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②假设和被评估单位相关的利率、汇率、赋税基准及税率、政策性征收费用等评估基准日后不发生重大变化；</w:t>
      </w:r>
    </w:p>
    <w:p w14:paraId="4581BE2F">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③假设评估基准日后被评估资产组的现金流入为平均流入，现金流出为平均流出；</w:t>
      </w:r>
    </w:p>
    <w:p w14:paraId="042F5BC9">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④假设评估基准日后产权持有单位采用的会计政策和编写本评估报告时所采用的会计政策在重要方面保持一致；</w:t>
      </w:r>
    </w:p>
    <w:p w14:paraId="60EB1839">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⑤假设评估基准日后产权持有单位在现有管理方式和管理水平的基础上，经营范围、方式与目前保持一致及假设评估基准日后无不可抗力造成的重大影响。</w:t>
      </w:r>
    </w:p>
    <w:p w14:paraId="13E554E7">
      <w:pPr>
        <w:pStyle w:val="2"/>
        <w:keepNext w:val="0"/>
        <w:keepLines w:val="0"/>
        <w:widowControl/>
        <w:suppressLineNumbers w:val="0"/>
        <w:spacing w:before="0" w:beforeAutospacing="0" w:after="0" w:afterAutospacing="0" w:line="360" w:lineRule="auto"/>
        <w:ind w:left="0" w:right="0" w:firstLine="416"/>
        <w:jc w:val="both"/>
        <w:rPr>
          <w:rFonts w:hint="eastAsia" w:ascii="宋体" w:hAnsi="宋体" w:eastAsia="宋体" w:cs="宋体"/>
          <w:sz w:val="21"/>
          <w:szCs w:val="21"/>
        </w:rPr>
      </w:pPr>
      <w:r>
        <w:rPr>
          <w:rFonts w:hint="eastAsia" w:ascii="宋体" w:hAnsi="宋体" w:eastAsia="宋体" w:cs="宋体"/>
          <w:sz w:val="21"/>
          <w:szCs w:val="21"/>
        </w:rPr>
        <w:t>（2）关键参数</w:t>
      </w:r>
    </w:p>
    <w:tbl>
      <w:tblPr>
        <w:tblStyle w:val="3"/>
        <w:tblW w:w="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52"/>
        <w:gridCol w:w="1702"/>
        <w:gridCol w:w="1217"/>
        <w:gridCol w:w="1630"/>
        <w:gridCol w:w="1628"/>
      </w:tblGrid>
      <w:tr w14:paraId="04C31BB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5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7A4A46A">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被投资单位名称或形成商誉的事项</w:t>
            </w:r>
          </w:p>
        </w:tc>
        <w:tc>
          <w:tcPr>
            <w:tcW w:w="6176" w:type="dxa"/>
            <w:gridSpan w:val="4"/>
            <w:tcBorders>
              <w:top w:val="single" w:color="auto" w:sz="8" w:space="0"/>
              <w:left w:val="nil"/>
              <w:bottom w:val="single" w:color="auto" w:sz="8" w:space="0"/>
              <w:right w:val="single" w:color="auto" w:sz="8" w:space="0"/>
            </w:tcBorders>
            <w:shd w:val="clear" w:color="auto" w:fill="auto"/>
            <w:vAlign w:val="center"/>
          </w:tcPr>
          <w:p w14:paraId="7722B378">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关键参数</w:t>
            </w:r>
          </w:p>
        </w:tc>
      </w:tr>
      <w:tr w14:paraId="717556A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79" w:hRule="atLeast"/>
        </w:trPr>
        <w:tc>
          <w:tcPr>
            <w:tcW w:w="215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689F97C">
            <w:pPr>
              <w:rPr>
                <w:rFonts w:hint="eastAsia" w:ascii="宋体"/>
                <w:sz w:val="24"/>
                <w:szCs w:val="24"/>
              </w:rPr>
            </w:pPr>
          </w:p>
        </w:tc>
        <w:tc>
          <w:tcPr>
            <w:tcW w:w="1702" w:type="dxa"/>
            <w:tcBorders>
              <w:top w:val="nil"/>
              <w:left w:val="single" w:color="auto" w:sz="8" w:space="0"/>
              <w:bottom w:val="single" w:color="auto" w:sz="8" w:space="0"/>
              <w:right w:val="single" w:color="auto" w:sz="8" w:space="0"/>
            </w:tcBorders>
            <w:shd w:val="clear" w:color="auto" w:fill="auto"/>
            <w:vAlign w:val="center"/>
          </w:tcPr>
          <w:p w14:paraId="2F81C2C3">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预测期</w:t>
            </w:r>
          </w:p>
        </w:tc>
        <w:tc>
          <w:tcPr>
            <w:tcW w:w="1217" w:type="dxa"/>
            <w:tcBorders>
              <w:top w:val="nil"/>
              <w:left w:val="nil"/>
              <w:bottom w:val="single" w:color="auto" w:sz="8" w:space="0"/>
              <w:right w:val="single" w:color="auto" w:sz="8" w:space="0"/>
            </w:tcBorders>
            <w:shd w:val="clear" w:color="auto" w:fill="auto"/>
            <w:vAlign w:val="center"/>
          </w:tcPr>
          <w:p w14:paraId="244D5FFF">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预测期收入增长率</w:t>
            </w:r>
          </w:p>
        </w:tc>
        <w:tc>
          <w:tcPr>
            <w:tcW w:w="1630" w:type="dxa"/>
            <w:tcBorders>
              <w:top w:val="nil"/>
              <w:left w:val="nil"/>
              <w:bottom w:val="single" w:color="auto" w:sz="8" w:space="0"/>
              <w:right w:val="single" w:color="auto" w:sz="8" w:space="0"/>
            </w:tcBorders>
            <w:shd w:val="clear" w:color="auto" w:fill="auto"/>
            <w:vAlign w:val="center"/>
          </w:tcPr>
          <w:p w14:paraId="45404D47">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稳定期收入增长率</w:t>
            </w:r>
          </w:p>
        </w:tc>
        <w:tc>
          <w:tcPr>
            <w:tcW w:w="1628" w:type="dxa"/>
            <w:tcBorders>
              <w:top w:val="nil"/>
              <w:left w:val="nil"/>
              <w:bottom w:val="single" w:color="auto" w:sz="8" w:space="0"/>
              <w:right w:val="single" w:color="auto" w:sz="8" w:space="0"/>
            </w:tcBorders>
            <w:shd w:val="clear" w:color="auto" w:fill="auto"/>
            <w:vAlign w:val="center"/>
          </w:tcPr>
          <w:p w14:paraId="6D2F0164">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折现率（加权平均资本成本WACC）</w:t>
            </w:r>
          </w:p>
        </w:tc>
      </w:tr>
      <w:tr w14:paraId="367811D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79" w:hRule="atLeast"/>
        </w:trPr>
        <w:tc>
          <w:tcPr>
            <w:tcW w:w="2152" w:type="dxa"/>
            <w:tcBorders>
              <w:top w:val="nil"/>
              <w:left w:val="single" w:color="auto" w:sz="8" w:space="0"/>
              <w:bottom w:val="single" w:color="auto" w:sz="8" w:space="0"/>
              <w:right w:val="single" w:color="auto" w:sz="8" w:space="0"/>
            </w:tcBorders>
            <w:shd w:val="clear" w:color="auto" w:fill="auto"/>
            <w:vAlign w:val="center"/>
          </w:tcPr>
          <w:p w14:paraId="338ED30D">
            <w:pPr>
              <w:pStyle w:val="2"/>
              <w:keepNext w:val="0"/>
              <w:keepLines w:val="0"/>
              <w:widowControl/>
              <w:suppressLineNumbers w:val="0"/>
              <w:spacing w:before="0" w:beforeAutospacing="0" w:after="0" w:afterAutospacing="0" w:line="240" w:lineRule="atLeast"/>
              <w:ind w:left="74" w:right="110"/>
              <w:jc w:val="both"/>
              <w:rPr>
                <w:rFonts w:ascii="Arial Narrow" w:hAnsi="Arial Narrow" w:eastAsia="Arial Narrow" w:cs="Arial Narrow"/>
                <w:sz w:val="22"/>
                <w:szCs w:val="22"/>
              </w:rPr>
            </w:pPr>
            <w:r>
              <w:rPr>
                <w:rFonts w:hint="eastAsia" w:ascii="宋体" w:hAnsi="宋体" w:eastAsia="宋体" w:cs="宋体"/>
                <w:sz w:val="18"/>
                <w:szCs w:val="18"/>
              </w:rPr>
              <w:t>江苏中兴药业有限公司</w:t>
            </w:r>
          </w:p>
        </w:tc>
        <w:tc>
          <w:tcPr>
            <w:tcW w:w="1702" w:type="dxa"/>
            <w:tcBorders>
              <w:top w:val="nil"/>
              <w:left w:val="nil"/>
              <w:bottom w:val="single" w:color="auto" w:sz="8" w:space="0"/>
              <w:right w:val="single" w:color="auto" w:sz="8" w:space="0"/>
            </w:tcBorders>
            <w:shd w:val="clear" w:color="auto" w:fill="auto"/>
            <w:vAlign w:val="top"/>
          </w:tcPr>
          <w:p w14:paraId="258C2EE6">
            <w:pPr>
              <w:pStyle w:val="2"/>
              <w:keepNext w:val="0"/>
              <w:keepLines w:val="0"/>
              <w:widowControl/>
              <w:suppressLineNumbers w:val="0"/>
              <w:spacing w:before="0" w:beforeAutospacing="0" w:after="0" w:afterAutospacing="0" w:line="240" w:lineRule="atLeast"/>
              <w:ind w:left="54" w:right="91"/>
              <w:rPr>
                <w:rFonts w:hint="default" w:ascii="Arial Narrow" w:hAnsi="Arial Narrow" w:eastAsia="Arial Narrow" w:cs="Arial Narrow"/>
                <w:sz w:val="22"/>
                <w:szCs w:val="22"/>
              </w:rPr>
            </w:pPr>
            <w:r>
              <w:rPr>
                <w:rFonts w:hint="default" w:ascii="Arial Narrow" w:hAnsi="Arial Narrow" w:eastAsia="Arial Narrow" w:cs="Arial Narrow"/>
                <w:sz w:val="18"/>
                <w:szCs w:val="18"/>
              </w:rPr>
              <w:t>2025-2029</w:t>
            </w:r>
            <w:r>
              <w:rPr>
                <w:rFonts w:hint="eastAsia" w:ascii="宋体" w:hAnsi="宋体" w:eastAsia="宋体" w:cs="宋体"/>
                <w:sz w:val="18"/>
                <w:szCs w:val="18"/>
              </w:rPr>
              <w:t>年（后续为稳定期）</w:t>
            </w:r>
          </w:p>
        </w:tc>
        <w:tc>
          <w:tcPr>
            <w:tcW w:w="1217" w:type="dxa"/>
            <w:tcBorders>
              <w:top w:val="nil"/>
              <w:left w:val="nil"/>
              <w:bottom w:val="single" w:color="auto" w:sz="8" w:space="0"/>
              <w:right w:val="single" w:color="auto" w:sz="8" w:space="0"/>
            </w:tcBorders>
            <w:shd w:val="clear" w:color="auto" w:fill="auto"/>
            <w:vAlign w:val="top"/>
          </w:tcPr>
          <w:p w14:paraId="6863AF88">
            <w:pPr>
              <w:pStyle w:val="2"/>
              <w:keepNext w:val="0"/>
              <w:keepLines w:val="0"/>
              <w:widowControl/>
              <w:suppressLineNumbers w:val="0"/>
              <w:spacing w:before="140" w:beforeAutospacing="0" w:after="0" w:afterAutospacing="0"/>
              <w:ind w:left="0" w:right="25"/>
              <w:jc w:val="right"/>
              <w:rPr>
                <w:rFonts w:hint="default" w:ascii="Arial Narrow" w:hAnsi="Arial Narrow" w:eastAsia="Arial Narrow" w:cs="Arial Narrow"/>
                <w:sz w:val="22"/>
                <w:szCs w:val="22"/>
              </w:rPr>
            </w:pPr>
            <w:r>
              <w:rPr>
                <w:rFonts w:hint="default" w:ascii="Arial Narrow" w:hAnsi="Arial Narrow" w:eastAsia="Arial Narrow" w:cs="Arial Narrow"/>
                <w:sz w:val="18"/>
                <w:szCs w:val="18"/>
              </w:rPr>
              <w:t>0%</w:t>
            </w:r>
          </w:p>
        </w:tc>
        <w:tc>
          <w:tcPr>
            <w:tcW w:w="1630" w:type="dxa"/>
            <w:tcBorders>
              <w:top w:val="nil"/>
              <w:left w:val="nil"/>
              <w:bottom w:val="single" w:color="auto" w:sz="8" w:space="0"/>
              <w:right w:val="single" w:color="auto" w:sz="8" w:space="0"/>
            </w:tcBorders>
            <w:shd w:val="clear" w:color="auto" w:fill="auto"/>
            <w:vAlign w:val="top"/>
          </w:tcPr>
          <w:p w14:paraId="6357DCBE">
            <w:pPr>
              <w:pStyle w:val="2"/>
              <w:keepNext w:val="0"/>
              <w:keepLines w:val="0"/>
              <w:widowControl/>
              <w:suppressLineNumbers w:val="0"/>
              <w:spacing w:before="140" w:beforeAutospacing="0" w:after="0" w:afterAutospacing="0"/>
              <w:ind w:left="0" w:right="28"/>
              <w:jc w:val="right"/>
              <w:rPr>
                <w:rFonts w:hint="default" w:ascii="Arial Narrow" w:hAnsi="Arial Narrow" w:eastAsia="Arial Narrow" w:cs="Arial Narrow"/>
                <w:sz w:val="22"/>
                <w:szCs w:val="22"/>
              </w:rPr>
            </w:pPr>
            <w:r>
              <w:rPr>
                <w:rFonts w:hint="default" w:ascii="Arial Narrow" w:hAnsi="Arial Narrow" w:eastAsia="Arial Narrow" w:cs="Arial Narrow"/>
                <w:sz w:val="18"/>
                <w:szCs w:val="18"/>
              </w:rPr>
              <w:t>0%</w:t>
            </w:r>
          </w:p>
        </w:tc>
        <w:tc>
          <w:tcPr>
            <w:tcW w:w="1628" w:type="dxa"/>
            <w:tcBorders>
              <w:top w:val="nil"/>
              <w:left w:val="nil"/>
              <w:bottom w:val="single" w:color="auto" w:sz="8" w:space="0"/>
              <w:right w:val="single" w:color="auto" w:sz="8" w:space="0"/>
            </w:tcBorders>
            <w:shd w:val="clear" w:color="auto" w:fill="auto"/>
            <w:vAlign w:val="top"/>
          </w:tcPr>
          <w:p w14:paraId="5B0E5248">
            <w:pPr>
              <w:pStyle w:val="2"/>
              <w:keepNext w:val="0"/>
              <w:keepLines w:val="0"/>
              <w:widowControl/>
              <w:suppressLineNumbers w:val="0"/>
              <w:spacing w:before="140" w:beforeAutospacing="0" w:after="0" w:afterAutospacing="0"/>
              <w:ind w:left="0" w:right="33"/>
              <w:jc w:val="right"/>
              <w:rPr>
                <w:rFonts w:hint="default" w:ascii="Arial Narrow" w:hAnsi="Arial Narrow" w:eastAsia="Arial Narrow" w:cs="Arial Narrow"/>
                <w:sz w:val="22"/>
                <w:szCs w:val="22"/>
              </w:rPr>
            </w:pPr>
            <w:r>
              <w:rPr>
                <w:rFonts w:hint="default" w:ascii="Arial Narrow" w:hAnsi="Arial Narrow" w:eastAsia="Arial Narrow" w:cs="Arial Narrow"/>
                <w:sz w:val="18"/>
                <w:szCs w:val="18"/>
              </w:rPr>
              <w:t>12.98%</w:t>
            </w:r>
          </w:p>
        </w:tc>
      </w:tr>
    </w:tbl>
    <w:p w14:paraId="1617620B">
      <w:pPr>
        <w:keepNext/>
        <w:keepLines/>
        <w:spacing w:before="300" w:after="300" w:line="280" w:lineRule="exact"/>
        <w:jc w:val="left"/>
        <w:outlineLvl w:val="3"/>
        <w:rPr>
          <w:rFonts w:ascii="宋体" w:hAnsi="宋体" w:eastAsia="宋体" w:cs="宋体"/>
          <w:b/>
          <w:bCs/>
          <w:sz w:val="21"/>
          <w:szCs w:val="21"/>
        </w:rPr>
      </w:pPr>
      <w:bookmarkStart w:id="347" w:name="_Toc989234"/>
      <w:r>
        <w:rPr>
          <w:rFonts w:ascii="宋体" w:hAnsi="宋体" w:eastAsia="宋体" w:cs="宋体"/>
          <w:b/>
          <w:bCs/>
          <w:sz w:val="21"/>
          <w:szCs w:val="21"/>
        </w:rPr>
        <w:t>（4） 可收回金额的具体确定方法</w:t>
      </w:r>
      <w:bookmarkEnd w:id="347"/>
    </w:p>
    <w:p w14:paraId="6E45D6A9">
      <w:pPr>
        <w:spacing w:before="100" w:after="100" w:line="240" w:lineRule="exact"/>
        <w:jc w:val="left"/>
        <w:rPr>
          <w:rFonts w:ascii="宋体" w:hAnsi="宋体" w:eastAsia="宋体" w:cs="宋体"/>
          <w:sz w:val="18"/>
          <w:szCs w:val="18"/>
        </w:rPr>
      </w:pPr>
      <w:r>
        <w:rPr>
          <w:rFonts w:ascii="宋体" w:hAnsi="宋体" w:eastAsia="宋体" w:cs="宋体"/>
          <w:sz w:val="18"/>
          <w:szCs w:val="18"/>
        </w:rPr>
        <w:t>可收回金额按公允价值减去处置费用后的净额确定</w:t>
      </w:r>
    </w:p>
    <w:p w14:paraId="5CAA0C51">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E27F2D2">
      <w:pPr>
        <w:spacing w:before="100" w:after="100" w:line="240" w:lineRule="exact"/>
        <w:jc w:val="left"/>
        <w:rPr>
          <w:rFonts w:ascii="宋体" w:hAnsi="宋体" w:eastAsia="宋体" w:cs="宋体"/>
          <w:sz w:val="18"/>
          <w:szCs w:val="18"/>
        </w:rPr>
      </w:pPr>
      <w:r>
        <w:rPr>
          <w:rFonts w:ascii="宋体" w:hAnsi="宋体" w:eastAsia="宋体" w:cs="宋体"/>
          <w:sz w:val="18"/>
          <w:szCs w:val="18"/>
        </w:rPr>
        <w:t>可收回金额按预计未来现金流量的现值确定</w:t>
      </w:r>
    </w:p>
    <w:p w14:paraId="5873F1C3">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8526F1A">
      <w:pPr>
        <w:spacing w:before="100" w:after="100" w:line="240" w:lineRule="exact"/>
        <w:jc w:val="left"/>
        <w:rPr>
          <w:rFonts w:ascii="宋体" w:hAnsi="宋体" w:eastAsia="宋体" w:cs="宋体"/>
          <w:sz w:val="18"/>
          <w:szCs w:val="18"/>
        </w:rPr>
      </w:pPr>
      <w:r>
        <w:rPr>
          <w:rFonts w:ascii="宋体" w:hAnsi="宋体" w:eastAsia="宋体" w:cs="宋体"/>
          <w:sz w:val="18"/>
          <w:szCs w:val="18"/>
        </w:rPr>
        <w:t>前述信息与以前年度减值测试采用的信息或外部信息明显不一致的差异原因</w:t>
      </w:r>
    </w:p>
    <w:p w14:paraId="378280CE">
      <w:pPr>
        <w:spacing w:before="100" w:after="100" w:line="240" w:lineRule="exact"/>
        <w:jc w:val="left"/>
        <w:rPr>
          <w:rFonts w:ascii="宋体" w:hAnsi="宋体" w:eastAsia="宋体" w:cs="宋体"/>
          <w:sz w:val="18"/>
          <w:szCs w:val="18"/>
        </w:rPr>
      </w:pPr>
      <w:r>
        <w:rPr>
          <w:rFonts w:ascii="宋体" w:hAnsi="宋体" w:eastAsia="宋体" w:cs="宋体"/>
          <w:sz w:val="18"/>
          <w:szCs w:val="18"/>
        </w:rPr>
        <w:t>公司以前年度减值测试采用信息与当年实际情况明显不一致的差异原因</w:t>
      </w:r>
    </w:p>
    <w:p w14:paraId="4D9C8077">
      <w:pPr>
        <w:keepNext/>
        <w:keepLines/>
        <w:spacing w:before="300" w:after="300" w:line="280" w:lineRule="exact"/>
        <w:jc w:val="left"/>
        <w:outlineLvl w:val="3"/>
        <w:rPr>
          <w:rFonts w:ascii="宋体" w:hAnsi="宋体" w:eastAsia="宋体" w:cs="宋体"/>
          <w:b/>
          <w:bCs/>
          <w:sz w:val="21"/>
          <w:szCs w:val="21"/>
        </w:rPr>
      </w:pPr>
      <w:bookmarkStart w:id="348" w:name="_Toc989235"/>
      <w:r>
        <w:rPr>
          <w:rFonts w:ascii="宋体" w:hAnsi="宋体" w:eastAsia="宋体" w:cs="宋体"/>
          <w:b/>
          <w:bCs/>
          <w:sz w:val="21"/>
          <w:szCs w:val="21"/>
        </w:rPr>
        <w:t>（5） 业绩承诺完成及对应商誉减值情况</w:t>
      </w:r>
      <w:bookmarkEnd w:id="348"/>
    </w:p>
    <w:p w14:paraId="158216FF">
      <w:pPr>
        <w:spacing w:before="100" w:after="100" w:line="240" w:lineRule="exact"/>
        <w:jc w:val="left"/>
        <w:rPr>
          <w:rFonts w:ascii="宋体" w:hAnsi="宋体" w:eastAsia="宋体" w:cs="宋体"/>
          <w:sz w:val="18"/>
          <w:szCs w:val="18"/>
        </w:rPr>
      </w:pPr>
      <w:r>
        <w:rPr>
          <w:rFonts w:ascii="宋体" w:hAnsi="宋体" w:eastAsia="宋体" w:cs="宋体"/>
          <w:sz w:val="18"/>
          <w:szCs w:val="18"/>
        </w:rPr>
        <w:t>形成商誉时存在业绩承诺且报告期或报告期上一期间处于业绩承诺期内</w:t>
      </w:r>
    </w:p>
    <w:p w14:paraId="7975969B">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7AB6DE2">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4FB05C8D">
      <w:pPr>
        <w:keepNext/>
        <w:keepLines/>
        <w:spacing w:before="300" w:after="300" w:line="280" w:lineRule="exact"/>
        <w:jc w:val="left"/>
        <w:outlineLvl w:val="2"/>
        <w:rPr>
          <w:rFonts w:ascii="宋体" w:hAnsi="宋体" w:eastAsia="宋体" w:cs="宋体"/>
          <w:b/>
          <w:bCs/>
          <w:sz w:val="21"/>
          <w:szCs w:val="21"/>
        </w:rPr>
      </w:pPr>
      <w:bookmarkStart w:id="349" w:name="_Toc989236"/>
      <w:r>
        <w:rPr>
          <w:rFonts w:ascii="宋体" w:hAnsi="宋体" w:eastAsia="宋体" w:cs="宋体"/>
          <w:b/>
          <w:bCs/>
          <w:sz w:val="21"/>
          <w:szCs w:val="21"/>
        </w:rPr>
        <w:t>28、长期待摊费用</w:t>
      </w:r>
      <w:bookmarkEnd w:id="349"/>
    </w:p>
    <w:p w14:paraId="364BDEA0">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5EA8F9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7F7C96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2FC4FAD">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2FB0141">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8DF1DEF">
            <w:pPr>
              <w:spacing w:before="40" w:after="40" w:line="240" w:lineRule="exact"/>
              <w:jc w:val="center"/>
              <w:rPr>
                <w:rFonts w:ascii="宋体" w:hAnsi="宋体" w:eastAsia="宋体" w:cs="宋体"/>
                <w:sz w:val="18"/>
                <w:szCs w:val="18"/>
              </w:rPr>
            </w:pPr>
            <w:r>
              <w:rPr>
                <w:rFonts w:ascii="宋体" w:hAnsi="宋体" w:eastAsia="宋体" w:cs="宋体"/>
                <w:sz w:val="18"/>
                <w:szCs w:val="18"/>
              </w:rPr>
              <w:t>本期摊销金额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AC2544C">
            <w:pPr>
              <w:spacing w:before="40" w:after="40" w:line="240" w:lineRule="exact"/>
              <w:jc w:val="center"/>
              <w:rPr>
                <w:rFonts w:ascii="宋体" w:hAnsi="宋体" w:eastAsia="宋体" w:cs="宋体"/>
                <w:sz w:val="18"/>
                <w:szCs w:val="18"/>
              </w:rPr>
            </w:pPr>
            <w:r>
              <w:rPr>
                <w:rFonts w:ascii="宋体" w:hAnsi="宋体" w:eastAsia="宋体" w:cs="宋体"/>
                <w:sz w:val="18"/>
                <w:szCs w:val="18"/>
              </w:rPr>
              <w:t>其他减少金额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46ACD70">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65FC1E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37E33CFF">
            <w:pPr>
              <w:spacing w:before="0" w:after="0" w:line="240" w:lineRule="exact"/>
              <w:jc w:val="left"/>
              <w:rPr>
                <w:rFonts w:ascii="宋体" w:hAnsi="宋体" w:eastAsia="宋体" w:cs="宋体"/>
                <w:sz w:val="18"/>
                <w:szCs w:val="18"/>
              </w:rPr>
            </w:pPr>
            <w:r>
              <w:rPr>
                <w:rFonts w:ascii="宋体" w:hAnsi="宋体" w:eastAsia="宋体" w:cs="宋体"/>
                <w:sz w:val="18"/>
                <w:szCs w:val="18"/>
              </w:rPr>
              <w:t>福州房屋建筑装修</w:t>
            </w:r>
          </w:p>
        </w:tc>
        <w:tc>
          <w:tcPr>
            <w:tcW w:w="1606" w:type="dxa"/>
            <w:tcBorders>
              <w:top w:val="single" w:color="auto" w:sz="2" w:space="0"/>
              <w:left w:val="single" w:color="auto" w:sz="2" w:space="0"/>
              <w:bottom w:val="single" w:color="auto" w:sz="2" w:space="0"/>
              <w:right w:val="single" w:color="auto" w:sz="2" w:space="0"/>
            </w:tcBorders>
            <w:vAlign w:val="center"/>
          </w:tcPr>
          <w:p w14:paraId="14F53845">
            <w:pPr>
              <w:spacing w:before="0" w:after="0" w:line="240" w:lineRule="exact"/>
              <w:jc w:val="right"/>
              <w:rPr>
                <w:rFonts w:ascii="宋体" w:hAnsi="宋体" w:eastAsia="宋体" w:cs="宋体"/>
                <w:sz w:val="18"/>
                <w:szCs w:val="18"/>
              </w:rPr>
            </w:pPr>
            <w:r>
              <w:rPr>
                <w:rFonts w:ascii="宋体" w:hAnsi="宋体" w:eastAsia="宋体" w:cs="宋体"/>
                <w:sz w:val="18"/>
                <w:szCs w:val="18"/>
              </w:rPr>
              <w:t>32,602,159.51</w:t>
            </w:r>
          </w:p>
        </w:tc>
        <w:tc>
          <w:tcPr>
            <w:tcW w:w="1606" w:type="dxa"/>
            <w:tcBorders>
              <w:top w:val="single" w:color="auto" w:sz="2" w:space="0"/>
              <w:left w:val="single" w:color="auto" w:sz="2" w:space="0"/>
              <w:bottom w:val="single" w:color="auto" w:sz="2" w:space="0"/>
              <w:right w:val="single" w:color="auto" w:sz="2" w:space="0"/>
            </w:tcBorders>
            <w:vAlign w:val="center"/>
          </w:tcPr>
          <w:p w14:paraId="694DA707">
            <w:pPr>
              <w:spacing w:before="0" w:after="0" w:line="240" w:lineRule="exact"/>
              <w:jc w:val="right"/>
              <w:rPr>
                <w:rFonts w:ascii="宋体" w:hAnsi="宋体" w:eastAsia="宋体" w:cs="宋体"/>
                <w:sz w:val="18"/>
                <w:szCs w:val="18"/>
              </w:rPr>
            </w:pPr>
            <w:r>
              <w:rPr>
                <w:rFonts w:ascii="宋体" w:hAnsi="宋体" w:eastAsia="宋体" w:cs="宋体"/>
                <w:sz w:val="18"/>
                <w:szCs w:val="18"/>
              </w:rPr>
              <w:t>236,988.29</w:t>
            </w:r>
          </w:p>
        </w:tc>
        <w:tc>
          <w:tcPr>
            <w:tcW w:w="1606" w:type="dxa"/>
            <w:tcBorders>
              <w:top w:val="single" w:color="auto" w:sz="2" w:space="0"/>
              <w:left w:val="single" w:color="auto" w:sz="2" w:space="0"/>
              <w:bottom w:val="single" w:color="auto" w:sz="2" w:space="0"/>
              <w:right w:val="single" w:color="auto" w:sz="2" w:space="0"/>
            </w:tcBorders>
            <w:vAlign w:val="center"/>
          </w:tcPr>
          <w:p w14:paraId="4E40E067">
            <w:pPr>
              <w:spacing w:before="0" w:after="0" w:line="240" w:lineRule="exact"/>
              <w:jc w:val="right"/>
              <w:rPr>
                <w:rFonts w:ascii="宋体" w:hAnsi="宋体" w:eastAsia="宋体" w:cs="宋体"/>
                <w:sz w:val="18"/>
                <w:szCs w:val="18"/>
              </w:rPr>
            </w:pPr>
            <w:r>
              <w:rPr>
                <w:rFonts w:ascii="宋体" w:hAnsi="宋体" w:eastAsia="宋体" w:cs="宋体"/>
                <w:sz w:val="18"/>
                <w:szCs w:val="18"/>
              </w:rPr>
              <w:t>3,901,530.70</w:t>
            </w:r>
          </w:p>
        </w:tc>
        <w:tc>
          <w:tcPr>
            <w:tcW w:w="1606" w:type="dxa"/>
            <w:tcBorders>
              <w:top w:val="single" w:color="auto" w:sz="2" w:space="0"/>
              <w:left w:val="single" w:color="auto" w:sz="2" w:space="0"/>
              <w:bottom w:val="single" w:color="auto" w:sz="2" w:space="0"/>
              <w:right w:val="single" w:color="auto" w:sz="2" w:space="0"/>
            </w:tcBorders>
            <w:vAlign w:val="center"/>
          </w:tcPr>
          <w:p w14:paraId="6B91DC62">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7D71BED">
            <w:pPr>
              <w:spacing w:before="0" w:after="0" w:line="240" w:lineRule="exact"/>
              <w:jc w:val="right"/>
              <w:rPr>
                <w:rFonts w:ascii="宋体" w:hAnsi="宋体" w:eastAsia="宋体" w:cs="宋体"/>
                <w:sz w:val="18"/>
                <w:szCs w:val="18"/>
              </w:rPr>
            </w:pPr>
            <w:r>
              <w:rPr>
                <w:rFonts w:ascii="宋体" w:hAnsi="宋体" w:eastAsia="宋体" w:cs="宋体"/>
                <w:sz w:val="18"/>
                <w:szCs w:val="18"/>
              </w:rPr>
              <w:t>28,937,617.10</w:t>
            </w:r>
          </w:p>
        </w:tc>
      </w:tr>
      <w:tr w14:paraId="317669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059F823">
            <w:pPr>
              <w:spacing w:before="0" w:after="0" w:line="240" w:lineRule="exact"/>
              <w:jc w:val="left"/>
              <w:rPr>
                <w:rFonts w:ascii="宋体" w:hAnsi="宋体" w:eastAsia="宋体" w:cs="宋体"/>
                <w:sz w:val="18"/>
                <w:szCs w:val="18"/>
              </w:rPr>
            </w:pPr>
            <w:r>
              <w:rPr>
                <w:rFonts w:ascii="宋体" w:hAnsi="宋体" w:eastAsia="宋体" w:cs="宋体"/>
                <w:sz w:val="18"/>
                <w:szCs w:val="18"/>
              </w:rPr>
              <w:t>柘荣房屋建筑装修</w:t>
            </w:r>
          </w:p>
        </w:tc>
        <w:tc>
          <w:tcPr>
            <w:tcW w:w="1606" w:type="dxa"/>
            <w:tcBorders>
              <w:top w:val="single" w:color="auto" w:sz="2" w:space="0"/>
              <w:left w:val="single" w:color="auto" w:sz="2" w:space="0"/>
              <w:bottom w:val="single" w:color="auto" w:sz="2" w:space="0"/>
              <w:right w:val="single" w:color="auto" w:sz="2" w:space="0"/>
            </w:tcBorders>
            <w:vAlign w:val="center"/>
          </w:tcPr>
          <w:p w14:paraId="443FE30B">
            <w:pPr>
              <w:spacing w:before="0" w:after="0" w:line="240" w:lineRule="exact"/>
              <w:jc w:val="right"/>
              <w:rPr>
                <w:rFonts w:ascii="宋体" w:hAnsi="宋体" w:eastAsia="宋体" w:cs="宋体"/>
                <w:sz w:val="18"/>
                <w:szCs w:val="18"/>
              </w:rPr>
            </w:pPr>
            <w:r>
              <w:rPr>
                <w:rFonts w:ascii="宋体" w:hAnsi="宋体" w:eastAsia="宋体" w:cs="宋体"/>
                <w:sz w:val="18"/>
                <w:szCs w:val="18"/>
              </w:rPr>
              <w:t>4,170,429.09</w:t>
            </w:r>
          </w:p>
        </w:tc>
        <w:tc>
          <w:tcPr>
            <w:tcW w:w="1606" w:type="dxa"/>
            <w:tcBorders>
              <w:top w:val="single" w:color="auto" w:sz="2" w:space="0"/>
              <w:left w:val="single" w:color="auto" w:sz="2" w:space="0"/>
              <w:bottom w:val="single" w:color="auto" w:sz="2" w:space="0"/>
              <w:right w:val="single" w:color="auto" w:sz="2" w:space="0"/>
            </w:tcBorders>
            <w:vAlign w:val="center"/>
          </w:tcPr>
          <w:p w14:paraId="112A4B6E">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292BE6B">
            <w:pPr>
              <w:spacing w:before="0" w:after="0" w:line="240" w:lineRule="exact"/>
              <w:jc w:val="right"/>
              <w:rPr>
                <w:rFonts w:ascii="宋体" w:hAnsi="宋体" w:eastAsia="宋体" w:cs="宋体"/>
                <w:sz w:val="18"/>
                <w:szCs w:val="18"/>
              </w:rPr>
            </w:pPr>
            <w:r>
              <w:rPr>
                <w:rFonts w:ascii="宋体" w:hAnsi="宋体" w:eastAsia="宋体" w:cs="宋体"/>
                <w:sz w:val="18"/>
                <w:szCs w:val="18"/>
              </w:rPr>
              <w:t>575,760.84</w:t>
            </w:r>
          </w:p>
        </w:tc>
        <w:tc>
          <w:tcPr>
            <w:tcW w:w="1606" w:type="dxa"/>
            <w:tcBorders>
              <w:top w:val="single" w:color="auto" w:sz="2" w:space="0"/>
              <w:left w:val="single" w:color="auto" w:sz="2" w:space="0"/>
              <w:bottom w:val="single" w:color="auto" w:sz="2" w:space="0"/>
              <w:right w:val="single" w:color="auto" w:sz="2" w:space="0"/>
            </w:tcBorders>
            <w:vAlign w:val="center"/>
          </w:tcPr>
          <w:p w14:paraId="11B5E5DC">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85DB815">
            <w:pPr>
              <w:spacing w:before="0" w:after="0" w:line="240" w:lineRule="exact"/>
              <w:jc w:val="right"/>
              <w:rPr>
                <w:rFonts w:ascii="宋体" w:hAnsi="宋体" w:eastAsia="宋体" w:cs="宋体"/>
                <w:sz w:val="18"/>
                <w:szCs w:val="18"/>
              </w:rPr>
            </w:pPr>
            <w:r>
              <w:rPr>
                <w:rFonts w:ascii="宋体" w:hAnsi="宋体" w:eastAsia="宋体" w:cs="宋体"/>
                <w:sz w:val="18"/>
                <w:szCs w:val="18"/>
              </w:rPr>
              <w:t>3,594,668.25</w:t>
            </w:r>
          </w:p>
        </w:tc>
      </w:tr>
      <w:tr w14:paraId="2D0E13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0362C755">
            <w:pPr>
              <w:spacing w:before="0" w:after="0" w:line="240" w:lineRule="exact"/>
              <w:jc w:val="left"/>
              <w:rPr>
                <w:rFonts w:ascii="宋体" w:hAnsi="宋体" w:eastAsia="宋体" w:cs="宋体"/>
                <w:sz w:val="18"/>
                <w:szCs w:val="18"/>
              </w:rPr>
            </w:pPr>
            <w:r>
              <w:rPr>
                <w:rFonts w:ascii="宋体" w:hAnsi="宋体" w:eastAsia="宋体" w:cs="宋体"/>
                <w:sz w:val="18"/>
                <w:szCs w:val="18"/>
              </w:rPr>
              <w:t>上海房屋建筑装修</w:t>
            </w:r>
          </w:p>
        </w:tc>
        <w:tc>
          <w:tcPr>
            <w:tcW w:w="1606" w:type="dxa"/>
            <w:tcBorders>
              <w:top w:val="single" w:color="auto" w:sz="2" w:space="0"/>
              <w:left w:val="single" w:color="auto" w:sz="2" w:space="0"/>
              <w:bottom w:val="single" w:color="auto" w:sz="2" w:space="0"/>
              <w:right w:val="single" w:color="auto" w:sz="2" w:space="0"/>
            </w:tcBorders>
            <w:vAlign w:val="center"/>
          </w:tcPr>
          <w:p w14:paraId="2FFFC0E6">
            <w:pPr>
              <w:spacing w:before="0" w:after="0" w:line="240" w:lineRule="exact"/>
              <w:jc w:val="right"/>
              <w:rPr>
                <w:rFonts w:ascii="宋体" w:hAnsi="宋体" w:eastAsia="宋体" w:cs="宋体"/>
                <w:sz w:val="18"/>
                <w:szCs w:val="18"/>
              </w:rPr>
            </w:pPr>
            <w:r>
              <w:rPr>
                <w:rFonts w:ascii="宋体" w:hAnsi="宋体" w:eastAsia="宋体" w:cs="宋体"/>
                <w:sz w:val="18"/>
                <w:szCs w:val="18"/>
              </w:rPr>
              <w:t>2,363,290.10</w:t>
            </w:r>
          </w:p>
        </w:tc>
        <w:tc>
          <w:tcPr>
            <w:tcW w:w="1606" w:type="dxa"/>
            <w:tcBorders>
              <w:top w:val="single" w:color="auto" w:sz="2" w:space="0"/>
              <w:left w:val="single" w:color="auto" w:sz="2" w:space="0"/>
              <w:bottom w:val="single" w:color="auto" w:sz="2" w:space="0"/>
              <w:right w:val="single" w:color="auto" w:sz="2" w:space="0"/>
            </w:tcBorders>
            <w:vAlign w:val="center"/>
          </w:tcPr>
          <w:p w14:paraId="74F16FDB">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311E752">
            <w:pPr>
              <w:spacing w:before="0" w:after="0" w:line="240" w:lineRule="exact"/>
              <w:jc w:val="right"/>
              <w:rPr>
                <w:rFonts w:ascii="宋体" w:hAnsi="宋体" w:eastAsia="宋体" w:cs="宋体"/>
                <w:sz w:val="18"/>
                <w:szCs w:val="18"/>
              </w:rPr>
            </w:pPr>
            <w:r>
              <w:rPr>
                <w:rFonts w:ascii="宋体" w:hAnsi="宋体" w:eastAsia="宋体" w:cs="宋体"/>
                <w:sz w:val="18"/>
                <w:szCs w:val="18"/>
              </w:rPr>
              <w:t>383,236.08</w:t>
            </w:r>
          </w:p>
        </w:tc>
        <w:tc>
          <w:tcPr>
            <w:tcW w:w="1606" w:type="dxa"/>
            <w:tcBorders>
              <w:top w:val="single" w:color="auto" w:sz="2" w:space="0"/>
              <w:left w:val="single" w:color="auto" w:sz="2" w:space="0"/>
              <w:bottom w:val="single" w:color="auto" w:sz="2" w:space="0"/>
              <w:right w:val="single" w:color="auto" w:sz="2" w:space="0"/>
            </w:tcBorders>
            <w:vAlign w:val="center"/>
          </w:tcPr>
          <w:p w14:paraId="65877416">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AFB2F97">
            <w:pPr>
              <w:spacing w:before="0" w:after="0" w:line="240" w:lineRule="exact"/>
              <w:jc w:val="right"/>
              <w:rPr>
                <w:rFonts w:ascii="宋体" w:hAnsi="宋体" w:eastAsia="宋体" w:cs="宋体"/>
                <w:sz w:val="18"/>
                <w:szCs w:val="18"/>
              </w:rPr>
            </w:pPr>
            <w:r>
              <w:rPr>
                <w:rFonts w:ascii="宋体" w:hAnsi="宋体" w:eastAsia="宋体" w:cs="宋体"/>
                <w:sz w:val="18"/>
                <w:szCs w:val="18"/>
              </w:rPr>
              <w:t>1,980,054.02</w:t>
            </w:r>
          </w:p>
        </w:tc>
      </w:tr>
      <w:tr w14:paraId="5B7AB6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3A159527">
            <w:pPr>
              <w:spacing w:before="0" w:after="0" w:line="240" w:lineRule="exact"/>
              <w:jc w:val="left"/>
              <w:rPr>
                <w:rFonts w:ascii="宋体" w:hAnsi="宋体" w:eastAsia="宋体" w:cs="宋体"/>
                <w:sz w:val="18"/>
                <w:szCs w:val="18"/>
              </w:rPr>
            </w:pPr>
            <w:r>
              <w:rPr>
                <w:rFonts w:ascii="宋体" w:hAnsi="宋体" w:eastAsia="宋体" w:cs="宋体"/>
                <w:sz w:val="18"/>
                <w:szCs w:val="18"/>
              </w:rPr>
              <w:t>合成车间一、二周边电力线路迁移项目</w:t>
            </w:r>
          </w:p>
        </w:tc>
        <w:tc>
          <w:tcPr>
            <w:tcW w:w="1606" w:type="dxa"/>
            <w:tcBorders>
              <w:top w:val="single" w:color="auto" w:sz="2" w:space="0"/>
              <w:left w:val="single" w:color="auto" w:sz="2" w:space="0"/>
              <w:bottom w:val="single" w:color="auto" w:sz="2" w:space="0"/>
              <w:right w:val="single" w:color="auto" w:sz="2" w:space="0"/>
            </w:tcBorders>
            <w:vAlign w:val="center"/>
          </w:tcPr>
          <w:p w14:paraId="6E1BF126">
            <w:pPr>
              <w:spacing w:before="0" w:after="0" w:line="240" w:lineRule="exact"/>
              <w:jc w:val="right"/>
              <w:rPr>
                <w:rFonts w:ascii="宋体" w:hAnsi="宋体" w:eastAsia="宋体" w:cs="宋体"/>
                <w:sz w:val="18"/>
                <w:szCs w:val="18"/>
              </w:rPr>
            </w:pPr>
            <w:r>
              <w:rPr>
                <w:rFonts w:ascii="宋体" w:hAnsi="宋体" w:eastAsia="宋体" w:cs="宋体"/>
                <w:sz w:val="18"/>
                <w:szCs w:val="18"/>
              </w:rPr>
              <w:t>2,064,922.64</w:t>
            </w:r>
          </w:p>
        </w:tc>
        <w:tc>
          <w:tcPr>
            <w:tcW w:w="1606" w:type="dxa"/>
            <w:tcBorders>
              <w:top w:val="single" w:color="auto" w:sz="2" w:space="0"/>
              <w:left w:val="single" w:color="auto" w:sz="2" w:space="0"/>
              <w:bottom w:val="single" w:color="auto" w:sz="2" w:space="0"/>
              <w:right w:val="single" w:color="auto" w:sz="2" w:space="0"/>
            </w:tcBorders>
            <w:vAlign w:val="center"/>
          </w:tcPr>
          <w:p w14:paraId="23A48D39">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78C4D45">
            <w:pPr>
              <w:spacing w:before="0" w:after="0" w:line="240" w:lineRule="exact"/>
              <w:jc w:val="right"/>
              <w:rPr>
                <w:rFonts w:ascii="宋体" w:hAnsi="宋体" w:eastAsia="宋体" w:cs="宋体"/>
                <w:sz w:val="18"/>
                <w:szCs w:val="18"/>
              </w:rPr>
            </w:pPr>
            <w:r>
              <w:rPr>
                <w:rFonts w:ascii="宋体" w:hAnsi="宋体" w:eastAsia="宋体" w:cs="宋体"/>
                <w:sz w:val="18"/>
                <w:szCs w:val="18"/>
              </w:rPr>
              <w:t>688,307.52</w:t>
            </w:r>
          </w:p>
        </w:tc>
        <w:tc>
          <w:tcPr>
            <w:tcW w:w="1606" w:type="dxa"/>
            <w:tcBorders>
              <w:top w:val="single" w:color="auto" w:sz="2" w:space="0"/>
              <w:left w:val="single" w:color="auto" w:sz="2" w:space="0"/>
              <w:bottom w:val="single" w:color="auto" w:sz="2" w:space="0"/>
              <w:right w:val="single" w:color="auto" w:sz="2" w:space="0"/>
            </w:tcBorders>
            <w:vAlign w:val="center"/>
          </w:tcPr>
          <w:p w14:paraId="25FB3975">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651756E">
            <w:pPr>
              <w:spacing w:before="0" w:after="0" w:line="240" w:lineRule="exact"/>
              <w:jc w:val="right"/>
              <w:rPr>
                <w:rFonts w:ascii="宋体" w:hAnsi="宋体" w:eastAsia="宋体" w:cs="宋体"/>
                <w:sz w:val="18"/>
                <w:szCs w:val="18"/>
              </w:rPr>
            </w:pPr>
            <w:r>
              <w:rPr>
                <w:rFonts w:ascii="宋体" w:hAnsi="宋体" w:eastAsia="宋体" w:cs="宋体"/>
                <w:sz w:val="18"/>
                <w:szCs w:val="18"/>
              </w:rPr>
              <w:t>1,376,615.12</w:t>
            </w:r>
          </w:p>
        </w:tc>
      </w:tr>
      <w:tr w14:paraId="2FCD08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2ED11118">
            <w:pPr>
              <w:spacing w:before="0" w:after="0" w:line="240" w:lineRule="exact"/>
              <w:jc w:val="left"/>
              <w:rPr>
                <w:rFonts w:ascii="宋体" w:hAnsi="宋体" w:eastAsia="宋体" w:cs="宋体"/>
                <w:sz w:val="18"/>
                <w:szCs w:val="18"/>
              </w:rPr>
            </w:pPr>
            <w:r>
              <w:rPr>
                <w:rFonts w:ascii="宋体" w:hAnsi="宋体" w:eastAsia="宋体" w:cs="宋体"/>
                <w:sz w:val="18"/>
                <w:szCs w:val="18"/>
              </w:rPr>
              <w:t>金塘房屋建筑装修</w:t>
            </w:r>
          </w:p>
        </w:tc>
        <w:tc>
          <w:tcPr>
            <w:tcW w:w="1606" w:type="dxa"/>
            <w:tcBorders>
              <w:top w:val="single" w:color="auto" w:sz="2" w:space="0"/>
              <w:left w:val="single" w:color="auto" w:sz="2" w:space="0"/>
              <w:bottom w:val="single" w:color="auto" w:sz="2" w:space="0"/>
              <w:right w:val="single" w:color="auto" w:sz="2" w:space="0"/>
            </w:tcBorders>
            <w:vAlign w:val="center"/>
          </w:tcPr>
          <w:p w14:paraId="5F436229">
            <w:pPr>
              <w:spacing w:before="0" w:after="0" w:line="240" w:lineRule="exact"/>
              <w:jc w:val="right"/>
              <w:rPr>
                <w:rFonts w:ascii="宋体" w:hAnsi="宋体" w:eastAsia="宋体" w:cs="宋体"/>
                <w:sz w:val="18"/>
                <w:szCs w:val="18"/>
              </w:rPr>
            </w:pPr>
            <w:r>
              <w:rPr>
                <w:rFonts w:ascii="宋体" w:hAnsi="宋体" w:eastAsia="宋体" w:cs="宋体"/>
                <w:sz w:val="18"/>
                <w:szCs w:val="18"/>
              </w:rPr>
              <w:t>982,271.21</w:t>
            </w:r>
          </w:p>
        </w:tc>
        <w:tc>
          <w:tcPr>
            <w:tcW w:w="1606" w:type="dxa"/>
            <w:tcBorders>
              <w:top w:val="single" w:color="auto" w:sz="2" w:space="0"/>
              <w:left w:val="single" w:color="auto" w:sz="2" w:space="0"/>
              <w:bottom w:val="single" w:color="auto" w:sz="2" w:space="0"/>
              <w:right w:val="single" w:color="auto" w:sz="2" w:space="0"/>
            </w:tcBorders>
            <w:vAlign w:val="center"/>
          </w:tcPr>
          <w:p w14:paraId="017DFA2D">
            <w:pPr>
              <w:spacing w:before="0" w:after="0" w:line="240" w:lineRule="exact"/>
              <w:jc w:val="right"/>
              <w:rPr>
                <w:rFonts w:ascii="宋体" w:hAnsi="宋体" w:eastAsia="宋体" w:cs="宋体"/>
                <w:sz w:val="18"/>
                <w:szCs w:val="18"/>
              </w:rPr>
            </w:pPr>
            <w:r>
              <w:rPr>
                <w:rFonts w:ascii="宋体" w:hAnsi="宋体" w:eastAsia="宋体" w:cs="宋体"/>
                <w:sz w:val="18"/>
                <w:szCs w:val="18"/>
              </w:rPr>
              <w:t>0.01</w:t>
            </w:r>
          </w:p>
        </w:tc>
        <w:tc>
          <w:tcPr>
            <w:tcW w:w="1606" w:type="dxa"/>
            <w:tcBorders>
              <w:top w:val="single" w:color="auto" w:sz="2" w:space="0"/>
              <w:left w:val="single" w:color="auto" w:sz="2" w:space="0"/>
              <w:bottom w:val="single" w:color="auto" w:sz="2" w:space="0"/>
              <w:right w:val="single" w:color="auto" w:sz="2" w:space="0"/>
            </w:tcBorders>
            <w:vAlign w:val="center"/>
          </w:tcPr>
          <w:p w14:paraId="3B594103">
            <w:pPr>
              <w:spacing w:before="0" w:after="0" w:line="240" w:lineRule="exact"/>
              <w:jc w:val="right"/>
              <w:rPr>
                <w:rFonts w:ascii="宋体" w:hAnsi="宋体" w:eastAsia="宋体" w:cs="宋体"/>
                <w:sz w:val="18"/>
                <w:szCs w:val="18"/>
              </w:rPr>
            </w:pPr>
            <w:r>
              <w:rPr>
                <w:rFonts w:ascii="宋体" w:hAnsi="宋体" w:eastAsia="宋体" w:cs="宋体"/>
                <w:sz w:val="18"/>
                <w:szCs w:val="18"/>
              </w:rPr>
              <w:t>107,156.88</w:t>
            </w:r>
          </w:p>
        </w:tc>
        <w:tc>
          <w:tcPr>
            <w:tcW w:w="1606" w:type="dxa"/>
            <w:tcBorders>
              <w:top w:val="single" w:color="auto" w:sz="2" w:space="0"/>
              <w:left w:val="single" w:color="auto" w:sz="2" w:space="0"/>
              <w:bottom w:val="single" w:color="auto" w:sz="2" w:space="0"/>
              <w:right w:val="single" w:color="auto" w:sz="2" w:space="0"/>
            </w:tcBorders>
            <w:vAlign w:val="center"/>
          </w:tcPr>
          <w:p w14:paraId="3273A3B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7FCF362">
            <w:pPr>
              <w:spacing w:before="0" w:after="0" w:line="240" w:lineRule="exact"/>
              <w:jc w:val="right"/>
              <w:rPr>
                <w:rFonts w:ascii="宋体" w:hAnsi="宋体" w:eastAsia="宋体" w:cs="宋体"/>
                <w:sz w:val="18"/>
                <w:szCs w:val="18"/>
              </w:rPr>
            </w:pPr>
            <w:r>
              <w:rPr>
                <w:rFonts w:ascii="宋体" w:hAnsi="宋体" w:eastAsia="宋体" w:cs="宋体"/>
                <w:sz w:val="18"/>
                <w:szCs w:val="18"/>
              </w:rPr>
              <w:t>875,114.34</w:t>
            </w:r>
          </w:p>
        </w:tc>
      </w:tr>
      <w:tr w14:paraId="7B4EB5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FC3F724">
            <w:pPr>
              <w:spacing w:before="0" w:after="0" w:line="240" w:lineRule="exact"/>
              <w:jc w:val="left"/>
              <w:rPr>
                <w:rFonts w:ascii="宋体" w:hAnsi="宋体" w:eastAsia="宋体" w:cs="宋体"/>
                <w:sz w:val="18"/>
                <w:szCs w:val="18"/>
              </w:rPr>
            </w:pPr>
            <w:r>
              <w:rPr>
                <w:rFonts w:ascii="宋体" w:hAnsi="宋体" w:eastAsia="宋体" w:cs="宋体"/>
                <w:sz w:val="18"/>
                <w:szCs w:val="18"/>
              </w:rPr>
              <w:t>污染源在线监测系统运维服务费</w:t>
            </w:r>
          </w:p>
        </w:tc>
        <w:tc>
          <w:tcPr>
            <w:tcW w:w="1606" w:type="dxa"/>
            <w:tcBorders>
              <w:top w:val="single" w:color="auto" w:sz="2" w:space="0"/>
              <w:left w:val="single" w:color="auto" w:sz="2" w:space="0"/>
              <w:bottom w:val="single" w:color="auto" w:sz="2" w:space="0"/>
              <w:right w:val="single" w:color="auto" w:sz="2" w:space="0"/>
            </w:tcBorders>
            <w:vAlign w:val="center"/>
          </w:tcPr>
          <w:p w14:paraId="0CB49DE8">
            <w:pPr>
              <w:spacing w:before="0" w:after="0" w:line="240" w:lineRule="exact"/>
              <w:jc w:val="right"/>
              <w:rPr>
                <w:rFonts w:ascii="宋体" w:hAnsi="宋体" w:eastAsia="宋体" w:cs="宋体"/>
                <w:sz w:val="18"/>
                <w:szCs w:val="18"/>
              </w:rPr>
            </w:pPr>
            <w:r>
              <w:rPr>
                <w:rFonts w:ascii="宋体" w:hAnsi="宋体" w:eastAsia="宋体" w:cs="宋体"/>
                <w:sz w:val="18"/>
                <w:szCs w:val="18"/>
              </w:rPr>
              <w:t>320,754.65</w:t>
            </w:r>
          </w:p>
        </w:tc>
        <w:tc>
          <w:tcPr>
            <w:tcW w:w="1606" w:type="dxa"/>
            <w:tcBorders>
              <w:top w:val="single" w:color="auto" w:sz="2" w:space="0"/>
              <w:left w:val="single" w:color="auto" w:sz="2" w:space="0"/>
              <w:bottom w:val="single" w:color="auto" w:sz="2" w:space="0"/>
              <w:right w:val="single" w:color="auto" w:sz="2" w:space="0"/>
            </w:tcBorders>
            <w:vAlign w:val="center"/>
          </w:tcPr>
          <w:p w14:paraId="005B42AB">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7FE8BE71">
            <w:pPr>
              <w:spacing w:before="0" w:after="0" w:line="240" w:lineRule="exact"/>
              <w:jc w:val="right"/>
              <w:rPr>
                <w:rFonts w:ascii="宋体" w:hAnsi="宋体" w:eastAsia="宋体" w:cs="宋体"/>
                <w:sz w:val="18"/>
                <w:szCs w:val="18"/>
              </w:rPr>
            </w:pPr>
            <w:r>
              <w:rPr>
                <w:rFonts w:ascii="宋体" w:hAnsi="宋体" w:eastAsia="宋体" w:cs="宋体"/>
                <w:sz w:val="18"/>
                <w:szCs w:val="18"/>
              </w:rPr>
              <w:t>192,452.88</w:t>
            </w:r>
          </w:p>
        </w:tc>
        <w:tc>
          <w:tcPr>
            <w:tcW w:w="1606" w:type="dxa"/>
            <w:tcBorders>
              <w:top w:val="single" w:color="auto" w:sz="2" w:space="0"/>
              <w:left w:val="single" w:color="auto" w:sz="2" w:space="0"/>
              <w:bottom w:val="single" w:color="auto" w:sz="2" w:space="0"/>
              <w:right w:val="single" w:color="auto" w:sz="2" w:space="0"/>
            </w:tcBorders>
            <w:vAlign w:val="center"/>
          </w:tcPr>
          <w:p w14:paraId="32022AA9">
            <w:pPr>
              <w:spacing w:before="0" w:after="0" w:line="240" w:lineRule="exact"/>
              <w:jc w:val="right"/>
              <w:rPr>
                <w:rFonts w:ascii="宋体" w:hAnsi="宋体" w:eastAsia="宋体" w:cs="宋体"/>
                <w:sz w:val="18"/>
                <w:szCs w:val="18"/>
              </w:rPr>
            </w:pPr>
            <w:r>
              <w:rPr>
                <w:rFonts w:ascii="宋体" w:hAnsi="宋体" w:eastAsia="宋体" w:cs="宋体"/>
                <w:sz w:val="18"/>
                <w:szCs w:val="18"/>
              </w:rPr>
              <w:t>128,301.77</w:t>
            </w:r>
          </w:p>
        </w:tc>
        <w:tc>
          <w:tcPr>
            <w:tcW w:w="1606" w:type="dxa"/>
            <w:tcBorders>
              <w:top w:val="single" w:color="auto" w:sz="2" w:space="0"/>
              <w:left w:val="single" w:color="auto" w:sz="2" w:space="0"/>
              <w:bottom w:val="single" w:color="auto" w:sz="2" w:space="0"/>
              <w:right w:val="single" w:color="auto" w:sz="2" w:space="0"/>
            </w:tcBorders>
            <w:vAlign w:val="center"/>
          </w:tcPr>
          <w:p w14:paraId="39F2CF3A">
            <w:pPr>
              <w:spacing w:before="0" w:after="0" w:line="240" w:lineRule="exact"/>
              <w:jc w:val="right"/>
              <w:rPr>
                <w:rFonts w:ascii="宋体" w:hAnsi="宋体" w:eastAsia="宋体" w:cs="宋体"/>
                <w:sz w:val="18"/>
                <w:szCs w:val="18"/>
              </w:rPr>
            </w:pPr>
          </w:p>
        </w:tc>
      </w:tr>
      <w:tr w14:paraId="69564C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01A12D0">
            <w:pPr>
              <w:spacing w:before="0" w:after="0" w:line="240" w:lineRule="exact"/>
              <w:jc w:val="left"/>
              <w:rPr>
                <w:rFonts w:ascii="宋体" w:hAnsi="宋体" w:eastAsia="宋体" w:cs="宋体"/>
                <w:sz w:val="18"/>
                <w:szCs w:val="18"/>
              </w:rPr>
            </w:pPr>
            <w:r>
              <w:rPr>
                <w:rFonts w:ascii="宋体" w:hAnsi="宋体" w:eastAsia="宋体" w:cs="宋体"/>
                <w:sz w:val="18"/>
                <w:szCs w:val="18"/>
              </w:rPr>
              <w:t>西宅村委会土地租赁费</w:t>
            </w:r>
          </w:p>
        </w:tc>
        <w:tc>
          <w:tcPr>
            <w:tcW w:w="1606" w:type="dxa"/>
            <w:tcBorders>
              <w:top w:val="single" w:color="auto" w:sz="2" w:space="0"/>
              <w:left w:val="single" w:color="auto" w:sz="2" w:space="0"/>
              <w:bottom w:val="single" w:color="auto" w:sz="2" w:space="0"/>
              <w:right w:val="single" w:color="auto" w:sz="2" w:space="0"/>
            </w:tcBorders>
            <w:vAlign w:val="center"/>
          </w:tcPr>
          <w:p w14:paraId="7E6B31DA">
            <w:pPr>
              <w:spacing w:before="0" w:after="0" w:line="240" w:lineRule="exact"/>
              <w:jc w:val="right"/>
              <w:rPr>
                <w:rFonts w:ascii="宋体" w:hAnsi="宋体" w:eastAsia="宋体" w:cs="宋体"/>
                <w:sz w:val="18"/>
                <w:szCs w:val="18"/>
              </w:rPr>
            </w:pPr>
            <w:r>
              <w:rPr>
                <w:rFonts w:ascii="宋体" w:hAnsi="宋体" w:eastAsia="宋体" w:cs="宋体"/>
                <w:sz w:val="18"/>
                <w:szCs w:val="18"/>
              </w:rPr>
              <w:t>243,333.67</w:t>
            </w:r>
          </w:p>
        </w:tc>
        <w:tc>
          <w:tcPr>
            <w:tcW w:w="1606" w:type="dxa"/>
            <w:tcBorders>
              <w:top w:val="single" w:color="auto" w:sz="2" w:space="0"/>
              <w:left w:val="single" w:color="auto" w:sz="2" w:space="0"/>
              <w:bottom w:val="single" w:color="auto" w:sz="2" w:space="0"/>
              <w:right w:val="single" w:color="auto" w:sz="2" w:space="0"/>
            </w:tcBorders>
            <w:vAlign w:val="center"/>
          </w:tcPr>
          <w:p w14:paraId="688A41CB">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57EAFF3">
            <w:pPr>
              <w:spacing w:before="0" w:after="0" w:line="240" w:lineRule="exact"/>
              <w:jc w:val="right"/>
              <w:rPr>
                <w:rFonts w:ascii="宋体" w:hAnsi="宋体" w:eastAsia="宋体" w:cs="宋体"/>
                <w:sz w:val="18"/>
                <w:szCs w:val="18"/>
              </w:rPr>
            </w:pPr>
            <w:r>
              <w:rPr>
                <w:rFonts w:ascii="宋体" w:hAnsi="宋体" w:eastAsia="宋体" w:cs="宋体"/>
                <w:sz w:val="18"/>
                <w:szCs w:val="18"/>
              </w:rPr>
              <w:t>64,999.92</w:t>
            </w:r>
          </w:p>
        </w:tc>
        <w:tc>
          <w:tcPr>
            <w:tcW w:w="1606" w:type="dxa"/>
            <w:tcBorders>
              <w:top w:val="single" w:color="auto" w:sz="2" w:space="0"/>
              <w:left w:val="single" w:color="auto" w:sz="2" w:space="0"/>
              <w:bottom w:val="single" w:color="auto" w:sz="2" w:space="0"/>
              <w:right w:val="single" w:color="auto" w:sz="2" w:space="0"/>
            </w:tcBorders>
            <w:vAlign w:val="center"/>
          </w:tcPr>
          <w:p w14:paraId="0B710EEC">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27076647">
            <w:pPr>
              <w:spacing w:before="0" w:after="0" w:line="240" w:lineRule="exact"/>
              <w:jc w:val="right"/>
              <w:rPr>
                <w:rFonts w:ascii="宋体" w:hAnsi="宋体" w:eastAsia="宋体" w:cs="宋体"/>
                <w:sz w:val="18"/>
                <w:szCs w:val="18"/>
              </w:rPr>
            </w:pPr>
            <w:r>
              <w:rPr>
                <w:rFonts w:ascii="宋体" w:hAnsi="宋体" w:eastAsia="宋体" w:cs="宋体"/>
                <w:sz w:val="18"/>
                <w:szCs w:val="18"/>
              </w:rPr>
              <w:t>178,333.75</w:t>
            </w:r>
          </w:p>
        </w:tc>
      </w:tr>
      <w:tr w14:paraId="7FAA66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C3B740E">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vAlign w:val="center"/>
          </w:tcPr>
          <w:p w14:paraId="55E30F28">
            <w:pPr>
              <w:spacing w:before="0" w:after="0" w:line="240" w:lineRule="exact"/>
              <w:jc w:val="right"/>
              <w:rPr>
                <w:rFonts w:ascii="宋体" w:hAnsi="宋体" w:eastAsia="宋体" w:cs="宋体"/>
                <w:sz w:val="18"/>
                <w:szCs w:val="18"/>
              </w:rPr>
            </w:pPr>
            <w:r>
              <w:rPr>
                <w:rFonts w:ascii="宋体" w:hAnsi="宋体" w:eastAsia="宋体" w:cs="宋体"/>
                <w:sz w:val="18"/>
                <w:szCs w:val="18"/>
              </w:rPr>
              <w:t>42,747,160.87</w:t>
            </w:r>
          </w:p>
        </w:tc>
        <w:tc>
          <w:tcPr>
            <w:tcW w:w="1606" w:type="dxa"/>
            <w:tcBorders>
              <w:top w:val="single" w:color="auto" w:sz="2" w:space="0"/>
              <w:left w:val="single" w:color="auto" w:sz="2" w:space="0"/>
              <w:bottom w:val="single" w:color="auto" w:sz="2" w:space="0"/>
              <w:right w:val="single" w:color="auto" w:sz="2" w:space="0"/>
            </w:tcBorders>
            <w:vAlign w:val="center"/>
          </w:tcPr>
          <w:p w14:paraId="68486953">
            <w:pPr>
              <w:spacing w:before="0" w:after="0" w:line="240" w:lineRule="exact"/>
              <w:jc w:val="right"/>
              <w:rPr>
                <w:rFonts w:ascii="宋体" w:hAnsi="宋体" w:eastAsia="宋体" w:cs="宋体"/>
                <w:sz w:val="18"/>
                <w:szCs w:val="18"/>
              </w:rPr>
            </w:pPr>
            <w:r>
              <w:rPr>
                <w:rFonts w:ascii="宋体" w:hAnsi="宋体" w:eastAsia="宋体" w:cs="宋体"/>
                <w:sz w:val="18"/>
                <w:szCs w:val="18"/>
              </w:rPr>
              <w:t>236,988.30</w:t>
            </w:r>
          </w:p>
        </w:tc>
        <w:tc>
          <w:tcPr>
            <w:tcW w:w="1606" w:type="dxa"/>
            <w:tcBorders>
              <w:top w:val="single" w:color="auto" w:sz="2" w:space="0"/>
              <w:left w:val="single" w:color="auto" w:sz="2" w:space="0"/>
              <w:bottom w:val="single" w:color="auto" w:sz="2" w:space="0"/>
              <w:right w:val="single" w:color="auto" w:sz="2" w:space="0"/>
            </w:tcBorders>
            <w:vAlign w:val="center"/>
          </w:tcPr>
          <w:p w14:paraId="47218B72">
            <w:pPr>
              <w:spacing w:before="0" w:after="0" w:line="240" w:lineRule="exact"/>
              <w:jc w:val="right"/>
              <w:rPr>
                <w:rFonts w:ascii="宋体" w:hAnsi="宋体" w:eastAsia="宋体" w:cs="宋体"/>
                <w:sz w:val="18"/>
                <w:szCs w:val="18"/>
              </w:rPr>
            </w:pPr>
            <w:r>
              <w:rPr>
                <w:rFonts w:ascii="宋体" w:hAnsi="宋体" w:eastAsia="宋体" w:cs="宋体"/>
                <w:sz w:val="18"/>
                <w:szCs w:val="18"/>
              </w:rPr>
              <w:t>5,913,444.82</w:t>
            </w:r>
          </w:p>
        </w:tc>
        <w:tc>
          <w:tcPr>
            <w:tcW w:w="1606" w:type="dxa"/>
            <w:tcBorders>
              <w:top w:val="single" w:color="auto" w:sz="2" w:space="0"/>
              <w:left w:val="single" w:color="auto" w:sz="2" w:space="0"/>
              <w:bottom w:val="single" w:color="auto" w:sz="2" w:space="0"/>
              <w:right w:val="single" w:color="auto" w:sz="2" w:space="0"/>
            </w:tcBorders>
            <w:vAlign w:val="center"/>
          </w:tcPr>
          <w:p w14:paraId="49678AF7">
            <w:pPr>
              <w:spacing w:before="0" w:after="0" w:line="240" w:lineRule="exact"/>
              <w:jc w:val="right"/>
              <w:rPr>
                <w:rFonts w:ascii="宋体" w:hAnsi="宋体" w:eastAsia="宋体" w:cs="宋体"/>
                <w:sz w:val="18"/>
                <w:szCs w:val="18"/>
              </w:rPr>
            </w:pPr>
            <w:r>
              <w:rPr>
                <w:rFonts w:ascii="宋体" w:hAnsi="宋体" w:eastAsia="宋体" w:cs="宋体"/>
                <w:sz w:val="18"/>
                <w:szCs w:val="18"/>
              </w:rPr>
              <w:t>128,301.77</w:t>
            </w:r>
          </w:p>
        </w:tc>
        <w:tc>
          <w:tcPr>
            <w:tcW w:w="1606" w:type="dxa"/>
            <w:tcBorders>
              <w:top w:val="single" w:color="auto" w:sz="2" w:space="0"/>
              <w:left w:val="single" w:color="auto" w:sz="2" w:space="0"/>
              <w:bottom w:val="single" w:color="auto" w:sz="2" w:space="0"/>
              <w:right w:val="single" w:color="auto" w:sz="2" w:space="0"/>
            </w:tcBorders>
            <w:vAlign w:val="center"/>
          </w:tcPr>
          <w:p w14:paraId="7237D5C8">
            <w:pPr>
              <w:spacing w:before="0" w:after="0" w:line="240" w:lineRule="exact"/>
              <w:jc w:val="right"/>
              <w:rPr>
                <w:rFonts w:ascii="宋体" w:hAnsi="宋体" w:eastAsia="宋体" w:cs="宋体"/>
                <w:sz w:val="18"/>
                <w:szCs w:val="18"/>
              </w:rPr>
            </w:pPr>
            <w:r>
              <w:rPr>
                <w:rFonts w:ascii="宋体" w:hAnsi="宋体" w:eastAsia="宋体" w:cs="宋体"/>
                <w:sz w:val="18"/>
                <w:szCs w:val="18"/>
              </w:rPr>
              <w:t>36,942,402.58</w:t>
            </w:r>
          </w:p>
        </w:tc>
      </w:tr>
    </w:tbl>
    <w:p w14:paraId="44ED5F59">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E50F5B8">
      <w:pPr>
        <w:keepNext/>
        <w:keepLines/>
        <w:spacing w:before="300" w:after="300" w:line="280" w:lineRule="exact"/>
        <w:jc w:val="left"/>
        <w:outlineLvl w:val="2"/>
        <w:rPr>
          <w:rFonts w:ascii="宋体" w:hAnsi="宋体" w:eastAsia="宋体" w:cs="宋体"/>
          <w:b/>
          <w:bCs/>
          <w:sz w:val="21"/>
          <w:szCs w:val="21"/>
        </w:rPr>
      </w:pPr>
      <w:bookmarkStart w:id="350" w:name="_Toc989237"/>
      <w:r>
        <w:rPr>
          <w:rFonts w:ascii="宋体" w:hAnsi="宋体" w:eastAsia="宋体" w:cs="宋体"/>
          <w:b/>
          <w:bCs/>
          <w:sz w:val="21"/>
          <w:szCs w:val="21"/>
        </w:rPr>
        <w:t>29、递延所得税资产/递延所得税负债</w:t>
      </w:r>
      <w:bookmarkEnd w:id="350"/>
    </w:p>
    <w:p w14:paraId="7FD72FB9">
      <w:pPr>
        <w:keepNext/>
        <w:keepLines/>
        <w:spacing w:before="300" w:after="300" w:line="280" w:lineRule="exact"/>
        <w:jc w:val="left"/>
        <w:outlineLvl w:val="3"/>
        <w:rPr>
          <w:rFonts w:ascii="宋体" w:hAnsi="宋体" w:eastAsia="宋体" w:cs="宋体"/>
          <w:b/>
          <w:bCs/>
          <w:sz w:val="21"/>
          <w:szCs w:val="21"/>
        </w:rPr>
      </w:pPr>
      <w:bookmarkStart w:id="351" w:name="_Toc989238"/>
      <w:r>
        <w:rPr>
          <w:rFonts w:ascii="宋体" w:hAnsi="宋体" w:eastAsia="宋体" w:cs="宋体"/>
          <w:b/>
          <w:bCs/>
          <w:sz w:val="21"/>
          <w:szCs w:val="21"/>
        </w:rPr>
        <w:t>（1） 未经抵销的递延所得税资产</w:t>
      </w:r>
      <w:bookmarkEnd w:id="351"/>
    </w:p>
    <w:p w14:paraId="571EC0F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1AA350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EF07E76">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254908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920C40F">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E39A1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6EAFA4C"/>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EA5219A">
            <w:pPr>
              <w:spacing w:before="40" w:after="40" w:line="240" w:lineRule="exact"/>
              <w:jc w:val="center"/>
              <w:rPr>
                <w:rFonts w:ascii="宋体" w:hAnsi="宋体" w:eastAsia="宋体" w:cs="宋体"/>
                <w:sz w:val="18"/>
                <w:szCs w:val="18"/>
              </w:rPr>
            </w:pPr>
            <w:r>
              <w:rPr>
                <w:rFonts w:ascii="宋体" w:hAnsi="宋体" w:eastAsia="宋体" w:cs="宋体"/>
                <w:sz w:val="18"/>
                <w:szCs w:val="18"/>
              </w:rPr>
              <w:t>可抵扣暂时性差异</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AD83748">
            <w:pPr>
              <w:spacing w:before="40" w:after="40" w:line="240" w:lineRule="exact"/>
              <w:jc w:val="center"/>
              <w:rPr>
                <w:rFonts w:ascii="宋体" w:hAnsi="宋体" w:eastAsia="宋体" w:cs="宋体"/>
                <w:sz w:val="18"/>
                <w:szCs w:val="18"/>
              </w:rPr>
            </w:pPr>
            <w:r>
              <w:rPr>
                <w:rFonts w:ascii="宋体" w:hAnsi="宋体" w:eastAsia="宋体" w:cs="宋体"/>
                <w:sz w:val="18"/>
                <w:szCs w:val="18"/>
              </w:rPr>
              <w:t>递延所得税资产</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2B2F279">
            <w:pPr>
              <w:spacing w:before="40" w:after="40" w:line="240" w:lineRule="exact"/>
              <w:jc w:val="center"/>
              <w:rPr>
                <w:rFonts w:ascii="宋体" w:hAnsi="宋体" w:eastAsia="宋体" w:cs="宋体"/>
                <w:sz w:val="18"/>
                <w:szCs w:val="18"/>
              </w:rPr>
            </w:pPr>
            <w:r>
              <w:rPr>
                <w:rFonts w:ascii="宋体" w:hAnsi="宋体" w:eastAsia="宋体" w:cs="宋体"/>
                <w:sz w:val="18"/>
                <w:szCs w:val="18"/>
              </w:rPr>
              <w:t>可抵扣暂时性差异</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0B2096D">
            <w:pPr>
              <w:spacing w:before="40" w:after="40" w:line="240" w:lineRule="exact"/>
              <w:jc w:val="center"/>
              <w:rPr>
                <w:rFonts w:ascii="宋体" w:hAnsi="宋体" w:eastAsia="宋体" w:cs="宋体"/>
                <w:sz w:val="18"/>
                <w:szCs w:val="18"/>
              </w:rPr>
            </w:pPr>
            <w:r>
              <w:rPr>
                <w:rFonts w:ascii="宋体" w:hAnsi="宋体" w:eastAsia="宋体" w:cs="宋体"/>
                <w:sz w:val="18"/>
                <w:szCs w:val="18"/>
              </w:rPr>
              <w:t>递延所得税资产</w:t>
            </w:r>
          </w:p>
        </w:tc>
      </w:tr>
      <w:tr w14:paraId="3E6378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7E370BF2">
            <w:pPr>
              <w:spacing w:before="0" w:after="0" w:line="240" w:lineRule="exact"/>
              <w:jc w:val="left"/>
              <w:rPr>
                <w:rFonts w:ascii="宋体" w:hAnsi="宋体" w:eastAsia="宋体" w:cs="宋体"/>
                <w:sz w:val="18"/>
                <w:szCs w:val="18"/>
              </w:rPr>
            </w:pPr>
            <w:r>
              <w:rPr>
                <w:rFonts w:ascii="宋体" w:hAnsi="宋体" w:eastAsia="宋体" w:cs="宋体"/>
                <w:sz w:val="18"/>
                <w:szCs w:val="18"/>
              </w:rPr>
              <w:t>资产减值准备</w:t>
            </w:r>
          </w:p>
        </w:tc>
        <w:tc>
          <w:tcPr>
            <w:tcW w:w="1928" w:type="dxa"/>
            <w:tcBorders>
              <w:top w:val="single" w:color="auto" w:sz="2" w:space="0"/>
              <w:left w:val="single" w:color="auto" w:sz="2" w:space="0"/>
              <w:bottom w:val="single" w:color="auto" w:sz="2" w:space="0"/>
              <w:right w:val="single" w:color="auto" w:sz="2" w:space="0"/>
            </w:tcBorders>
            <w:vAlign w:val="center"/>
          </w:tcPr>
          <w:p w14:paraId="64F92FEA">
            <w:pPr>
              <w:spacing w:before="0" w:after="0" w:line="240" w:lineRule="exact"/>
              <w:jc w:val="right"/>
              <w:rPr>
                <w:rFonts w:ascii="宋体" w:hAnsi="宋体" w:eastAsia="宋体" w:cs="宋体"/>
                <w:sz w:val="18"/>
                <w:szCs w:val="18"/>
              </w:rPr>
            </w:pPr>
            <w:r>
              <w:rPr>
                <w:rFonts w:ascii="宋体" w:hAnsi="宋体" w:eastAsia="宋体" w:cs="宋体"/>
                <w:sz w:val="18"/>
                <w:szCs w:val="18"/>
              </w:rPr>
              <w:t>3,970,965.49</w:t>
            </w:r>
          </w:p>
        </w:tc>
        <w:tc>
          <w:tcPr>
            <w:tcW w:w="1928" w:type="dxa"/>
            <w:tcBorders>
              <w:top w:val="single" w:color="auto" w:sz="2" w:space="0"/>
              <w:left w:val="single" w:color="auto" w:sz="2" w:space="0"/>
              <w:bottom w:val="single" w:color="auto" w:sz="2" w:space="0"/>
              <w:right w:val="single" w:color="auto" w:sz="2" w:space="0"/>
            </w:tcBorders>
            <w:vAlign w:val="center"/>
          </w:tcPr>
          <w:p w14:paraId="2C1A69FC">
            <w:pPr>
              <w:spacing w:before="0" w:after="0" w:line="240" w:lineRule="exact"/>
              <w:jc w:val="right"/>
              <w:rPr>
                <w:rFonts w:ascii="宋体" w:hAnsi="宋体" w:eastAsia="宋体" w:cs="宋体"/>
                <w:sz w:val="18"/>
                <w:szCs w:val="18"/>
              </w:rPr>
            </w:pPr>
            <w:r>
              <w:rPr>
                <w:rFonts w:ascii="宋体" w:hAnsi="宋体" w:eastAsia="宋体" w:cs="宋体"/>
                <w:sz w:val="18"/>
                <w:szCs w:val="18"/>
              </w:rPr>
              <w:t>992,741.38</w:t>
            </w:r>
          </w:p>
        </w:tc>
        <w:tc>
          <w:tcPr>
            <w:tcW w:w="1928" w:type="dxa"/>
            <w:tcBorders>
              <w:top w:val="single" w:color="auto" w:sz="2" w:space="0"/>
              <w:left w:val="single" w:color="auto" w:sz="2" w:space="0"/>
              <w:bottom w:val="single" w:color="auto" w:sz="2" w:space="0"/>
              <w:right w:val="single" w:color="auto" w:sz="2" w:space="0"/>
            </w:tcBorders>
            <w:vAlign w:val="center"/>
          </w:tcPr>
          <w:p w14:paraId="586AEB0B">
            <w:pPr>
              <w:spacing w:before="0" w:after="0" w:line="240" w:lineRule="exact"/>
              <w:jc w:val="right"/>
              <w:rPr>
                <w:rFonts w:ascii="宋体" w:hAnsi="宋体" w:eastAsia="宋体" w:cs="宋体"/>
                <w:sz w:val="18"/>
                <w:szCs w:val="18"/>
              </w:rPr>
            </w:pPr>
            <w:r>
              <w:rPr>
                <w:rFonts w:ascii="宋体" w:hAnsi="宋体" w:eastAsia="宋体" w:cs="宋体"/>
                <w:sz w:val="18"/>
                <w:szCs w:val="18"/>
              </w:rPr>
              <w:t>3,051,373.88</w:t>
            </w:r>
          </w:p>
        </w:tc>
        <w:tc>
          <w:tcPr>
            <w:tcW w:w="1928" w:type="dxa"/>
            <w:tcBorders>
              <w:top w:val="single" w:color="auto" w:sz="2" w:space="0"/>
              <w:left w:val="single" w:color="auto" w:sz="2" w:space="0"/>
              <w:bottom w:val="single" w:color="auto" w:sz="2" w:space="0"/>
              <w:right w:val="single" w:color="auto" w:sz="2" w:space="0"/>
            </w:tcBorders>
            <w:vAlign w:val="center"/>
          </w:tcPr>
          <w:p w14:paraId="16386897">
            <w:pPr>
              <w:spacing w:before="0" w:after="0" w:line="240" w:lineRule="exact"/>
              <w:jc w:val="right"/>
              <w:rPr>
                <w:rFonts w:ascii="宋体" w:hAnsi="宋体" w:eastAsia="宋体" w:cs="宋体"/>
                <w:sz w:val="18"/>
                <w:szCs w:val="18"/>
              </w:rPr>
            </w:pPr>
            <w:r>
              <w:rPr>
                <w:rFonts w:ascii="宋体" w:hAnsi="宋体" w:eastAsia="宋体" w:cs="宋体"/>
                <w:sz w:val="18"/>
                <w:szCs w:val="18"/>
              </w:rPr>
              <w:t>762,843.47</w:t>
            </w:r>
          </w:p>
        </w:tc>
      </w:tr>
      <w:tr w14:paraId="45C275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075D651E">
            <w:pPr>
              <w:spacing w:before="0" w:after="0" w:line="240" w:lineRule="exact"/>
              <w:jc w:val="left"/>
              <w:rPr>
                <w:rFonts w:ascii="宋体" w:hAnsi="宋体" w:eastAsia="宋体" w:cs="宋体"/>
                <w:sz w:val="18"/>
                <w:szCs w:val="18"/>
              </w:rPr>
            </w:pPr>
            <w:r>
              <w:rPr>
                <w:rFonts w:ascii="宋体" w:hAnsi="宋体" w:eastAsia="宋体" w:cs="宋体"/>
                <w:sz w:val="18"/>
                <w:szCs w:val="18"/>
              </w:rPr>
              <w:t>可抵扣亏损</w:t>
            </w:r>
          </w:p>
        </w:tc>
        <w:tc>
          <w:tcPr>
            <w:tcW w:w="1928" w:type="dxa"/>
            <w:tcBorders>
              <w:top w:val="single" w:color="auto" w:sz="2" w:space="0"/>
              <w:left w:val="single" w:color="auto" w:sz="2" w:space="0"/>
              <w:bottom w:val="single" w:color="auto" w:sz="2" w:space="0"/>
              <w:right w:val="single" w:color="auto" w:sz="2" w:space="0"/>
            </w:tcBorders>
            <w:vAlign w:val="center"/>
          </w:tcPr>
          <w:p w14:paraId="6F7053D8">
            <w:pPr>
              <w:spacing w:before="0" w:after="0" w:line="240" w:lineRule="exact"/>
              <w:jc w:val="right"/>
              <w:rPr>
                <w:rFonts w:ascii="宋体" w:hAnsi="宋体" w:eastAsia="宋体" w:cs="宋体"/>
                <w:sz w:val="18"/>
                <w:szCs w:val="18"/>
              </w:rPr>
            </w:pPr>
            <w:r>
              <w:rPr>
                <w:rFonts w:ascii="宋体" w:hAnsi="宋体" w:eastAsia="宋体" w:cs="宋体"/>
                <w:sz w:val="18"/>
                <w:szCs w:val="18"/>
              </w:rPr>
              <w:t>3,038,600.60</w:t>
            </w:r>
          </w:p>
        </w:tc>
        <w:tc>
          <w:tcPr>
            <w:tcW w:w="1928" w:type="dxa"/>
            <w:tcBorders>
              <w:top w:val="single" w:color="auto" w:sz="2" w:space="0"/>
              <w:left w:val="single" w:color="auto" w:sz="2" w:space="0"/>
              <w:bottom w:val="single" w:color="auto" w:sz="2" w:space="0"/>
              <w:right w:val="single" w:color="auto" w:sz="2" w:space="0"/>
            </w:tcBorders>
            <w:vAlign w:val="center"/>
          </w:tcPr>
          <w:p w14:paraId="4F6D8654">
            <w:pPr>
              <w:spacing w:before="0" w:after="0" w:line="240" w:lineRule="exact"/>
              <w:jc w:val="right"/>
              <w:rPr>
                <w:rFonts w:ascii="宋体" w:hAnsi="宋体" w:eastAsia="宋体" w:cs="宋体"/>
                <w:sz w:val="18"/>
                <w:szCs w:val="18"/>
              </w:rPr>
            </w:pPr>
            <w:r>
              <w:rPr>
                <w:rFonts w:ascii="宋体" w:hAnsi="宋体" w:eastAsia="宋体" w:cs="宋体"/>
                <w:sz w:val="18"/>
                <w:szCs w:val="18"/>
              </w:rPr>
              <w:t>461,207.77</w:t>
            </w:r>
          </w:p>
        </w:tc>
        <w:tc>
          <w:tcPr>
            <w:tcW w:w="1928" w:type="dxa"/>
            <w:tcBorders>
              <w:top w:val="single" w:color="auto" w:sz="2" w:space="0"/>
              <w:left w:val="single" w:color="auto" w:sz="2" w:space="0"/>
              <w:bottom w:val="single" w:color="auto" w:sz="2" w:space="0"/>
              <w:right w:val="single" w:color="auto" w:sz="2" w:space="0"/>
            </w:tcBorders>
            <w:vAlign w:val="center"/>
          </w:tcPr>
          <w:p w14:paraId="7A301F90">
            <w:pPr>
              <w:spacing w:before="0" w:after="0" w:line="240" w:lineRule="exact"/>
              <w:jc w:val="right"/>
              <w:rPr>
                <w:rFonts w:ascii="宋体" w:hAnsi="宋体" w:eastAsia="宋体" w:cs="宋体"/>
                <w:sz w:val="18"/>
                <w:szCs w:val="18"/>
              </w:rPr>
            </w:pPr>
            <w:r>
              <w:rPr>
                <w:rFonts w:ascii="宋体" w:hAnsi="宋体" w:eastAsia="宋体" w:cs="宋体"/>
                <w:sz w:val="18"/>
                <w:szCs w:val="18"/>
              </w:rPr>
              <w:t>2,016,867.63</w:t>
            </w:r>
          </w:p>
        </w:tc>
        <w:tc>
          <w:tcPr>
            <w:tcW w:w="1928" w:type="dxa"/>
            <w:tcBorders>
              <w:top w:val="single" w:color="auto" w:sz="2" w:space="0"/>
              <w:left w:val="single" w:color="auto" w:sz="2" w:space="0"/>
              <w:bottom w:val="single" w:color="auto" w:sz="2" w:space="0"/>
              <w:right w:val="single" w:color="auto" w:sz="2" w:space="0"/>
            </w:tcBorders>
            <w:vAlign w:val="center"/>
          </w:tcPr>
          <w:p w14:paraId="05EED30C">
            <w:pPr>
              <w:spacing w:before="0" w:after="0" w:line="240" w:lineRule="exact"/>
              <w:jc w:val="right"/>
              <w:rPr>
                <w:rFonts w:ascii="宋体" w:hAnsi="宋体" w:eastAsia="宋体" w:cs="宋体"/>
                <w:sz w:val="18"/>
                <w:szCs w:val="18"/>
              </w:rPr>
            </w:pPr>
            <w:r>
              <w:rPr>
                <w:rFonts w:ascii="宋体" w:hAnsi="宋体" w:eastAsia="宋体" w:cs="宋体"/>
                <w:sz w:val="18"/>
                <w:szCs w:val="18"/>
              </w:rPr>
              <w:t>302,530.14</w:t>
            </w:r>
          </w:p>
        </w:tc>
      </w:tr>
      <w:tr w14:paraId="4A5733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29B64039">
            <w:pPr>
              <w:spacing w:before="0" w:after="0" w:line="240" w:lineRule="exact"/>
              <w:jc w:val="left"/>
              <w:rPr>
                <w:rFonts w:ascii="宋体" w:hAnsi="宋体" w:eastAsia="宋体" w:cs="宋体"/>
                <w:sz w:val="18"/>
                <w:szCs w:val="18"/>
              </w:rPr>
            </w:pPr>
            <w:r>
              <w:rPr>
                <w:rFonts w:ascii="宋体" w:hAnsi="宋体" w:eastAsia="宋体" w:cs="宋体"/>
                <w:sz w:val="18"/>
                <w:szCs w:val="18"/>
              </w:rPr>
              <w:t>租赁负债</w:t>
            </w:r>
          </w:p>
        </w:tc>
        <w:tc>
          <w:tcPr>
            <w:tcW w:w="1928" w:type="dxa"/>
            <w:tcBorders>
              <w:top w:val="single" w:color="auto" w:sz="2" w:space="0"/>
              <w:left w:val="single" w:color="auto" w:sz="2" w:space="0"/>
              <w:bottom w:val="single" w:color="auto" w:sz="2" w:space="0"/>
              <w:right w:val="single" w:color="auto" w:sz="2" w:space="0"/>
            </w:tcBorders>
            <w:vAlign w:val="center"/>
          </w:tcPr>
          <w:p w14:paraId="247FECA9">
            <w:pPr>
              <w:spacing w:before="0" w:after="0" w:line="240" w:lineRule="exact"/>
              <w:jc w:val="right"/>
              <w:rPr>
                <w:rFonts w:ascii="宋体" w:hAnsi="宋体" w:eastAsia="宋体" w:cs="宋体"/>
                <w:sz w:val="18"/>
                <w:szCs w:val="18"/>
              </w:rPr>
            </w:pPr>
            <w:r>
              <w:rPr>
                <w:rFonts w:ascii="宋体" w:hAnsi="宋体" w:eastAsia="宋体" w:cs="宋体"/>
                <w:sz w:val="18"/>
                <w:szCs w:val="18"/>
              </w:rPr>
              <w:t>95,242.87</w:t>
            </w:r>
          </w:p>
        </w:tc>
        <w:tc>
          <w:tcPr>
            <w:tcW w:w="1928" w:type="dxa"/>
            <w:tcBorders>
              <w:top w:val="single" w:color="auto" w:sz="2" w:space="0"/>
              <w:left w:val="single" w:color="auto" w:sz="2" w:space="0"/>
              <w:bottom w:val="single" w:color="auto" w:sz="2" w:space="0"/>
              <w:right w:val="single" w:color="auto" w:sz="2" w:space="0"/>
            </w:tcBorders>
            <w:vAlign w:val="center"/>
          </w:tcPr>
          <w:p w14:paraId="1B5E5E1F">
            <w:pPr>
              <w:spacing w:before="0" w:after="0" w:line="240" w:lineRule="exact"/>
              <w:jc w:val="right"/>
              <w:rPr>
                <w:rFonts w:ascii="宋体" w:hAnsi="宋体" w:eastAsia="宋体" w:cs="宋体"/>
                <w:sz w:val="18"/>
                <w:szCs w:val="18"/>
              </w:rPr>
            </w:pPr>
            <w:r>
              <w:rPr>
                <w:rFonts w:ascii="宋体" w:hAnsi="宋体" w:eastAsia="宋体" w:cs="宋体"/>
                <w:sz w:val="18"/>
                <w:szCs w:val="18"/>
              </w:rPr>
              <w:t>14,286.43</w:t>
            </w:r>
          </w:p>
        </w:tc>
        <w:tc>
          <w:tcPr>
            <w:tcW w:w="1928" w:type="dxa"/>
            <w:tcBorders>
              <w:top w:val="single" w:color="auto" w:sz="2" w:space="0"/>
              <w:left w:val="single" w:color="auto" w:sz="2" w:space="0"/>
              <w:bottom w:val="single" w:color="auto" w:sz="2" w:space="0"/>
              <w:right w:val="single" w:color="auto" w:sz="2" w:space="0"/>
            </w:tcBorders>
            <w:vAlign w:val="center"/>
          </w:tcPr>
          <w:p w14:paraId="3DBB192A">
            <w:pPr>
              <w:spacing w:before="0" w:after="0" w:line="240" w:lineRule="exact"/>
              <w:jc w:val="right"/>
              <w:rPr>
                <w:rFonts w:ascii="宋体" w:hAnsi="宋体" w:eastAsia="宋体" w:cs="宋体"/>
                <w:sz w:val="18"/>
                <w:szCs w:val="18"/>
              </w:rPr>
            </w:pPr>
            <w:r>
              <w:rPr>
                <w:rFonts w:ascii="宋体" w:hAnsi="宋体" w:eastAsia="宋体" w:cs="宋体"/>
                <w:sz w:val="18"/>
                <w:szCs w:val="18"/>
              </w:rPr>
              <w:t>954,842.87</w:t>
            </w:r>
          </w:p>
        </w:tc>
        <w:tc>
          <w:tcPr>
            <w:tcW w:w="1928" w:type="dxa"/>
            <w:tcBorders>
              <w:top w:val="single" w:color="auto" w:sz="2" w:space="0"/>
              <w:left w:val="single" w:color="auto" w:sz="2" w:space="0"/>
              <w:bottom w:val="single" w:color="auto" w:sz="2" w:space="0"/>
              <w:right w:val="single" w:color="auto" w:sz="2" w:space="0"/>
            </w:tcBorders>
            <w:vAlign w:val="center"/>
          </w:tcPr>
          <w:p w14:paraId="7C7BD786">
            <w:pPr>
              <w:spacing w:before="0" w:after="0" w:line="240" w:lineRule="exact"/>
              <w:jc w:val="right"/>
              <w:rPr>
                <w:rFonts w:ascii="宋体" w:hAnsi="宋体" w:eastAsia="宋体" w:cs="宋体"/>
                <w:sz w:val="18"/>
                <w:szCs w:val="18"/>
              </w:rPr>
            </w:pPr>
            <w:r>
              <w:rPr>
                <w:rFonts w:ascii="宋体" w:hAnsi="宋体" w:eastAsia="宋体" w:cs="宋体"/>
                <w:sz w:val="18"/>
                <w:szCs w:val="18"/>
              </w:rPr>
              <w:t>89,575.38</w:t>
            </w:r>
          </w:p>
        </w:tc>
      </w:tr>
      <w:tr w14:paraId="39B629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1D71D8F">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14:paraId="2EC24CB6">
            <w:pPr>
              <w:spacing w:before="0" w:after="0" w:line="240" w:lineRule="exact"/>
              <w:jc w:val="right"/>
              <w:rPr>
                <w:rFonts w:ascii="宋体" w:hAnsi="宋体" w:eastAsia="宋体" w:cs="宋体"/>
                <w:sz w:val="18"/>
                <w:szCs w:val="18"/>
              </w:rPr>
            </w:pPr>
            <w:r>
              <w:rPr>
                <w:rFonts w:ascii="宋体" w:hAnsi="宋体" w:eastAsia="宋体" w:cs="宋体"/>
                <w:sz w:val="18"/>
                <w:szCs w:val="18"/>
              </w:rPr>
              <w:t>7,104,808.96</w:t>
            </w:r>
          </w:p>
        </w:tc>
        <w:tc>
          <w:tcPr>
            <w:tcW w:w="1928" w:type="dxa"/>
            <w:tcBorders>
              <w:top w:val="single" w:color="auto" w:sz="2" w:space="0"/>
              <w:left w:val="single" w:color="auto" w:sz="2" w:space="0"/>
              <w:bottom w:val="single" w:color="auto" w:sz="2" w:space="0"/>
              <w:right w:val="single" w:color="auto" w:sz="2" w:space="0"/>
            </w:tcBorders>
            <w:vAlign w:val="center"/>
          </w:tcPr>
          <w:p w14:paraId="27769675">
            <w:pPr>
              <w:spacing w:before="0" w:after="0" w:line="240" w:lineRule="exact"/>
              <w:jc w:val="right"/>
              <w:rPr>
                <w:rFonts w:ascii="宋体" w:hAnsi="宋体" w:eastAsia="宋体" w:cs="宋体"/>
                <w:sz w:val="18"/>
                <w:szCs w:val="18"/>
              </w:rPr>
            </w:pPr>
            <w:r>
              <w:rPr>
                <w:rFonts w:ascii="宋体" w:hAnsi="宋体" w:eastAsia="宋体" w:cs="宋体"/>
                <w:sz w:val="18"/>
                <w:szCs w:val="18"/>
              </w:rPr>
              <w:t>1,468,235.58</w:t>
            </w:r>
          </w:p>
        </w:tc>
        <w:tc>
          <w:tcPr>
            <w:tcW w:w="1928" w:type="dxa"/>
            <w:tcBorders>
              <w:top w:val="single" w:color="auto" w:sz="2" w:space="0"/>
              <w:left w:val="single" w:color="auto" w:sz="2" w:space="0"/>
              <w:bottom w:val="single" w:color="auto" w:sz="2" w:space="0"/>
              <w:right w:val="single" w:color="auto" w:sz="2" w:space="0"/>
            </w:tcBorders>
            <w:vAlign w:val="center"/>
          </w:tcPr>
          <w:p w14:paraId="76ECAB78">
            <w:pPr>
              <w:spacing w:before="0" w:after="0" w:line="240" w:lineRule="exact"/>
              <w:jc w:val="right"/>
              <w:rPr>
                <w:rFonts w:ascii="宋体" w:hAnsi="宋体" w:eastAsia="宋体" w:cs="宋体"/>
                <w:sz w:val="18"/>
                <w:szCs w:val="18"/>
              </w:rPr>
            </w:pPr>
            <w:r>
              <w:rPr>
                <w:rFonts w:ascii="宋体" w:hAnsi="宋体" w:eastAsia="宋体" w:cs="宋体"/>
                <w:sz w:val="18"/>
                <w:szCs w:val="18"/>
              </w:rPr>
              <w:t>6,023,084.38</w:t>
            </w:r>
          </w:p>
        </w:tc>
        <w:tc>
          <w:tcPr>
            <w:tcW w:w="1928" w:type="dxa"/>
            <w:tcBorders>
              <w:top w:val="single" w:color="auto" w:sz="2" w:space="0"/>
              <w:left w:val="single" w:color="auto" w:sz="2" w:space="0"/>
              <w:bottom w:val="single" w:color="auto" w:sz="2" w:space="0"/>
              <w:right w:val="single" w:color="auto" w:sz="2" w:space="0"/>
            </w:tcBorders>
            <w:vAlign w:val="center"/>
          </w:tcPr>
          <w:p w14:paraId="5443366F">
            <w:pPr>
              <w:spacing w:before="0" w:after="0" w:line="240" w:lineRule="exact"/>
              <w:jc w:val="right"/>
              <w:rPr>
                <w:rFonts w:ascii="宋体" w:hAnsi="宋体" w:eastAsia="宋体" w:cs="宋体"/>
                <w:sz w:val="18"/>
                <w:szCs w:val="18"/>
              </w:rPr>
            </w:pPr>
            <w:r>
              <w:rPr>
                <w:rFonts w:ascii="宋体" w:hAnsi="宋体" w:eastAsia="宋体" w:cs="宋体"/>
                <w:sz w:val="18"/>
                <w:szCs w:val="18"/>
              </w:rPr>
              <w:t>1,154,948.99</w:t>
            </w:r>
          </w:p>
        </w:tc>
      </w:tr>
    </w:tbl>
    <w:p w14:paraId="57EC79E2">
      <w:pPr>
        <w:keepNext/>
        <w:keepLines/>
        <w:spacing w:before="300" w:after="300" w:line="280" w:lineRule="exact"/>
        <w:jc w:val="left"/>
        <w:outlineLvl w:val="3"/>
        <w:rPr>
          <w:rFonts w:ascii="宋体" w:hAnsi="宋体" w:eastAsia="宋体" w:cs="宋体"/>
          <w:b/>
          <w:bCs/>
          <w:sz w:val="21"/>
          <w:szCs w:val="21"/>
        </w:rPr>
      </w:pPr>
      <w:bookmarkStart w:id="352" w:name="_Toc989239"/>
      <w:r>
        <w:rPr>
          <w:rFonts w:ascii="宋体" w:hAnsi="宋体" w:eastAsia="宋体" w:cs="宋体"/>
          <w:b/>
          <w:bCs/>
          <w:sz w:val="21"/>
          <w:szCs w:val="21"/>
        </w:rPr>
        <w:t>（2） 未经抵销的递延所得税负债</w:t>
      </w:r>
      <w:bookmarkEnd w:id="352"/>
    </w:p>
    <w:p w14:paraId="3BCFE6F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13082A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B95E4CD">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1BBB9D0">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B053B6B">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2E0ECA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61161C8"/>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C80FE9F">
            <w:pPr>
              <w:spacing w:before="40" w:after="40" w:line="240" w:lineRule="exact"/>
              <w:jc w:val="center"/>
              <w:rPr>
                <w:rFonts w:ascii="宋体" w:hAnsi="宋体" w:eastAsia="宋体" w:cs="宋体"/>
                <w:sz w:val="18"/>
                <w:szCs w:val="18"/>
              </w:rPr>
            </w:pPr>
            <w:r>
              <w:rPr>
                <w:rFonts w:ascii="宋体" w:hAnsi="宋体" w:eastAsia="宋体" w:cs="宋体"/>
                <w:sz w:val="18"/>
                <w:szCs w:val="18"/>
              </w:rPr>
              <w:t>应纳税暂时性差异</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119D90B">
            <w:pPr>
              <w:spacing w:before="40" w:after="40" w:line="240" w:lineRule="exact"/>
              <w:jc w:val="center"/>
              <w:rPr>
                <w:rFonts w:ascii="宋体" w:hAnsi="宋体" w:eastAsia="宋体" w:cs="宋体"/>
                <w:sz w:val="18"/>
                <w:szCs w:val="18"/>
              </w:rPr>
            </w:pPr>
            <w:r>
              <w:rPr>
                <w:rFonts w:ascii="宋体" w:hAnsi="宋体" w:eastAsia="宋体" w:cs="宋体"/>
                <w:sz w:val="18"/>
                <w:szCs w:val="18"/>
              </w:rPr>
              <w:t>递延所得税负债</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CFEA58F">
            <w:pPr>
              <w:spacing w:before="40" w:after="40" w:line="240" w:lineRule="exact"/>
              <w:jc w:val="center"/>
              <w:rPr>
                <w:rFonts w:ascii="宋体" w:hAnsi="宋体" w:eastAsia="宋体" w:cs="宋体"/>
                <w:sz w:val="18"/>
                <w:szCs w:val="18"/>
              </w:rPr>
            </w:pPr>
            <w:r>
              <w:rPr>
                <w:rFonts w:ascii="宋体" w:hAnsi="宋体" w:eastAsia="宋体" w:cs="宋体"/>
                <w:sz w:val="18"/>
                <w:szCs w:val="18"/>
              </w:rPr>
              <w:t>应纳税暂时性差异</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C7E7AB6">
            <w:pPr>
              <w:spacing w:before="40" w:after="40" w:line="240" w:lineRule="exact"/>
              <w:jc w:val="center"/>
              <w:rPr>
                <w:rFonts w:ascii="宋体" w:hAnsi="宋体" w:eastAsia="宋体" w:cs="宋体"/>
                <w:sz w:val="18"/>
                <w:szCs w:val="18"/>
              </w:rPr>
            </w:pPr>
            <w:r>
              <w:rPr>
                <w:rFonts w:ascii="宋体" w:hAnsi="宋体" w:eastAsia="宋体" w:cs="宋体"/>
                <w:sz w:val="18"/>
                <w:szCs w:val="18"/>
              </w:rPr>
              <w:t>递延所得税负债</w:t>
            </w:r>
          </w:p>
        </w:tc>
      </w:tr>
      <w:tr w14:paraId="415D7F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38FC030D">
            <w:pPr>
              <w:spacing w:before="0" w:after="0" w:line="240" w:lineRule="exact"/>
              <w:jc w:val="left"/>
              <w:rPr>
                <w:rFonts w:ascii="宋体" w:hAnsi="宋体" w:eastAsia="宋体" w:cs="宋体"/>
                <w:sz w:val="18"/>
                <w:szCs w:val="18"/>
              </w:rPr>
            </w:pPr>
            <w:r>
              <w:rPr>
                <w:rFonts w:ascii="宋体" w:hAnsi="宋体" w:eastAsia="宋体" w:cs="宋体"/>
                <w:sz w:val="18"/>
                <w:szCs w:val="18"/>
              </w:rPr>
              <w:t>非同一控制企业合并资产评估增值</w:t>
            </w:r>
          </w:p>
        </w:tc>
        <w:tc>
          <w:tcPr>
            <w:tcW w:w="1928" w:type="dxa"/>
            <w:tcBorders>
              <w:top w:val="single" w:color="auto" w:sz="2" w:space="0"/>
              <w:left w:val="single" w:color="auto" w:sz="2" w:space="0"/>
              <w:bottom w:val="single" w:color="auto" w:sz="2" w:space="0"/>
              <w:right w:val="single" w:color="auto" w:sz="2" w:space="0"/>
            </w:tcBorders>
            <w:vAlign w:val="center"/>
          </w:tcPr>
          <w:p w14:paraId="08015991">
            <w:pPr>
              <w:spacing w:before="0" w:after="0" w:line="240" w:lineRule="exact"/>
              <w:jc w:val="right"/>
              <w:rPr>
                <w:rFonts w:ascii="宋体" w:hAnsi="宋体" w:eastAsia="宋体" w:cs="宋体"/>
                <w:sz w:val="18"/>
                <w:szCs w:val="18"/>
              </w:rPr>
            </w:pPr>
            <w:r>
              <w:rPr>
                <w:rFonts w:ascii="宋体" w:hAnsi="宋体" w:eastAsia="宋体" w:cs="宋体"/>
                <w:sz w:val="18"/>
                <w:szCs w:val="18"/>
              </w:rPr>
              <w:t>8,457,094.67</w:t>
            </w:r>
          </w:p>
        </w:tc>
        <w:tc>
          <w:tcPr>
            <w:tcW w:w="1928" w:type="dxa"/>
            <w:tcBorders>
              <w:top w:val="single" w:color="auto" w:sz="2" w:space="0"/>
              <w:left w:val="single" w:color="auto" w:sz="2" w:space="0"/>
              <w:bottom w:val="single" w:color="auto" w:sz="2" w:space="0"/>
              <w:right w:val="single" w:color="auto" w:sz="2" w:space="0"/>
            </w:tcBorders>
            <w:vAlign w:val="center"/>
          </w:tcPr>
          <w:p w14:paraId="4D714D72">
            <w:pPr>
              <w:spacing w:before="0" w:after="0" w:line="240" w:lineRule="exact"/>
              <w:jc w:val="right"/>
              <w:rPr>
                <w:rFonts w:ascii="宋体" w:hAnsi="宋体" w:eastAsia="宋体" w:cs="宋体"/>
                <w:sz w:val="18"/>
                <w:szCs w:val="18"/>
              </w:rPr>
            </w:pPr>
            <w:r>
              <w:rPr>
                <w:rFonts w:ascii="宋体" w:hAnsi="宋体" w:eastAsia="宋体" w:cs="宋体"/>
                <w:sz w:val="18"/>
                <w:szCs w:val="18"/>
              </w:rPr>
              <w:t>1,268,564.20</w:t>
            </w:r>
          </w:p>
        </w:tc>
        <w:tc>
          <w:tcPr>
            <w:tcW w:w="1928" w:type="dxa"/>
            <w:tcBorders>
              <w:top w:val="single" w:color="auto" w:sz="2" w:space="0"/>
              <w:left w:val="single" w:color="auto" w:sz="2" w:space="0"/>
              <w:bottom w:val="single" w:color="auto" w:sz="2" w:space="0"/>
              <w:right w:val="single" w:color="auto" w:sz="2" w:space="0"/>
            </w:tcBorders>
            <w:vAlign w:val="center"/>
          </w:tcPr>
          <w:p w14:paraId="04AD5F97">
            <w:pPr>
              <w:spacing w:before="0" w:after="0" w:line="240" w:lineRule="exact"/>
              <w:jc w:val="right"/>
              <w:rPr>
                <w:rFonts w:ascii="宋体" w:hAnsi="宋体" w:eastAsia="宋体" w:cs="宋体"/>
                <w:sz w:val="18"/>
                <w:szCs w:val="18"/>
              </w:rPr>
            </w:pPr>
            <w:r>
              <w:rPr>
                <w:rFonts w:ascii="宋体" w:hAnsi="宋体" w:eastAsia="宋体" w:cs="宋体"/>
                <w:sz w:val="18"/>
                <w:szCs w:val="18"/>
              </w:rPr>
              <w:t>8,973,198.67</w:t>
            </w:r>
          </w:p>
        </w:tc>
        <w:tc>
          <w:tcPr>
            <w:tcW w:w="1928" w:type="dxa"/>
            <w:tcBorders>
              <w:top w:val="single" w:color="auto" w:sz="2" w:space="0"/>
              <w:left w:val="single" w:color="auto" w:sz="2" w:space="0"/>
              <w:bottom w:val="single" w:color="auto" w:sz="2" w:space="0"/>
              <w:right w:val="single" w:color="auto" w:sz="2" w:space="0"/>
            </w:tcBorders>
            <w:vAlign w:val="center"/>
          </w:tcPr>
          <w:p w14:paraId="26E75C0D">
            <w:pPr>
              <w:spacing w:before="0" w:after="0" w:line="240" w:lineRule="exact"/>
              <w:jc w:val="right"/>
              <w:rPr>
                <w:rFonts w:ascii="宋体" w:hAnsi="宋体" w:eastAsia="宋体" w:cs="宋体"/>
                <w:sz w:val="18"/>
                <w:szCs w:val="18"/>
              </w:rPr>
            </w:pPr>
            <w:r>
              <w:rPr>
                <w:rFonts w:ascii="宋体" w:hAnsi="宋体" w:eastAsia="宋体" w:cs="宋体"/>
                <w:sz w:val="18"/>
                <w:szCs w:val="18"/>
              </w:rPr>
              <w:t>1,345,979.80</w:t>
            </w:r>
          </w:p>
        </w:tc>
      </w:tr>
      <w:tr w14:paraId="7AEFE4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54944D27">
            <w:pPr>
              <w:spacing w:before="0" w:after="0" w:line="240" w:lineRule="exact"/>
              <w:jc w:val="left"/>
              <w:rPr>
                <w:rFonts w:ascii="宋体" w:hAnsi="宋体" w:eastAsia="宋体" w:cs="宋体"/>
                <w:sz w:val="18"/>
                <w:szCs w:val="18"/>
              </w:rPr>
            </w:pPr>
            <w:r>
              <w:rPr>
                <w:rFonts w:ascii="宋体" w:hAnsi="宋体" w:eastAsia="宋体" w:cs="宋体"/>
                <w:sz w:val="18"/>
                <w:szCs w:val="18"/>
              </w:rPr>
              <w:t>固定资产加速折旧</w:t>
            </w:r>
          </w:p>
        </w:tc>
        <w:tc>
          <w:tcPr>
            <w:tcW w:w="1928" w:type="dxa"/>
            <w:tcBorders>
              <w:top w:val="single" w:color="auto" w:sz="2" w:space="0"/>
              <w:left w:val="single" w:color="auto" w:sz="2" w:space="0"/>
              <w:bottom w:val="single" w:color="auto" w:sz="2" w:space="0"/>
              <w:right w:val="single" w:color="auto" w:sz="2" w:space="0"/>
            </w:tcBorders>
            <w:vAlign w:val="center"/>
          </w:tcPr>
          <w:p w14:paraId="04EE4596">
            <w:pPr>
              <w:spacing w:before="0" w:after="0" w:line="240" w:lineRule="exact"/>
              <w:jc w:val="right"/>
              <w:rPr>
                <w:rFonts w:ascii="宋体" w:hAnsi="宋体" w:eastAsia="宋体" w:cs="宋体"/>
                <w:sz w:val="18"/>
                <w:szCs w:val="18"/>
              </w:rPr>
            </w:pPr>
            <w:r>
              <w:rPr>
                <w:rFonts w:ascii="宋体" w:hAnsi="宋体" w:eastAsia="宋体" w:cs="宋体"/>
                <w:sz w:val="18"/>
                <w:szCs w:val="18"/>
              </w:rPr>
              <w:t>4,132,789.44</w:t>
            </w:r>
          </w:p>
        </w:tc>
        <w:tc>
          <w:tcPr>
            <w:tcW w:w="1928" w:type="dxa"/>
            <w:tcBorders>
              <w:top w:val="single" w:color="auto" w:sz="2" w:space="0"/>
              <w:left w:val="single" w:color="auto" w:sz="2" w:space="0"/>
              <w:bottom w:val="single" w:color="auto" w:sz="2" w:space="0"/>
              <w:right w:val="single" w:color="auto" w:sz="2" w:space="0"/>
            </w:tcBorders>
            <w:vAlign w:val="center"/>
          </w:tcPr>
          <w:p w14:paraId="271ECD2C">
            <w:pPr>
              <w:spacing w:before="0" w:after="0" w:line="240" w:lineRule="exact"/>
              <w:jc w:val="right"/>
              <w:rPr>
                <w:rFonts w:ascii="宋体" w:hAnsi="宋体" w:eastAsia="宋体" w:cs="宋体"/>
                <w:sz w:val="18"/>
                <w:szCs w:val="18"/>
              </w:rPr>
            </w:pPr>
            <w:r>
              <w:rPr>
                <w:rFonts w:ascii="宋体" w:hAnsi="宋体" w:eastAsia="宋体" w:cs="宋体"/>
                <w:sz w:val="18"/>
                <w:szCs w:val="18"/>
              </w:rPr>
              <w:t>987,762.08</w:t>
            </w:r>
          </w:p>
        </w:tc>
        <w:tc>
          <w:tcPr>
            <w:tcW w:w="1928" w:type="dxa"/>
            <w:tcBorders>
              <w:top w:val="single" w:color="auto" w:sz="2" w:space="0"/>
              <w:left w:val="single" w:color="auto" w:sz="2" w:space="0"/>
              <w:bottom w:val="single" w:color="auto" w:sz="2" w:space="0"/>
              <w:right w:val="single" w:color="auto" w:sz="2" w:space="0"/>
            </w:tcBorders>
            <w:vAlign w:val="center"/>
          </w:tcPr>
          <w:p w14:paraId="0C2E445D">
            <w:pPr>
              <w:spacing w:before="0" w:after="0" w:line="240" w:lineRule="exact"/>
              <w:jc w:val="right"/>
              <w:rPr>
                <w:rFonts w:ascii="宋体" w:hAnsi="宋体" w:eastAsia="宋体" w:cs="宋体"/>
                <w:sz w:val="18"/>
                <w:szCs w:val="18"/>
              </w:rPr>
            </w:pPr>
            <w:r>
              <w:rPr>
                <w:rFonts w:ascii="宋体" w:hAnsi="宋体" w:eastAsia="宋体" w:cs="宋体"/>
                <w:sz w:val="18"/>
                <w:szCs w:val="18"/>
              </w:rPr>
              <w:t>3,300,088.66</w:t>
            </w:r>
          </w:p>
        </w:tc>
        <w:tc>
          <w:tcPr>
            <w:tcW w:w="1928" w:type="dxa"/>
            <w:tcBorders>
              <w:top w:val="single" w:color="auto" w:sz="2" w:space="0"/>
              <w:left w:val="single" w:color="auto" w:sz="2" w:space="0"/>
              <w:bottom w:val="single" w:color="auto" w:sz="2" w:space="0"/>
              <w:right w:val="single" w:color="auto" w:sz="2" w:space="0"/>
            </w:tcBorders>
            <w:vAlign w:val="center"/>
          </w:tcPr>
          <w:p w14:paraId="3BF7F693">
            <w:pPr>
              <w:spacing w:before="0" w:after="0" w:line="240" w:lineRule="exact"/>
              <w:jc w:val="right"/>
              <w:rPr>
                <w:rFonts w:ascii="宋体" w:hAnsi="宋体" w:eastAsia="宋体" w:cs="宋体"/>
                <w:sz w:val="18"/>
                <w:szCs w:val="18"/>
              </w:rPr>
            </w:pPr>
            <w:r>
              <w:rPr>
                <w:rFonts w:ascii="宋体" w:hAnsi="宋体" w:eastAsia="宋体" w:cs="宋体"/>
                <w:sz w:val="18"/>
                <w:szCs w:val="18"/>
              </w:rPr>
              <w:t>773,382.25</w:t>
            </w:r>
          </w:p>
        </w:tc>
      </w:tr>
      <w:tr w14:paraId="140D07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6DDCC0A4">
            <w:pPr>
              <w:spacing w:before="0" w:after="0" w:line="240" w:lineRule="exact"/>
              <w:jc w:val="left"/>
              <w:rPr>
                <w:rFonts w:ascii="宋体" w:hAnsi="宋体" w:eastAsia="宋体" w:cs="宋体"/>
                <w:sz w:val="18"/>
                <w:szCs w:val="18"/>
              </w:rPr>
            </w:pPr>
            <w:r>
              <w:rPr>
                <w:rFonts w:ascii="宋体" w:hAnsi="宋体" w:eastAsia="宋体" w:cs="宋体"/>
                <w:sz w:val="18"/>
                <w:szCs w:val="18"/>
              </w:rPr>
              <w:t>使用权资产</w:t>
            </w:r>
          </w:p>
        </w:tc>
        <w:tc>
          <w:tcPr>
            <w:tcW w:w="1928" w:type="dxa"/>
            <w:tcBorders>
              <w:top w:val="single" w:color="auto" w:sz="2" w:space="0"/>
              <w:left w:val="single" w:color="auto" w:sz="2" w:space="0"/>
              <w:bottom w:val="single" w:color="auto" w:sz="2" w:space="0"/>
              <w:right w:val="single" w:color="auto" w:sz="2" w:space="0"/>
            </w:tcBorders>
            <w:vAlign w:val="center"/>
          </w:tcPr>
          <w:p w14:paraId="280BB3AC">
            <w:pPr>
              <w:spacing w:before="0" w:after="0" w:line="240" w:lineRule="exact"/>
              <w:jc w:val="right"/>
              <w:rPr>
                <w:rFonts w:ascii="宋体" w:hAnsi="宋体" w:eastAsia="宋体" w:cs="宋体"/>
                <w:sz w:val="18"/>
                <w:szCs w:val="18"/>
              </w:rPr>
            </w:pPr>
            <w:r>
              <w:rPr>
                <w:rFonts w:ascii="宋体" w:hAnsi="宋体" w:eastAsia="宋体" w:cs="宋体"/>
                <w:sz w:val="18"/>
                <w:szCs w:val="18"/>
              </w:rPr>
              <w:t>370,756.19</w:t>
            </w:r>
          </w:p>
        </w:tc>
        <w:tc>
          <w:tcPr>
            <w:tcW w:w="1928" w:type="dxa"/>
            <w:tcBorders>
              <w:top w:val="single" w:color="auto" w:sz="2" w:space="0"/>
              <w:left w:val="single" w:color="auto" w:sz="2" w:space="0"/>
              <w:bottom w:val="single" w:color="auto" w:sz="2" w:space="0"/>
              <w:right w:val="single" w:color="auto" w:sz="2" w:space="0"/>
            </w:tcBorders>
            <w:vAlign w:val="center"/>
          </w:tcPr>
          <w:p w14:paraId="30131FFC">
            <w:pPr>
              <w:spacing w:before="0" w:after="0" w:line="240" w:lineRule="exact"/>
              <w:jc w:val="right"/>
              <w:rPr>
                <w:rFonts w:ascii="宋体" w:hAnsi="宋体" w:eastAsia="宋体" w:cs="宋体"/>
                <w:sz w:val="18"/>
                <w:szCs w:val="18"/>
              </w:rPr>
            </w:pPr>
            <w:r>
              <w:rPr>
                <w:rFonts w:ascii="宋体" w:hAnsi="宋体" w:eastAsia="宋体" w:cs="宋体"/>
                <w:sz w:val="18"/>
                <w:szCs w:val="18"/>
              </w:rPr>
              <w:t>60,863.43</w:t>
            </w:r>
          </w:p>
        </w:tc>
        <w:tc>
          <w:tcPr>
            <w:tcW w:w="1928" w:type="dxa"/>
            <w:tcBorders>
              <w:top w:val="single" w:color="auto" w:sz="2" w:space="0"/>
              <w:left w:val="single" w:color="auto" w:sz="2" w:space="0"/>
              <w:bottom w:val="single" w:color="auto" w:sz="2" w:space="0"/>
              <w:right w:val="single" w:color="auto" w:sz="2" w:space="0"/>
            </w:tcBorders>
            <w:vAlign w:val="center"/>
          </w:tcPr>
          <w:p w14:paraId="17F272A9">
            <w:pPr>
              <w:spacing w:before="0" w:after="0" w:line="240" w:lineRule="exact"/>
              <w:jc w:val="right"/>
              <w:rPr>
                <w:rFonts w:ascii="宋体" w:hAnsi="宋体" w:eastAsia="宋体" w:cs="宋体"/>
                <w:sz w:val="18"/>
                <w:szCs w:val="18"/>
              </w:rPr>
            </w:pPr>
            <w:r>
              <w:rPr>
                <w:rFonts w:ascii="宋体" w:hAnsi="宋体" w:eastAsia="宋体" w:cs="宋体"/>
                <w:sz w:val="18"/>
                <w:szCs w:val="18"/>
              </w:rPr>
              <w:t>1,007,234.75</w:t>
            </w:r>
          </w:p>
        </w:tc>
        <w:tc>
          <w:tcPr>
            <w:tcW w:w="1928" w:type="dxa"/>
            <w:tcBorders>
              <w:top w:val="single" w:color="auto" w:sz="2" w:space="0"/>
              <w:left w:val="single" w:color="auto" w:sz="2" w:space="0"/>
              <w:bottom w:val="single" w:color="auto" w:sz="2" w:space="0"/>
              <w:right w:val="single" w:color="auto" w:sz="2" w:space="0"/>
            </w:tcBorders>
            <w:vAlign w:val="center"/>
          </w:tcPr>
          <w:p w14:paraId="5B6944FF">
            <w:pPr>
              <w:spacing w:before="0" w:after="0" w:line="240" w:lineRule="exact"/>
              <w:jc w:val="right"/>
              <w:rPr>
                <w:rFonts w:ascii="宋体" w:hAnsi="宋体" w:eastAsia="宋体" w:cs="宋体"/>
                <w:sz w:val="18"/>
                <w:szCs w:val="18"/>
              </w:rPr>
            </w:pPr>
            <w:r>
              <w:rPr>
                <w:rFonts w:ascii="宋体" w:hAnsi="宋体" w:eastAsia="宋体" w:cs="宋体"/>
                <w:sz w:val="18"/>
                <w:szCs w:val="18"/>
              </w:rPr>
              <w:t>177,910.74</w:t>
            </w:r>
          </w:p>
        </w:tc>
      </w:tr>
      <w:tr w14:paraId="523DD0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0AB9BF4F">
            <w:pPr>
              <w:spacing w:before="0" w:after="0" w:line="240" w:lineRule="exact"/>
              <w:jc w:val="left"/>
              <w:rPr>
                <w:rFonts w:ascii="宋体" w:hAnsi="宋体" w:eastAsia="宋体" w:cs="宋体"/>
                <w:sz w:val="18"/>
                <w:szCs w:val="18"/>
              </w:rPr>
            </w:pPr>
            <w:r>
              <w:rPr>
                <w:rFonts w:ascii="宋体" w:hAnsi="宋体" w:eastAsia="宋体" w:cs="宋体"/>
                <w:sz w:val="18"/>
                <w:szCs w:val="18"/>
              </w:rPr>
              <w:t>免租期</w:t>
            </w:r>
          </w:p>
        </w:tc>
        <w:tc>
          <w:tcPr>
            <w:tcW w:w="1928" w:type="dxa"/>
            <w:tcBorders>
              <w:top w:val="single" w:color="auto" w:sz="2" w:space="0"/>
              <w:left w:val="single" w:color="auto" w:sz="2" w:space="0"/>
              <w:bottom w:val="single" w:color="auto" w:sz="2" w:space="0"/>
              <w:right w:val="single" w:color="auto" w:sz="2" w:space="0"/>
            </w:tcBorders>
            <w:vAlign w:val="center"/>
          </w:tcPr>
          <w:p w14:paraId="3FE830E4">
            <w:pPr>
              <w:spacing w:before="0" w:after="0" w:line="240" w:lineRule="exact"/>
              <w:jc w:val="right"/>
              <w:rPr>
                <w:rFonts w:ascii="宋体" w:hAnsi="宋体" w:eastAsia="宋体" w:cs="宋体"/>
                <w:sz w:val="18"/>
                <w:szCs w:val="18"/>
              </w:rPr>
            </w:pPr>
            <w:r>
              <w:rPr>
                <w:rFonts w:ascii="宋体" w:hAnsi="宋体" w:eastAsia="宋体" w:cs="宋体"/>
                <w:sz w:val="18"/>
                <w:szCs w:val="18"/>
              </w:rPr>
              <w:t>2,320,768.67</w:t>
            </w:r>
          </w:p>
        </w:tc>
        <w:tc>
          <w:tcPr>
            <w:tcW w:w="1928" w:type="dxa"/>
            <w:tcBorders>
              <w:top w:val="single" w:color="auto" w:sz="2" w:space="0"/>
              <w:left w:val="single" w:color="auto" w:sz="2" w:space="0"/>
              <w:bottom w:val="single" w:color="auto" w:sz="2" w:space="0"/>
              <w:right w:val="single" w:color="auto" w:sz="2" w:space="0"/>
            </w:tcBorders>
            <w:vAlign w:val="center"/>
          </w:tcPr>
          <w:p w14:paraId="214E3A77">
            <w:pPr>
              <w:spacing w:before="0" w:after="0" w:line="240" w:lineRule="exact"/>
              <w:jc w:val="right"/>
              <w:rPr>
                <w:rFonts w:ascii="宋体" w:hAnsi="宋体" w:eastAsia="宋体" w:cs="宋体"/>
                <w:sz w:val="18"/>
                <w:szCs w:val="18"/>
              </w:rPr>
            </w:pPr>
            <w:r>
              <w:rPr>
                <w:rFonts w:ascii="宋体" w:hAnsi="宋体" w:eastAsia="宋体" w:cs="宋体"/>
                <w:sz w:val="18"/>
                <w:szCs w:val="18"/>
              </w:rPr>
              <w:t>348,115.31</w:t>
            </w:r>
          </w:p>
        </w:tc>
        <w:tc>
          <w:tcPr>
            <w:tcW w:w="1928" w:type="dxa"/>
            <w:tcBorders>
              <w:top w:val="single" w:color="auto" w:sz="2" w:space="0"/>
              <w:left w:val="single" w:color="auto" w:sz="2" w:space="0"/>
              <w:bottom w:val="single" w:color="auto" w:sz="2" w:space="0"/>
              <w:right w:val="single" w:color="auto" w:sz="2" w:space="0"/>
            </w:tcBorders>
            <w:vAlign w:val="center"/>
          </w:tcPr>
          <w:p w14:paraId="0C7DF9BC">
            <w:pPr>
              <w:spacing w:before="0" w:after="0" w:line="240" w:lineRule="exact"/>
              <w:jc w:val="right"/>
              <w:rPr>
                <w:rFonts w:ascii="宋体" w:hAnsi="宋体" w:eastAsia="宋体" w:cs="宋体"/>
                <w:sz w:val="18"/>
                <w:szCs w:val="18"/>
              </w:rPr>
            </w:pPr>
            <w:r>
              <w:rPr>
                <w:rFonts w:ascii="宋体" w:hAnsi="宋体" w:eastAsia="宋体" w:cs="宋体"/>
                <w:sz w:val="18"/>
                <w:szCs w:val="18"/>
              </w:rPr>
              <w:t>582,017.27</w:t>
            </w:r>
          </w:p>
        </w:tc>
        <w:tc>
          <w:tcPr>
            <w:tcW w:w="1928" w:type="dxa"/>
            <w:tcBorders>
              <w:top w:val="single" w:color="auto" w:sz="2" w:space="0"/>
              <w:left w:val="single" w:color="auto" w:sz="2" w:space="0"/>
              <w:bottom w:val="single" w:color="auto" w:sz="2" w:space="0"/>
              <w:right w:val="single" w:color="auto" w:sz="2" w:space="0"/>
            </w:tcBorders>
            <w:vAlign w:val="center"/>
          </w:tcPr>
          <w:p w14:paraId="03957DC9">
            <w:pPr>
              <w:spacing w:before="0" w:after="0" w:line="240" w:lineRule="exact"/>
              <w:jc w:val="right"/>
              <w:rPr>
                <w:rFonts w:ascii="宋体" w:hAnsi="宋体" w:eastAsia="宋体" w:cs="宋体"/>
                <w:sz w:val="18"/>
                <w:szCs w:val="18"/>
              </w:rPr>
            </w:pPr>
            <w:r>
              <w:rPr>
                <w:rFonts w:ascii="宋体" w:hAnsi="宋体" w:eastAsia="宋体" w:cs="宋体"/>
                <w:sz w:val="18"/>
                <w:szCs w:val="18"/>
              </w:rPr>
              <w:t>87,302.59</w:t>
            </w:r>
          </w:p>
        </w:tc>
      </w:tr>
      <w:tr w14:paraId="486011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680CD06">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14:paraId="79DD88AB">
            <w:pPr>
              <w:spacing w:before="0" w:after="0" w:line="240" w:lineRule="exact"/>
              <w:jc w:val="right"/>
              <w:rPr>
                <w:rFonts w:ascii="宋体" w:hAnsi="宋体" w:eastAsia="宋体" w:cs="宋体"/>
                <w:sz w:val="18"/>
                <w:szCs w:val="18"/>
              </w:rPr>
            </w:pPr>
            <w:r>
              <w:rPr>
                <w:rFonts w:ascii="宋体" w:hAnsi="宋体" w:eastAsia="宋体" w:cs="宋体"/>
                <w:sz w:val="18"/>
                <w:szCs w:val="18"/>
              </w:rPr>
              <w:t>15,281,408.97</w:t>
            </w:r>
          </w:p>
        </w:tc>
        <w:tc>
          <w:tcPr>
            <w:tcW w:w="1928" w:type="dxa"/>
            <w:tcBorders>
              <w:top w:val="single" w:color="auto" w:sz="2" w:space="0"/>
              <w:left w:val="single" w:color="auto" w:sz="2" w:space="0"/>
              <w:bottom w:val="single" w:color="auto" w:sz="2" w:space="0"/>
              <w:right w:val="single" w:color="auto" w:sz="2" w:space="0"/>
            </w:tcBorders>
            <w:vAlign w:val="center"/>
          </w:tcPr>
          <w:p w14:paraId="7C07303F">
            <w:pPr>
              <w:spacing w:before="0" w:after="0" w:line="240" w:lineRule="exact"/>
              <w:jc w:val="right"/>
              <w:rPr>
                <w:rFonts w:ascii="宋体" w:hAnsi="宋体" w:eastAsia="宋体" w:cs="宋体"/>
                <w:sz w:val="18"/>
                <w:szCs w:val="18"/>
              </w:rPr>
            </w:pPr>
            <w:r>
              <w:rPr>
                <w:rFonts w:ascii="宋体" w:hAnsi="宋体" w:eastAsia="宋体" w:cs="宋体"/>
                <w:sz w:val="18"/>
                <w:szCs w:val="18"/>
              </w:rPr>
              <w:t>2,665,305.02</w:t>
            </w:r>
          </w:p>
        </w:tc>
        <w:tc>
          <w:tcPr>
            <w:tcW w:w="1928" w:type="dxa"/>
            <w:tcBorders>
              <w:top w:val="single" w:color="auto" w:sz="2" w:space="0"/>
              <w:left w:val="single" w:color="auto" w:sz="2" w:space="0"/>
              <w:bottom w:val="single" w:color="auto" w:sz="2" w:space="0"/>
              <w:right w:val="single" w:color="auto" w:sz="2" w:space="0"/>
            </w:tcBorders>
            <w:vAlign w:val="center"/>
          </w:tcPr>
          <w:p w14:paraId="532E1025">
            <w:pPr>
              <w:spacing w:before="0" w:after="0" w:line="240" w:lineRule="exact"/>
              <w:jc w:val="right"/>
              <w:rPr>
                <w:rFonts w:ascii="宋体" w:hAnsi="宋体" w:eastAsia="宋体" w:cs="宋体"/>
                <w:sz w:val="18"/>
                <w:szCs w:val="18"/>
              </w:rPr>
            </w:pPr>
            <w:r>
              <w:rPr>
                <w:rFonts w:ascii="宋体" w:hAnsi="宋体" w:eastAsia="宋体" w:cs="宋体"/>
                <w:sz w:val="18"/>
                <w:szCs w:val="18"/>
              </w:rPr>
              <w:t>13,862,539.35</w:t>
            </w:r>
          </w:p>
        </w:tc>
        <w:tc>
          <w:tcPr>
            <w:tcW w:w="1928" w:type="dxa"/>
            <w:tcBorders>
              <w:top w:val="single" w:color="auto" w:sz="2" w:space="0"/>
              <w:left w:val="single" w:color="auto" w:sz="2" w:space="0"/>
              <w:bottom w:val="single" w:color="auto" w:sz="2" w:space="0"/>
              <w:right w:val="single" w:color="auto" w:sz="2" w:space="0"/>
            </w:tcBorders>
            <w:vAlign w:val="center"/>
          </w:tcPr>
          <w:p w14:paraId="7A008E09">
            <w:pPr>
              <w:spacing w:before="0" w:after="0" w:line="240" w:lineRule="exact"/>
              <w:jc w:val="right"/>
              <w:rPr>
                <w:rFonts w:ascii="宋体" w:hAnsi="宋体" w:eastAsia="宋体" w:cs="宋体"/>
                <w:sz w:val="18"/>
                <w:szCs w:val="18"/>
              </w:rPr>
            </w:pPr>
            <w:r>
              <w:rPr>
                <w:rFonts w:ascii="宋体" w:hAnsi="宋体" w:eastAsia="宋体" w:cs="宋体"/>
                <w:sz w:val="18"/>
                <w:szCs w:val="18"/>
              </w:rPr>
              <w:t>2,384,575.38</w:t>
            </w:r>
          </w:p>
        </w:tc>
      </w:tr>
    </w:tbl>
    <w:p w14:paraId="4CECA57B">
      <w:pPr>
        <w:keepNext/>
        <w:keepLines/>
        <w:spacing w:before="300" w:after="300" w:line="280" w:lineRule="exact"/>
        <w:jc w:val="left"/>
        <w:outlineLvl w:val="3"/>
        <w:rPr>
          <w:rFonts w:ascii="宋体" w:hAnsi="宋体" w:eastAsia="宋体" w:cs="宋体"/>
          <w:b/>
          <w:bCs/>
          <w:sz w:val="21"/>
          <w:szCs w:val="21"/>
        </w:rPr>
      </w:pPr>
      <w:bookmarkStart w:id="353" w:name="_Toc989240"/>
      <w:r>
        <w:rPr>
          <w:rFonts w:ascii="宋体" w:hAnsi="宋体" w:eastAsia="宋体" w:cs="宋体"/>
          <w:b/>
          <w:bCs/>
          <w:sz w:val="21"/>
          <w:szCs w:val="21"/>
        </w:rPr>
        <w:t>（3） 以抵销后净额列示的递延所得税资产或负债</w:t>
      </w:r>
      <w:bookmarkEnd w:id="353"/>
    </w:p>
    <w:p w14:paraId="30CEBED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1114F4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D58B63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44607DF">
            <w:pPr>
              <w:spacing w:before="40" w:after="40" w:line="240" w:lineRule="exact"/>
              <w:jc w:val="center"/>
              <w:rPr>
                <w:rFonts w:ascii="宋体" w:hAnsi="宋体" w:eastAsia="宋体" w:cs="宋体"/>
                <w:sz w:val="18"/>
                <w:szCs w:val="18"/>
              </w:rPr>
            </w:pPr>
            <w:r>
              <w:rPr>
                <w:rFonts w:ascii="宋体" w:hAnsi="宋体" w:eastAsia="宋体" w:cs="宋体"/>
                <w:sz w:val="18"/>
                <w:szCs w:val="18"/>
              </w:rPr>
              <w:t>递延所得税资产和负债期末互抵金额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2BA7987">
            <w:pPr>
              <w:spacing w:before="40" w:after="40" w:line="240" w:lineRule="exact"/>
              <w:jc w:val="center"/>
              <w:rPr>
                <w:rFonts w:ascii="宋体" w:hAnsi="宋体" w:eastAsia="宋体" w:cs="宋体"/>
                <w:sz w:val="18"/>
                <w:szCs w:val="18"/>
              </w:rPr>
            </w:pPr>
            <w:r>
              <w:rPr>
                <w:rFonts w:ascii="宋体" w:hAnsi="宋体" w:eastAsia="宋体" w:cs="宋体"/>
                <w:sz w:val="18"/>
                <w:szCs w:val="18"/>
              </w:rPr>
              <w:t>抵销后递延所得税资产或负债期末余额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DE787DA">
            <w:pPr>
              <w:spacing w:before="40" w:after="40" w:line="240" w:lineRule="exact"/>
              <w:jc w:val="center"/>
              <w:rPr>
                <w:rFonts w:ascii="宋体" w:hAnsi="宋体" w:eastAsia="宋体" w:cs="宋体"/>
                <w:sz w:val="18"/>
                <w:szCs w:val="18"/>
              </w:rPr>
            </w:pPr>
            <w:r>
              <w:rPr>
                <w:rFonts w:ascii="宋体" w:hAnsi="宋体" w:eastAsia="宋体" w:cs="宋体"/>
                <w:sz w:val="18"/>
                <w:szCs w:val="18"/>
              </w:rPr>
              <w:t>递延所得税资产和负债期初互抵金额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4FF48F9">
            <w:pPr>
              <w:spacing w:before="40" w:after="40" w:line="240" w:lineRule="exact"/>
              <w:jc w:val="center"/>
              <w:rPr>
                <w:rFonts w:ascii="宋体" w:hAnsi="宋体" w:eastAsia="宋体" w:cs="宋体"/>
                <w:sz w:val="18"/>
                <w:szCs w:val="18"/>
              </w:rPr>
            </w:pPr>
            <w:r>
              <w:rPr>
                <w:rFonts w:ascii="宋体" w:hAnsi="宋体" w:eastAsia="宋体" w:cs="宋体"/>
                <w:sz w:val="18"/>
                <w:szCs w:val="18"/>
              </w:rPr>
              <w:t>抵销后递延所得税资产或负债期初余额</w:t>
            </w:r>
          </w:p>
        </w:tc>
      </w:tr>
      <w:tr w14:paraId="64F5BB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469E0BB">
            <w:pPr>
              <w:spacing w:before="40" w:after="40" w:line="240" w:lineRule="exact"/>
              <w:jc w:val="left"/>
              <w:rPr>
                <w:rFonts w:ascii="宋体" w:hAnsi="宋体" w:eastAsia="宋体" w:cs="宋体"/>
                <w:sz w:val="18"/>
                <w:szCs w:val="18"/>
              </w:rPr>
            </w:pPr>
            <w:r>
              <w:rPr>
                <w:rFonts w:ascii="宋体" w:hAnsi="宋体" w:eastAsia="宋体" w:cs="宋体"/>
                <w:sz w:val="18"/>
                <w:szCs w:val="18"/>
              </w:rPr>
              <w:t>递延所得税资产</w:t>
            </w:r>
          </w:p>
        </w:tc>
        <w:tc>
          <w:tcPr>
            <w:tcW w:w="1928" w:type="dxa"/>
            <w:tcBorders>
              <w:top w:val="single" w:color="auto" w:sz="2" w:space="0"/>
              <w:left w:val="single" w:color="auto" w:sz="2" w:space="0"/>
              <w:bottom w:val="single" w:color="auto" w:sz="2" w:space="0"/>
              <w:right w:val="single" w:color="auto" w:sz="2" w:space="0"/>
            </w:tcBorders>
            <w:vAlign w:val="center"/>
          </w:tcPr>
          <w:p w14:paraId="0E246DE8">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23DDB0E0">
            <w:pPr>
              <w:spacing w:before="0" w:after="0" w:line="240" w:lineRule="exact"/>
              <w:jc w:val="right"/>
              <w:rPr>
                <w:rFonts w:ascii="宋体" w:hAnsi="宋体" w:eastAsia="宋体" w:cs="宋体"/>
                <w:sz w:val="18"/>
                <w:szCs w:val="18"/>
              </w:rPr>
            </w:pPr>
            <w:r>
              <w:rPr>
                <w:rFonts w:ascii="宋体" w:hAnsi="宋体" w:eastAsia="宋体" w:cs="宋体"/>
                <w:sz w:val="18"/>
                <w:szCs w:val="18"/>
              </w:rPr>
              <w:t>1,468,235.58</w:t>
            </w:r>
          </w:p>
        </w:tc>
        <w:tc>
          <w:tcPr>
            <w:tcW w:w="1928" w:type="dxa"/>
            <w:tcBorders>
              <w:top w:val="single" w:color="auto" w:sz="2" w:space="0"/>
              <w:left w:val="single" w:color="auto" w:sz="2" w:space="0"/>
              <w:bottom w:val="single" w:color="auto" w:sz="2" w:space="0"/>
              <w:right w:val="single" w:color="auto" w:sz="2" w:space="0"/>
            </w:tcBorders>
            <w:vAlign w:val="center"/>
          </w:tcPr>
          <w:p w14:paraId="332FBE30">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4486298E">
            <w:pPr>
              <w:spacing w:before="0" w:after="0" w:line="240" w:lineRule="exact"/>
              <w:jc w:val="right"/>
              <w:rPr>
                <w:rFonts w:ascii="宋体" w:hAnsi="宋体" w:eastAsia="宋体" w:cs="宋体"/>
                <w:sz w:val="18"/>
                <w:szCs w:val="18"/>
              </w:rPr>
            </w:pPr>
            <w:r>
              <w:rPr>
                <w:rFonts w:ascii="宋体" w:hAnsi="宋体" w:eastAsia="宋体" w:cs="宋体"/>
                <w:sz w:val="18"/>
                <w:szCs w:val="18"/>
              </w:rPr>
              <w:t>1,154,948.99</w:t>
            </w:r>
          </w:p>
        </w:tc>
      </w:tr>
      <w:tr w14:paraId="186F21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BBBE9C5">
            <w:pPr>
              <w:spacing w:before="40" w:after="40" w:line="240" w:lineRule="exact"/>
              <w:jc w:val="left"/>
              <w:rPr>
                <w:rFonts w:ascii="宋体" w:hAnsi="宋体" w:eastAsia="宋体" w:cs="宋体"/>
                <w:sz w:val="18"/>
                <w:szCs w:val="18"/>
              </w:rPr>
            </w:pPr>
            <w:r>
              <w:rPr>
                <w:rFonts w:ascii="宋体" w:hAnsi="宋体" w:eastAsia="宋体" w:cs="宋体"/>
                <w:sz w:val="18"/>
                <w:szCs w:val="18"/>
              </w:rPr>
              <w:t>递延所得税负债</w:t>
            </w:r>
          </w:p>
        </w:tc>
        <w:tc>
          <w:tcPr>
            <w:tcW w:w="1928" w:type="dxa"/>
            <w:tcBorders>
              <w:top w:val="single" w:color="auto" w:sz="2" w:space="0"/>
              <w:left w:val="single" w:color="auto" w:sz="2" w:space="0"/>
              <w:bottom w:val="single" w:color="auto" w:sz="2" w:space="0"/>
              <w:right w:val="single" w:color="auto" w:sz="2" w:space="0"/>
            </w:tcBorders>
            <w:vAlign w:val="center"/>
          </w:tcPr>
          <w:p w14:paraId="1D59DA90">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6B709F62">
            <w:pPr>
              <w:spacing w:before="0" w:after="0" w:line="240" w:lineRule="exact"/>
              <w:jc w:val="right"/>
              <w:rPr>
                <w:rFonts w:ascii="宋体" w:hAnsi="宋体" w:eastAsia="宋体" w:cs="宋体"/>
                <w:sz w:val="18"/>
                <w:szCs w:val="18"/>
              </w:rPr>
            </w:pPr>
            <w:r>
              <w:rPr>
                <w:rFonts w:ascii="宋体" w:hAnsi="宋体" w:eastAsia="宋体" w:cs="宋体"/>
                <w:sz w:val="18"/>
                <w:szCs w:val="18"/>
              </w:rPr>
              <w:t>2,665,305.02</w:t>
            </w:r>
          </w:p>
        </w:tc>
        <w:tc>
          <w:tcPr>
            <w:tcW w:w="1928" w:type="dxa"/>
            <w:tcBorders>
              <w:top w:val="single" w:color="auto" w:sz="2" w:space="0"/>
              <w:left w:val="single" w:color="auto" w:sz="2" w:space="0"/>
              <w:bottom w:val="single" w:color="auto" w:sz="2" w:space="0"/>
              <w:right w:val="single" w:color="auto" w:sz="2" w:space="0"/>
            </w:tcBorders>
            <w:vAlign w:val="center"/>
          </w:tcPr>
          <w:p w14:paraId="3D2D7298">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09ACBA0D">
            <w:pPr>
              <w:spacing w:before="0" w:after="0" w:line="240" w:lineRule="exact"/>
              <w:jc w:val="right"/>
              <w:rPr>
                <w:rFonts w:ascii="宋体" w:hAnsi="宋体" w:eastAsia="宋体" w:cs="宋体"/>
                <w:sz w:val="18"/>
                <w:szCs w:val="18"/>
              </w:rPr>
            </w:pPr>
            <w:r>
              <w:rPr>
                <w:rFonts w:ascii="宋体" w:hAnsi="宋体" w:eastAsia="宋体" w:cs="宋体"/>
                <w:sz w:val="18"/>
                <w:szCs w:val="18"/>
              </w:rPr>
              <w:t>2,384,575.38</w:t>
            </w:r>
          </w:p>
        </w:tc>
      </w:tr>
    </w:tbl>
    <w:p w14:paraId="17D95710">
      <w:pPr>
        <w:keepNext/>
        <w:keepLines/>
        <w:spacing w:before="300" w:after="300" w:line="280" w:lineRule="exact"/>
        <w:jc w:val="left"/>
        <w:outlineLvl w:val="3"/>
        <w:rPr>
          <w:rFonts w:ascii="宋体" w:hAnsi="宋体" w:eastAsia="宋体" w:cs="宋体"/>
          <w:b/>
          <w:bCs/>
          <w:sz w:val="21"/>
          <w:szCs w:val="21"/>
        </w:rPr>
      </w:pPr>
      <w:bookmarkStart w:id="354" w:name="_Toc989241"/>
      <w:r>
        <w:rPr>
          <w:rFonts w:ascii="宋体" w:hAnsi="宋体" w:eastAsia="宋体" w:cs="宋体"/>
          <w:b/>
          <w:bCs/>
          <w:sz w:val="21"/>
          <w:szCs w:val="21"/>
        </w:rPr>
        <w:t>（4） 未确认递延所得税资产明细</w:t>
      </w:r>
      <w:bookmarkEnd w:id="354"/>
    </w:p>
    <w:p w14:paraId="6BBC3E9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167F6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6FF357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4E0BDF1">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DB79138">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05C24A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E03D5E5">
            <w:pPr>
              <w:spacing w:before="0" w:after="0" w:line="240" w:lineRule="exact"/>
              <w:jc w:val="left"/>
              <w:rPr>
                <w:rFonts w:ascii="宋体" w:hAnsi="宋体" w:eastAsia="宋体" w:cs="宋体"/>
                <w:sz w:val="18"/>
                <w:szCs w:val="18"/>
              </w:rPr>
            </w:pPr>
            <w:r>
              <w:rPr>
                <w:rFonts w:ascii="宋体" w:hAnsi="宋体" w:eastAsia="宋体" w:cs="宋体"/>
                <w:sz w:val="18"/>
                <w:szCs w:val="18"/>
              </w:rPr>
              <w:t>可抵扣亏损</w:t>
            </w:r>
          </w:p>
        </w:tc>
        <w:tc>
          <w:tcPr>
            <w:tcW w:w="3213" w:type="dxa"/>
            <w:tcBorders>
              <w:top w:val="single" w:color="auto" w:sz="2" w:space="0"/>
              <w:left w:val="single" w:color="auto" w:sz="2" w:space="0"/>
              <w:bottom w:val="single" w:color="auto" w:sz="2" w:space="0"/>
              <w:right w:val="single" w:color="auto" w:sz="2" w:space="0"/>
            </w:tcBorders>
            <w:vAlign w:val="center"/>
          </w:tcPr>
          <w:p w14:paraId="263DFB2B">
            <w:pPr>
              <w:spacing w:before="0" w:after="0" w:line="240" w:lineRule="exact"/>
              <w:jc w:val="right"/>
              <w:rPr>
                <w:rFonts w:ascii="宋体" w:hAnsi="宋体" w:eastAsia="宋体" w:cs="宋体"/>
                <w:sz w:val="18"/>
                <w:szCs w:val="18"/>
              </w:rPr>
            </w:pPr>
            <w:r>
              <w:rPr>
                <w:rFonts w:ascii="宋体" w:hAnsi="宋体" w:eastAsia="宋体" w:cs="宋体"/>
                <w:sz w:val="18"/>
                <w:szCs w:val="18"/>
              </w:rPr>
              <w:t>864,095,328.12</w:t>
            </w:r>
          </w:p>
        </w:tc>
        <w:tc>
          <w:tcPr>
            <w:tcW w:w="3213" w:type="dxa"/>
            <w:tcBorders>
              <w:top w:val="single" w:color="auto" w:sz="2" w:space="0"/>
              <w:left w:val="single" w:color="auto" w:sz="2" w:space="0"/>
              <w:bottom w:val="single" w:color="auto" w:sz="2" w:space="0"/>
              <w:right w:val="single" w:color="auto" w:sz="2" w:space="0"/>
            </w:tcBorders>
            <w:vAlign w:val="center"/>
          </w:tcPr>
          <w:p w14:paraId="76195120">
            <w:pPr>
              <w:spacing w:before="0" w:after="0" w:line="240" w:lineRule="exact"/>
              <w:jc w:val="right"/>
              <w:rPr>
                <w:rFonts w:ascii="宋体" w:hAnsi="宋体" w:eastAsia="宋体" w:cs="宋体"/>
                <w:sz w:val="18"/>
                <w:szCs w:val="18"/>
              </w:rPr>
            </w:pPr>
            <w:r>
              <w:rPr>
                <w:rFonts w:ascii="宋体" w:hAnsi="宋体" w:eastAsia="宋体" w:cs="宋体"/>
                <w:sz w:val="18"/>
                <w:szCs w:val="18"/>
              </w:rPr>
              <w:t>723,635,273.22</w:t>
            </w:r>
          </w:p>
        </w:tc>
      </w:tr>
      <w:tr w14:paraId="11620C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099F9DC">
            <w:pPr>
              <w:spacing w:before="0" w:after="0" w:line="240" w:lineRule="exact"/>
              <w:jc w:val="left"/>
              <w:rPr>
                <w:rFonts w:ascii="宋体" w:hAnsi="宋体" w:eastAsia="宋体" w:cs="宋体"/>
                <w:sz w:val="18"/>
                <w:szCs w:val="18"/>
              </w:rPr>
            </w:pPr>
            <w:r>
              <w:rPr>
                <w:rFonts w:ascii="宋体" w:hAnsi="宋体" w:eastAsia="宋体" w:cs="宋体"/>
                <w:sz w:val="18"/>
                <w:szCs w:val="18"/>
              </w:rPr>
              <w:t>资产减值准备</w:t>
            </w:r>
          </w:p>
        </w:tc>
        <w:tc>
          <w:tcPr>
            <w:tcW w:w="3213" w:type="dxa"/>
            <w:tcBorders>
              <w:top w:val="single" w:color="auto" w:sz="2" w:space="0"/>
              <w:left w:val="single" w:color="auto" w:sz="2" w:space="0"/>
              <w:bottom w:val="single" w:color="auto" w:sz="2" w:space="0"/>
              <w:right w:val="single" w:color="auto" w:sz="2" w:space="0"/>
            </w:tcBorders>
            <w:vAlign w:val="center"/>
          </w:tcPr>
          <w:p w14:paraId="37EB2C5F">
            <w:pPr>
              <w:spacing w:before="0" w:after="0" w:line="240" w:lineRule="exact"/>
              <w:jc w:val="right"/>
              <w:rPr>
                <w:rFonts w:ascii="宋体" w:hAnsi="宋体" w:eastAsia="宋体" w:cs="宋体"/>
                <w:sz w:val="18"/>
                <w:szCs w:val="18"/>
              </w:rPr>
            </w:pPr>
            <w:r>
              <w:rPr>
                <w:rFonts w:ascii="宋体" w:hAnsi="宋体" w:eastAsia="宋体" w:cs="宋体"/>
                <w:sz w:val="18"/>
                <w:szCs w:val="18"/>
              </w:rPr>
              <w:t>85,353,014.04</w:t>
            </w:r>
          </w:p>
        </w:tc>
        <w:tc>
          <w:tcPr>
            <w:tcW w:w="3213" w:type="dxa"/>
            <w:tcBorders>
              <w:top w:val="single" w:color="auto" w:sz="2" w:space="0"/>
              <w:left w:val="single" w:color="auto" w:sz="2" w:space="0"/>
              <w:bottom w:val="single" w:color="auto" w:sz="2" w:space="0"/>
              <w:right w:val="single" w:color="auto" w:sz="2" w:space="0"/>
            </w:tcBorders>
            <w:vAlign w:val="center"/>
          </w:tcPr>
          <w:p w14:paraId="585D4D98">
            <w:pPr>
              <w:spacing w:before="0" w:after="0" w:line="240" w:lineRule="exact"/>
              <w:jc w:val="right"/>
              <w:rPr>
                <w:rFonts w:ascii="宋体" w:hAnsi="宋体" w:eastAsia="宋体" w:cs="宋体"/>
                <w:sz w:val="18"/>
                <w:szCs w:val="18"/>
              </w:rPr>
            </w:pPr>
            <w:r>
              <w:rPr>
                <w:rFonts w:ascii="宋体" w:hAnsi="宋体" w:eastAsia="宋体" w:cs="宋体"/>
                <w:sz w:val="18"/>
                <w:szCs w:val="18"/>
              </w:rPr>
              <w:t>23,063,460.67</w:t>
            </w:r>
          </w:p>
        </w:tc>
      </w:tr>
      <w:tr w14:paraId="59711B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356DD26">
            <w:pPr>
              <w:spacing w:before="0" w:after="0" w:line="240" w:lineRule="exact"/>
              <w:jc w:val="left"/>
              <w:rPr>
                <w:rFonts w:ascii="宋体" w:hAnsi="宋体" w:eastAsia="宋体" w:cs="宋体"/>
                <w:sz w:val="18"/>
                <w:szCs w:val="18"/>
              </w:rPr>
            </w:pPr>
            <w:r>
              <w:rPr>
                <w:rFonts w:ascii="宋体" w:hAnsi="宋体" w:eastAsia="宋体" w:cs="宋体"/>
                <w:sz w:val="18"/>
                <w:szCs w:val="18"/>
              </w:rPr>
              <w:t>预提费用</w:t>
            </w:r>
          </w:p>
        </w:tc>
        <w:tc>
          <w:tcPr>
            <w:tcW w:w="3213" w:type="dxa"/>
            <w:tcBorders>
              <w:top w:val="single" w:color="auto" w:sz="2" w:space="0"/>
              <w:left w:val="single" w:color="auto" w:sz="2" w:space="0"/>
              <w:bottom w:val="single" w:color="auto" w:sz="2" w:space="0"/>
              <w:right w:val="single" w:color="auto" w:sz="2" w:space="0"/>
            </w:tcBorders>
            <w:vAlign w:val="center"/>
          </w:tcPr>
          <w:p w14:paraId="5E7FAAF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A3BD9FA">
            <w:pPr>
              <w:spacing w:before="0" w:after="0" w:line="240" w:lineRule="exact"/>
              <w:jc w:val="right"/>
              <w:rPr>
                <w:rFonts w:ascii="宋体" w:hAnsi="宋体" w:eastAsia="宋体" w:cs="宋体"/>
                <w:sz w:val="18"/>
                <w:szCs w:val="18"/>
              </w:rPr>
            </w:pPr>
            <w:r>
              <w:rPr>
                <w:rFonts w:ascii="宋体" w:hAnsi="宋体" w:eastAsia="宋体" w:cs="宋体"/>
                <w:sz w:val="18"/>
                <w:szCs w:val="18"/>
              </w:rPr>
              <w:t>27,524,715.19</w:t>
            </w:r>
          </w:p>
        </w:tc>
      </w:tr>
      <w:tr w14:paraId="6CDB99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711A963">
            <w:pPr>
              <w:spacing w:before="0" w:after="0" w:line="240" w:lineRule="exact"/>
              <w:jc w:val="left"/>
              <w:rPr>
                <w:rFonts w:ascii="宋体" w:hAnsi="宋体" w:eastAsia="宋体" w:cs="宋体"/>
                <w:sz w:val="18"/>
                <w:szCs w:val="18"/>
              </w:rPr>
            </w:pPr>
            <w:r>
              <w:rPr>
                <w:rFonts w:ascii="宋体" w:hAnsi="宋体" w:eastAsia="宋体" w:cs="宋体"/>
                <w:sz w:val="18"/>
                <w:szCs w:val="18"/>
              </w:rPr>
              <w:t>政府补助</w:t>
            </w:r>
          </w:p>
        </w:tc>
        <w:tc>
          <w:tcPr>
            <w:tcW w:w="3213" w:type="dxa"/>
            <w:tcBorders>
              <w:top w:val="single" w:color="auto" w:sz="2" w:space="0"/>
              <w:left w:val="single" w:color="auto" w:sz="2" w:space="0"/>
              <w:bottom w:val="single" w:color="auto" w:sz="2" w:space="0"/>
              <w:right w:val="single" w:color="auto" w:sz="2" w:space="0"/>
            </w:tcBorders>
            <w:vAlign w:val="center"/>
          </w:tcPr>
          <w:p w14:paraId="3EF309E7">
            <w:pPr>
              <w:spacing w:before="0" w:after="0" w:line="240" w:lineRule="exact"/>
              <w:jc w:val="right"/>
              <w:rPr>
                <w:rFonts w:ascii="宋体" w:hAnsi="宋体" w:eastAsia="宋体" w:cs="宋体"/>
                <w:sz w:val="18"/>
                <w:szCs w:val="18"/>
              </w:rPr>
            </w:pPr>
            <w:r>
              <w:rPr>
                <w:rFonts w:ascii="宋体" w:hAnsi="宋体" w:eastAsia="宋体" w:cs="宋体"/>
                <w:sz w:val="18"/>
                <w:szCs w:val="18"/>
              </w:rPr>
              <w:t>41,907,210.24</w:t>
            </w:r>
          </w:p>
        </w:tc>
        <w:tc>
          <w:tcPr>
            <w:tcW w:w="3213" w:type="dxa"/>
            <w:tcBorders>
              <w:top w:val="single" w:color="auto" w:sz="2" w:space="0"/>
              <w:left w:val="single" w:color="auto" w:sz="2" w:space="0"/>
              <w:bottom w:val="single" w:color="auto" w:sz="2" w:space="0"/>
              <w:right w:val="single" w:color="auto" w:sz="2" w:space="0"/>
            </w:tcBorders>
            <w:vAlign w:val="center"/>
          </w:tcPr>
          <w:p w14:paraId="306B9C18">
            <w:pPr>
              <w:spacing w:before="0" w:after="0" w:line="240" w:lineRule="exact"/>
              <w:jc w:val="right"/>
              <w:rPr>
                <w:rFonts w:ascii="宋体" w:hAnsi="宋体" w:eastAsia="宋体" w:cs="宋体"/>
                <w:sz w:val="18"/>
                <w:szCs w:val="18"/>
              </w:rPr>
            </w:pPr>
            <w:r>
              <w:rPr>
                <w:rFonts w:ascii="宋体" w:hAnsi="宋体" w:eastAsia="宋体" w:cs="宋体"/>
                <w:sz w:val="18"/>
                <w:szCs w:val="18"/>
              </w:rPr>
              <w:t>13,397,304.49</w:t>
            </w:r>
          </w:p>
        </w:tc>
      </w:tr>
      <w:tr w14:paraId="2401FA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C2261E8">
            <w:pPr>
              <w:spacing w:before="0" w:after="0" w:line="240" w:lineRule="exact"/>
              <w:jc w:val="left"/>
              <w:rPr>
                <w:rFonts w:ascii="宋体" w:hAnsi="宋体" w:eastAsia="宋体" w:cs="宋体"/>
                <w:sz w:val="18"/>
                <w:szCs w:val="18"/>
              </w:rPr>
            </w:pPr>
            <w:r>
              <w:rPr>
                <w:rFonts w:ascii="宋体" w:hAnsi="宋体" w:eastAsia="宋体" w:cs="宋体"/>
                <w:sz w:val="18"/>
                <w:szCs w:val="18"/>
              </w:rPr>
              <w:t>无形资产摊销税会差异</w:t>
            </w:r>
          </w:p>
        </w:tc>
        <w:tc>
          <w:tcPr>
            <w:tcW w:w="3213" w:type="dxa"/>
            <w:tcBorders>
              <w:top w:val="single" w:color="auto" w:sz="2" w:space="0"/>
              <w:left w:val="single" w:color="auto" w:sz="2" w:space="0"/>
              <w:bottom w:val="single" w:color="auto" w:sz="2" w:space="0"/>
              <w:right w:val="single" w:color="auto" w:sz="2" w:space="0"/>
            </w:tcBorders>
            <w:vAlign w:val="center"/>
          </w:tcPr>
          <w:p w14:paraId="569147E4">
            <w:pPr>
              <w:spacing w:before="0" w:after="0" w:line="240" w:lineRule="exact"/>
              <w:jc w:val="right"/>
              <w:rPr>
                <w:rFonts w:ascii="宋体" w:hAnsi="宋体" w:eastAsia="宋体" w:cs="宋体"/>
                <w:sz w:val="18"/>
                <w:szCs w:val="18"/>
              </w:rPr>
            </w:pPr>
            <w:r>
              <w:rPr>
                <w:rFonts w:ascii="宋体" w:hAnsi="宋体" w:eastAsia="宋体" w:cs="宋体"/>
                <w:sz w:val="18"/>
                <w:szCs w:val="18"/>
              </w:rPr>
              <w:t>35,293,389.51</w:t>
            </w:r>
          </w:p>
        </w:tc>
        <w:tc>
          <w:tcPr>
            <w:tcW w:w="3213" w:type="dxa"/>
            <w:tcBorders>
              <w:top w:val="single" w:color="auto" w:sz="2" w:space="0"/>
              <w:left w:val="single" w:color="auto" w:sz="2" w:space="0"/>
              <w:bottom w:val="single" w:color="auto" w:sz="2" w:space="0"/>
              <w:right w:val="single" w:color="auto" w:sz="2" w:space="0"/>
            </w:tcBorders>
            <w:vAlign w:val="center"/>
          </w:tcPr>
          <w:p w14:paraId="7999BFE2">
            <w:pPr>
              <w:spacing w:before="0" w:after="0" w:line="240" w:lineRule="exact"/>
              <w:jc w:val="right"/>
              <w:rPr>
                <w:rFonts w:ascii="宋体" w:hAnsi="宋体" w:eastAsia="宋体" w:cs="宋体"/>
                <w:sz w:val="18"/>
                <w:szCs w:val="18"/>
              </w:rPr>
            </w:pPr>
            <w:r>
              <w:rPr>
                <w:rFonts w:ascii="宋体" w:hAnsi="宋体" w:eastAsia="宋体" w:cs="宋体"/>
                <w:sz w:val="18"/>
                <w:szCs w:val="18"/>
              </w:rPr>
              <w:t>31,373,995.79</w:t>
            </w:r>
          </w:p>
        </w:tc>
      </w:tr>
      <w:tr w14:paraId="7D154B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0CD216F">
            <w:pPr>
              <w:spacing w:before="0" w:after="0" w:line="240" w:lineRule="exact"/>
              <w:jc w:val="left"/>
              <w:rPr>
                <w:rFonts w:ascii="宋体" w:hAnsi="宋体" w:eastAsia="宋体" w:cs="宋体"/>
                <w:sz w:val="18"/>
                <w:szCs w:val="18"/>
              </w:rPr>
            </w:pPr>
            <w:r>
              <w:rPr>
                <w:rFonts w:ascii="宋体" w:hAnsi="宋体" w:eastAsia="宋体" w:cs="宋体"/>
                <w:sz w:val="18"/>
                <w:szCs w:val="18"/>
              </w:rPr>
              <w:t>可以结转以后年度税前扣除的公益性捐赠</w:t>
            </w:r>
          </w:p>
        </w:tc>
        <w:tc>
          <w:tcPr>
            <w:tcW w:w="3213" w:type="dxa"/>
            <w:tcBorders>
              <w:top w:val="single" w:color="auto" w:sz="2" w:space="0"/>
              <w:left w:val="single" w:color="auto" w:sz="2" w:space="0"/>
              <w:bottom w:val="single" w:color="auto" w:sz="2" w:space="0"/>
              <w:right w:val="single" w:color="auto" w:sz="2" w:space="0"/>
            </w:tcBorders>
            <w:vAlign w:val="center"/>
          </w:tcPr>
          <w:p w14:paraId="3843E01D">
            <w:pPr>
              <w:spacing w:before="0" w:after="0" w:line="240" w:lineRule="exact"/>
              <w:jc w:val="right"/>
              <w:rPr>
                <w:rFonts w:ascii="宋体" w:hAnsi="宋体" w:eastAsia="宋体" w:cs="宋体"/>
                <w:sz w:val="18"/>
                <w:szCs w:val="18"/>
              </w:rPr>
            </w:pPr>
            <w:r>
              <w:rPr>
                <w:rFonts w:ascii="宋体" w:hAnsi="宋体" w:eastAsia="宋体" w:cs="宋体"/>
                <w:sz w:val="18"/>
                <w:szCs w:val="18"/>
              </w:rPr>
              <w:t>5,011,325.01</w:t>
            </w:r>
          </w:p>
        </w:tc>
        <w:tc>
          <w:tcPr>
            <w:tcW w:w="3213" w:type="dxa"/>
            <w:tcBorders>
              <w:top w:val="single" w:color="auto" w:sz="2" w:space="0"/>
              <w:left w:val="single" w:color="auto" w:sz="2" w:space="0"/>
              <w:bottom w:val="single" w:color="auto" w:sz="2" w:space="0"/>
              <w:right w:val="single" w:color="auto" w:sz="2" w:space="0"/>
            </w:tcBorders>
            <w:vAlign w:val="center"/>
          </w:tcPr>
          <w:p w14:paraId="6D1832B4">
            <w:pPr>
              <w:spacing w:before="0" w:after="0" w:line="240" w:lineRule="exact"/>
              <w:jc w:val="right"/>
              <w:rPr>
                <w:rFonts w:ascii="宋体" w:hAnsi="宋体" w:eastAsia="宋体" w:cs="宋体"/>
                <w:sz w:val="18"/>
                <w:szCs w:val="18"/>
              </w:rPr>
            </w:pPr>
            <w:r>
              <w:rPr>
                <w:rFonts w:ascii="宋体" w:hAnsi="宋体" w:eastAsia="宋体" w:cs="宋体"/>
                <w:sz w:val="18"/>
                <w:szCs w:val="18"/>
              </w:rPr>
              <w:t>2,215,737.43</w:t>
            </w:r>
          </w:p>
        </w:tc>
      </w:tr>
      <w:tr w14:paraId="3DADE4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331647A">
            <w:pPr>
              <w:spacing w:before="0" w:after="0" w:line="240" w:lineRule="exact"/>
              <w:jc w:val="left"/>
              <w:rPr>
                <w:rFonts w:ascii="宋体" w:hAnsi="宋体" w:eastAsia="宋体" w:cs="宋体"/>
                <w:sz w:val="18"/>
                <w:szCs w:val="18"/>
              </w:rPr>
            </w:pPr>
            <w:r>
              <w:rPr>
                <w:rFonts w:ascii="宋体" w:hAnsi="宋体" w:eastAsia="宋体" w:cs="宋体"/>
                <w:sz w:val="18"/>
                <w:szCs w:val="18"/>
              </w:rPr>
              <w:t>合同负债</w:t>
            </w:r>
          </w:p>
        </w:tc>
        <w:tc>
          <w:tcPr>
            <w:tcW w:w="3213" w:type="dxa"/>
            <w:tcBorders>
              <w:top w:val="single" w:color="auto" w:sz="2" w:space="0"/>
              <w:left w:val="single" w:color="auto" w:sz="2" w:space="0"/>
              <w:bottom w:val="single" w:color="auto" w:sz="2" w:space="0"/>
              <w:right w:val="single" w:color="auto" w:sz="2" w:space="0"/>
            </w:tcBorders>
            <w:vAlign w:val="center"/>
          </w:tcPr>
          <w:p w14:paraId="140CAC2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5A96249">
            <w:pPr>
              <w:spacing w:before="0" w:after="0" w:line="240" w:lineRule="exact"/>
              <w:jc w:val="right"/>
              <w:rPr>
                <w:rFonts w:ascii="宋体" w:hAnsi="宋体" w:eastAsia="宋体" w:cs="宋体"/>
                <w:sz w:val="18"/>
                <w:szCs w:val="18"/>
              </w:rPr>
            </w:pPr>
            <w:r>
              <w:rPr>
                <w:rFonts w:ascii="宋体" w:hAnsi="宋体" w:eastAsia="宋体" w:cs="宋体"/>
                <w:sz w:val="18"/>
                <w:szCs w:val="18"/>
              </w:rPr>
              <w:t>606,823.84</w:t>
            </w:r>
          </w:p>
        </w:tc>
      </w:tr>
      <w:tr w14:paraId="731FC9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0E62619">
            <w:pPr>
              <w:spacing w:before="0" w:after="0" w:line="240" w:lineRule="exact"/>
              <w:jc w:val="left"/>
              <w:rPr>
                <w:rFonts w:ascii="宋体" w:hAnsi="宋体" w:eastAsia="宋体" w:cs="宋体"/>
                <w:sz w:val="18"/>
                <w:szCs w:val="18"/>
              </w:rPr>
            </w:pPr>
            <w:r>
              <w:rPr>
                <w:rFonts w:ascii="宋体" w:hAnsi="宋体" w:eastAsia="宋体" w:cs="宋体"/>
                <w:sz w:val="18"/>
                <w:szCs w:val="18"/>
              </w:rPr>
              <w:t>内部未实现利润</w:t>
            </w:r>
          </w:p>
        </w:tc>
        <w:tc>
          <w:tcPr>
            <w:tcW w:w="3213" w:type="dxa"/>
            <w:tcBorders>
              <w:top w:val="single" w:color="auto" w:sz="2" w:space="0"/>
              <w:left w:val="single" w:color="auto" w:sz="2" w:space="0"/>
              <w:bottom w:val="single" w:color="auto" w:sz="2" w:space="0"/>
              <w:right w:val="single" w:color="auto" w:sz="2" w:space="0"/>
            </w:tcBorders>
            <w:vAlign w:val="center"/>
          </w:tcPr>
          <w:p w14:paraId="2A3FDD80">
            <w:pPr>
              <w:spacing w:before="0" w:after="0" w:line="240" w:lineRule="exact"/>
              <w:jc w:val="right"/>
              <w:rPr>
                <w:rFonts w:ascii="宋体" w:hAnsi="宋体" w:eastAsia="宋体" w:cs="宋体"/>
                <w:sz w:val="18"/>
                <w:szCs w:val="18"/>
              </w:rPr>
            </w:pPr>
            <w:r>
              <w:rPr>
                <w:rFonts w:ascii="宋体" w:hAnsi="宋体" w:eastAsia="宋体" w:cs="宋体"/>
                <w:sz w:val="18"/>
                <w:szCs w:val="18"/>
              </w:rPr>
              <w:t>285,065,664.82</w:t>
            </w:r>
          </w:p>
        </w:tc>
        <w:tc>
          <w:tcPr>
            <w:tcW w:w="3213" w:type="dxa"/>
            <w:tcBorders>
              <w:top w:val="single" w:color="auto" w:sz="2" w:space="0"/>
              <w:left w:val="single" w:color="auto" w:sz="2" w:space="0"/>
              <w:bottom w:val="single" w:color="auto" w:sz="2" w:space="0"/>
              <w:right w:val="single" w:color="auto" w:sz="2" w:space="0"/>
            </w:tcBorders>
            <w:vAlign w:val="center"/>
          </w:tcPr>
          <w:p w14:paraId="39CFE225">
            <w:pPr>
              <w:spacing w:before="0" w:after="0" w:line="240" w:lineRule="exact"/>
              <w:jc w:val="right"/>
              <w:rPr>
                <w:rFonts w:ascii="宋体" w:hAnsi="宋体" w:eastAsia="宋体" w:cs="宋体"/>
                <w:sz w:val="18"/>
                <w:szCs w:val="18"/>
              </w:rPr>
            </w:pPr>
            <w:r>
              <w:rPr>
                <w:rFonts w:ascii="宋体" w:hAnsi="宋体" w:eastAsia="宋体" w:cs="宋体"/>
                <w:sz w:val="18"/>
                <w:szCs w:val="18"/>
              </w:rPr>
              <w:t>283,054,961.86</w:t>
            </w:r>
          </w:p>
        </w:tc>
      </w:tr>
      <w:tr w14:paraId="12B53F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80454A7">
            <w:pPr>
              <w:spacing w:before="0" w:after="0" w:line="240" w:lineRule="exact"/>
              <w:jc w:val="left"/>
              <w:rPr>
                <w:rFonts w:ascii="宋体" w:hAnsi="宋体" w:eastAsia="宋体" w:cs="宋体"/>
                <w:sz w:val="18"/>
                <w:szCs w:val="18"/>
              </w:rPr>
            </w:pPr>
            <w:r>
              <w:rPr>
                <w:rFonts w:ascii="宋体" w:hAnsi="宋体" w:eastAsia="宋体" w:cs="宋体"/>
                <w:sz w:val="18"/>
                <w:szCs w:val="18"/>
              </w:rPr>
              <w:t>可以结转以后年度税前扣除的广告费和业务宣传费</w:t>
            </w:r>
          </w:p>
        </w:tc>
        <w:tc>
          <w:tcPr>
            <w:tcW w:w="3213" w:type="dxa"/>
            <w:tcBorders>
              <w:top w:val="single" w:color="auto" w:sz="2" w:space="0"/>
              <w:left w:val="single" w:color="auto" w:sz="2" w:space="0"/>
              <w:bottom w:val="single" w:color="auto" w:sz="2" w:space="0"/>
              <w:right w:val="single" w:color="auto" w:sz="2" w:space="0"/>
            </w:tcBorders>
            <w:vAlign w:val="center"/>
          </w:tcPr>
          <w:p w14:paraId="4D53D101">
            <w:pPr>
              <w:spacing w:before="0" w:after="0" w:line="240" w:lineRule="exact"/>
              <w:jc w:val="right"/>
              <w:rPr>
                <w:rFonts w:ascii="宋体" w:hAnsi="宋体" w:eastAsia="宋体" w:cs="宋体"/>
                <w:sz w:val="18"/>
                <w:szCs w:val="18"/>
              </w:rPr>
            </w:pPr>
            <w:r>
              <w:rPr>
                <w:rFonts w:ascii="宋体" w:hAnsi="宋体" w:eastAsia="宋体" w:cs="宋体"/>
                <w:sz w:val="18"/>
                <w:szCs w:val="18"/>
              </w:rPr>
              <w:t>9,105,849.74</w:t>
            </w:r>
          </w:p>
        </w:tc>
        <w:tc>
          <w:tcPr>
            <w:tcW w:w="3213" w:type="dxa"/>
            <w:tcBorders>
              <w:top w:val="single" w:color="auto" w:sz="2" w:space="0"/>
              <w:left w:val="single" w:color="auto" w:sz="2" w:space="0"/>
              <w:bottom w:val="single" w:color="auto" w:sz="2" w:space="0"/>
              <w:right w:val="single" w:color="auto" w:sz="2" w:space="0"/>
            </w:tcBorders>
            <w:vAlign w:val="center"/>
          </w:tcPr>
          <w:p w14:paraId="2F5387D3">
            <w:pPr>
              <w:spacing w:before="0" w:after="0" w:line="240" w:lineRule="exact"/>
              <w:jc w:val="right"/>
              <w:rPr>
                <w:rFonts w:ascii="宋体" w:hAnsi="宋体" w:eastAsia="宋体" w:cs="宋体"/>
                <w:sz w:val="18"/>
                <w:szCs w:val="18"/>
              </w:rPr>
            </w:pPr>
          </w:p>
        </w:tc>
      </w:tr>
      <w:tr w14:paraId="49A4A7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3C4614F">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0FF0B416">
            <w:pPr>
              <w:spacing w:before="0" w:after="0" w:line="240" w:lineRule="exact"/>
              <w:jc w:val="right"/>
              <w:rPr>
                <w:rFonts w:ascii="宋体" w:hAnsi="宋体" w:eastAsia="宋体" w:cs="宋体"/>
                <w:sz w:val="18"/>
                <w:szCs w:val="18"/>
              </w:rPr>
            </w:pPr>
            <w:r>
              <w:rPr>
                <w:rFonts w:ascii="宋体" w:hAnsi="宋体" w:eastAsia="宋体" w:cs="宋体"/>
                <w:sz w:val="18"/>
                <w:szCs w:val="18"/>
              </w:rPr>
              <w:t>1,325,831,781.48</w:t>
            </w:r>
          </w:p>
        </w:tc>
        <w:tc>
          <w:tcPr>
            <w:tcW w:w="3213" w:type="dxa"/>
            <w:tcBorders>
              <w:top w:val="single" w:color="auto" w:sz="2" w:space="0"/>
              <w:left w:val="single" w:color="auto" w:sz="2" w:space="0"/>
              <w:bottom w:val="single" w:color="auto" w:sz="2" w:space="0"/>
              <w:right w:val="single" w:color="auto" w:sz="2" w:space="0"/>
            </w:tcBorders>
            <w:vAlign w:val="center"/>
          </w:tcPr>
          <w:p w14:paraId="6ACD4658">
            <w:pPr>
              <w:spacing w:before="0" w:after="0" w:line="240" w:lineRule="exact"/>
              <w:jc w:val="right"/>
              <w:rPr>
                <w:rFonts w:ascii="宋体" w:hAnsi="宋体" w:eastAsia="宋体" w:cs="宋体"/>
                <w:sz w:val="18"/>
                <w:szCs w:val="18"/>
              </w:rPr>
            </w:pPr>
            <w:r>
              <w:rPr>
                <w:rFonts w:ascii="宋体" w:hAnsi="宋体" w:eastAsia="宋体" w:cs="宋体"/>
                <w:sz w:val="18"/>
                <w:szCs w:val="18"/>
              </w:rPr>
              <w:t>1,104,872,272.49</w:t>
            </w:r>
          </w:p>
        </w:tc>
      </w:tr>
    </w:tbl>
    <w:p w14:paraId="5E40441A">
      <w:pPr>
        <w:keepNext/>
        <w:keepLines/>
        <w:spacing w:before="300" w:after="300" w:line="280" w:lineRule="exact"/>
        <w:jc w:val="left"/>
        <w:outlineLvl w:val="3"/>
        <w:rPr>
          <w:rFonts w:ascii="宋体" w:hAnsi="宋体" w:eastAsia="宋体" w:cs="宋体"/>
          <w:b/>
          <w:bCs/>
          <w:sz w:val="21"/>
          <w:szCs w:val="21"/>
        </w:rPr>
      </w:pPr>
      <w:bookmarkStart w:id="355" w:name="_Toc989242"/>
      <w:r>
        <w:rPr>
          <w:rFonts w:ascii="宋体" w:hAnsi="宋体" w:eastAsia="宋体" w:cs="宋体"/>
          <w:b/>
          <w:bCs/>
          <w:sz w:val="21"/>
          <w:szCs w:val="21"/>
        </w:rPr>
        <w:t>（5） 未确认递延所得税资产的可抵扣亏损将于以下年度到期</w:t>
      </w:r>
      <w:bookmarkEnd w:id="355"/>
    </w:p>
    <w:p w14:paraId="523CB8D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5F9D49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B3B9F27">
            <w:pPr>
              <w:spacing w:before="40" w:after="40" w:line="240" w:lineRule="exact"/>
              <w:jc w:val="center"/>
              <w:rPr>
                <w:rFonts w:ascii="宋体" w:hAnsi="宋体" w:eastAsia="宋体" w:cs="宋体"/>
                <w:sz w:val="18"/>
                <w:szCs w:val="18"/>
              </w:rPr>
            </w:pPr>
            <w:r>
              <w:rPr>
                <w:rFonts w:ascii="宋体" w:hAnsi="宋体" w:eastAsia="宋体" w:cs="宋体"/>
                <w:sz w:val="18"/>
                <w:szCs w:val="18"/>
              </w:rPr>
              <w:t>年份</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47E85C5">
            <w:pPr>
              <w:spacing w:before="40" w:after="40" w:line="240" w:lineRule="exact"/>
              <w:jc w:val="center"/>
              <w:rPr>
                <w:rFonts w:ascii="宋体" w:hAnsi="宋体" w:eastAsia="宋体" w:cs="宋体"/>
                <w:sz w:val="18"/>
                <w:szCs w:val="18"/>
              </w:rPr>
            </w:pPr>
            <w:r>
              <w:rPr>
                <w:rFonts w:ascii="宋体" w:hAnsi="宋体" w:eastAsia="宋体" w:cs="宋体"/>
                <w:sz w:val="18"/>
                <w:szCs w:val="18"/>
              </w:rPr>
              <w:t>期末金额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3D5B283">
            <w:pPr>
              <w:spacing w:before="40" w:after="40" w:line="240" w:lineRule="exact"/>
              <w:jc w:val="center"/>
              <w:rPr>
                <w:rFonts w:ascii="宋体" w:hAnsi="宋体" w:eastAsia="宋体" w:cs="宋体"/>
                <w:sz w:val="18"/>
                <w:szCs w:val="18"/>
              </w:rPr>
            </w:pPr>
            <w:r>
              <w:rPr>
                <w:rFonts w:ascii="宋体" w:hAnsi="宋体" w:eastAsia="宋体" w:cs="宋体"/>
                <w:sz w:val="18"/>
                <w:szCs w:val="18"/>
              </w:rPr>
              <w:t>期初金额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47E9653">
            <w:pPr>
              <w:spacing w:before="40" w:after="40" w:line="240" w:lineRule="exact"/>
              <w:jc w:val="center"/>
              <w:rPr>
                <w:rFonts w:ascii="宋体" w:hAnsi="宋体" w:eastAsia="宋体" w:cs="宋体"/>
                <w:sz w:val="18"/>
                <w:szCs w:val="18"/>
              </w:rPr>
            </w:pPr>
            <w:r>
              <w:rPr>
                <w:rFonts w:ascii="宋体" w:hAnsi="宋体" w:eastAsia="宋体" w:cs="宋体"/>
                <w:sz w:val="18"/>
                <w:szCs w:val="18"/>
              </w:rPr>
              <w:t>备注</w:t>
            </w:r>
          </w:p>
        </w:tc>
      </w:tr>
      <w:tr w14:paraId="19CEA6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607AE999">
            <w:pPr>
              <w:spacing w:before="0" w:after="0" w:line="240" w:lineRule="exact"/>
              <w:jc w:val="left"/>
              <w:rPr>
                <w:rFonts w:ascii="宋体" w:hAnsi="宋体" w:eastAsia="宋体" w:cs="宋体"/>
                <w:sz w:val="18"/>
                <w:szCs w:val="18"/>
              </w:rPr>
            </w:pPr>
            <w:r>
              <w:rPr>
                <w:rFonts w:ascii="宋体" w:hAnsi="宋体" w:eastAsia="宋体" w:cs="宋体"/>
                <w:sz w:val="18"/>
                <w:szCs w:val="18"/>
              </w:rPr>
              <w:t>2024年</w:t>
            </w:r>
          </w:p>
        </w:tc>
        <w:tc>
          <w:tcPr>
            <w:tcW w:w="2410" w:type="dxa"/>
            <w:tcBorders>
              <w:top w:val="single" w:color="auto" w:sz="2" w:space="0"/>
              <w:left w:val="single" w:color="auto" w:sz="2" w:space="0"/>
              <w:bottom w:val="single" w:color="auto" w:sz="2" w:space="0"/>
              <w:right w:val="single" w:color="auto" w:sz="2" w:space="0"/>
            </w:tcBorders>
            <w:vAlign w:val="center"/>
          </w:tcPr>
          <w:p w14:paraId="04310E0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4B9A35D8">
            <w:pPr>
              <w:spacing w:before="0" w:after="0" w:line="240" w:lineRule="exact"/>
              <w:jc w:val="right"/>
              <w:rPr>
                <w:rFonts w:ascii="宋体" w:hAnsi="宋体" w:eastAsia="宋体" w:cs="宋体"/>
                <w:sz w:val="18"/>
                <w:szCs w:val="18"/>
              </w:rPr>
            </w:pPr>
            <w:r>
              <w:rPr>
                <w:rFonts w:ascii="宋体" w:hAnsi="宋体" w:eastAsia="宋体" w:cs="宋体"/>
                <w:sz w:val="18"/>
                <w:szCs w:val="18"/>
              </w:rPr>
              <w:t>742,611.90</w:t>
            </w:r>
          </w:p>
        </w:tc>
        <w:tc>
          <w:tcPr>
            <w:tcW w:w="2410" w:type="dxa"/>
            <w:tcBorders>
              <w:top w:val="single" w:color="auto" w:sz="2" w:space="0"/>
              <w:left w:val="single" w:color="auto" w:sz="2" w:space="0"/>
              <w:bottom w:val="single" w:color="auto" w:sz="2" w:space="0"/>
              <w:right w:val="single" w:color="auto" w:sz="2" w:space="0"/>
            </w:tcBorders>
            <w:vAlign w:val="center"/>
          </w:tcPr>
          <w:p w14:paraId="400D6344">
            <w:pPr>
              <w:spacing w:before="0" w:after="0" w:line="240" w:lineRule="exact"/>
              <w:jc w:val="left"/>
              <w:rPr>
                <w:rFonts w:ascii="宋体" w:hAnsi="宋体" w:eastAsia="宋体" w:cs="宋体"/>
                <w:sz w:val="18"/>
                <w:szCs w:val="18"/>
              </w:rPr>
            </w:pPr>
          </w:p>
        </w:tc>
      </w:tr>
      <w:tr w14:paraId="5C7516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6D6DDBA8">
            <w:pPr>
              <w:spacing w:before="0" w:after="0" w:line="240" w:lineRule="exact"/>
              <w:jc w:val="left"/>
              <w:rPr>
                <w:rFonts w:ascii="宋体" w:hAnsi="宋体" w:eastAsia="宋体" w:cs="宋体"/>
                <w:sz w:val="18"/>
                <w:szCs w:val="18"/>
              </w:rPr>
            </w:pPr>
            <w:r>
              <w:rPr>
                <w:rFonts w:ascii="宋体" w:hAnsi="宋体" w:eastAsia="宋体" w:cs="宋体"/>
                <w:sz w:val="18"/>
                <w:szCs w:val="18"/>
              </w:rPr>
              <w:t>2025年</w:t>
            </w:r>
          </w:p>
        </w:tc>
        <w:tc>
          <w:tcPr>
            <w:tcW w:w="2410" w:type="dxa"/>
            <w:tcBorders>
              <w:top w:val="single" w:color="auto" w:sz="2" w:space="0"/>
              <w:left w:val="single" w:color="auto" w:sz="2" w:space="0"/>
              <w:bottom w:val="single" w:color="auto" w:sz="2" w:space="0"/>
              <w:right w:val="single" w:color="auto" w:sz="2" w:space="0"/>
            </w:tcBorders>
            <w:vAlign w:val="center"/>
          </w:tcPr>
          <w:p w14:paraId="248CFF81">
            <w:pPr>
              <w:spacing w:before="0" w:after="0" w:line="240" w:lineRule="exact"/>
              <w:jc w:val="right"/>
              <w:rPr>
                <w:rFonts w:ascii="宋体" w:hAnsi="宋体" w:eastAsia="宋体" w:cs="宋体"/>
                <w:sz w:val="18"/>
                <w:szCs w:val="18"/>
              </w:rPr>
            </w:pPr>
            <w:r>
              <w:rPr>
                <w:rFonts w:ascii="宋体" w:hAnsi="宋体" w:eastAsia="宋体" w:cs="宋体"/>
                <w:sz w:val="18"/>
                <w:szCs w:val="18"/>
              </w:rPr>
              <w:t>36,588,656.65</w:t>
            </w:r>
          </w:p>
        </w:tc>
        <w:tc>
          <w:tcPr>
            <w:tcW w:w="2410" w:type="dxa"/>
            <w:tcBorders>
              <w:top w:val="single" w:color="auto" w:sz="2" w:space="0"/>
              <w:left w:val="single" w:color="auto" w:sz="2" w:space="0"/>
              <w:bottom w:val="single" w:color="auto" w:sz="2" w:space="0"/>
              <w:right w:val="single" w:color="auto" w:sz="2" w:space="0"/>
            </w:tcBorders>
            <w:vAlign w:val="center"/>
          </w:tcPr>
          <w:p w14:paraId="6F555BC5">
            <w:pPr>
              <w:spacing w:before="0" w:after="0" w:line="240" w:lineRule="exact"/>
              <w:jc w:val="right"/>
              <w:rPr>
                <w:rFonts w:ascii="宋体" w:hAnsi="宋体" w:eastAsia="宋体" w:cs="宋体"/>
                <w:sz w:val="18"/>
                <w:szCs w:val="18"/>
              </w:rPr>
            </w:pPr>
            <w:r>
              <w:rPr>
                <w:rFonts w:ascii="宋体" w:hAnsi="宋体" w:eastAsia="宋体" w:cs="宋体"/>
                <w:sz w:val="18"/>
                <w:szCs w:val="18"/>
              </w:rPr>
              <w:t>33,965,879.09</w:t>
            </w:r>
          </w:p>
        </w:tc>
        <w:tc>
          <w:tcPr>
            <w:tcW w:w="2410" w:type="dxa"/>
            <w:tcBorders>
              <w:top w:val="single" w:color="auto" w:sz="2" w:space="0"/>
              <w:left w:val="single" w:color="auto" w:sz="2" w:space="0"/>
              <w:bottom w:val="single" w:color="auto" w:sz="2" w:space="0"/>
              <w:right w:val="single" w:color="auto" w:sz="2" w:space="0"/>
            </w:tcBorders>
            <w:vAlign w:val="center"/>
          </w:tcPr>
          <w:p w14:paraId="2F30D9C6">
            <w:pPr>
              <w:spacing w:before="0" w:after="0" w:line="240" w:lineRule="exact"/>
              <w:jc w:val="left"/>
              <w:rPr>
                <w:rFonts w:ascii="宋体" w:hAnsi="宋体" w:eastAsia="宋体" w:cs="宋体"/>
                <w:sz w:val="18"/>
                <w:szCs w:val="18"/>
              </w:rPr>
            </w:pPr>
          </w:p>
        </w:tc>
      </w:tr>
      <w:tr w14:paraId="681B90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70DF01A">
            <w:pPr>
              <w:spacing w:before="0" w:after="0" w:line="240" w:lineRule="exact"/>
              <w:jc w:val="left"/>
              <w:rPr>
                <w:rFonts w:ascii="宋体" w:hAnsi="宋体" w:eastAsia="宋体" w:cs="宋体"/>
                <w:sz w:val="18"/>
                <w:szCs w:val="18"/>
              </w:rPr>
            </w:pPr>
            <w:r>
              <w:rPr>
                <w:rFonts w:ascii="宋体" w:hAnsi="宋体" w:eastAsia="宋体" w:cs="宋体"/>
                <w:sz w:val="18"/>
                <w:szCs w:val="18"/>
              </w:rPr>
              <w:t>2026年</w:t>
            </w:r>
          </w:p>
        </w:tc>
        <w:tc>
          <w:tcPr>
            <w:tcW w:w="2410" w:type="dxa"/>
            <w:tcBorders>
              <w:top w:val="single" w:color="auto" w:sz="2" w:space="0"/>
              <w:left w:val="single" w:color="auto" w:sz="2" w:space="0"/>
              <w:bottom w:val="single" w:color="auto" w:sz="2" w:space="0"/>
              <w:right w:val="single" w:color="auto" w:sz="2" w:space="0"/>
            </w:tcBorders>
            <w:vAlign w:val="center"/>
          </w:tcPr>
          <w:p w14:paraId="08E3ED22">
            <w:pPr>
              <w:spacing w:before="0" w:after="0" w:line="240" w:lineRule="exact"/>
              <w:jc w:val="right"/>
              <w:rPr>
                <w:rFonts w:ascii="宋体" w:hAnsi="宋体" w:eastAsia="宋体" w:cs="宋体"/>
                <w:sz w:val="18"/>
                <w:szCs w:val="18"/>
              </w:rPr>
            </w:pPr>
            <w:r>
              <w:rPr>
                <w:rFonts w:ascii="宋体" w:hAnsi="宋体" w:eastAsia="宋体" w:cs="宋体"/>
                <w:sz w:val="18"/>
                <w:szCs w:val="18"/>
              </w:rPr>
              <w:t>132,072,417.90</w:t>
            </w:r>
          </w:p>
        </w:tc>
        <w:tc>
          <w:tcPr>
            <w:tcW w:w="2410" w:type="dxa"/>
            <w:tcBorders>
              <w:top w:val="single" w:color="auto" w:sz="2" w:space="0"/>
              <w:left w:val="single" w:color="auto" w:sz="2" w:space="0"/>
              <w:bottom w:val="single" w:color="auto" w:sz="2" w:space="0"/>
              <w:right w:val="single" w:color="auto" w:sz="2" w:space="0"/>
            </w:tcBorders>
            <w:vAlign w:val="center"/>
          </w:tcPr>
          <w:p w14:paraId="09F47381">
            <w:pPr>
              <w:spacing w:before="0" w:after="0" w:line="240" w:lineRule="exact"/>
              <w:jc w:val="right"/>
              <w:rPr>
                <w:rFonts w:ascii="宋体" w:hAnsi="宋体" w:eastAsia="宋体" w:cs="宋体"/>
                <w:sz w:val="18"/>
                <w:szCs w:val="18"/>
              </w:rPr>
            </w:pPr>
            <w:r>
              <w:rPr>
                <w:rFonts w:ascii="宋体" w:hAnsi="宋体" w:eastAsia="宋体" w:cs="宋体"/>
                <w:sz w:val="18"/>
                <w:szCs w:val="18"/>
              </w:rPr>
              <w:t>135,375,484.11</w:t>
            </w:r>
          </w:p>
        </w:tc>
        <w:tc>
          <w:tcPr>
            <w:tcW w:w="2410" w:type="dxa"/>
            <w:tcBorders>
              <w:top w:val="single" w:color="auto" w:sz="2" w:space="0"/>
              <w:left w:val="single" w:color="auto" w:sz="2" w:space="0"/>
              <w:bottom w:val="single" w:color="auto" w:sz="2" w:space="0"/>
              <w:right w:val="single" w:color="auto" w:sz="2" w:space="0"/>
            </w:tcBorders>
            <w:vAlign w:val="center"/>
          </w:tcPr>
          <w:p w14:paraId="5C4EA9D9">
            <w:pPr>
              <w:spacing w:before="0" w:after="0" w:line="240" w:lineRule="exact"/>
              <w:jc w:val="left"/>
              <w:rPr>
                <w:rFonts w:ascii="宋体" w:hAnsi="宋体" w:eastAsia="宋体" w:cs="宋体"/>
                <w:sz w:val="18"/>
                <w:szCs w:val="18"/>
              </w:rPr>
            </w:pPr>
          </w:p>
        </w:tc>
      </w:tr>
      <w:tr w14:paraId="29123F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7EF3D24">
            <w:pPr>
              <w:spacing w:before="0" w:after="0" w:line="240" w:lineRule="exact"/>
              <w:jc w:val="left"/>
              <w:rPr>
                <w:rFonts w:ascii="宋体" w:hAnsi="宋体" w:eastAsia="宋体" w:cs="宋体"/>
                <w:sz w:val="18"/>
                <w:szCs w:val="18"/>
              </w:rPr>
            </w:pPr>
            <w:r>
              <w:rPr>
                <w:rFonts w:ascii="宋体" w:hAnsi="宋体" w:eastAsia="宋体" w:cs="宋体"/>
                <w:sz w:val="18"/>
                <w:szCs w:val="18"/>
              </w:rPr>
              <w:t>2027年</w:t>
            </w:r>
          </w:p>
        </w:tc>
        <w:tc>
          <w:tcPr>
            <w:tcW w:w="2410" w:type="dxa"/>
            <w:tcBorders>
              <w:top w:val="single" w:color="auto" w:sz="2" w:space="0"/>
              <w:left w:val="single" w:color="auto" w:sz="2" w:space="0"/>
              <w:bottom w:val="single" w:color="auto" w:sz="2" w:space="0"/>
              <w:right w:val="single" w:color="auto" w:sz="2" w:space="0"/>
            </w:tcBorders>
            <w:vAlign w:val="center"/>
          </w:tcPr>
          <w:p w14:paraId="2109E766">
            <w:pPr>
              <w:spacing w:before="0" w:after="0" w:line="240" w:lineRule="exact"/>
              <w:jc w:val="right"/>
              <w:rPr>
                <w:rFonts w:ascii="宋体" w:hAnsi="宋体" w:eastAsia="宋体" w:cs="宋体"/>
                <w:sz w:val="18"/>
                <w:szCs w:val="18"/>
              </w:rPr>
            </w:pPr>
            <w:r>
              <w:rPr>
                <w:rFonts w:ascii="宋体" w:hAnsi="宋体" w:eastAsia="宋体" w:cs="宋体"/>
                <w:sz w:val="18"/>
                <w:szCs w:val="18"/>
              </w:rPr>
              <w:t>214,878,412.98</w:t>
            </w:r>
          </w:p>
        </w:tc>
        <w:tc>
          <w:tcPr>
            <w:tcW w:w="2410" w:type="dxa"/>
            <w:tcBorders>
              <w:top w:val="single" w:color="auto" w:sz="2" w:space="0"/>
              <w:left w:val="single" w:color="auto" w:sz="2" w:space="0"/>
              <w:bottom w:val="single" w:color="auto" w:sz="2" w:space="0"/>
              <w:right w:val="single" w:color="auto" w:sz="2" w:space="0"/>
            </w:tcBorders>
            <w:vAlign w:val="center"/>
          </w:tcPr>
          <w:p w14:paraId="3F5CE9AE">
            <w:pPr>
              <w:spacing w:before="0" w:after="0" w:line="240" w:lineRule="exact"/>
              <w:jc w:val="right"/>
              <w:rPr>
                <w:rFonts w:ascii="宋体" w:hAnsi="宋体" w:eastAsia="宋体" w:cs="宋体"/>
                <w:sz w:val="18"/>
                <w:szCs w:val="18"/>
              </w:rPr>
            </w:pPr>
            <w:r>
              <w:rPr>
                <w:rFonts w:ascii="宋体" w:hAnsi="宋体" w:eastAsia="宋体" w:cs="宋体"/>
                <w:sz w:val="18"/>
                <w:szCs w:val="18"/>
              </w:rPr>
              <w:t>214,880,571.16</w:t>
            </w:r>
          </w:p>
        </w:tc>
        <w:tc>
          <w:tcPr>
            <w:tcW w:w="2410" w:type="dxa"/>
            <w:tcBorders>
              <w:top w:val="single" w:color="auto" w:sz="2" w:space="0"/>
              <w:left w:val="single" w:color="auto" w:sz="2" w:space="0"/>
              <w:bottom w:val="single" w:color="auto" w:sz="2" w:space="0"/>
              <w:right w:val="single" w:color="auto" w:sz="2" w:space="0"/>
            </w:tcBorders>
            <w:vAlign w:val="center"/>
          </w:tcPr>
          <w:p w14:paraId="33F1027E">
            <w:pPr>
              <w:spacing w:before="0" w:after="0" w:line="240" w:lineRule="exact"/>
              <w:jc w:val="left"/>
              <w:rPr>
                <w:rFonts w:ascii="宋体" w:hAnsi="宋体" w:eastAsia="宋体" w:cs="宋体"/>
                <w:sz w:val="18"/>
                <w:szCs w:val="18"/>
              </w:rPr>
            </w:pPr>
          </w:p>
        </w:tc>
      </w:tr>
      <w:tr w14:paraId="062F49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D65E2A5">
            <w:pPr>
              <w:spacing w:before="0" w:after="0" w:line="240" w:lineRule="exact"/>
              <w:jc w:val="left"/>
              <w:rPr>
                <w:rFonts w:ascii="宋体" w:hAnsi="宋体" w:eastAsia="宋体" w:cs="宋体"/>
                <w:sz w:val="18"/>
                <w:szCs w:val="18"/>
              </w:rPr>
            </w:pPr>
            <w:r>
              <w:rPr>
                <w:rFonts w:ascii="宋体" w:hAnsi="宋体" w:eastAsia="宋体" w:cs="宋体"/>
                <w:sz w:val="18"/>
                <w:szCs w:val="18"/>
              </w:rPr>
              <w:t>2028年</w:t>
            </w:r>
          </w:p>
        </w:tc>
        <w:tc>
          <w:tcPr>
            <w:tcW w:w="2410" w:type="dxa"/>
            <w:tcBorders>
              <w:top w:val="single" w:color="auto" w:sz="2" w:space="0"/>
              <w:left w:val="single" w:color="auto" w:sz="2" w:space="0"/>
              <w:bottom w:val="single" w:color="auto" w:sz="2" w:space="0"/>
              <w:right w:val="single" w:color="auto" w:sz="2" w:space="0"/>
            </w:tcBorders>
            <w:vAlign w:val="center"/>
          </w:tcPr>
          <w:p w14:paraId="61F7CEF4">
            <w:pPr>
              <w:spacing w:before="0" w:after="0" w:line="240" w:lineRule="exact"/>
              <w:jc w:val="right"/>
              <w:rPr>
                <w:rFonts w:ascii="宋体" w:hAnsi="宋体" w:eastAsia="宋体" w:cs="宋体"/>
                <w:sz w:val="18"/>
                <w:szCs w:val="18"/>
              </w:rPr>
            </w:pPr>
            <w:r>
              <w:rPr>
                <w:rFonts w:ascii="宋体" w:hAnsi="宋体" w:eastAsia="宋体" w:cs="宋体"/>
                <w:sz w:val="18"/>
                <w:szCs w:val="18"/>
              </w:rPr>
              <w:t>297,246,020.07</w:t>
            </w:r>
          </w:p>
        </w:tc>
        <w:tc>
          <w:tcPr>
            <w:tcW w:w="2410" w:type="dxa"/>
            <w:tcBorders>
              <w:top w:val="single" w:color="auto" w:sz="2" w:space="0"/>
              <w:left w:val="single" w:color="auto" w:sz="2" w:space="0"/>
              <w:bottom w:val="single" w:color="auto" w:sz="2" w:space="0"/>
              <w:right w:val="single" w:color="auto" w:sz="2" w:space="0"/>
            </w:tcBorders>
            <w:vAlign w:val="center"/>
          </w:tcPr>
          <w:p w14:paraId="2A64B408">
            <w:pPr>
              <w:spacing w:before="0" w:after="0" w:line="240" w:lineRule="exact"/>
              <w:jc w:val="right"/>
              <w:rPr>
                <w:rFonts w:ascii="宋体" w:hAnsi="宋体" w:eastAsia="宋体" w:cs="宋体"/>
                <w:sz w:val="18"/>
                <w:szCs w:val="18"/>
              </w:rPr>
            </w:pPr>
            <w:r>
              <w:rPr>
                <w:rFonts w:ascii="宋体" w:hAnsi="宋体" w:eastAsia="宋体" w:cs="宋体"/>
                <w:sz w:val="18"/>
                <w:szCs w:val="18"/>
              </w:rPr>
              <w:t>338,670,726.96</w:t>
            </w:r>
          </w:p>
        </w:tc>
        <w:tc>
          <w:tcPr>
            <w:tcW w:w="2410" w:type="dxa"/>
            <w:tcBorders>
              <w:top w:val="single" w:color="auto" w:sz="2" w:space="0"/>
              <w:left w:val="single" w:color="auto" w:sz="2" w:space="0"/>
              <w:bottom w:val="single" w:color="auto" w:sz="2" w:space="0"/>
              <w:right w:val="single" w:color="auto" w:sz="2" w:space="0"/>
            </w:tcBorders>
            <w:vAlign w:val="center"/>
          </w:tcPr>
          <w:p w14:paraId="0F3F9DF8">
            <w:pPr>
              <w:spacing w:before="0" w:after="0" w:line="240" w:lineRule="exact"/>
              <w:jc w:val="left"/>
              <w:rPr>
                <w:rFonts w:ascii="宋体" w:hAnsi="宋体" w:eastAsia="宋体" w:cs="宋体"/>
                <w:sz w:val="18"/>
                <w:szCs w:val="18"/>
              </w:rPr>
            </w:pPr>
          </w:p>
        </w:tc>
      </w:tr>
      <w:tr w14:paraId="6E7347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66D732E">
            <w:pPr>
              <w:spacing w:before="0" w:after="0" w:line="240" w:lineRule="exact"/>
              <w:jc w:val="left"/>
              <w:rPr>
                <w:rFonts w:ascii="宋体" w:hAnsi="宋体" w:eastAsia="宋体" w:cs="宋体"/>
                <w:sz w:val="18"/>
                <w:szCs w:val="18"/>
              </w:rPr>
            </w:pPr>
            <w:r>
              <w:rPr>
                <w:rFonts w:ascii="宋体" w:hAnsi="宋体" w:eastAsia="宋体" w:cs="宋体"/>
                <w:sz w:val="18"/>
                <w:szCs w:val="18"/>
              </w:rPr>
              <w:t>2029年</w:t>
            </w:r>
          </w:p>
        </w:tc>
        <w:tc>
          <w:tcPr>
            <w:tcW w:w="2410" w:type="dxa"/>
            <w:tcBorders>
              <w:top w:val="single" w:color="auto" w:sz="2" w:space="0"/>
              <w:left w:val="single" w:color="auto" w:sz="2" w:space="0"/>
              <w:bottom w:val="single" w:color="auto" w:sz="2" w:space="0"/>
              <w:right w:val="single" w:color="auto" w:sz="2" w:space="0"/>
            </w:tcBorders>
            <w:vAlign w:val="center"/>
          </w:tcPr>
          <w:p w14:paraId="7826EA12">
            <w:pPr>
              <w:spacing w:before="0" w:after="0" w:line="240" w:lineRule="exact"/>
              <w:jc w:val="right"/>
              <w:rPr>
                <w:rFonts w:ascii="宋体" w:hAnsi="宋体" w:eastAsia="宋体" w:cs="宋体"/>
                <w:sz w:val="18"/>
                <w:szCs w:val="18"/>
              </w:rPr>
            </w:pPr>
            <w:r>
              <w:rPr>
                <w:rFonts w:ascii="宋体" w:hAnsi="宋体" w:eastAsia="宋体" w:cs="宋体"/>
                <w:sz w:val="18"/>
                <w:szCs w:val="18"/>
              </w:rPr>
              <w:t>183,309,820.52</w:t>
            </w:r>
          </w:p>
        </w:tc>
        <w:tc>
          <w:tcPr>
            <w:tcW w:w="2410" w:type="dxa"/>
            <w:tcBorders>
              <w:top w:val="single" w:color="auto" w:sz="2" w:space="0"/>
              <w:left w:val="single" w:color="auto" w:sz="2" w:space="0"/>
              <w:bottom w:val="single" w:color="auto" w:sz="2" w:space="0"/>
              <w:right w:val="single" w:color="auto" w:sz="2" w:space="0"/>
            </w:tcBorders>
            <w:vAlign w:val="center"/>
          </w:tcPr>
          <w:p w14:paraId="05965B28">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7251D2C">
            <w:pPr>
              <w:spacing w:before="0" w:after="0" w:line="240" w:lineRule="exact"/>
              <w:jc w:val="left"/>
              <w:rPr>
                <w:rFonts w:ascii="宋体" w:hAnsi="宋体" w:eastAsia="宋体" w:cs="宋体"/>
                <w:sz w:val="18"/>
                <w:szCs w:val="18"/>
              </w:rPr>
            </w:pPr>
          </w:p>
        </w:tc>
      </w:tr>
      <w:tr w14:paraId="62C736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39B13D6">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48076538">
            <w:pPr>
              <w:spacing w:before="0" w:after="0" w:line="240" w:lineRule="exact"/>
              <w:jc w:val="right"/>
              <w:rPr>
                <w:rFonts w:ascii="宋体" w:hAnsi="宋体" w:eastAsia="宋体" w:cs="宋体"/>
                <w:sz w:val="18"/>
                <w:szCs w:val="18"/>
              </w:rPr>
            </w:pPr>
            <w:r>
              <w:rPr>
                <w:rFonts w:ascii="宋体" w:hAnsi="宋体" w:eastAsia="宋体" w:cs="宋体"/>
                <w:sz w:val="18"/>
                <w:szCs w:val="18"/>
              </w:rPr>
              <w:t>864,095,328.12</w:t>
            </w:r>
          </w:p>
        </w:tc>
        <w:tc>
          <w:tcPr>
            <w:tcW w:w="2410" w:type="dxa"/>
            <w:tcBorders>
              <w:top w:val="single" w:color="auto" w:sz="2" w:space="0"/>
              <w:left w:val="single" w:color="auto" w:sz="2" w:space="0"/>
              <w:bottom w:val="single" w:color="auto" w:sz="2" w:space="0"/>
              <w:right w:val="single" w:color="auto" w:sz="2" w:space="0"/>
            </w:tcBorders>
            <w:vAlign w:val="center"/>
          </w:tcPr>
          <w:p w14:paraId="5E40C280">
            <w:pPr>
              <w:spacing w:before="0" w:after="0" w:line="240" w:lineRule="exact"/>
              <w:jc w:val="right"/>
              <w:rPr>
                <w:rFonts w:ascii="宋体" w:hAnsi="宋体" w:eastAsia="宋体" w:cs="宋体"/>
                <w:sz w:val="18"/>
                <w:szCs w:val="18"/>
              </w:rPr>
            </w:pPr>
            <w:r>
              <w:rPr>
                <w:rFonts w:ascii="宋体" w:hAnsi="宋体" w:eastAsia="宋体" w:cs="宋体"/>
                <w:sz w:val="18"/>
                <w:szCs w:val="18"/>
              </w:rPr>
              <w:t>723,635,273.22</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03D7828"/>
        </w:tc>
      </w:tr>
    </w:tbl>
    <w:p w14:paraId="47927A9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487B8E2C">
      <w:pPr>
        <w:keepNext/>
        <w:keepLines/>
        <w:spacing w:before="300" w:after="300" w:line="280" w:lineRule="exact"/>
        <w:jc w:val="left"/>
        <w:outlineLvl w:val="2"/>
        <w:rPr>
          <w:rFonts w:ascii="宋体" w:hAnsi="宋体" w:eastAsia="宋体" w:cs="宋体"/>
          <w:b/>
          <w:bCs/>
          <w:sz w:val="21"/>
          <w:szCs w:val="21"/>
        </w:rPr>
      </w:pPr>
      <w:bookmarkStart w:id="356" w:name="_Toc989243"/>
      <w:r>
        <w:rPr>
          <w:rFonts w:ascii="宋体" w:hAnsi="宋体" w:eastAsia="宋体" w:cs="宋体"/>
          <w:b/>
          <w:bCs/>
          <w:sz w:val="21"/>
          <w:szCs w:val="21"/>
        </w:rPr>
        <w:t>30、其他非流动资产</w:t>
      </w:r>
      <w:bookmarkEnd w:id="356"/>
    </w:p>
    <w:p w14:paraId="4818090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6E062E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D30589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17889FFA">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7C31D7D6">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71C84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30BAC7E"/>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B562669">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40AE397">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1044E9F">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A688127">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D81BD48">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9CE5A8E">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28BFA7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0E8B59A0">
            <w:pPr>
              <w:spacing w:before="0" w:after="0" w:line="240" w:lineRule="exact"/>
              <w:jc w:val="left"/>
              <w:rPr>
                <w:rFonts w:ascii="宋体" w:hAnsi="宋体" w:eastAsia="宋体" w:cs="宋体"/>
                <w:sz w:val="18"/>
                <w:szCs w:val="18"/>
              </w:rPr>
            </w:pPr>
            <w:r>
              <w:rPr>
                <w:rFonts w:ascii="宋体" w:hAnsi="宋体" w:eastAsia="宋体" w:cs="宋体"/>
                <w:sz w:val="18"/>
                <w:szCs w:val="18"/>
              </w:rPr>
              <w:t>预付工程、设备款</w:t>
            </w:r>
          </w:p>
        </w:tc>
        <w:tc>
          <w:tcPr>
            <w:tcW w:w="1377" w:type="dxa"/>
            <w:tcBorders>
              <w:top w:val="single" w:color="auto" w:sz="2" w:space="0"/>
              <w:left w:val="single" w:color="auto" w:sz="2" w:space="0"/>
              <w:bottom w:val="single" w:color="auto" w:sz="2" w:space="0"/>
              <w:right w:val="single" w:color="auto" w:sz="2" w:space="0"/>
            </w:tcBorders>
            <w:vAlign w:val="center"/>
          </w:tcPr>
          <w:p w14:paraId="1EF12927">
            <w:pPr>
              <w:spacing w:before="0" w:after="0" w:line="240" w:lineRule="exact"/>
              <w:jc w:val="right"/>
              <w:rPr>
                <w:rFonts w:ascii="宋体" w:hAnsi="宋体" w:eastAsia="宋体" w:cs="宋体"/>
                <w:sz w:val="18"/>
                <w:szCs w:val="18"/>
              </w:rPr>
            </w:pPr>
            <w:r>
              <w:rPr>
                <w:rFonts w:ascii="宋体" w:hAnsi="宋体" w:eastAsia="宋体" w:cs="宋体"/>
                <w:sz w:val="18"/>
                <w:szCs w:val="18"/>
              </w:rPr>
              <w:t>62,198.72</w:t>
            </w:r>
          </w:p>
        </w:tc>
        <w:tc>
          <w:tcPr>
            <w:tcW w:w="1377" w:type="dxa"/>
            <w:tcBorders>
              <w:top w:val="single" w:color="auto" w:sz="2" w:space="0"/>
              <w:left w:val="single" w:color="auto" w:sz="2" w:space="0"/>
              <w:bottom w:val="single" w:color="auto" w:sz="2" w:space="0"/>
              <w:right w:val="single" w:color="auto" w:sz="2" w:space="0"/>
            </w:tcBorders>
            <w:vAlign w:val="center"/>
          </w:tcPr>
          <w:p w14:paraId="0A66D65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55A7B93">
            <w:pPr>
              <w:spacing w:before="0" w:after="0" w:line="240" w:lineRule="exact"/>
              <w:jc w:val="right"/>
              <w:rPr>
                <w:rFonts w:ascii="宋体" w:hAnsi="宋体" w:eastAsia="宋体" w:cs="宋体"/>
                <w:sz w:val="18"/>
                <w:szCs w:val="18"/>
              </w:rPr>
            </w:pPr>
            <w:r>
              <w:rPr>
                <w:rFonts w:ascii="宋体" w:hAnsi="宋体" w:eastAsia="宋体" w:cs="宋体"/>
                <w:sz w:val="18"/>
                <w:szCs w:val="18"/>
              </w:rPr>
              <w:t>62,198.72</w:t>
            </w:r>
          </w:p>
        </w:tc>
        <w:tc>
          <w:tcPr>
            <w:tcW w:w="1377" w:type="dxa"/>
            <w:tcBorders>
              <w:top w:val="single" w:color="auto" w:sz="2" w:space="0"/>
              <w:left w:val="single" w:color="auto" w:sz="2" w:space="0"/>
              <w:bottom w:val="single" w:color="auto" w:sz="2" w:space="0"/>
              <w:right w:val="single" w:color="auto" w:sz="2" w:space="0"/>
            </w:tcBorders>
            <w:vAlign w:val="center"/>
          </w:tcPr>
          <w:p w14:paraId="249B5670">
            <w:pPr>
              <w:spacing w:before="0" w:after="0" w:line="240" w:lineRule="exact"/>
              <w:jc w:val="right"/>
              <w:rPr>
                <w:rFonts w:ascii="宋体" w:hAnsi="宋体" w:eastAsia="宋体" w:cs="宋体"/>
                <w:sz w:val="18"/>
                <w:szCs w:val="18"/>
              </w:rPr>
            </w:pPr>
            <w:r>
              <w:rPr>
                <w:rFonts w:ascii="宋体" w:hAnsi="宋体" w:eastAsia="宋体" w:cs="宋体"/>
                <w:sz w:val="18"/>
                <w:szCs w:val="18"/>
              </w:rPr>
              <w:t>2,932,782.24</w:t>
            </w:r>
          </w:p>
        </w:tc>
        <w:tc>
          <w:tcPr>
            <w:tcW w:w="1377" w:type="dxa"/>
            <w:tcBorders>
              <w:top w:val="single" w:color="auto" w:sz="2" w:space="0"/>
              <w:left w:val="single" w:color="auto" w:sz="2" w:space="0"/>
              <w:bottom w:val="single" w:color="auto" w:sz="2" w:space="0"/>
              <w:right w:val="single" w:color="auto" w:sz="2" w:space="0"/>
            </w:tcBorders>
            <w:vAlign w:val="center"/>
          </w:tcPr>
          <w:p w14:paraId="7543024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E8AE93D">
            <w:pPr>
              <w:spacing w:before="0" w:after="0" w:line="240" w:lineRule="exact"/>
              <w:jc w:val="right"/>
              <w:rPr>
                <w:rFonts w:ascii="宋体" w:hAnsi="宋体" w:eastAsia="宋体" w:cs="宋体"/>
                <w:sz w:val="18"/>
                <w:szCs w:val="18"/>
              </w:rPr>
            </w:pPr>
            <w:r>
              <w:rPr>
                <w:rFonts w:ascii="宋体" w:hAnsi="宋体" w:eastAsia="宋体" w:cs="宋体"/>
                <w:sz w:val="18"/>
                <w:szCs w:val="18"/>
              </w:rPr>
              <w:t>2,932,782.24</w:t>
            </w:r>
          </w:p>
        </w:tc>
      </w:tr>
      <w:tr w14:paraId="66875C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457AE82">
            <w:pPr>
              <w:spacing w:before="0" w:after="0" w:line="240" w:lineRule="exact"/>
              <w:jc w:val="left"/>
              <w:rPr>
                <w:rFonts w:ascii="宋体" w:hAnsi="宋体" w:eastAsia="宋体" w:cs="宋体"/>
                <w:sz w:val="18"/>
                <w:szCs w:val="18"/>
              </w:rPr>
            </w:pPr>
            <w:r>
              <w:rPr>
                <w:rFonts w:ascii="宋体" w:hAnsi="宋体" w:eastAsia="宋体" w:cs="宋体"/>
                <w:sz w:val="18"/>
                <w:szCs w:val="18"/>
              </w:rPr>
              <w:t>预付纳税履约保证金</w:t>
            </w:r>
          </w:p>
        </w:tc>
        <w:tc>
          <w:tcPr>
            <w:tcW w:w="1377" w:type="dxa"/>
            <w:tcBorders>
              <w:top w:val="single" w:color="auto" w:sz="2" w:space="0"/>
              <w:left w:val="single" w:color="auto" w:sz="2" w:space="0"/>
              <w:bottom w:val="single" w:color="auto" w:sz="2" w:space="0"/>
              <w:right w:val="single" w:color="auto" w:sz="2" w:space="0"/>
            </w:tcBorders>
            <w:vAlign w:val="center"/>
          </w:tcPr>
          <w:p w14:paraId="10EE7CB2">
            <w:pPr>
              <w:spacing w:before="0" w:after="0" w:line="240" w:lineRule="exact"/>
              <w:jc w:val="right"/>
              <w:rPr>
                <w:rFonts w:ascii="宋体" w:hAnsi="宋体" w:eastAsia="宋体" w:cs="宋体"/>
                <w:sz w:val="18"/>
                <w:szCs w:val="18"/>
              </w:rPr>
            </w:pPr>
            <w:r>
              <w:rPr>
                <w:rFonts w:ascii="宋体" w:hAnsi="宋体" w:eastAsia="宋体" w:cs="宋体"/>
                <w:sz w:val="18"/>
                <w:szCs w:val="18"/>
              </w:rPr>
              <w:t>8,000,000.00</w:t>
            </w:r>
          </w:p>
        </w:tc>
        <w:tc>
          <w:tcPr>
            <w:tcW w:w="1377" w:type="dxa"/>
            <w:tcBorders>
              <w:top w:val="single" w:color="auto" w:sz="2" w:space="0"/>
              <w:left w:val="single" w:color="auto" w:sz="2" w:space="0"/>
              <w:bottom w:val="single" w:color="auto" w:sz="2" w:space="0"/>
              <w:right w:val="single" w:color="auto" w:sz="2" w:space="0"/>
            </w:tcBorders>
            <w:vAlign w:val="center"/>
          </w:tcPr>
          <w:p w14:paraId="559035F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6277501">
            <w:pPr>
              <w:spacing w:before="0" w:after="0" w:line="240" w:lineRule="exact"/>
              <w:jc w:val="right"/>
              <w:rPr>
                <w:rFonts w:ascii="宋体" w:hAnsi="宋体" w:eastAsia="宋体" w:cs="宋体"/>
                <w:sz w:val="18"/>
                <w:szCs w:val="18"/>
              </w:rPr>
            </w:pPr>
            <w:r>
              <w:rPr>
                <w:rFonts w:ascii="宋体" w:hAnsi="宋体" w:eastAsia="宋体" w:cs="宋体"/>
                <w:sz w:val="18"/>
                <w:szCs w:val="18"/>
              </w:rPr>
              <w:t>8,000,000.00</w:t>
            </w:r>
          </w:p>
        </w:tc>
        <w:tc>
          <w:tcPr>
            <w:tcW w:w="1377" w:type="dxa"/>
            <w:tcBorders>
              <w:top w:val="single" w:color="auto" w:sz="2" w:space="0"/>
              <w:left w:val="single" w:color="auto" w:sz="2" w:space="0"/>
              <w:bottom w:val="single" w:color="auto" w:sz="2" w:space="0"/>
              <w:right w:val="single" w:color="auto" w:sz="2" w:space="0"/>
            </w:tcBorders>
            <w:vAlign w:val="center"/>
          </w:tcPr>
          <w:p w14:paraId="6F5816EF">
            <w:pPr>
              <w:spacing w:before="0" w:after="0" w:line="240" w:lineRule="exact"/>
              <w:jc w:val="right"/>
              <w:rPr>
                <w:rFonts w:ascii="宋体" w:hAnsi="宋体" w:eastAsia="宋体" w:cs="宋体"/>
                <w:sz w:val="18"/>
                <w:szCs w:val="18"/>
              </w:rPr>
            </w:pPr>
            <w:r>
              <w:rPr>
                <w:rFonts w:ascii="宋体" w:hAnsi="宋体" w:eastAsia="宋体" w:cs="宋体"/>
                <w:sz w:val="18"/>
                <w:szCs w:val="18"/>
              </w:rPr>
              <w:t>8,000,000.00</w:t>
            </w:r>
          </w:p>
        </w:tc>
        <w:tc>
          <w:tcPr>
            <w:tcW w:w="1377" w:type="dxa"/>
            <w:tcBorders>
              <w:top w:val="single" w:color="auto" w:sz="2" w:space="0"/>
              <w:left w:val="single" w:color="auto" w:sz="2" w:space="0"/>
              <w:bottom w:val="single" w:color="auto" w:sz="2" w:space="0"/>
              <w:right w:val="single" w:color="auto" w:sz="2" w:space="0"/>
            </w:tcBorders>
            <w:vAlign w:val="center"/>
          </w:tcPr>
          <w:p w14:paraId="5F4E824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7F0FED5">
            <w:pPr>
              <w:spacing w:before="0" w:after="0" w:line="240" w:lineRule="exact"/>
              <w:jc w:val="right"/>
              <w:rPr>
                <w:rFonts w:ascii="宋体" w:hAnsi="宋体" w:eastAsia="宋体" w:cs="宋体"/>
                <w:sz w:val="18"/>
                <w:szCs w:val="18"/>
              </w:rPr>
            </w:pPr>
            <w:r>
              <w:rPr>
                <w:rFonts w:ascii="宋体" w:hAnsi="宋体" w:eastAsia="宋体" w:cs="宋体"/>
                <w:sz w:val="18"/>
                <w:szCs w:val="18"/>
              </w:rPr>
              <w:t>8,000,000.00</w:t>
            </w:r>
          </w:p>
        </w:tc>
      </w:tr>
      <w:tr w14:paraId="725584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795304C3">
            <w:pPr>
              <w:spacing w:before="0" w:after="0" w:line="240" w:lineRule="exact"/>
              <w:jc w:val="left"/>
              <w:rPr>
                <w:rFonts w:ascii="宋体" w:hAnsi="宋体" w:eastAsia="宋体" w:cs="宋体"/>
                <w:sz w:val="18"/>
                <w:szCs w:val="18"/>
              </w:rPr>
            </w:pPr>
            <w:r>
              <w:rPr>
                <w:rFonts w:ascii="宋体" w:hAnsi="宋体" w:eastAsia="宋体" w:cs="宋体"/>
                <w:sz w:val="18"/>
                <w:szCs w:val="18"/>
              </w:rPr>
              <w:t>预付专利款</w:t>
            </w:r>
          </w:p>
        </w:tc>
        <w:tc>
          <w:tcPr>
            <w:tcW w:w="1377" w:type="dxa"/>
            <w:tcBorders>
              <w:top w:val="single" w:color="auto" w:sz="2" w:space="0"/>
              <w:left w:val="single" w:color="auto" w:sz="2" w:space="0"/>
              <w:bottom w:val="single" w:color="auto" w:sz="2" w:space="0"/>
              <w:right w:val="single" w:color="auto" w:sz="2" w:space="0"/>
            </w:tcBorders>
            <w:vAlign w:val="center"/>
          </w:tcPr>
          <w:p w14:paraId="2F117FA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6491A7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86A62F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9A41210">
            <w:pPr>
              <w:spacing w:before="0" w:after="0" w:line="240" w:lineRule="exact"/>
              <w:jc w:val="right"/>
              <w:rPr>
                <w:rFonts w:ascii="宋体" w:hAnsi="宋体" w:eastAsia="宋体" w:cs="宋体"/>
                <w:sz w:val="18"/>
                <w:szCs w:val="18"/>
              </w:rPr>
            </w:pPr>
            <w:r>
              <w:rPr>
                <w:rFonts w:ascii="宋体" w:hAnsi="宋体" w:eastAsia="宋体" w:cs="宋体"/>
                <w:sz w:val="18"/>
                <w:szCs w:val="18"/>
              </w:rPr>
              <w:t>6,005,600.00</w:t>
            </w:r>
          </w:p>
        </w:tc>
        <w:tc>
          <w:tcPr>
            <w:tcW w:w="1377" w:type="dxa"/>
            <w:tcBorders>
              <w:top w:val="single" w:color="auto" w:sz="2" w:space="0"/>
              <w:left w:val="single" w:color="auto" w:sz="2" w:space="0"/>
              <w:bottom w:val="single" w:color="auto" w:sz="2" w:space="0"/>
              <w:right w:val="single" w:color="auto" w:sz="2" w:space="0"/>
            </w:tcBorders>
            <w:vAlign w:val="center"/>
          </w:tcPr>
          <w:p w14:paraId="5803F29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64DB348">
            <w:pPr>
              <w:spacing w:before="0" w:after="0" w:line="240" w:lineRule="exact"/>
              <w:jc w:val="right"/>
              <w:rPr>
                <w:rFonts w:ascii="宋体" w:hAnsi="宋体" w:eastAsia="宋体" w:cs="宋体"/>
                <w:sz w:val="18"/>
                <w:szCs w:val="18"/>
              </w:rPr>
            </w:pPr>
            <w:r>
              <w:rPr>
                <w:rFonts w:ascii="宋体" w:hAnsi="宋体" w:eastAsia="宋体" w:cs="宋体"/>
                <w:sz w:val="18"/>
                <w:szCs w:val="18"/>
              </w:rPr>
              <w:t>6,005,600.00</w:t>
            </w:r>
          </w:p>
        </w:tc>
      </w:tr>
      <w:tr w14:paraId="3E0F3E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6C39A8A">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5986E16A">
            <w:pPr>
              <w:spacing w:before="0" w:after="0" w:line="240" w:lineRule="exact"/>
              <w:jc w:val="right"/>
              <w:rPr>
                <w:rFonts w:ascii="宋体" w:hAnsi="宋体" w:eastAsia="宋体" w:cs="宋体"/>
                <w:sz w:val="18"/>
                <w:szCs w:val="18"/>
              </w:rPr>
            </w:pPr>
            <w:r>
              <w:rPr>
                <w:rFonts w:ascii="宋体" w:hAnsi="宋体" w:eastAsia="宋体" w:cs="宋体"/>
                <w:sz w:val="18"/>
                <w:szCs w:val="18"/>
              </w:rPr>
              <w:t>8,062,198.72</w:t>
            </w:r>
          </w:p>
        </w:tc>
        <w:tc>
          <w:tcPr>
            <w:tcW w:w="1377" w:type="dxa"/>
            <w:tcBorders>
              <w:top w:val="single" w:color="auto" w:sz="2" w:space="0"/>
              <w:left w:val="single" w:color="auto" w:sz="2" w:space="0"/>
              <w:bottom w:val="single" w:color="auto" w:sz="2" w:space="0"/>
              <w:right w:val="single" w:color="auto" w:sz="2" w:space="0"/>
            </w:tcBorders>
            <w:vAlign w:val="center"/>
          </w:tcPr>
          <w:p w14:paraId="0D90817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2D29B78">
            <w:pPr>
              <w:spacing w:before="0" w:after="0" w:line="240" w:lineRule="exact"/>
              <w:jc w:val="right"/>
              <w:rPr>
                <w:rFonts w:ascii="宋体" w:hAnsi="宋体" w:eastAsia="宋体" w:cs="宋体"/>
                <w:sz w:val="18"/>
                <w:szCs w:val="18"/>
              </w:rPr>
            </w:pPr>
            <w:r>
              <w:rPr>
                <w:rFonts w:ascii="宋体" w:hAnsi="宋体" w:eastAsia="宋体" w:cs="宋体"/>
                <w:sz w:val="18"/>
                <w:szCs w:val="18"/>
              </w:rPr>
              <w:t>8,062,198.72</w:t>
            </w:r>
          </w:p>
        </w:tc>
        <w:tc>
          <w:tcPr>
            <w:tcW w:w="1377" w:type="dxa"/>
            <w:tcBorders>
              <w:top w:val="single" w:color="auto" w:sz="2" w:space="0"/>
              <w:left w:val="single" w:color="auto" w:sz="2" w:space="0"/>
              <w:bottom w:val="single" w:color="auto" w:sz="2" w:space="0"/>
              <w:right w:val="single" w:color="auto" w:sz="2" w:space="0"/>
            </w:tcBorders>
            <w:vAlign w:val="center"/>
          </w:tcPr>
          <w:p w14:paraId="75CC5CF5">
            <w:pPr>
              <w:spacing w:before="0" w:after="0" w:line="240" w:lineRule="exact"/>
              <w:jc w:val="right"/>
              <w:rPr>
                <w:rFonts w:ascii="宋体" w:hAnsi="宋体" w:eastAsia="宋体" w:cs="宋体"/>
                <w:sz w:val="18"/>
                <w:szCs w:val="18"/>
              </w:rPr>
            </w:pPr>
            <w:r>
              <w:rPr>
                <w:rFonts w:ascii="宋体" w:hAnsi="宋体" w:eastAsia="宋体" w:cs="宋体"/>
                <w:sz w:val="18"/>
                <w:szCs w:val="18"/>
              </w:rPr>
              <w:t>16,938,382.24</w:t>
            </w:r>
          </w:p>
        </w:tc>
        <w:tc>
          <w:tcPr>
            <w:tcW w:w="1377" w:type="dxa"/>
            <w:tcBorders>
              <w:top w:val="single" w:color="auto" w:sz="2" w:space="0"/>
              <w:left w:val="single" w:color="auto" w:sz="2" w:space="0"/>
              <w:bottom w:val="single" w:color="auto" w:sz="2" w:space="0"/>
              <w:right w:val="single" w:color="auto" w:sz="2" w:space="0"/>
            </w:tcBorders>
            <w:vAlign w:val="center"/>
          </w:tcPr>
          <w:p w14:paraId="5EE5235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C2F622B">
            <w:pPr>
              <w:spacing w:before="0" w:after="0" w:line="240" w:lineRule="exact"/>
              <w:jc w:val="right"/>
              <w:rPr>
                <w:rFonts w:ascii="宋体" w:hAnsi="宋体" w:eastAsia="宋体" w:cs="宋体"/>
                <w:sz w:val="18"/>
                <w:szCs w:val="18"/>
              </w:rPr>
            </w:pPr>
            <w:r>
              <w:rPr>
                <w:rFonts w:ascii="宋体" w:hAnsi="宋体" w:eastAsia="宋体" w:cs="宋体"/>
                <w:sz w:val="18"/>
                <w:szCs w:val="18"/>
              </w:rPr>
              <w:t>16,938,382.24</w:t>
            </w:r>
          </w:p>
        </w:tc>
      </w:tr>
    </w:tbl>
    <w:p w14:paraId="3FC45D54">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1099A720">
      <w:pPr>
        <w:keepNext/>
        <w:keepLines/>
        <w:spacing w:before="300" w:after="300" w:line="280" w:lineRule="exact"/>
        <w:jc w:val="left"/>
        <w:outlineLvl w:val="2"/>
        <w:rPr>
          <w:rFonts w:ascii="宋体" w:hAnsi="宋体" w:eastAsia="宋体" w:cs="宋体"/>
          <w:b/>
          <w:bCs/>
          <w:sz w:val="21"/>
          <w:szCs w:val="21"/>
        </w:rPr>
      </w:pPr>
      <w:bookmarkStart w:id="357" w:name="_Toc989244"/>
      <w:r>
        <w:rPr>
          <w:rFonts w:ascii="宋体" w:hAnsi="宋体" w:eastAsia="宋体" w:cs="宋体"/>
          <w:b/>
          <w:bCs/>
          <w:sz w:val="21"/>
          <w:szCs w:val="21"/>
        </w:rPr>
        <w:t>31、所有权或使用权受到限制的资产</w:t>
      </w:r>
      <w:bookmarkEnd w:id="357"/>
    </w:p>
    <w:p w14:paraId="7AE28F8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698BD3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31A5A5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284"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4A50860F">
            <w:pPr>
              <w:spacing w:before="40" w:after="40" w:line="240" w:lineRule="exact"/>
              <w:jc w:val="center"/>
              <w:rPr>
                <w:rFonts w:ascii="宋体" w:hAnsi="宋体" w:eastAsia="宋体" w:cs="宋体"/>
                <w:sz w:val="18"/>
                <w:szCs w:val="18"/>
              </w:rPr>
            </w:pPr>
            <w:r>
              <w:rPr>
                <w:rFonts w:ascii="宋体" w:hAnsi="宋体" w:eastAsia="宋体" w:cs="宋体"/>
                <w:sz w:val="18"/>
                <w:szCs w:val="18"/>
              </w:rPr>
              <w:t>期末</w:t>
            </w:r>
          </w:p>
        </w:tc>
        <w:tc>
          <w:tcPr>
            <w:tcW w:w="4284"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06F4AE37">
            <w:pPr>
              <w:spacing w:before="40" w:after="40" w:line="240" w:lineRule="exact"/>
              <w:jc w:val="center"/>
              <w:rPr>
                <w:rFonts w:ascii="宋体" w:hAnsi="宋体" w:eastAsia="宋体" w:cs="宋体"/>
                <w:sz w:val="18"/>
                <w:szCs w:val="18"/>
              </w:rPr>
            </w:pPr>
            <w:r>
              <w:rPr>
                <w:rFonts w:ascii="宋体" w:hAnsi="宋体" w:eastAsia="宋体" w:cs="宋体"/>
                <w:sz w:val="18"/>
                <w:szCs w:val="18"/>
              </w:rPr>
              <w:t>期初</w:t>
            </w:r>
          </w:p>
        </w:tc>
      </w:tr>
      <w:tr w14:paraId="43EC85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60A44F5"/>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983A987">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0BCC339">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5E93E8A">
            <w:pPr>
              <w:spacing w:before="40" w:after="40" w:line="240" w:lineRule="exact"/>
              <w:jc w:val="center"/>
              <w:rPr>
                <w:rFonts w:ascii="宋体" w:hAnsi="宋体" w:eastAsia="宋体" w:cs="宋体"/>
                <w:sz w:val="18"/>
                <w:szCs w:val="18"/>
              </w:rPr>
            </w:pPr>
            <w:r>
              <w:rPr>
                <w:rFonts w:ascii="宋体" w:hAnsi="宋体" w:eastAsia="宋体" w:cs="宋体"/>
                <w:sz w:val="18"/>
                <w:szCs w:val="18"/>
              </w:rPr>
              <w:t>受限类型</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1DE9016">
            <w:pPr>
              <w:spacing w:before="40" w:after="40" w:line="240" w:lineRule="exact"/>
              <w:jc w:val="center"/>
              <w:rPr>
                <w:rFonts w:ascii="宋体" w:hAnsi="宋体" w:eastAsia="宋体" w:cs="宋体"/>
                <w:sz w:val="18"/>
                <w:szCs w:val="18"/>
              </w:rPr>
            </w:pPr>
            <w:r>
              <w:rPr>
                <w:rFonts w:ascii="宋体" w:hAnsi="宋体" w:eastAsia="宋体" w:cs="宋体"/>
                <w:sz w:val="18"/>
                <w:szCs w:val="18"/>
              </w:rPr>
              <w:t>受限情况</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203EA9E">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F29B73A">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35501CB">
            <w:pPr>
              <w:spacing w:before="40" w:after="40" w:line="240" w:lineRule="exact"/>
              <w:jc w:val="center"/>
              <w:rPr>
                <w:rFonts w:ascii="宋体" w:hAnsi="宋体" w:eastAsia="宋体" w:cs="宋体"/>
                <w:sz w:val="18"/>
                <w:szCs w:val="18"/>
              </w:rPr>
            </w:pPr>
            <w:r>
              <w:rPr>
                <w:rFonts w:ascii="宋体" w:hAnsi="宋体" w:eastAsia="宋体" w:cs="宋体"/>
                <w:sz w:val="18"/>
                <w:szCs w:val="18"/>
              </w:rPr>
              <w:t>受限类型</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2E81846">
            <w:pPr>
              <w:spacing w:before="40" w:after="40" w:line="240" w:lineRule="exact"/>
              <w:jc w:val="center"/>
              <w:rPr>
                <w:rFonts w:ascii="宋体" w:hAnsi="宋体" w:eastAsia="宋体" w:cs="宋体"/>
                <w:sz w:val="18"/>
                <w:szCs w:val="18"/>
              </w:rPr>
            </w:pPr>
            <w:r>
              <w:rPr>
                <w:rFonts w:ascii="宋体" w:hAnsi="宋体" w:eastAsia="宋体" w:cs="宋体"/>
                <w:sz w:val="18"/>
                <w:szCs w:val="18"/>
              </w:rPr>
              <w:t>受限情况</w:t>
            </w:r>
          </w:p>
        </w:tc>
      </w:tr>
      <w:tr w14:paraId="09E3CF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524D52DE">
            <w:pPr>
              <w:spacing w:before="0" w:after="0" w:line="240" w:lineRule="exact"/>
              <w:jc w:val="left"/>
              <w:rPr>
                <w:rFonts w:ascii="宋体" w:hAnsi="宋体" w:eastAsia="宋体" w:cs="宋体"/>
                <w:sz w:val="18"/>
                <w:szCs w:val="18"/>
              </w:rPr>
            </w:pPr>
            <w:r>
              <w:rPr>
                <w:rFonts w:ascii="宋体" w:hAnsi="宋体" w:eastAsia="宋体" w:cs="宋体"/>
                <w:sz w:val="18"/>
                <w:szCs w:val="18"/>
              </w:rPr>
              <w:t>货币资金</w:t>
            </w:r>
          </w:p>
        </w:tc>
        <w:tc>
          <w:tcPr>
            <w:tcW w:w="1071" w:type="dxa"/>
            <w:tcBorders>
              <w:top w:val="single" w:color="auto" w:sz="2" w:space="0"/>
              <w:left w:val="single" w:color="auto" w:sz="2" w:space="0"/>
              <w:bottom w:val="single" w:color="auto" w:sz="2" w:space="0"/>
              <w:right w:val="single" w:color="auto" w:sz="2" w:space="0"/>
            </w:tcBorders>
            <w:vAlign w:val="center"/>
          </w:tcPr>
          <w:p w14:paraId="1F055852">
            <w:pPr>
              <w:spacing w:before="0" w:after="0" w:line="240" w:lineRule="exact"/>
              <w:jc w:val="right"/>
              <w:rPr>
                <w:rFonts w:ascii="宋体" w:hAnsi="宋体" w:eastAsia="宋体" w:cs="宋体"/>
                <w:sz w:val="18"/>
                <w:szCs w:val="18"/>
              </w:rPr>
            </w:pPr>
            <w:r>
              <w:rPr>
                <w:rFonts w:ascii="宋体" w:hAnsi="宋体" w:eastAsia="宋体" w:cs="宋体"/>
                <w:sz w:val="18"/>
                <w:szCs w:val="18"/>
              </w:rPr>
              <w:t>795,608.55</w:t>
            </w:r>
          </w:p>
        </w:tc>
        <w:tc>
          <w:tcPr>
            <w:tcW w:w="1071" w:type="dxa"/>
            <w:tcBorders>
              <w:top w:val="single" w:color="auto" w:sz="2" w:space="0"/>
              <w:left w:val="single" w:color="auto" w:sz="2" w:space="0"/>
              <w:bottom w:val="single" w:color="auto" w:sz="2" w:space="0"/>
              <w:right w:val="single" w:color="auto" w:sz="2" w:space="0"/>
            </w:tcBorders>
            <w:vAlign w:val="center"/>
          </w:tcPr>
          <w:p w14:paraId="40D5B17F">
            <w:pPr>
              <w:spacing w:before="0" w:after="0" w:line="240" w:lineRule="exact"/>
              <w:jc w:val="right"/>
              <w:rPr>
                <w:rFonts w:ascii="宋体" w:hAnsi="宋体" w:eastAsia="宋体" w:cs="宋体"/>
                <w:sz w:val="18"/>
                <w:szCs w:val="18"/>
              </w:rPr>
            </w:pPr>
            <w:r>
              <w:rPr>
                <w:rFonts w:ascii="宋体" w:hAnsi="宋体" w:eastAsia="宋体" w:cs="宋体"/>
                <w:sz w:val="18"/>
                <w:szCs w:val="18"/>
              </w:rPr>
              <w:t>795,608.55</w:t>
            </w:r>
          </w:p>
        </w:tc>
        <w:tc>
          <w:tcPr>
            <w:tcW w:w="1071" w:type="dxa"/>
            <w:tcBorders>
              <w:top w:val="single" w:color="auto" w:sz="2" w:space="0"/>
              <w:left w:val="single" w:color="auto" w:sz="2" w:space="0"/>
              <w:bottom w:val="single" w:color="auto" w:sz="2" w:space="0"/>
              <w:right w:val="single" w:color="auto" w:sz="2" w:space="0"/>
            </w:tcBorders>
            <w:vAlign w:val="center"/>
          </w:tcPr>
          <w:p w14:paraId="1DC14CFC">
            <w:pPr>
              <w:spacing w:before="0" w:after="0" w:line="240" w:lineRule="exact"/>
              <w:jc w:val="left"/>
              <w:rPr>
                <w:rFonts w:ascii="宋体" w:hAnsi="宋体" w:eastAsia="宋体" w:cs="宋体"/>
                <w:sz w:val="18"/>
                <w:szCs w:val="18"/>
              </w:rPr>
            </w:pPr>
            <w:r>
              <w:rPr>
                <w:rFonts w:ascii="宋体" w:hAnsi="宋体" w:eastAsia="宋体" w:cs="宋体"/>
                <w:sz w:val="18"/>
                <w:szCs w:val="18"/>
              </w:rPr>
              <w:t>冻结的银行存款</w:t>
            </w:r>
          </w:p>
        </w:tc>
        <w:tc>
          <w:tcPr>
            <w:tcW w:w="1071" w:type="dxa"/>
            <w:tcBorders>
              <w:top w:val="single" w:color="auto" w:sz="2" w:space="0"/>
              <w:left w:val="single" w:color="auto" w:sz="2" w:space="0"/>
              <w:bottom w:val="single" w:color="auto" w:sz="2" w:space="0"/>
              <w:right w:val="single" w:color="auto" w:sz="2" w:space="0"/>
            </w:tcBorders>
            <w:vAlign w:val="center"/>
          </w:tcPr>
          <w:p w14:paraId="70A5AD64">
            <w:pPr>
              <w:spacing w:before="0" w:after="0" w:line="240" w:lineRule="exact"/>
              <w:jc w:val="left"/>
              <w:rPr>
                <w:rFonts w:ascii="宋体" w:hAnsi="宋体" w:eastAsia="宋体" w:cs="宋体"/>
                <w:sz w:val="18"/>
                <w:szCs w:val="18"/>
              </w:rPr>
            </w:pPr>
            <w:r>
              <w:rPr>
                <w:rFonts w:ascii="宋体" w:hAnsi="宋体" w:eastAsia="宋体" w:cs="宋体"/>
                <w:sz w:val="18"/>
                <w:szCs w:val="18"/>
              </w:rPr>
              <w:t>劳务纠纷</w:t>
            </w:r>
          </w:p>
        </w:tc>
        <w:tc>
          <w:tcPr>
            <w:tcW w:w="1071" w:type="dxa"/>
            <w:tcBorders>
              <w:top w:val="single" w:color="auto" w:sz="2" w:space="0"/>
              <w:left w:val="single" w:color="auto" w:sz="2" w:space="0"/>
              <w:bottom w:val="single" w:color="auto" w:sz="2" w:space="0"/>
              <w:right w:val="single" w:color="auto" w:sz="2" w:space="0"/>
            </w:tcBorders>
            <w:vAlign w:val="center"/>
          </w:tcPr>
          <w:p w14:paraId="2595BDD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29ABEFC">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3988250">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CF6BD65">
            <w:pPr>
              <w:spacing w:before="0" w:after="0" w:line="240" w:lineRule="exact"/>
              <w:jc w:val="left"/>
              <w:rPr>
                <w:rFonts w:ascii="宋体" w:hAnsi="宋体" w:eastAsia="宋体" w:cs="宋体"/>
                <w:sz w:val="18"/>
                <w:szCs w:val="18"/>
              </w:rPr>
            </w:pPr>
          </w:p>
        </w:tc>
      </w:tr>
      <w:tr w14:paraId="4528D0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0B9BDAA6">
            <w:pPr>
              <w:spacing w:before="0" w:after="0" w:line="240" w:lineRule="exact"/>
              <w:jc w:val="left"/>
              <w:rPr>
                <w:rFonts w:ascii="宋体" w:hAnsi="宋体" w:eastAsia="宋体" w:cs="宋体"/>
                <w:sz w:val="18"/>
                <w:szCs w:val="18"/>
              </w:rPr>
            </w:pPr>
            <w:r>
              <w:rPr>
                <w:rFonts w:ascii="宋体" w:hAnsi="宋体" w:eastAsia="宋体" w:cs="宋体"/>
                <w:sz w:val="18"/>
                <w:szCs w:val="18"/>
              </w:rPr>
              <w:t>货币资金</w:t>
            </w:r>
          </w:p>
        </w:tc>
        <w:tc>
          <w:tcPr>
            <w:tcW w:w="1071" w:type="dxa"/>
            <w:tcBorders>
              <w:top w:val="single" w:color="auto" w:sz="2" w:space="0"/>
              <w:left w:val="single" w:color="auto" w:sz="2" w:space="0"/>
              <w:bottom w:val="single" w:color="auto" w:sz="2" w:space="0"/>
              <w:right w:val="single" w:color="auto" w:sz="2" w:space="0"/>
            </w:tcBorders>
            <w:vAlign w:val="center"/>
          </w:tcPr>
          <w:p w14:paraId="24145A1E">
            <w:pPr>
              <w:spacing w:before="0" w:after="0" w:line="240" w:lineRule="exact"/>
              <w:jc w:val="right"/>
              <w:rPr>
                <w:rFonts w:ascii="宋体" w:hAnsi="宋体" w:eastAsia="宋体" w:cs="宋体"/>
                <w:sz w:val="18"/>
                <w:szCs w:val="18"/>
              </w:rPr>
            </w:pPr>
            <w:r>
              <w:rPr>
                <w:rFonts w:ascii="宋体" w:hAnsi="宋体" w:eastAsia="宋体" w:cs="宋体"/>
                <w:sz w:val="18"/>
                <w:szCs w:val="18"/>
              </w:rPr>
              <w:t>200,000.00</w:t>
            </w:r>
          </w:p>
        </w:tc>
        <w:tc>
          <w:tcPr>
            <w:tcW w:w="1071" w:type="dxa"/>
            <w:tcBorders>
              <w:top w:val="single" w:color="auto" w:sz="2" w:space="0"/>
              <w:left w:val="single" w:color="auto" w:sz="2" w:space="0"/>
              <w:bottom w:val="single" w:color="auto" w:sz="2" w:space="0"/>
              <w:right w:val="single" w:color="auto" w:sz="2" w:space="0"/>
            </w:tcBorders>
            <w:vAlign w:val="center"/>
          </w:tcPr>
          <w:p w14:paraId="7346789F">
            <w:pPr>
              <w:spacing w:before="0" w:after="0" w:line="240" w:lineRule="exact"/>
              <w:jc w:val="right"/>
              <w:rPr>
                <w:rFonts w:ascii="宋体" w:hAnsi="宋体" w:eastAsia="宋体" w:cs="宋体"/>
                <w:sz w:val="18"/>
                <w:szCs w:val="18"/>
              </w:rPr>
            </w:pPr>
            <w:r>
              <w:rPr>
                <w:rFonts w:ascii="宋体" w:hAnsi="宋体" w:eastAsia="宋体" w:cs="宋体"/>
                <w:sz w:val="18"/>
                <w:szCs w:val="18"/>
              </w:rPr>
              <w:t>200,000.00</w:t>
            </w:r>
          </w:p>
        </w:tc>
        <w:tc>
          <w:tcPr>
            <w:tcW w:w="1071" w:type="dxa"/>
            <w:tcBorders>
              <w:top w:val="single" w:color="auto" w:sz="2" w:space="0"/>
              <w:left w:val="single" w:color="auto" w:sz="2" w:space="0"/>
              <w:bottom w:val="single" w:color="auto" w:sz="2" w:space="0"/>
              <w:right w:val="single" w:color="auto" w:sz="2" w:space="0"/>
            </w:tcBorders>
            <w:vAlign w:val="center"/>
          </w:tcPr>
          <w:p w14:paraId="67AD8108">
            <w:pPr>
              <w:spacing w:before="0" w:after="0" w:line="240" w:lineRule="exact"/>
              <w:jc w:val="left"/>
              <w:rPr>
                <w:rFonts w:ascii="宋体" w:hAnsi="宋体" w:eastAsia="宋体" w:cs="宋体"/>
                <w:sz w:val="18"/>
                <w:szCs w:val="18"/>
              </w:rPr>
            </w:pPr>
            <w:r>
              <w:rPr>
                <w:rFonts w:ascii="宋体" w:hAnsi="宋体" w:eastAsia="宋体" w:cs="宋体"/>
                <w:sz w:val="18"/>
                <w:szCs w:val="18"/>
              </w:rPr>
              <w:t>其他保证金</w:t>
            </w:r>
          </w:p>
        </w:tc>
        <w:tc>
          <w:tcPr>
            <w:tcW w:w="1071" w:type="dxa"/>
            <w:tcBorders>
              <w:top w:val="single" w:color="auto" w:sz="2" w:space="0"/>
              <w:left w:val="single" w:color="auto" w:sz="2" w:space="0"/>
              <w:bottom w:val="single" w:color="auto" w:sz="2" w:space="0"/>
              <w:right w:val="single" w:color="auto" w:sz="2" w:space="0"/>
            </w:tcBorders>
            <w:vAlign w:val="center"/>
          </w:tcPr>
          <w:p w14:paraId="27CBC2F8">
            <w:pPr>
              <w:spacing w:before="0" w:after="0" w:line="240" w:lineRule="exact"/>
              <w:jc w:val="left"/>
              <w:rPr>
                <w:rFonts w:ascii="宋体" w:hAnsi="宋体" w:eastAsia="宋体" w:cs="宋体"/>
                <w:sz w:val="18"/>
                <w:szCs w:val="18"/>
              </w:rPr>
            </w:pPr>
            <w:r>
              <w:rPr>
                <w:rFonts w:ascii="宋体" w:hAnsi="宋体" w:eastAsia="宋体" w:cs="宋体"/>
                <w:sz w:val="18"/>
                <w:szCs w:val="18"/>
              </w:rPr>
              <w:t>其他保证金</w:t>
            </w:r>
          </w:p>
        </w:tc>
        <w:tc>
          <w:tcPr>
            <w:tcW w:w="1071" w:type="dxa"/>
            <w:tcBorders>
              <w:top w:val="single" w:color="auto" w:sz="2" w:space="0"/>
              <w:left w:val="single" w:color="auto" w:sz="2" w:space="0"/>
              <w:bottom w:val="single" w:color="auto" w:sz="2" w:space="0"/>
              <w:right w:val="single" w:color="auto" w:sz="2" w:space="0"/>
            </w:tcBorders>
            <w:vAlign w:val="center"/>
          </w:tcPr>
          <w:p w14:paraId="57A0CFFF">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c>
          <w:tcPr>
            <w:tcW w:w="1071" w:type="dxa"/>
            <w:tcBorders>
              <w:top w:val="single" w:color="auto" w:sz="2" w:space="0"/>
              <w:left w:val="single" w:color="auto" w:sz="2" w:space="0"/>
              <w:bottom w:val="single" w:color="auto" w:sz="2" w:space="0"/>
              <w:right w:val="single" w:color="auto" w:sz="2" w:space="0"/>
            </w:tcBorders>
            <w:vAlign w:val="center"/>
          </w:tcPr>
          <w:p w14:paraId="36F6D9A5">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c>
          <w:tcPr>
            <w:tcW w:w="1071" w:type="dxa"/>
            <w:tcBorders>
              <w:top w:val="single" w:color="auto" w:sz="2" w:space="0"/>
              <w:left w:val="single" w:color="auto" w:sz="2" w:space="0"/>
              <w:bottom w:val="single" w:color="auto" w:sz="2" w:space="0"/>
              <w:right w:val="single" w:color="auto" w:sz="2" w:space="0"/>
            </w:tcBorders>
            <w:vAlign w:val="center"/>
          </w:tcPr>
          <w:p w14:paraId="65BA18D1">
            <w:pPr>
              <w:spacing w:before="0" w:after="0" w:line="240" w:lineRule="exact"/>
              <w:jc w:val="left"/>
              <w:rPr>
                <w:rFonts w:ascii="宋体" w:hAnsi="宋体" w:eastAsia="宋体" w:cs="宋体"/>
                <w:sz w:val="18"/>
                <w:szCs w:val="18"/>
              </w:rPr>
            </w:pPr>
            <w:r>
              <w:rPr>
                <w:rFonts w:ascii="宋体" w:hAnsi="宋体" w:eastAsia="宋体" w:cs="宋体"/>
                <w:sz w:val="18"/>
                <w:szCs w:val="18"/>
              </w:rPr>
              <w:t>保证金</w:t>
            </w:r>
          </w:p>
        </w:tc>
        <w:tc>
          <w:tcPr>
            <w:tcW w:w="1071" w:type="dxa"/>
            <w:tcBorders>
              <w:top w:val="single" w:color="auto" w:sz="2" w:space="0"/>
              <w:left w:val="single" w:color="auto" w:sz="2" w:space="0"/>
              <w:bottom w:val="single" w:color="auto" w:sz="2" w:space="0"/>
              <w:right w:val="single" w:color="auto" w:sz="2" w:space="0"/>
            </w:tcBorders>
            <w:vAlign w:val="center"/>
          </w:tcPr>
          <w:p w14:paraId="52CF77F9">
            <w:pPr>
              <w:spacing w:before="0" w:after="0" w:line="240" w:lineRule="exact"/>
              <w:jc w:val="left"/>
              <w:rPr>
                <w:rFonts w:ascii="宋体" w:hAnsi="宋体" w:eastAsia="宋体" w:cs="宋体"/>
                <w:sz w:val="18"/>
                <w:szCs w:val="18"/>
              </w:rPr>
            </w:pPr>
            <w:r>
              <w:rPr>
                <w:rFonts w:ascii="宋体" w:hAnsi="宋体" w:eastAsia="宋体" w:cs="宋体"/>
                <w:sz w:val="18"/>
                <w:szCs w:val="18"/>
              </w:rPr>
              <w:t>保证金，使用受限</w:t>
            </w:r>
          </w:p>
        </w:tc>
      </w:tr>
      <w:tr w14:paraId="41516C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75D5CAD6">
            <w:pPr>
              <w:spacing w:before="0" w:after="0" w:line="240" w:lineRule="exact"/>
              <w:jc w:val="left"/>
              <w:rPr>
                <w:rFonts w:ascii="宋体" w:hAnsi="宋体" w:eastAsia="宋体" w:cs="宋体"/>
                <w:sz w:val="18"/>
                <w:szCs w:val="18"/>
              </w:rPr>
            </w:pPr>
            <w:r>
              <w:rPr>
                <w:rFonts w:ascii="宋体" w:hAnsi="宋体" w:eastAsia="宋体" w:cs="宋体"/>
                <w:sz w:val="18"/>
                <w:szCs w:val="18"/>
              </w:rPr>
              <w:t>固定资产</w:t>
            </w:r>
          </w:p>
        </w:tc>
        <w:tc>
          <w:tcPr>
            <w:tcW w:w="1071" w:type="dxa"/>
            <w:tcBorders>
              <w:top w:val="single" w:color="auto" w:sz="2" w:space="0"/>
              <w:left w:val="single" w:color="auto" w:sz="2" w:space="0"/>
              <w:bottom w:val="single" w:color="auto" w:sz="2" w:space="0"/>
              <w:right w:val="single" w:color="auto" w:sz="2" w:space="0"/>
            </w:tcBorders>
            <w:vAlign w:val="center"/>
          </w:tcPr>
          <w:p w14:paraId="707EF045">
            <w:pPr>
              <w:spacing w:before="0" w:after="0" w:line="240" w:lineRule="exact"/>
              <w:jc w:val="right"/>
              <w:rPr>
                <w:rFonts w:ascii="宋体" w:hAnsi="宋体" w:eastAsia="宋体" w:cs="宋体"/>
                <w:sz w:val="18"/>
                <w:szCs w:val="18"/>
              </w:rPr>
            </w:pPr>
            <w:r>
              <w:rPr>
                <w:rFonts w:ascii="宋体" w:hAnsi="宋体" w:eastAsia="宋体" w:cs="宋体"/>
                <w:sz w:val="18"/>
                <w:szCs w:val="18"/>
              </w:rPr>
              <w:t>438,050,827.65</w:t>
            </w:r>
          </w:p>
        </w:tc>
        <w:tc>
          <w:tcPr>
            <w:tcW w:w="1071" w:type="dxa"/>
            <w:tcBorders>
              <w:top w:val="single" w:color="auto" w:sz="2" w:space="0"/>
              <w:left w:val="single" w:color="auto" w:sz="2" w:space="0"/>
              <w:bottom w:val="single" w:color="auto" w:sz="2" w:space="0"/>
              <w:right w:val="single" w:color="auto" w:sz="2" w:space="0"/>
            </w:tcBorders>
            <w:vAlign w:val="center"/>
          </w:tcPr>
          <w:p w14:paraId="17469A8D">
            <w:pPr>
              <w:spacing w:before="0" w:after="0" w:line="240" w:lineRule="exact"/>
              <w:jc w:val="right"/>
              <w:rPr>
                <w:rFonts w:ascii="宋体" w:hAnsi="宋体" w:eastAsia="宋体" w:cs="宋体"/>
                <w:sz w:val="18"/>
                <w:szCs w:val="18"/>
              </w:rPr>
            </w:pPr>
            <w:r>
              <w:rPr>
                <w:rFonts w:ascii="宋体" w:hAnsi="宋体" w:eastAsia="宋体" w:cs="宋体"/>
                <w:sz w:val="18"/>
                <w:szCs w:val="18"/>
              </w:rPr>
              <w:t>297,738,092.21</w:t>
            </w:r>
          </w:p>
        </w:tc>
        <w:tc>
          <w:tcPr>
            <w:tcW w:w="1071" w:type="dxa"/>
            <w:tcBorders>
              <w:top w:val="single" w:color="auto" w:sz="2" w:space="0"/>
              <w:left w:val="single" w:color="auto" w:sz="2" w:space="0"/>
              <w:bottom w:val="single" w:color="auto" w:sz="2" w:space="0"/>
              <w:right w:val="single" w:color="auto" w:sz="2" w:space="0"/>
            </w:tcBorders>
            <w:vAlign w:val="center"/>
          </w:tcPr>
          <w:p w14:paraId="220259BE">
            <w:pPr>
              <w:spacing w:before="0" w:after="0" w:line="240" w:lineRule="exact"/>
              <w:jc w:val="left"/>
              <w:rPr>
                <w:rFonts w:ascii="宋体" w:hAnsi="宋体" w:eastAsia="宋体" w:cs="宋体"/>
                <w:sz w:val="18"/>
                <w:szCs w:val="18"/>
              </w:rPr>
            </w:pPr>
            <w:r>
              <w:rPr>
                <w:rFonts w:ascii="宋体" w:hAnsi="宋体" w:eastAsia="宋体" w:cs="宋体"/>
                <w:sz w:val="18"/>
                <w:szCs w:val="18"/>
              </w:rPr>
              <w:t>抵押</w:t>
            </w:r>
          </w:p>
        </w:tc>
        <w:tc>
          <w:tcPr>
            <w:tcW w:w="1071" w:type="dxa"/>
            <w:tcBorders>
              <w:top w:val="single" w:color="auto" w:sz="2" w:space="0"/>
              <w:left w:val="single" w:color="auto" w:sz="2" w:space="0"/>
              <w:bottom w:val="single" w:color="auto" w:sz="2" w:space="0"/>
              <w:right w:val="single" w:color="auto" w:sz="2" w:space="0"/>
            </w:tcBorders>
            <w:vAlign w:val="center"/>
          </w:tcPr>
          <w:p w14:paraId="4DD84349">
            <w:pPr>
              <w:spacing w:before="0" w:after="0" w:line="240" w:lineRule="exact"/>
              <w:jc w:val="left"/>
              <w:rPr>
                <w:rFonts w:ascii="宋体" w:hAnsi="宋体" w:eastAsia="宋体" w:cs="宋体"/>
                <w:sz w:val="18"/>
                <w:szCs w:val="18"/>
              </w:rPr>
            </w:pPr>
            <w:r>
              <w:rPr>
                <w:rFonts w:ascii="宋体" w:hAnsi="宋体" w:eastAsia="宋体" w:cs="宋体"/>
                <w:sz w:val="18"/>
                <w:szCs w:val="18"/>
              </w:rPr>
              <w:t>抵押及保证借款详见五、注释19和注释28</w:t>
            </w:r>
          </w:p>
        </w:tc>
        <w:tc>
          <w:tcPr>
            <w:tcW w:w="1071" w:type="dxa"/>
            <w:tcBorders>
              <w:top w:val="single" w:color="auto" w:sz="2" w:space="0"/>
              <w:left w:val="single" w:color="auto" w:sz="2" w:space="0"/>
              <w:bottom w:val="single" w:color="auto" w:sz="2" w:space="0"/>
              <w:right w:val="single" w:color="auto" w:sz="2" w:space="0"/>
            </w:tcBorders>
            <w:vAlign w:val="center"/>
          </w:tcPr>
          <w:p w14:paraId="132B89C7">
            <w:pPr>
              <w:spacing w:before="0" w:after="0" w:line="240" w:lineRule="exact"/>
              <w:jc w:val="right"/>
              <w:rPr>
                <w:rFonts w:ascii="宋体" w:hAnsi="宋体" w:eastAsia="宋体" w:cs="宋体"/>
                <w:sz w:val="18"/>
                <w:szCs w:val="18"/>
              </w:rPr>
            </w:pPr>
            <w:r>
              <w:rPr>
                <w:rFonts w:ascii="宋体" w:hAnsi="宋体" w:eastAsia="宋体" w:cs="宋体"/>
                <w:sz w:val="18"/>
                <w:szCs w:val="18"/>
              </w:rPr>
              <w:t>352,539,426.35</w:t>
            </w:r>
          </w:p>
        </w:tc>
        <w:tc>
          <w:tcPr>
            <w:tcW w:w="1071" w:type="dxa"/>
            <w:tcBorders>
              <w:top w:val="single" w:color="auto" w:sz="2" w:space="0"/>
              <w:left w:val="single" w:color="auto" w:sz="2" w:space="0"/>
              <w:bottom w:val="single" w:color="auto" w:sz="2" w:space="0"/>
              <w:right w:val="single" w:color="auto" w:sz="2" w:space="0"/>
            </w:tcBorders>
            <w:vAlign w:val="center"/>
          </w:tcPr>
          <w:p w14:paraId="2C20CAF7">
            <w:pPr>
              <w:spacing w:before="0" w:after="0" w:line="240" w:lineRule="exact"/>
              <w:jc w:val="right"/>
              <w:rPr>
                <w:rFonts w:ascii="宋体" w:hAnsi="宋体" w:eastAsia="宋体" w:cs="宋体"/>
                <w:sz w:val="18"/>
                <w:szCs w:val="18"/>
              </w:rPr>
            </w:pPr>
            <w:r>
              <w:rPr>
                <w:rFonts w:ascii="宋体" w:hAnsi="宋体" w:eastAsia="宋体" w:cs="宋体"/>
                <w:sz w:val="18"/>
                <w:szCs w:val="18"/>
              </w:rPr>
              <w:t>273,732,493.17</w:t>
            </w:r>
          </w:p>
        </w:tc>
        <w:tc>
          <w:tcPr>
            <w:tcW w:w="1071" w:type="dxa"/>
            <w:tcBorders>
              <w:top w:val="single" w:color="auto" w:sz="2" w:space="0"/>
              <w:left w:val="single" w:color="auto" w:sz="2" w:space="0"/>
              <w:bottom w:val="single" w:color="auto" w:sz="2" w:space="0"/>
              <w:right w:val="single" w:color="auto" w:sz="2" w:space="0"/>
            </w:tcBorders>
            <w:vAlign w:val="center"/>
          </w:tcPr>
          <w:p w14:paraId="1D574167">
            <w:pPr>
              <w:spacing w:before="0" w:after="0" w:line="240" w:lineRule="exact"/>
              <w:jc w:val="left"/>
              <w:rPr>
                <w:rFonts w:ascii="宋体" w:hAnsi="宋体" w:eastAsia="宋体" w:cs="宋体"/>
                <w:sz w:val="18"/>
                <w:szCs w:val="18"/>
              </w:rPr>
            </w:pPr>
            <w:r>
              <w:rPr>
                <w:rFonts w:ascii="宋体" w:hAnsi="宋体" w:eastAsia="宋体" w:cs="宋体"/>
                <w:sz w:val="18"/>
                <w:szCs w:val="18"/>
              </w:rPr>
              <w:t>抵押</w:t>
            </w:r>
          </w:p>
        </w:tc>
        <w:tc>
          <w:tcPr>
            <w:tcW w:w="1071" w:type="dxa"/>
            <w:tcBorders>
              <w:top w:val="single" w:color="auto" w:sz="2" w:space="0"/>
              <w:left w:val="single" w:color="auto" w:sz="2" w:space="0"/>
              <w:bottom w:val="single" w:color="auto" w:sz="2" w:space="0"/>
              <w:right w:val="single" w:color="auto" w:sz="2" w:space="0"/>
            </w:tcBorders>
            <w:vAlign w:val="center"/>
          </w:tcPr>
          <w:p w14:paraId="7C4AD7BC">
            <w:pPr>
              <w:spacing w:before="0" w:after="0" w:line="240" w:lineRule="exact"/>
              <w:jc w:val="left"/>
              <w:rPr>
                <w:rFonts w:ascii="宋体" w:hAnsi="宋体" w:eastAsia="宋体" w:cs="宋体"/>
                <w:sz w:val="18"/>
                <w:szCs w:val="18"/>
              </w:rPr>
            </w:pPr>
            <w:r>
              <w:rPr>
                <w:rFonts w:ascii="宋体" w:hAnsi="宋体" w:eastAsia="宋体" w:cs="宋体"/>
                <w:sz w:val="18"/>
                <w:szCs w:val="18"/>
              </w:rPr>
              <w:t>抵押及保证借款</w:t>
            </w:r>
          </w:p>
        </w:tc>
      </w:tr>
      <w:tr w14:paraId="3CDC01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595EBA43">
            <w:pPr>
              <w:spacing w:before="0" w:after="0" w:line="240" w:lineRule="exact"/>
              <w:jc w:val="left"/>
              <w:rPr>
                <w:rFonts w:ascii="宋体" w:hAnsi="宋体" w:eastAsia="宋体" w:cs="宋体"/>
                <w:sz w:val="18"/>
                <w:szCs w:val="18"/>
              </w:rPr>
            </w:pPr>
            <w:r>
              <w:rPr>
                <w:rFonts w:ascii="宋体" w:hAnsi="宋体" w:eastAsia="宋体" w:cs="宋体"/>
                <w:sz w:val="18"/>
                <w:szCs w:val="18"/>
              </w:rPr>
              <w:t>无形资产</w:t>
            </w:r>
          </w:p>
        </w:tc>
        <w:tc>
          <w:tcPr>
            <w:tcW w:w="1071" w:type="dxa"/>
            <w:tcBorders>
              <w:top w:val="single" w:color="auto" w:sz="2" w:space="0"/>
              <w:left w:val="single" w:color="auto" w:sz="2" w:space="0"/>
              <w:bottom w:val="single" w:color="auto" w:sz="2" w:space="0"/>
              <w:right w:val="single" w:color="auto" w:sz="2" w:space="0"/>
            </w:tcBorders>
            <w:vAlign w:val="center"/>
          </w:tcPr>
          <w:p w14:paraId="5F0E99F3">
            <w:pPr>
              <w:spacing w:before="0" w:after="0" w:line="240" w:lineRule="exact"/>
              <w:jc w:val="right"/>
              <w:rPr>
                <w:rFonts w:ascii="宋体" w:hAnsi="宋体" w:eastAsia="宋体" w:cs="宋体"/>
                <w:sz w:val="18"/>
                <w:szCs w:val="18"/>
              </w:rPr>
            </w:pPr>
            <w:r>
              <w:rPr>
                <w:rFonts w:ascii="宋体" w:hAnsi="宋体" w:eastAsia="宋体" w:cs="宋体"/>
                <w:sz w:val="18"/>
                <w:szCs w:val="18"/>
              </w:rPr>
              <w:t>50,863,701.74</w:t>
            </w:r>
          </w:p>
        </w:tc>
        <w:tc>
          <w:tcPr>
            <w:tcW w:w="1071" w:type="dxa"/>
            <w:tcBorders>
              <w:top w:val="single" w:color="auto" w:sz="2" w:space="0"/>
              <w:left w:val="single" w:color="auto" w:sz="2" w:space="0"/>
              <w:bottom w:val="single" w:color="auto" w:sz="2" w:space="0"/>
              <w:right w:val="single" w:color="auto" w:sz="2" w:space="0"/>
            </w:tcBorders>
            <w:vAlign w:val="center"/>
          </w:tcPr>
          <w:p w14:paraId="28AAE7A5">
            <w:pPr>
              <w:spacing w:before="0" w:after="0" w:line="240" w:lineRule="exact"/>
              <w:jc w:val="right"/>
              <w:rPr>
                <w:rFonts w:ascii="宋体" w:hAnsi="宋体" w:eastAsia="宋体" w:cs="宋体"/>
                <w:sz w:val="18"/>
                <w:szCs w:val="18"/>
              </w:rPr>
            </w:pPr>
            <w:r>
              <w:rPr>
                <w:rFonts w:ascii="宋体" w:hAnsi="宋体" w:eastAsia="宋体" w:cs="宋体"/>
                <w:sz w:val="18"/>
                <w:szCs w:val="18"/>
              </w:rPr>
              <w:t>40,864,939.93</w:t>
            </w:r>
          </w:p>
        </w:tc>
        <w:tc>
          <w:tcPr>
            <w:tcW w:w="1071" w:type="dxa"/>
            <w:tcBorders>
              <w:top w:val="single" w:color="auto" w:sz="2" w:space="0"/>
              <w:left w:val="single" w:color="auto" w:sz="2" w:space="0"/>
              <w:bottom w:val="single" w:color="auto" w:sz="2" w:space="0"/>
              <w:right w:val="single" w:color="auto" w:sz="2" w:space="0"/>
            </w:tcBorders>
            <w:vAlign w:val="center"/>
          </w:tcPr>
          <w:p w14:paraId="667AE827">
            <w:pPr>
              <w:spacing w:before="0" w:after="0" w:line="240" w:lineRule="exact"/>
              <w:jc w:val="left"/>
              <w:rPr>
                <w:rFonts w:ascii="宋体" w:hAnsi="宋体" w:eastAsia="宋体" w:cs="宋体"/>
                <w:sz w:val="18"/>
                <w:szCs w:val="18"/>
              </w:rPr>
            </w:pPr>
            <w:r>
              <w:rPr>
                <w:rFonts w:ascii="宋体" w:hAnsi="宋体" w:eastAsia="宋体" w:cs="宋体"/>
                <w:sz w:val="18"/>
                <w:szCs w:val="18"/>
              </w:rPr>
              <w:t>抵押</w:t>
            </w:r>
          </w:p>
        </w:tc>
        <w:tc>
          <w:tcPr>
            <w:tcW w:w="1071" w:type="dxa"/>
            <w:tcBorders>
              <w:top w:val="single" w:color="auto" w:sz="2" w:space="0"/>
              <w:left w:val="single" w:color="auto" w:sz="2" w:space="0"/>
              <w:bottom w:val="single" w:color="auto" w:sz="2" w:space="0"/>
              <w:right w:val="single" w:color="auto" w:sz="2" w:space="0"/>
            </w:tcBorders>
            <w:vAlign w:val="center"/>
          </w:tcPr>
          <w:p w14:paraId="4F4296F4">
            <w:pPr>
              <w:spacing w:before="0" w:after="0" w:line="240" w:lineRule="exact"/>
              <w:jc w:val="left"/>
              <w:rPr>
                <w:rFonts w:ascii="宋体" w:hAnsi="宋体" w:eastAsia="宋体" w:cs="宋体"/>
                <w:sz w:val="18"/>
                <w:szCs w:val="18"/>
              </w:rPr>
            </w:pPr>
            <w:r>
              <w:rPr>
                <w:rFonts w:ascii="宋体" w:hAnsi="宋体" w:eastAsia="宋体" w:cs="宋体"/>
                <w:sz w:val="18"/>
                <w:szCs w:val="18"/>
              </w:rPr>
              <w:t>抵押及保证借款详见五、注释19和注释28</w:t>
            </w:r>
          </w:p>
        </w:tc>
        <w:tc>
          <w:tcPr>
            <w:tcW w:w="1071" w:type="dxa"/>
            <w:tcBorders>
              <w:top w:val="single" w:color="auto" w:sz="2" w:space="0"/>
              <w:left w:val="single" w:color="auto" w:sz="2" w:space="0"/>
              <w:bottom w:val="single" w:color="auto" w:sz="2" w:space="0"/>
              <w:right w:val="single" w:color="auto" w:sz="2" w:space="0"/>
            </w:tcBorders>
            <w:vAlign w:val="center"/>
          </w:tcPr>
          <w:p w14:paraId="4A79A1A0">
            <w:pPr>
              <w:spacing w:before="0" w:after="0" w:line="240" w:lineRule="exact"/>
              <w:jc w:val="right"/>
              <w:rPr>
                <w:rFonts w:ascii="宋体" w:hAnsi="宋体" w:eastAsia="宋体" w:cs="宋体"/>
                <w:sz w:val="18"/>
                <w:szCs w:val="18"/>
              </w:rPr>
            </w:pPr>
            <w:r>
              <w:rPr>
                <w:rFonts w:ascii="宋体" w:hAnsi="宋体" w:eastAsia="宋体" w:cs="宋体"/>
                <w:sz w:val="18"/>
                <w:szCs w:val="18"/>
              </w:rPr>
              <w:t>36,713,811.74</w:t>
            </w:r>
          </w:p>
        </w:tc>
        <w:tc>
          <w:tcPr>
            <w:tcW w:w="1071" w:type="dxa"/>
            <w:tcBorders>
              <w:top w:val="single" w:color="auto" w:sz="2" w:space="0"/>
              <w:left w:val="single" w:color="auto" w:sz="2" w:space="0"/>
              <w:bottom w:val="single" w:color="auto" w:sz="2" w:space="0"/>
              <w:right w:val="single" w:color="auto" w:sz="2" w:space="0"/>
            </w:tcBorders>
            <w:vAlign w:val="center"/>
          </w:tcPr>
          <w:p w14:paraId="6F57DAEA">
            <w:pPr>
              <w:spacing w:before="0" w:after="0" w:line="240" w:lineRule="exact"/>
              <w:jc w:val="right"/>
              <w:rPr>
                <w:rFonts w:ascii="宋体" w:hAnsi="宋体" w:eastAsia="宋体" w:cs="宋体"/>
                <w:sz w:val="18"/>
                <w:szCs w:val="18"/>
              </w:rPr>
            </w:pPr>
            <w:r>
              <w:rPr>
                <w:rFonts w:ascii="宋体" w:hAnsi="宋体" w:eastAsia="宋体" w:cs="宋体"/>
                <w:sz w:val="18"/>
                <w:szCs w:val="18"/>
              </w:rPr>
              <w:t>30,206,746.16</w:t>
            </w:r>
          </w:p>
        </w:tc>
        <w:tc>
          <w:tcPr>
            <w:tcW w:w="1071" w:type="dxa"/>
            <w:tcBorders>
              <w:top w:val="single" w:color="auto" w:sz="2" w:space="0"/>
              <w:left w:val="single" w:color="auto" w:sz="2" w:space="0"/>
              <w:bottom w:val="single" w:color="auto" w:sz="2" w:space="0"/>
              <w:right w:val="single" w:color="auto" w:sz="2" w:space="0"/>
            </w:tcBorders>
            <w:vAlign w:val="center"/>
          </w:tcPr>
          <w:p w14:paraId="1CED41E8">
            <w:pPr>
              <w:spacing w:before="0" w:after="0" w:line="240" w:lineRule="exact"/>
              <w:jc w:val="left"/>
              <w:rPr>
                <w:rFonts w:ascii="宋体" w:hAnsi="宋体" w:eastAsia="宋体" w:cs="宋体"/>
                <w:sz w:val="18"/>
                <w:szCs w:val="18"/>
              </w:rPr>
            </w:pPr>
            <w:r>
              <w:rPr>
                <w:rFonts w:ascii="宋体" w:hAnsi="宋体" w:eastAsia="宋体" w:cs="宋体"/>
                <w:sz w:val="18"/>
                <w:szCs w:val="18"/>
              </w:rPr>
              <w:t>抵押</w:t>
            </w:r>
          </w:p>
        </w:tc>
        <w:tc>
          <w:tcPr>
            <w:tcW w:w="1071" w:type="dxa"/>
            <w:tcBorders>
              <w:top w:val="single" w:color="auto" w:sz="2" w:space="0"/>
              <w:left w:val="single" w:color="auto" w:sz="2" w:space="0"/>
              <w:bottom w:val="single" w:color="auto" w:sz="2" w:space="0"/>
              <w:right w:val="single" w:color="auto" w:sz="2" w:space="0"/>
            </w:tcBorders>
            <w:vAlign w:val="center"/>
          </w:tcPr>
          <w:p w14:paraId="387E5702">
            <w:pPr>
              <w:spacing w:before="0" w:after="0" w:line="240" w:lineRule="exact"/>
              <w:jc w:val="left"/>
              <w:rPr>
                <w:rFonts w:ascii="宋体" w:hAnsi="宋体" w:eastAsia="宋体" w:cs="宋体"/>
                <w:sz w:val="18"/>
                <w:szCs w:val="18"/>
              </w:rPr>
            </w:pPr>
            <w:r>
              <w:rPr>
                <w:rFonts w:ascii="宋体" w:hAnsi="宋体" w:eastAsia="宋体" w:cs="宋体"/>
                <w:sz w:val="18"/>
                <w:szCs w:val="18"/>
              </w:rPr>
              <w:t>抵押及保证借款</w:t>
            </w:r>
          </w:p>
        </w:tc>
      </w:tr>
      <w:tr w14:paraId="0C9EC3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26D346B0">
            <w:pPr>
              <w:spacing w:before="0" w:after="0" w:line="240" w:lineRule="exact"/>
              <w:jc w:val="left"/>
              <w:rPr>
                <w:rFonts w:ascii="宋体" w:hAnsi="宋体" w:eastAsia="宋体" w:cs="宋体"/>
                <w:sz w:val="18"/>
                <w:szCs w:val="18"/>
              </w:rPr>
            </w:pPr>
            <w:r>
              <w:rPr>
                <w:rFonts w:ascii="宋体" w:hAnsi="宋体" w:eastAsia="宋体" w:cs="宋体"/>
                <w:sz w:val="18"/>
                <w:szCs w:val="18"/>
              </w:rPr>
              <w:t>公司持有中兴药业的82.5%股权</w:t>
            </w:r>
          </w:p>
        </w:tc>
        <w:tc>
          <w:tcPr>
            <w:tcW w:w="1071" w:type="dxa"/>
            <w:tcBorders>
              <w:top w:val="single" w:color="auto" w:sz="2" w:space="0"/>
              <w:left w:val="single" w:color="auto" w:sz="2" w:space="0"/>
              <w:bottom w:val="single" w:color="auto" w:sz="2" w:space="0"/>
              <w:right w:val="single" w:color="auto" w:sz="2" w:space="0"/>
            </w:tcBorders>
            <w:vAlign w:val="center"/>
          </w:tcPr>
          <w:p w14:paraId="2B13BA5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3BFA44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1712321">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22AE32E">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E5B02BE">
            <w:pPr>
              <w:spacing w:before="0" w:after="0" w:line="240" w:lineRule="exact"/>
              <w:jc w:val="right"/>
              <w:rPr>
                <w:rFonts w:ascii="宋体" w:hAnsi="宋体" w:eastAsia="宋体" w:cs="宋体"/>
                <w:sz w:val="18"/>
                <w:szCs w:val="18"/>
              </w:rPr>
            </w:pPr>
            <w:r>
              <w:rPr>
                <w:rFonts w:ascii="宋体" w:hAnsi="宋体" w:eastAsia="宋体" w:cs="宋体"/>
                <w:sz w:val="18"/>
                <w:szCs w:val="18"/>
              </w:rPr>
              <w:t>94,982,604.69</w:t>
            </w:r>
          </w:p>
        </w:tc>
        <w:tc>
          <w:tcPr>
            <w:tcW w:w="1071" w:type="dxa"/>
            <w:tcBorders>
              <w:top w:val="single" w:color="auto" w:sz="2" w:space="0"/>
              <w:left w:val="single" w:color="auto" w:sz="2" w:space="0"/>
              <w:bottom w:val="single" w:color="auto" w:sz="2" w:space="0"/>
              <w:right w:val="single" w:color="auto" w:sz="2" w:space="0"/>
            </w:tcBorders>
            <w:vAlign w:val="center"/>
          </w:tcPr>
          <w:p w14:paraId="1DC7AA6B">
            <w:pPr>
              <w:spacing w:before="0" w:after="0" w:line="240" w:lineRule="exact"/>
              <w:jc w:val="right"/>
              <w:rPr>
                <w:rFonts w:ascii="宋体" w:hAnsi="宋体" w:eastAsia="宋体" w:cs="宋体"/>
                <w:sz w:val="18"/>
                <w:szCs w:val="18"/>
              </w:rPr>
            </w:pPr>
            <w:r>
              <w:rPr>
                <w:rFonts w:ascii="宋体" w:hAnsi="宋体" w:eastAsia="宋体" w:cs="宋体"/>
                <w:sz w:val="18"/>
                <w:szCs w:val="18"/>
              </w:rPr>
              <w:t>94,982,604.69</w:t>
            </w:r>
          </w:p>
        </w:tc>
        <w:tc>
          <w:tcPr>
            <w:tcW w:w="1071" w:type="dxa"/>
            <w:tcBorders>
              <w:top w:val="single" w:color="auto" w:sz="2" w:space="0"/>
              <w:left w:val="single" w:color="auto" w:sz="2" w:space="0"/>
              <w:bottom w:val="single" w:color="auto" w:sz="2" w:space="0"/>
              <w:right w:val="single" w:color="auto" w:sz="2" w:space="0"/>
            </w:tcBorders>
            <w:vAlign w:val="center"/>
          </w:tcPr>
          <w:p w14:paraId="77048204">
            <w:pPr>
              <w:spacing w:before="0" w:after="0" w:line="240" w:lineRule="exact"/>
              <w:jc w:val="left"/>
              <w:rPr>
                <w:rFonts w:ascii="宋体" w:hAnsi="宋体" w:eastAsia="宋体" w:cs="宋体"/>
                <w:sz w:val="18"/>
                <w:szCs w:val="18"/>
              </w:rPr>
            </w:pPr>
            <w:r>
              <w:rPr>
                <w:rFonts w:ascii="宋体" w:hAnsi="宋体" w:eastAsia="宋体" w:cs="宋体"/>
                <w:sz w:val="18"/>
                <w:szCs w:val="18"/>
              </w:rPr>
              <w:t>质押</w:t>
            </w:r>
          </w:p>
        </w:tc>
        <w:tc>
          <w:tcPr>
            <w:tcW w:w="1071" w:type="dxa"/>
            <w:tcBorders>
              <w:top w:val="single" w:color="auto" w:sz="2" w:space="0"/>
              <w:left w:val="single" w:color="auto" w:sz="2" w:space="0"/>
              <w:bottom w:val="single" w:color="auto" w:sz="2" w:space="0"/>
              <w:right w:val="single" w:color="auto" w:sz="2" w:space="0"/>
            </w:tcBorders>
            <w:vAlign w:val="center"/>
          </w:tcPr>
          <w:p w14:paraId="51C45669">
            <w:pPr>
              <w:spacing w:before="0" w:after="0" w:line="240" w:lineRule="exact"/>
              <w:jc w:val="left"/>
              <w:rPr>
                <w:rFonts w:ascii="宋体" w:hAnsi="宋体" w:eastAsia="宋体" w:cs="宋体"/>
                <w:sz w:val="18"/>
                <w:szCs w:val="18"/>
              </w:rPr>
            </w:pPr>
            <w:r>
              <w:rPr>
                <w:rFonts w:ascii="宋体" w:hAnsi="宋体" w:eastAsia="宋体" w:cs="宋体"/>
                <w:sz w:val="18"/>
                <w:szCs w:val="18"/>
              </w:rPr>
              <w:t>质押及保证借款</w:t>
            </w:r>
          </w:p>
        </w:tc>
      </w:tr>
      <w:tr w14:paraId="287032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7D8786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071" w:type="dxa"/>
            <w:tcBorders>
              <w:top w:val="single" w:color="auto" w:sz="2" w:space="0"/>
              <w:left w:val="single" w:color="auto" w:sz="2" w:space="0"/>
              <w:bottom w:val="single" w:color="auto" w:sz="2" w:space="0"/>
              <w:right w:val="single" w:color="auto" w:sz="2" w:space="0"/>
            </w:tcBorders>
            <w:vAlign w:val="center"/>
          </w:tcPr>
          <w:p w14:paraId="0F21BB71">
            <w:pPr>
              <w:spacing w:before="0" w:after="0" w:line="240" w:lineRule="exact"/>
              <w:jc w:val="right"/>
              <w:rPr>
                <w:rFonts w:ascii="宋体" w:hAnsi="宋体" w:eastAsia="宋体" w:cs="宋体"/>
                <w:sz w:val="18"/>
                <w:szCs w:val="18"/>
              </w:rPr>
            </w:pPr>
            <w:r>
              <w:rPr>
                <w:rFonts w:ascii="宋体" w:hAnsi="宋体" w:eastAsia="宋体" w:cs="宋体"/>
                <w:sz w:val="18"/>
                <w:szCs w:val="18"/>
              </w:rPr>
              <w:t>489,910,137.94</w:t>
            </w:r>
          </w:p>
        </w:tc>
        <w:tc>
          <w:tcPr>
            <w:tcW w:w="1071" w:type="dxa"/>
            <w:tcBorders>
              <w:top w:val="single" w:color="auto" w:sz="2" w:space="0"/>
              <w:left w:val="single" w:color="auto" w:sz="2" w:space="0"/>
              <w:bottom w:val="single" w:color="auto" w:sz="2" w:space="0"/>
              <w:right w:val="single" w:color="auto" w:sz="2" w:space="0"/>
            </w:tcBorders>
            <w:vAlign w:val="center"/>
          </w:tcPr>
          <w:p w14:paraId="7CE8F115">
            <w:pPr>
              <w:spacing w:before="0" w:after="0" w:line="240" w:lineRule="exact"/>
              <w:jc w:val="right"/>
              <w:rPr>
                <w:rFonts w:ascii="宋体" w:hAnsi="宋体" w:eastAsia="宋体" w:cs="宋体"/>
                <w:sz w:val="18"/>
                <w:szCs w:val="18"/>
              </w:rPr>
            </w:pPr>
            <w:r>
              <w:rPr>
                <w:rFonts w:ascii="宋体" w:hAnsi="宋体" w:eastAsia="宋体" w:cs="宋体"/>
                <w:sz w:val="18"/>
                <w:szCs w:val="18"/>
              </w:rPr>
              <w:t>339,598,640.69</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9B2DC0D"/>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6AE9D95"/>
        </w:tc>
        <w:tc>
          <w:tcPr>
            <w:tcW w:w="1071" w:type="dxa"/>
            <w:tcBorders>
              <w:top w:val="single" w:color="auto" w:sz="2" w:space="0"/>
              <w:left w:val="single" w:color="auto" w:sz="2" w:space="0"/>
              <w:bottom w:val="single" w:color="auto" w:sz="2" w:space="0"/>
              <w:right w:val="single" w:color="auto" w:sz="2" w:space="0"/>
            </w:tcBorders>
            <w:vAlign w:val="center"/>
          </w:tcPr>
          <w:p w14:paraId="4AE58526">
            <w:pPr>
              <w:spacing w:before="0" w:after="0" w:line="240" w:lineRule="exact"/>
              <w:jc w:val="right"/>
              <w:rPr>
                <w:rFonts w:ascii="宋体" w:hAnsi="宋体" w:eastAsia="宋体" w:cs="宋体"/>
                <w:sz w:val="18"/>
                <w:szCs w:val="18"/>
              </w:rPr>
            </w:pPr>
            <w:r>
              <w:rPr>
                <w:rFonts w:ascii="宋体" w:hAnsi="宋体" w:eastAsia="宋体" w:cs="宋体"/>
                <w:sz w:val="18"/>
                <w:szCs w:val="18"/>
              </w:rPr>
              <w:t>484,485,842.78</w:t>
            </w:r>
          </w:p>
        </w:tc>
        <w:tc>
          <w:tcPr>
            <w:tcW w:w="1071" w:type="dxa"/>
            <w:tcBorders>
              <w:top w:val="single" w:color="auto" w:sz="2" w:space="0"/>
              <w:left w:val="single" w:color="auto" w:sz="2" w:space="0"/>
              <w:bottom w:val="single" w:color="auto" w:sz="2" w:space="0"/>
              <w:right w:val="single" w:color="auto" w:sz="2" w:space="0"/>
            </w:tcBorders>
            <w:vAlign w:val="center"/>
          </w:tcPr>
          <w:p w14:paraId="06B35199">
            <w:pPr>
              <w:spacing w:before="0" w:after="0" w:line="240" w:lineRule="exact"/>
              <w:jc w:val="right"/>
              <w:rPr>
                <w:rFonts w:ascii="宋体" w:hAnsi="宋体" w:eastAsia="宋体" w:cs="宋体"/>
                <w:sz w:val="18"/>
                <w:szCs w:val="18"/>
              </w:rPr>
            </w:pPr>
            <w:r>
              <w:rPr>
                <w:rFonts w:ascii="宋体" w:hAnsi="宋体" w:eastAsia="宋体" w:cs="宋体"/>
                <w:sz w:val="18"/>
                <w:szCs w:val="18"/>
              </w:rPr>
              <w:t>399,171,844.02</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EDBDE8E"/>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70BB639"/>
        </w:tc>
      </w:tr>
    </w:tbl>
    <w:p w14:paraId="17FA8443">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86F51A0">
      <w:pPr>
        <w:keepNext/>
        <w:keepLines/>
        <w:spacing w:before="300" w:after="300" w:line="280" w:lineRule="exact"/>
        <w:jc w:val="left"/>
        <w:outlineLvl w:val="2"/>
        <w:rPr>
          <w:rFonts w:ascii="宋体" w:hAnsi="宋体" w:eastAsia="宋体" w:cs="宋体"/>
          <w:b/>
          <w:bCs/>
          <w:sz w:val="21"/>
          <w:szCs w:val="21"/>
        </w:rPr>
      </w:pPr>
      <w:bookmarkStart w:id="358" w:name="_Toc989245"/>
      <w:r>
        <w:rPr>
          <w:rFonts w:ascii="宋体" w:hAnsi="宋体" w:eastAsia="宋体" w:cs="宋体"/>
          <w:b/>
          <w:bCs/>
          <w:sz w:val="21"/>
          <w:szCs w:val="21"/>
        </w:rPr>
        <w:t>32、短期借款</w:t>
      </w:r>
      <w:bookmarkEnd w:id="358"/>
    </w:p>
    <w:p w14:paraId="77930285">
      <w:pPr>
        <w:keepNext/>
        <w:keepLines/>
        <w:spacing w:before="300" w:after="300" w:line="280" w:lineRule="exact"/>
        <w:jc w:val="left"/>
        <w:outlineLvl w:val="3"/>
        <w:rPr>
          <w:rFonts w:ascii="宋体" w:hAnsi="宋体" w:eastAsia="宋体" w:cs="宋体"/>
          <w:b/>
          <w:bCs/>
          <w:sz w:val="21"/>
          <w:szCs w:val="21"/>
        </w:rPr>
      </w:pPr>
      <w:bookmarkStart w:id="359" w:name="_Toc989246"/>
      <w:r>
        <w:rPr>
          <w:rFonts w:ascii="宋体" w:hAnsi="宋体" w:eastAsia="宋体" w:cs="宋体"/>
          <w:b/>
          <w:bCs/>
          <w:sz w:val="21"/>
          <w:szCs w:val="21"/>
        </w:rPr>
        <w:t>（1） 短期借款分类</w:t>
      </w:r>
      <w:bookmarkEnd w:id="359"/>
    </w:p>
    <w:p w14:paraId="236D550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BD597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2AC8AF6">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27FA5D">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6B9DF6A">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437326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F1BE2F5">
            <w:pPr>
              <w:spacing w:before="0" w:after="0" w:line="240" w:lineRule="exact"/>
              <w:jc w:val="left"/>
              <w:rPr>
                <w:rFonts w:ascii="宋体" w:hAnsi="宋体" w:eastAsia="宋体" w:cs="宋体"/>
                <w:sz w:val="18"/>
                <w:szCs w:val="18"/>
              </w:rPr>
            </w:pPr>
            <w:r>
              <w:rPr>
                <w:rFonts w:ascii="宋体" w:hAnsi="宋体" w:eastAsia="宋体" w:cs="宋体"/>
                <w:sz w:val="18"/>
                <w:szCs w:val="18"/>
              </w:rPr>
              <w:t>保证及抵押借款</w:t>
            </w:r>
          </w:p>
        </w:tc>
        <w:tc>
          <w:tcPr>
            <w:tcW w:w="3213" w:type="dxa"/>
            <w:tcBorders>
              <w:top w:val="single" w:color="auto" w:sz="2" w:space="0"/>
              <w:left w:val="single" w:color="auto" w:sz="2" w:space="0"/>
              <w:bottom w:val="single" w:color="auto" w:sz="2" w:space="0"/>
              <w:right w:val="single" w:color="auto" w:sz="2" w:space="0"/>
            </w:tcBorders>
            <w:vAlign w:val="center"/>
          </w:tcPr>
          <w:p w14:paraId="3BA73C67">
            <w:pPr>
              <w:spacing w:before="0" w:after="0" w:line="240" w:lineRule="exact"/>
              <w:jc w:val="right"/>
              <w:rPr>
                <w:rFonts w:ascii="宋体" w:hAnsi="宋体" w:eastAsia="宋体" w:cs="宋体"/>
                <w:sz w:val="18"/>
                <w:szCs w:val="18"/>
              </w:rPr>
            </w:pPr>
            <w:r>
              <w:rPr>
                <w:rFonts w:ascii="宋体" w:hAnsi="宋体" w:eastAsia="宋体" w:cs="宋体"/>
                <w:sz w:val="18"/>
                <w:szCs w:val="18"/>
              </w:rPr>
              <w:t>70,000,000.00</w:t>
            </w:r>
          </w:p>
        </w:tc>
        <w:tc>
          <w:tcPr>
            <w:tcW w:w="3213" w:type="dxa"/>
            <w:tcBorders>
              <w:top w:val="single" w:color="auto" w:sz="2" w:space="0"/>
              <w:left w:val="single" w:color="auto" w:sz="2" w:space="0"/>
              <w:bottom w:val="single" w:color="auto" w:sz="2" w:space="0"/>
              <w:right w:val="single" w:color="auto" w:sz="2" w:space="0"/>
            </w:tcBorders>
            <w:vAlign w:val="center"/>
          </w:tcPr>
          <w:p w14:paraId="7048B52F">
            <w:pPr>
              <w:spacing w:before="0" w:after="0" w:line="240" w:lineRule="exact"/>
              <w:jc w:val="right"/>
              <w:rPr>
                <w:rFonts w:ascii="宋体" w:hAnsi="宋体" w:eastAsia="宋体" w:cs="宋体"/>
                <w:sz w:val="18"/>
                <w:szCs w:val="18"/>
              </w:rPr>
            </w:pPr>
            <w:r>
              <w:rPr>
                <w:rFonts w:ascii="宋体" w:hAnsi="宋体" w:eastAsia="宋体" w:cs="宋体"/>
                <w:sz w:val="18"/>
                <w:szCs w:val="18"/>
              </w:rPr>
              <w:t>59,000,000.00</w:t>
            </w:r>
          </w:p>
        </w:tc>
      </w:tr>
      <w:tr w14:paraId="58754E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2FFB9E0">
            <w:pPr>
              <w:spacing w:before="0" w:after="0" w:line="240" w:lineRule="exact"/>
              <w:jc w:val="left"/>
              <w:rPr>
                <w:rFonts w:ascii="宋体" w:hAnsi="宋体" w:eastAsia="宋体" w:cs="宋体"/>
                <w:sz w:val="18"/>
                <w:szCs w:val="18"/>
              </w:rPr>
            </w:pPr>
            <w:r>
              <w:rPr>
                <w:rFonts w:ascii="宋体" w:hAnsi="宋体" w:eastAsia="宋体" w:cs="宋体"/>
                <w:sz w:val="18"/>
                <w:szCs w:val="18"/>
              </w:rPr>
              <w:t>抵押借款</w:t>
            </w:r>
          </w:p>
        </w:tc>
        <w:tc>
          <w:tcPr>
            <w:tcW w:w="3213" w:type="dxa"/>
            <w:tcBorders>
              <w:top w:val="single" w:color="auto" w:sz="2" w:space="0"/>
              <w:left w:val="single" w:color="auto" w:sz="2" w:space="0"/>
              <w:bottom w:val="single" w:color="auto" w:sz="2" w:space="0"/>
              <w:right w:val="single" w:color="auto" w:sz="2" w:space="0"/>
            </w:tcBorders>
            <w:vAlign w:val="center"/>
          </w:tcPr>
          <w:p w14:paraId="7A29A120">
            <w:pPr>
              <w:spacing w:before="0" w:after="0" w:line="240" w:lineRule="exact"/>
              <w:jc w:val="right"/>
              <w:rPr>
                <w:rFonts w:ascii="宋体" w:hAnsi="宋体" w:eastAsia="宋体" w:cs="宋体"/>
                <w:sz w:val="18"/>
                <w:szCs w:val="18"/>
              </w:rPr>
            </w:pPr>
            <w:r>
              <w:rPr>
                <w:rFonts w:ascii="宋体" w:hAnsi="宋体" w:eastAsia="宋体" w:cs="宋体"/>
                <w:sz w:val="18"/>
                <w:szCs w:val="18"/>
              </w:rPr>
              <w:t>24,000,000.00</w:t>
            </w:r>
          </w:p>
        </w:tc>
        <w:tc>
          <w:tcPr>
            <w:tcW w:w="3213" w:type="dxa"/>
            <w:tcBorders>
              <w:top w:val="single" w:color="auto" w:sz="2" w:space="0"/>
              <w:left w:val="single" w:color="auto" w:sz="2" w:space="0"/>
              <w:bottom w:val="single" w:color="auto" w:sz="2" w:space="0"/>
              <w:right w:val="single" w:color="auto" w:sz="2" w:space="0"/>
            </w:tcBorders>
            <w:vAlign w:val="center"/>
          </w:tcPr>
          <w:p w14:paraId="52DB464F">
            <w:pPr>
              <w:spacing w:before="0" w:after="0" w:line="240" w:lineRule="exact"/>
              <w:jc w:val="right"/>
              <w:rPr>
                <w:rFonts w:ascii="宋体" w:hAnsi="宋体" w:eastAsia="宋体" w:cs="宋体"/>
                <w:sz w:val="18"/>
                <w:szCs w:val="18"/>
              </w:rPr>
            </w:pPr>
            <w:r>
              <w:rPr>
                <w:rFonts w:ascii="宋体" w:hAnsi="宋体" w:eastAsia="宋体" w:cs="宋体"/>
                <w:sz w:val="18"/>
                <w:szCs w:val="18"/>
              </w:rPr>
              <w:t>28,900,000.00</w:t>
            </w:r>
          </w:p>
        </w:tc>
      </w:tr>
      <w:tr w14:paraId="6CD421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2960902">
            <w:pPr>
              <w:spacing w:before="0" w:after="0" w:line="240" w:lineRule="exact"/>
              <w:jc w:val="left"/>
              <w:rPr>
                <w:rFonts w:ascii="宋体" w:hAnsi="宋体" w:eastAsia="宋体" w:cs="宋体"/>
                <w:sz w:val="18"/>
                <w:szCs w:val="18"/>
              </w:rPr>
            </w:pPr>
            <w:r>
              <w:rPr>
                <w:rFonts w:ascii="宋体" w:hAnsi="宋体" w:eastAsia="宋体" w:cs="宋体"/>
                <w:sz w:val="18"/>
                <w:szCs w:val="18"/>
              </w:rPr>
              <w:t>保证借款</w:t>
            </w:r>
          </w:p>
        </w:tc>
        <w:tc>
          <w:tcPr>
            <w:tcW w:w="3213" w:type="dxa"/>
            <w:tcBorders>
              <w:top w:val="single" w:color="auto" w:sz="2" w:space="0"/>
              <w:left w:val="single" w:color="auto" w:sz="2" w:space="0"/>
              <w:bottom w:val="single" w:color="auto" w:sz="2" w:space="0"/>
              <w:right w:val="single" w:color="auto" w:sz="2" w:space="0"/>
            </w:tcBorders>
            <w:vAlign w:val="center"/>
          </w:tcPr>
          <w:p w14:paraId="4E3CBB3A">
            <w:pPr>
              <w:spacing w:before="0" w:after="0" w:line="240" w:lineRule="exact"/>
              <w:jc w:val="right"/>
              <w:rPr>
                <w:rFonts w:ascii="宋体" w:hAnsi="宋体" w:eastAsia="宋体" w:cs="宋体"/>
                <w:sz w:val="18"/>
                <w:szCs w:val="18"/>
              </w:rPr>
            </w:pPr>
            <w:r>
              <w:rPr>
                <w:rFonts w:ascii="宋体" w:hAnsi="宋体" w:eastAsia="宋体" w:cs="宋体"/>
                <w:sz w:val="18"/>
                <w:szCs w:val="18"/>
              </w:rPr>
              <w:t>65,000,000.00</w:t>
            </w:r>
          </w:p>
        </w:tc>
        <w:tc>
          <w:tcPr>
            <w:tcW w:w="3213" w:type="dxa"/>
            <w:tcBorders>
              <w:top w:val="single" w:color="auto" w:sz="2" w:space="0"/>
              <w:left w:val="single" w:color="auto" w:sz="2" w:space="0"/>
              <w:bottom w:val="single" w:color="auto" w:sz="2" w:space="0"/>
              <w:right w:val="single" w:color="auto" w:sz="2" w:space="0"/>
            </w:tcBorders>
            <w:vAlign w:val="center"/>
          </w:tcPr>
          <w:p w14:paraId="1B3DB135">
            <w:pPr>
              <w:spacing w:before="0" w:after="0" w:line="240" w:lineRule="exact"/>
              <w:jc w:val="right"/>
              <w:rPr>
                <w:rFonts w:ascii="宋体" w:hAnsi="宋体" w:eastAsia="宋体" w:cs="宋体"/>
                <w:sz w:val="18"/>
                <w:szCs w:val="18"/>
              </w:rPr>
            </w:pPr>
            <w:r>
              <w:rPr>
                <w:rFonts w:ascii="宋体" w:hAnsi="宋体" w:eastAsia="宋体" w:cs="宋体"/>
                <w:sz w:val="18"/>
                <w:szCs w:val="18"/>
              </w:rPr>
              <w:t>119,995,169.57</w:t>
            </w:r>
          </w:p>
        </w:tc>
      </w:tr>
      <w:tr w14:paraId="0BF84C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60CC954">
            <w:pPr>
              <w:spacing w:before="0" w:after="0" w:line="240" w:lineRule="exact"/>
              <w:jc w:val="left"/>
              <w:rPr>
                <w:rFonts w:ascii="宋体" w:hAnsi="宋体" w:eastAsia="宋体" w:cs="宋体"/>
                <w:sz w:val="18"/>
                <w:szCs w:val="18"/>
              </w:rPr>
            </w:pPr>
            <w:r>
              <w:rPr>
                <w:rFonts w:ascii="宋体" w:hAnsi="宋体" w:eastAsia="宋体" w:cs="宋体"/>
                <w:sz w:val="18"/>
                <w:szCs w:val="18"/>
              </w:rPr>
              <w:t>信用借款</w:t>
            </w:r>
          </w:p>
        </w:tc>
        <w:tc>
          <w:tcPr>
            <w:tcW w:w="3213" w:type="dxa"/>
            <w:tcBorders>
              <w:top w:val="single" w:color="auto" w:sz="2" w:space="0"/>
              <w:left w:val="single" w:color="auto" w:sz="2" w:space="0"/>
              <w:bottom w:val="single" w:color="auto" w:sz="2" w:space="0"/>
              <w:right w:val="single" w:color="auto" w:sz="2" w:space="0"/>
            </w:tcBorders>
            <w:vAlign w:val="center"/>
          </w:tcPr>
          <w:p w14:paraId="5820CAE8">
            <w:pPr>
              <w:spacing w:before="0" w:after="0" w:line="240" w:lineRule="exact"/>
              <w:jc w:val="right"/>
              <w:rPr>
                <w:rFonts w:ascii="宋体" w:hAnsi="宋体" w:eastAsia="宋体" w:cs="宋体"/>
                <w:sz w:val="18"/>
                <w:szCs w:val="18"/>
              </w:rPr>
            </w:pPr>
            <w:r>
              <w:rPr>
                <w:rFonts w:ascii="宋体" w:hAnsi="宋体" w:eastAsia="宋体" w:cs="宋体"/>
                <w:sz w:val="18"/>
                <w:szCs w:val="18"/>
              </w:rPr>
              <w:t>23,000,000.00</w:t>
            </w:r>
          </w:p>
        </w:tc>
        <w:tc>
          <w:tcPr>
            <w:tcW w:w="3213" w:type="dxa"/>
            <w:tcBorders>
              <w:top w:val="single" w:color="auto" w:sz="2" w:space="0"/>
              <w:left w:val="single" w:color="auto" w:sz="2" w:space="0"/>
              <w:bottom w:val="single" w:color="auto" w:sz="2" w:space="0"/>
              <w:right w:val="single" w:color="auto" w:sz="2" w:space="0"/>
            </w:tcBorders>
            <w:vAlign w:val="center"/>
          </w:tcPr>
          <w:p w14:paraId="1060525D">
            <w:pPr>
              <w:spacing w:before="0" w:after="0" w:line="240" w:lineRule="exact"/>
              <w:jc w:val="right"/>
              <w:rPr>
                <w:rFonts w:ascii="宋体" w:hAnsi="宋体" w:eastAsia="宋体" w:cs="宋体"/>
                <w:sz w:val="18"/>
                <w:szCs w:val="18"/>
              </w:rPr>
            </w:pPr>
            <w:r>
              <w:rPr>
                <w:rFonts w:ascii="宋体" w:hAnsi="宋体" w:eastAsia="宋体" w:cs="宋体"/>
                <w:sz w:val="18"/>
                <w:szCs w:val="18"/>
              </w:rPr>
              <w:t>11,000,000.00</w:t>
            </w:r>
          </w:p>
        </w:tc>
      </w:tr>
      <w:tr w14:paraId="2B424B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2C78A93">
            <w:pPr>
              <w:spacing w:before="0" w:after="0" w:line="240" w:lineRule="exact"/>
              <w:jc w:val="left"/>
              <w:rPr>
                <w:rFonts w:ascii="宋体" w:hAnsi="宋体" w:eastAsia="宋体" w:cs="宋体"/>
                <w:sz w:val="18"/>
                <w:szCs w:val="18"/>
              </w:rPr>
            </w:pPr>
            <w:r>
              <w:rPr>
                <w:rFonts w:ascii="宋体" w:hAnsi="宋体" w:eastAsia="宋体" w:cs="宋体"/>
                <w:sz w:val="18"/>
                <w:szCs w:val="18"/>
              </w:rPr>
              <w:t>未到期应付利息</w:t>
            </w:r>
          </w:p>
        </w:tc>
        <w:tc>
          <w:tcPr>
            <w:tcW w:w="3213" w:type="dxa"/>
            <w:tcBorders>
              <w:top w:val="single" w:color="auto" w:sz="2" w:space="0"/>
              <w:left w:val="single" w:color="auto" w:sz="2" w:space="0"/>
              <w:bottom w:val="single" w:color="auto" w:sz="2" w:space="0"/>
              <w:right w:val="single" w:color="auto" w:sz="2" w:space="0"/>
            </w:tcBorders>
            <w:vAlign w:val="center"/>
          </w:tcPr>
          <w:p w14:paraId="5FCDF06C">
            <w:pPr>
              <w:spacing w:before="0" w:after="0" w:line="240" w:lineRule="exact"/>
              <w:jc w:val="right"/>
              <w:rPr>
                <w:rFonts w:ascii="宋体" w:hAnsi="宋体" w:eastAsia="宋体" w:cs="宋体"/>
                <w:sz w:val="18"/>
                <w:szCs w:val="18"/>
              </w:rPr>
            </w:pPr>
            <w:r>
              <w:rPr>
                <w:rFonts w:ascii="宋体" w:hAnsi="宋体" w:eastAsia="宋体" w:cs="宋体"/>
                <w:sz w:val="18"/>
                <w:szCs w:val="18"/>
              </w:rPr>
              <w:t>177,991.66</w:t>
            </w:r>
          </w:p>
        </w:tc>
        <w:tc>
          <w:tcPr>
            <w:tcW w:w="3213" w:type="dxa"/>
            <w:tcBorders>
              <w:top w:val="single" w:color="auto" w:sz="2" w:space="0"/>
              <w:left w:val="single" w:color="auto" w:sz="2" w:space="0"/>
              <w:bottom w:val="single" w:color="auto" w:sz="2" w:space="0"/>
              <w:right w:val="single" w:color="auto" w:sz="2" w:space="0"/>
            </w:tcBorders>
            <w:vAlign w:val="center"/>
          </w:tcPr>
          <w:p w14:paraId="052CFF00">
            <w:pPr>
              <w:spacing w:before="0" w:after="0" w:line="240" w:lineRule="exact"/>
              <w:jc w:val="right"/>
              <w:rPr>
                <w:rFonts w:ascii="宋体" w:hAnsi="宋体" w:eastAsia="宋体" w:cs="宋体"/>
                <w:sz w:val="18"/>
                <w:szCs w:val="18"/>
              </w:rPr>
            </w:pPr>
            <w:r>
              <w:rPr>
                <w:rFonts w:ascii="宋体" w:hAnsi="宋体" w:eastAsia="宋体" w:cs="宋体"/>
                <w:sz w:val="18"/>
                <w:szCs w:val="18"/>
              </w:rPr>
              <w:t>280,879.34</w:t>
            </w:r>
          </w:p>
        </w:tc>
      </w:tr>
      <w:tr w14:paraId="70D548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70B4810">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29E34DA3">
            <w:pPr>
              <w:spacing w:before="0" w:after="0" w:line="240" w:lineRule="exact"/>
              <w:jc w:val="right"/>
              <w:rPr>
                <w:rFonts w:ascii="宋体" w:hAnsi="宋体" w:eastAsia="宋体" w:cs="宋体"/>
                <w:sz w:val="18"/>
                <w:szCs w:val="18"/>
              </w:rPr>
            </w:pPr>
            <w:r>
              <w:rPr>
                <w:rFonts w:ascii="宋体" w:hAnsi="宋体" w:eastAsia="宋体" w:cs="宋体"/>
                <w:sz w:val="18"/>
                <w:szCs w:val="18"/>
              </w:rPr>
              <w:t>182,177,991.66</w:t>
            </w:r>
          </w:p>
        </w:tc>
        <w:tc>
          <w:tcPr>
            <w:tcW w:w="3213" w:type="dxa"/>
            <w:tcBorders>
              <w:top w:val="single" w:color="auto" w:sz="2" w:space="0"/>
              <w:left w:val="single" w:color="auto" w:sz="2" w:space="0"/>
              <w:bottom w:val="single" w:color="auto" w:sz="2" w:space="0"/>
              <w:right w:val="single" w:color="auto" w:sz="2" w:space="0"/>
            </w:tcBorders>
            <w:vAlign w:val="center"/>
          </w:tcPr>
          <w:p w14:paraId="54F98232">
            <w:pPr>
              <w:spacing w:before="0" w:after="0" w:line="240" w:lineRule="exact"/>
              <w:jc w:val="right"/>
              <w:rPr>
                <w:rFonts w:ascii="宋体" w:hAnsi="宋体" w:eastAsia="宋体" w:cs="宋体"/>
                <w:sz w:val="18"/>
                <w:szCs w:val="18"/>
              </w:rPr>
            </w:pPr>
            <w:r>
              <w:rPr>
                <w:rFonts w:ascii="宋体" w:hAnsi="宋体" w:eastAsia="宋体" w:cs="宋体"/>
                <w:sz w:val="18"/>
                <w:szCs w:val="18"/>
              </w:rPr>
              <w:t>219,176,048.91</w:t>
            </w:r>
          </w:p>
        </w:tc>
      </w:tr>
    </w:tbl>
    <w:p w14:paraId="24B637AE">
      <w:pPr>
        <w:spacing w:before="100" w:after="100" w:line="240" w:lineRule="exact"/>
        <w:jc w:val="left"/>
        <w:rPr>
          <w:rFonts w:ascii="宋体" w:hAnsi="宋体" w:eastAsia="宋体" w:cs="宋体"/>
          <w:sz w:val="18"/>
          <w:szCs w:val="18"/>
        </w:rPr>
      </w:pPr>
      <w:r>
        <w:rPr>
          <w:rFonts w:ascii="宋体" w:hAnsi="宋体" w:eastAsia="宋体" w:cs="宋体"/>
          <w:sz w:val="18"/>
          <w:szCs w:val="18"/>
        </w:rPr>
        <w:t>短期借款分类的说明：</w:t>
      </w:r>
    </w:p>
    <w:p w14:paraId="34F27AFC">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（1）保证及信用借款</w:t>
      </w:r>
    </w:p>
    <w:p w14:paraId="14D4C890">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2023年12月，李国平与招商银行股份有限公司福州分行签署了编号为591XY202304573201的《最高额不可撤销担保书》，担保最高额为3,000万元，截止2024年12月31日，借款余额为2,000万元。</w:t>
      </w:r>
    </w:p>
    <w:p w14:paraId="750A6278">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2024年1月，江苏中兴药业有限公司与镇江农商银行三山支行签署了编号为(三山)农商循环借字(2023)第2030号的《流动资金循环借款合同》。合同规定借款额度1000万元，循环借款日期截至2026年11月22日。本期江苏中兴药业分别与1月15日、1月16日、4月15日、6月12日取得300万、300万、300万、100万的信用借款。截止2024年12月31日，借款余额700万元。</w:t>
      </w:r>
    </w:p>
    <w:p w14:paraId="55B7DB86">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2024年8月及9月，，江苏中兴药业有限公司与南京银行镇江润州支行签署了编号为Ba150882408230001676的《流动资金借款合同》，借款金额为300万元整，编号为Ba150882409240004315的《流动资金借款合同》，借款金额为700万元整,截止2024年12月31日，借款余额1,000万元。</w:t>
      </w:r>
    </w:p>
    <w:p w14:paraId="720F1AFC">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2024年6月，李国平与民生银行股份有限公司福州分行签署了编号为公高保字第DB2400000039775号的《最高额保证合同》，担保的主合同为福建广生堂药业股份有限公司于2024年6月所签订的编号为公授信字第ZH2400000126525号《综合授信合同》，该项下公流贷字第ZX24070000813670号的《流动资金贷款合同》2,500万元，截止2024年12月31日，借款余额为2,500万元。</w:t>
      </w:r>
    </w:p>
    <w:p w14:paraId="0AEBAF3D">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2024年3月，李国平，广生中霖生物科技有限公司与上海浦东发展银行股份有限公司福州闽都分行分别签署了编号为ZB4301202400000035、ZB4301202400000034的《最高额保证合同》，担保的主合同为福建广生堂药业股份有限公司于2024年3月所签订的编号为(43012024280391和43012024280531的《流动资金贷款合同》，合同所担保(保证)债权之最高本金余额为人民币2,000万元整，截止2024年12月31日，借款余额为2,000万元。</w:t>
      </w:r>
    </w:p>
    <w:p w14:paraId="50C3363D">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bookmarkStart w:id="360" w:name="OLE_LINK4"/>
      <w:bookmarkEnd w:id="360"/>
      <w:bookmarkStart w:id="361" w:name="OLE_LINK3"/>
      <w:bookmarkEnd w:id="361"/>
      <w:r>
        <w:rPr>
          <w:rFonts w:hint="eastAsia" w:ascii="宋体" w:hAnsi="宋体" w:eastAsia="宋体" w:cs="宋体"/>
          <w:sz w:val="21"/>
          <w:szCs w:val="21"/>
        </w:rPr>
        <w:t>2024年9月，江苏中兴药业有限公司与中国银行股份有限公司镇江丁卯桥支分行签署了编号为460819840D24091101的《流动资金借款合同》，借款金额为600万元整，截止2024年12月31日，借款余额600万元。</w:t>
      </w:r>
    </w:p>
    <w:p w14:paraId="605BBFBB">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bookmarkStart w:id="362" w:name="OLE_LINK1"/>
      <w:bookmarkEnd w:id="362"/>
      <w:bookmarkStart w:id="363" w:name="OLE_LINK2"/>
      <w:bookmarkEnd w:id="363"/>
      <w:r>
        <w:rPr>
          <w:rFonts w:hint="eastAsia" w:ascii="宋体" w:hAnsi="宋体" w:eastAsia="宋体" w:cs="宋体"/>
          <w:sz w:val="21"/>
          <w:szCs w:val="21"/>
        </w:rPr>
        <w:t> (2)抵押借款</w:t>
      </w:r>
    </w:p>
    <w:p w14:paraId="3C905A1D">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2024年5月，李国平与中国银行股份有限公司闽侯分行签署了编号为FJ118202442的《最高额保证合同》，以及公司与中国银行股份有限公司闽侯分行签署了编号为FJ118202443的《最高额抵押合同》，担保债权的最高本金余额为2000万元整，抵押物为坐落于宁德市柘荣县615西路六巷8号1幢、2幢、3幢及土地使用权，房屋所有权证：柘房权证字第09654号，国有土地使用证：柘国用（2011）第4271号。坐落于宁德市柘荣县615西路六巷9号锅炉房、挡雨房、配电房、浴室及厕所、办公楼及服液车间、茶剂车间、中药材处理房、门卫、片剂车间及土地使用权，国有土地使用证：柘房权证字第09656号，国有土地使用证：柘国用（2011）第4272号。截止2024年12月31日，借款余额2,000.00万元。</w:t>
      </w:r>
    </w:p>
    <w:p w14:paraId="629F0811">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2024年8月，李国平、公司与兴业银行股份有限公司福州分行签署了编号为授HQ2024057-DB1的《保证合同》以及编号为授HQ2024057-DB2的《抵押合同》，其中保证债权的最高本金余额为10,580万元整，抵押债权最高本金余额为10,580万元。抵押物为柘荣县东源乡洋边村洋边1-6号制剂车间(三)、口服固体制剂车间、质检中心、综合办公楼、口服固体制剂车间(一)、合成车间(二)、化学品仓厍(三)、提取车间、合成车间(一)、配电室水泵房、机修车间、化学品仓库(一)、化学品仓库(二)、锅炉房(下)、锅炉房(上)、门卫(二)、门卫(一)及土地。截止2024年12月31日，借款余额5,000万元。</w:t>
      </w:r>
    </w:p>
    <w:p w14:paraId="6F591CAA">
      <w:pPr>
        <w:pStyle w:val="2"/>
        <w:keepNext w:val="0"/>
        <w:keepLines w:val="0"/>
        <w:widowControl/>
        <w:suppressLineNumbers w:val="0"/>
        <w:spacing w:line="360" w:lineRule="auto"/>
        <w:ind w:left="0" w:right="0" w:firstLine="420"/>
        <w:rPr>
          <w:rFonts w:hint="eastAsia" w:ascii="宋体" w:hAnsi="宋体" w:eastAsia="宋体" w:cs="宋体"/>
          <w:sz w:val="24"/>
          <w:szCs w:val="24"/>
        </w:rPr>
      </w:pPr>
      <w:r>
        <w:rPr>
          <w:rFonts w:hint="eastAsia" w:ascii="宋体" w:hAnsi="宋体" w:eastAsia="宋体" w:cs="宋体"/>
          <w:sz w:val="21"/>
          <w:szCs w:val="21"/>
        </w:rPr>
        <w:t>2022年4月，江苏中兴药业有限公司与江苏银行股份有限公司镇江分行签署了编号为DY111222000041的《最高额抵押合同》，抵押物为坐落于镇江市丹徒区冷遹路86号的房屋建筑及土地使用权，证权编号为苏(2016)镇江市不动产权第0033949号，本合同的主合同为抵押权人与债务人之间签署的编号为SX111222003052的《最高额综合授信合同》及依据该合同已经和将要签署的单项授信业务合同；授信人在授信期限内向受信人提供为4,500万元整的最高综合授信额度。2023年3月，江苏中兴药业有限公司与江苏银行股份有限公司镇江分行签署了编号为DY111223000019的《最高额抵押合同》，抵押物为设备,抵押人在本合同项下的担保最高债权额为本金7,431,340元及对应的利息、费用等全部债权。2024年4月，江苏中兴药业有限公司与江苏银行股份有限公司镇江分行签署了编号为DY1112240000030的《最高额抵押合同》，抵押物为设备,抵押人在本合同项下的担保最高债权额为本金5,065,000元及对应的利息、费用等全部债权。2024年4月，江苏中兴药业有限公司与江苏银行股份有限公司镇江分行签署了编号为SX111224003303的《保证金质押合同》，交付500万元作为质押保证金。截至2024年12月31日，借款余额2,400万元整。</w:t>
      </w:r>
    </w:p>
    <w:p w14:paraId="50CAB4A4">
      <w:pPr>
        <w:pStyle w:val="2"/>
        <w:keepNext w:val="0"/>
        <w:keepLines w:val="0"/>
        <w:widowControl/>
        <w:suppressLineNumbers w:val="0"/>
        <w:spacing w:before="0" w:beforeAutospacing="0" w:after="0" w:afterAutospacing="0"/>
        <w:ind w:left="0" w:right="0"/>
        <w:jc w:val="both"/>
        <w:rPr>
          <w:rFonts w:ascii="Calibri" w:hAnsi="Calibri" w:cs="Calibri"/>
          <w:sz w:val="21"/>
          <w:szCs w:val="21"/>
        </w:rPr>
      </w:pPr>
      <w:r>
        <w:rPr>
          <w:rFonts w:hint="default" w:ascii="Calibri" w:hAnsi="Calibri" w:eastAsia="宋体" w:cs="Calibri"/>
          <w:sz w:val="21"/>
          <w:szCs w:val="21"/>
        </w:rPr>
        <w:t> </w:t>
      </w:r>
    </w:p>
    <w:p w14:paraId="64E1EA57">
      <w:pPr>
        <w:keepNext/>
        <w:keepLines/>
        <w:spacing w:before="300" w:after="300" w:line="280" w:lineRule="exact"/>
        <w:jc w:val="left"/>
        <w:outlineLvl w:val="3"/>
        <w:rPr>
          <w:rFonts w:ascii="宋体" w:hAnsi="宋体" w:eastAsia="宋体" w:cs="宋体"/>
          <w:b/>
          <w:bCs/>
          <w:sz w:val="21"/>
          <w:szCs w:val="21"/>
        </w:rPr>
      </w:pPr>
      <w:bookmarkStart w:id="364" w:name="_Toc989247"/>
      <w:r>
        <w:rPr>
          <w:rFonts w:ascii="宋体" w:hAnsi="宋体" w:eastAsia="宋体" w:cs="宋体"/>
          <w:b/>
          <w:bCs/>
          <w:sz w:val="21"/>
          <w:szCs w:val="21"/>
        </w:rPr>
        <w:t>（2） 已逾期未偿还的短期借款情况</w:t>
      </w:r>
      <w:bookmarkEnd w:id="364"/>
    </w:p>
    <w:p w14:paraId="64383EFF">
      <w:pPr>
        <w:spacing w:before="100" w:after="100" w:line="240" w:lineRule="exact"/>
        <w:jc w:val="left"/>
        <w:rPr>
          <w:rFonts w:ascii="宋体" w:hAnsi="宋体" w:eastAsia="宋体" w:cs="宋体"/>
          <w:sz w:val="18"/>
          <w:szCs w:val="18"/>
        </w:rPr>
      </w:pPr>
      <w:r>
        <w:rPr>
          <w:rFonts w:ascii="宋体" w:hAnsi="宋体" w:eastAsia="宋体" w:cs="宋体"/>
          <w:sz w:val="18"/>
          <w:szCs w:val="18"/>
        </w:rPr>
        <w:t>本期末已逾期未偿还的短期借款总额为元，其中重要的已逾期未偿还的短期借款情况如下：</w:t>
      </w:r>
    </w:p>
    <w:p w14:paraId="182475AA">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635668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AFC9204">
            <w:pPr>
              <w:spacing w:before="40" w:after="40" w:line="240" w:lineRule="exact"/>
              <w:jc w:val="center"/>
              <w:rPr>
                <w:rFonts w:ascii="宋体" w:hAnsi="宋体" w:eastAsia="宋体" w:cs="宋体"/>
                <w:sz w:val="18"/>
                <w:szCs w:val="18"/>
              </w:rPr>
            </w:pPr>
            <w:r>
              <w:rPr>
                <w:rFonts w:ascii="宋体" w:hAnsi="宋体" w:eastAsia="宋体" w:cs="宋体"/>
                <w:sz w:val="18"/>
                <w:szCs w:val="18"/>
              </w:rPr>
              <w:t>借款单位</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B38B678">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976FB39">
            <w:pPr>
              <w:spacing w:before="40" w:after="40" w:line="240" w:lineRule="exact"/>
              <w:jc w:val="center"/>
              <w:rPr>
                <w:rFonts w:ascii="宋体" w:hAnsi="宋体" w:eastAsia="宋体" w:cs="宋体"/>
                <w:sz w:val="18"/>
                <w:szCs w:val="18"/>
              </w:rPr>
            </w:pPr>
            <w:r>
              <w:rPr>
                <w:rFonts w:ascii="宋体" w:hAnsi="宋体" w:eastAsia="宋体" w:cs="宋体"/>
                <w:sz w:val="18"/>
                <w:szCs w:val="18"/>
              </w:rPr>
              <w:t>借款利率</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51853C0">
            <w:pPr>
              <w:spacing w:before="40" w:after="40" w:line="240" w:lineRule="exact"/>
              <w:jc w:val="center"/>
              <w:rPr>
                <w:rFonts w:ascii="宋体" w:hAnsi="宋体" w:eastAsia="宋体" w:cs="宋体"/>
                <w:sz w:val="18"/>
                <w:szCs w:val="18"/>
              </w:rPr>
            </w:pPr>
            <w:r>
              <w:rPr>
                <w:rFonts w:ascii="宋体" w:hAnsi="宋体" w:eastAsia="宋体" w:cs="宋体"/>
                <w:sz w:val="18"/>
                <w:szCs w:val="18"/>
              </w:rPr>
              <w:t>逾期时间</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0DAF9F7">
            <w:pPr>
              <w:spacing w:before="40" w:after="40" w:line="240" w:lineRule="exact"/>
              <w:jc w:val="center"/>
              <w:rPr>
                <w:rFonts w:ascii="宋体" w:hAnsi="宋体" w:eastAsia="宋体" w:cs="宋体"/>
                <w:sz w:val="18"/>
                <w:szCs w:val="18"/>
              </w:rPr>
            </w:pPr>
            <w:r>
              <w:rPr>
                <w:rFonts w:ascii="宋体" w:hAnsi="宋体" w:eastAsia="宋体" w:cs="宋体"/>
                <w:sz w:val="18"/>
                <w:szCs w:val="18"/>
              </w:rPr>
              <w:t>逾期利率</w:t>
            </w:r>
          </w:p>
        </w:tc>
      </w:tr>
    </w:tbl>
    <w:p w14:paraId="043E3E6C">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B4CD71A">
      <w:pPr>
        <w:keepNext/>
        <w:keepLines/>
        <w:spacing w:before="300" w:after="300" w:line="280" w:lineRule="exact"/>
        <w:jc w:val="left"/>
        <w:outlineLvl w:val="2"/>
        <w:rPr>
          <w:rFonts w:ascii="宋体" w:hAnsi="宋体" w:eastAsia="宋体" w:cs="宋体"/>
          <w:b/>
          <w:bCs/>
          <w:sz w:val="21"/>
          <w:szCs w:val="21"/>
        </w:rPr>
      </w:pPr>
      <w:bookmarkStart w:id="365" w:name="_Toc989248"/>
      <w:r>
        <w:rPr>
          <w:rFonts w:ascii="宋体" w:hAnsi="宋体" w:eastAsia="宋体" w:cs="宋体"/>
          <w:b/>
          <w:bCs/>
          <w:sz w:val="21"/>
          <w:szCs w:val="21"/>
        </w:rPr>
        <w:t>33、交易性金融负债</w:t>
      </w:r>
      <w:bookmarkEnd w:id="365"/>
    </w:p>
    <w:p w14:paraId="5F8151B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70E90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A0DAB48">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9F8D937">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E7206BB">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75940D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51EEADA">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E3DD702"/>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7BF4C27"/>
        </w:tc>
      </w:tr>
      <w:tr w14:paraId="79EFF9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256E9F8">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55474B2"/>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E0D030"/>
        </w:tc>
      </w:tr>
    </w:tbl>
    <w:p w14:paraId="79FB8A28">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F3BC860">
      <w:pPr>
        <w:keepNext/>
        <w:keepLines/>
        <w:spacing w:before="300" w:after="300" w:line="280" w:lineRule="exact"/>
        <w:jc w:val="left"/>
        <w:outlineLvl w:val="2"/>
        <w:rPr>
          <w:rFonts w:ascii="宋体" w:hAnsi="宋体" w:eastAsia="宋体" w:cs="宋体"/>
          <w:b/>
          <w:bCs/>
          <w:sz w:val="21"/>
          <w:szCs w:val="21"/>
        </w:rPr>
      </w:pPr>
      <w:bookmarkStart w:id="366" w:name="_Toc989249"/>
      <w:r>
        <w:rPr>
          <w:rFonts w:ascii="宋体" w:hAnsi="宋体" w:eastAsia="宋体" w:cs="宋体"/>
          <w:b/>
          <w:bCs/>
          <w:sz w:val="21"/>
          <w:szCs w:val="21"/>
        </w:rPr>
        <w:t>34、衍生金融负债</w:t>
      </w:r>
      <w:bookmarkEnd w:id="366"/>
    </w:p>
    <w:p w14:paraId="4193202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0DF46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12B5D7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C5E557E">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255935D">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67294718">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A2260E9">
      <w:pPr>
        <w:keepNext/>
        <w:keepLines/>
        <w:spacing w:before="300" w:after="300" w:line="280" w:lineRule="exact"/>
        <w:jc w:val="left"/>
        <w:outlineLvl w:val="2"/>
        <w:rPr>
          <w:rFonts w:ascii="宋体" w:hAnsi="宋体" w:eastAsia="宋体" w:cs="宋体"/>
          <w:b/>
          <w:bCs/>
          <w:sz w:val="21"/>
          <w:szCs w:val="21"/>
        </w:rPr>
      </w:pPr>
      <w:bookmarkStart w:id="367" w:name="_Toc989250"/>
      <w:r>
        <w:rPr>
          <w:rFonts w:ascii="宋体" w:hAnsi="宋体" w:eastAsia="宋体" w:cs="宋体"/>
          <w:b/>
          <w:bCs/>
          <w:sz w:val="21"/>
          <w:szCs w:val="21"/>
        </w:rPr>
        <w:t>35、应付票据</w:t>
      </w:r>
      <w:bookmarkEnd w:id="367"/>
    </w:p>
    <w:p w14:paraId="7091443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9BD8F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8FD279">
            <w:pPr>
              <w:spacing w:before="40" w:after="40" w:line="240" w:lineRule="exact"/>
              <w:jc w:val="center"/>
              <w:rPr>
                <w:rFonts w:ascii="宋体" w:hAnsi="宋体" w:eastAsia="宋体" w:cs="宋体"/>
                <w:sz w:val="18"/>
                <w:szCs w:val="18"/>
              </w:rPr>
            </w:pPr>
            <w:r>
              <w:rPr>
                <w:rFonts w:ascii="宋体" w:hAnsi="宋体" w:eastAsia="宋体" w:cs="宋体"/>
                <w:sz w:val="18"/>
                <w:szCs w:val="18"/>
              </w:rPr>
              <w:t>种类</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F509B7D">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A417924">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35F884C1">
      <w:pPr>
        <w:spacing w:before="0" w:after="0" w:line="240" w:lineRule="exact"/>
        <w:jc w:val="left"/>
        <w:rPr>
          <w:rFonts w:ascii="宋体" w:hAnsi="宋体" w:eastAsia="宋体" w:cs="宋体"/>
          <w:sz w:val="18"/>
          <w:szCs w:val="18"/>
        </w:rPr>
      </w:pPr>
      <w:r>
        <w:rPr>
          <w:rFonts w:ascii="宋体" w:hAnsi="宋体" w:eastAsia="宋体" w:cs="宋体"/>
          <w:sz w:val="18"/>
          <w:szCs w:val="18"/>
        </w:rPr>
        <w:t>本期末已到期未支付的应付票据总额为元，到期未付的原因为。</w:t>
      </w:r>
    </w:p>
    <w:p w14:paraId="374B90EA">
      <w:pPr>
        <w:keepNext/>
        <w:keepLines/>
        <w:spacing w:before="300" w:after="300" w:line="280" w:lineRule="exact"/>
        <w:jc w:val="left"/>
        <w:outlineLvl w:val="2"/>
        <w:rPr>
          <w:rFonts w:ascii="宋体" w:hAnsi="宋体" w:eastAsia="宋体" w:cs="宋体"/>
          <w:b/>
          <w:bCs/>
          <w:sz w:val="21"/>
          <w:szCs w:val="21"/>
        </w:rPr>
      </w:pPr>
      <w:bookmarkStart w:id="368" w:name="_Toc989251"/>
      <w:r>
        <w:rPr>
          <w:rFonts w:ascii="宋体" w:hAnsi="宋体" w:eastAsia="宋体" w:cs="宋体"/>
          <w:b/>
          <w:bCs/>
          <w:sz w:val="21"/>
          <w:szCs w:val="21"/>
        </w:rPr>
        <w:t>36、应付账款</w:t>
      </w:r>
      <w:bookmarkEnd w:id="368"/>
    </w:p>
    <w:p w14:paraId="0EE89F09">
      <w:pPr>
        <w:keepNext/>
        <w:keepLines/>
        <w:spacing w:before="300" w:after="300" w:line="280" w:lineRule="exact"/>
        <w:jc w:val="left"/>
        <w:outlineLvl w:val="3"/>
        <w:rPr>
          <w:rFonts w:ascii="宋体" w:hAnsi="宋体" w:eastAsia="宋体" w:cs="宋体"/>
          <w:b/>
          <w:bCs/>
          <w:sz w:val="18"/>
          <w:szCs w:val="18"/>
        </w:rPr>
      </w:pPr>
      <w:bookmarkStart w:id="369" w:name="_Toc989252"/>
      <w:r>
        <w:rPr>
          <w:rFonts w:ascii="宋体" w:hAnsi="宋体" w:eastAsia="宋体" w:cs="宋体"/>
          <w:b/>
          <w:bCs/>
          <w:sz w:val="18"/>
          <w:szCs w:val="18"/>
        </w:rPr>
        <w:t>（1） 应付账款列示</w:t>
      </w:r>
      <w:bookmarkEnd w:id="369"/>
    </w:p>
    <w:p w14:paraId="506DD5E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A8E0D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90E5BE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A421D64">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0D13EA4">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239909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3296D34">
            <w:pPr>
              <w:spacing w:before="0" w:after="0" w:line="240" w:lineRule="exact"/>
              <w:jc w:val="left"/>
              <w:rPr>
                <w:rFonts w:ascii="宋体" w:hAnsi="宋体" w:eastAsia="宋体" w:cs="宋体"/>
                <w:sz w:val="18"/>
                <w:szCs w:val="18"/>
              </w:rPr>
            </w:pPr>
            <w:r>
              <w:rPr>
                <w:rFonts w:ascii="宋体" w:hAnsi="宋体" w:eastAsia="宋体" w:cs="宋体"/>
                <w:sz w:val="18"/>
                <w:szCs w:val="18"/>
              </w:rPr>
              <w:t>应付采购货款</w:t>
            </w:r>
          </w:p>
        </w:tc>
        <w:tc>
          <w:tcPr>
            <w:tcW w:w="3213" w:type="dxa"/>
            <w:tcBorders>
              <w:top w:val="single" w:color="auto" w:sz="2" w:space="0"/>
              <w:left w:val="single" w:color="auto" w:sz="2" w:space="0"/>
              <w:bottom w:val="single" w:color="auto" w:sz="2" w:space="0"/>
              <w:right w:val="single" w:color="auto" w:sz="2" w:space="0"/>
            </w:tcBorders>
            <w:vAlign w:val="center"/>
          </w:tcPr>
          <w:p w14:paraId="3BBBEB33">
            <w:pPr>
              <w:spacing w:before="0" w:after="0" w:line="240" w:lineRule="exact"/>
              <w:jc w:val="right"/>
              <w:rPr>
                <w:rFonts w:ascii="宋体" w:hAnsi="宋体" w:eastAsia="宋体" w:cs="宋体"/>
                <w:sz w:val="18"/>
                <w:szCs w:val="18"/>
              </w:rPr>
            </w:pPr>
            <w:r>
              <w:rPr>
                <w:rFonts w:ascii="宋体" w:hAnsi="宋体" w:eastAsia="宋体" w:cs="宋体"/>
                <w:sz w:val="18"/>
                <w:szCs w:val="18"/>
              </w:rPr>
              <w:t>53,380,860.33</w:t>
            </w:r>
          </w:p>
        </w:tc>
        <w:tc>
          <w:tcPr>
            <w:tcW w:w="3213" w:type="dxa"/>
            <w:tcBorders>
              <w:top w:val="single" w:color="auto" w:sz="2" w:space="0"/>
              <w:left w:val="single" w:color="auto" w:sz="2" w:space="0"/>
              <w:bottom w:val="single" w:color="auto" w:sz="2" w:space="0"/>
              <w:right w:val="single" w:color="auto" w:sz="2" w:space="0"/>
            </w:tcBorders>
            <w:vAlign w:val="center"/>
          </w:tcPr>
          <w:p w14:paraId="6D6C1D32">
            <w:pPr>
              <w:spacing w:before="0" w:after="0" w:line="240" w:lineRule="exact"/>
              <w:jc w:val="right"/>
              <w:rPr>
                <w:rFonts w:ascii="宋体" w:hAnsi="宋体" w:eastAsia="宋体" w:cs="宋体"/>
                <w:sz w:val="18"/>
                <w:szCs w:val="18"/>
              </w:rPr>
            </w:pPr>
            <w:r>
              <w:rPr>
                <w:rFonts w:ascii="宋体" w:hAnsi="宋体" w:eastAsia="宋体" w:cs="宋体"/>
                <w:sz w:val="18"/>
                <w:szCs w:val="18"/>
              </w:rPr>
              <w:t>49,287,020.50</w:t>
            </w:r>
          </w:p>
        </w:tc>
      </w:tr>
      <w:tr w14:paraId="0B4348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314A410">
            <w:pPr>
              <w:spacing w:before="0" w:after="0" w:line="240" w:lineRule="exact"/>
              <w:jc w:val="left"/>
              <w:rPr>
                <w:rFonts w:ascii="宋体" w:hAnsi="宋体" w:eastAsia="宋体" w:cs="宋体"/>
                <w:sz w:val="18"/>
                <w:szCs w:val="18"/>
              </w:rPr>
            </w:pPr>
            <w:r>
              <w:rPr>
                <w:rFonts w:ascii="宋体" w:hAnsi="宋体" w:eastAsia="宋体" w:cs="宋体"/>
                <w:sz w:val="18"/>
                <w:szCs w:val="18"/>
              </w:rPr>
              <w:t>应付经营费用</w:t>
            </w:r>
          </w:p>
        </w:tc>
        <w:tc>
          <w:tcPr>
            <w:tcW w:w="3213" w:type="dxa"/>
            <w:tcBorders>
              <w:top w:val="single" w:color="auto" w:sz="2" w:space="0"/>
              <w:left w:val="single" w:color="auto" w:sz="2" w:space="0"/>
              <w:bottom w:val="single" w:color="auto" w:sz="2" w:space="0"/>
              <w:right w:val="single" w:color="auto" w:sz="2" w:space="0"/>
            </w:tcBorders>
            <w:vAlign w:val="center"/>
          </w:tcPr>
          <w:p w14:paraId="15A2FF79">
            <w:pPr>
              <w:spacing w:before="0" w:after="0" w:line="240" w:lineRule="exact"/>
              <w:jc w:val="right"/>
              <w:rPr>
                <w:rFonts w:ascii="宋体" w:hAnsi="宋体" w:eastAsia="宋体" w:cs="宋体"/>
                <w:sz w:val="18"/>
                <w:szCs w:val="18"/>
              </w:rPr>
            </w:pPr>
            <w:r>
              <w:rPr>
                <w:rFonts w:ascii="宋体" w:hAnsi="宋体" w:eastAsia="宋体" w:cs="宋体"/>
                <w:sz w:val="18"/>
                <w:szCs w:val="18"/>
              </w:rPr>
              <w:t>145,923,710.93</w:t>
            </w:r>
          </w:p>
        </w:tc>
        <w:tc>
          <w:tcPr>
            <w:tcW w:w="3213" w:type="dxa"/>
            <w:tcBorders>
              <w:top w:val="single" w:color="auto" w:sz="2" w:space="0"/>
              <w:left w:val="single" w:color="auto" w:sz="2" w:space="0"/>
              <w:bottom w:val="single" w:color="auto" w:sz="2" w:space="0"/>
              <w:right w:val="single" w:color="auto" w:sz="2" w:space="0"/>
            </w:tcBorders>
            <w:vAlign w:val="center"/>
          </w:tcPr>
          <w:p w14:paraId="0E8CD781">
            <w:pPr>
              <w:spacing w:before="0" w:after="0" w:line="240" w:lineRule="exact"/>
              <w:jc w:val="right"/>
              <w:rPr>
                <w:rFonts w:ascii="宋体" w:hAnsi="宋体" w:eastAsia="宋体" w:cs="宋体"/>
                <w:sz w:val="18"/>
                <w:szCs w:val="18"/>
              </w:rPr>
            </w:pPr>
            <w:r>
              <w:rPr>
                <w:rFonts w:ascii="宋体" w:hAnsi="宋体" w:eastAsia="宋体" w:cs="宋体"/>
                <w:sz w:val="18"/>
                <w:szCs w:val="18"/>
              </w:rPr>
              <w:t>139,848,815.71</w:t>
            </w:r>
          </w:p>
        </w:tc>
      </w:tr>
      <w:tr w14:paraId="0B2DF0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596CA5D">
            <w:pPr>
              <w:spacing w:before="0" w:after="0" w:line="240" w:lineRule="exact"/>
              <w:jc w:val="left"/>
              <w:rPr>
                <w:rFonts w:ascii="宋体" w:hAnsi="宋体" w:eastAsia="宋体" w:cs="宋体"/>
                <w:sz w:val="18"/>
                <w:szCs w:val="18"/>
              </w:rPr>
            </w:pPr>
            <w:r>
              <w:rPr>
                <w:rFonts w:ascii="宋体" w:hAnsi="宋体" w:eastAsia="宋体" w:cs="宋体"/>
                <w:sz w:val="18"/>
                <w:szCs w:val="18"/>
              </w:rPr>
              <w:t>应付工程设备款</w:t>
            </w:r>
          </w:p>
        </w:tc>
        <w:tc>
          <w:tcPr>
            <w:tcW w:w="3213" w:type="dxa"/>
            <w:tcBorders>
              <w:top w:val="single" w:color="auto" w:sz="2" w:space="0"/>
              <w:left w:val="single" w:color="auto" w:sz="2" w:space="0"/>
              <w:bottom w:val="single" w:color="auto" w:sz="2" w:space="0"/>
              <w:right w:val="single" w:color="auto" w:sz="2" w:space="0"/>
            </w:tcBorders>
            <w:vAlign w:val="center"/>
          </w:tcPr>
          <w:p w14:paraId="3C4109A1">
            <w:pPr>
              <w:spacing w:before="0" w:after="0" w:line="240" w:lineRule="exact"/>
              <w:jc w:val="right"/>
              <w:rPr>
                <w:rFonts w:ascii="宋体" w:hAnsi="宋体" w:eastAsia="宋体" w:cs="宋体"/>
                <w:sz w:val="18"/>
                <w:szCs w:val="18"/>
              </w:rPr>
            </w:pPr>
            <w:r>
              <w:rPr>
                <w:rFonts w:ascii="宋体" w:hAnsi="宋体" w:eastAsia="宋体" w:cs="宋体"/>
                <w:sz w:val="18"/>
                <w:szCs w:val="18"/>
              </w:rPr>
              <w:t>14,535,465.54</w:t>
            </w:r>
          </w:p>
        </w:tc>
        <w:tc>
          <w:tcPr>
            <w:tcW w:w="3213" w:type="dxa"/>
            <w:tcBorders>
              <w:top w:val="single" w:color="auto" w:sz="2" w:space="0"/>
              <w:left w:val="single" w:color="auto" w:sz="2" w:space="0"/>
              <w:bottom w:val="single" w:color="auto" w:sz="2" w:space="0"/>
              <w:right w:val="single" w:color="auto" w:sz="2" w:space="0"/>
            </w:tcBorders>
            <w:vAlign w:val="center"/>
          </w:tcPr>
          <w:p w14:paraId="143BAAD0">
            <w:pPr>
              <w:spacing w:before="0" w:after="0" w:line="240" w:lineRule="exact"/>
              <w:jc w:val="right"/>
              <w:rPr>
                <w:rFonts w:ascii="宋体" w:hAnsi="宋体" w:eastAsia="宋体" w:cs="宋体"/>
                <w:sz w:val="18"/>
                <w:szCs w:val="18"/>
              </w:rPr>
            </w:pPr>
            <w:r>
              <w:rPr>
                <w:rFonts w:ascii="宋体" w:hAnsi="宋体" w:eastAsia="宋体" w:cs="宋体"/>
                <w:sz w:val="18"/>
                <w:szCs w:val="18"/>
              </w:rPr>
              <w:t>37,828,625.12</w:t>
            </w:r>
          </w:p>
        </w:tc>
      </w:tr>
      <w:tr w14:paraId="6B781B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E64419E">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5D7833D6">
            <w:pPr>
              <w:spacing w:before="0" w:after="0" w:line="240" w:lineRule="exact"/>
              <w:jc w:val="right"/>
              <w:rPr>
                <w:rFonts w:ascii="宋体" w:hAnsi="宋体" w:eastAsia="宋体" w:cs="宋体"/>
                <w:sz w:val="18"/>
                <w:szCs w:val="18"/>
              </w:rPr>
            </w:pPr>
            <w:r>
              <w:rPr>
                <w:rFonts w:ascii="宋体" w:hAnsi="宋体" w:eastAsia="宋体" w:cs="宋体"/>
                <w:sz w:val="18"/>
                <w:szCs w:val="18"/>
              </w:rPr>
              <w:t>213,840,036.80</w:t>
            </w:r>
          </w:p>
        </w:tc>
        <w:tc>
          <w:tcPr>
            <w:tcW w:w="3213" w:type="dxa"/>
            <w:tcBorders>
              <w:top w:val="single" w:color="auto" w:sz="2" w:space="0"/>
              <w:left w:val="single" w:color="auto" w:sz="2" w:space="0"/>
              <w:bottom w:val="single" w:color="auto" w:sz="2" w:space="0"/>
              <w:right w:val="single" w:color="auto" w:sz="2" w:space="0"/>
            </w:tcBorders>
            <w:vAlign w:val="center"/>
          </w:tcPr>
          <w:p w14:paraId="2D903D5C">
            <w:pPr>
              <w:spacing w:before="0" w:after="0" w:line="240" w:lineRule="exact"/>
              <w:jc w:val="right"/>
              <w:rPr>
                <w:rFonts w:ascii="宋体" w:hAnsi="宋体" w:eastAsia="宋体" w:cs="宋体"/>
                <w:sz w:val="18"/>
                <w:szCs w:val="18"/>
              </w:rPr>
            </w:pPr>
            <w:r>
              <w:rPr>
                <w:rFonts w:ascii="宋体" w:hAnsi="宋体" w:eastAsia="宋体" w:cs="宋体"/>
                <w:sz w:val="18"/>
                <w:szCs w:val="18"/>
              </w:rPr>
              <w:t>226,964,461.33</w:t>
            </w:r>
          </w:p>
        </w:tc>
      </w:tr>
    </w:tbl>
    <w:p w14:paraId="3162136B">
      <w:pPr>
        <w:keepNext/>
        <w:keepLines/>
        <w:spacing w:before="300" w:after="300" w:line="280" w:lineRule="exact"/>
        <w:jc w:val="left"/>
        <w:outlineLvl w:val="3"/>
        <w:rPr>
          <w:rFonts w:ascii="宋体" w:hAnsi="宋体" w:eastAsia="宋体" w:cs="宋体"/>
          <w:b/>
          <w:bCs/>
          <w:sz w:val="18"/>
          <w:szCs w:val="18"/>
        </w:rPr>
      </w:pPr>
      <w:bookmarkStart w:id="370" w:name="_Toc989253"/>
      <w:r>
        <w:rPr>
          <w:rFonts w:ascii="宋体" w:hAnsi="宋体" w:eastAsia="宋体" w:cs="宋体"/>
          <w:b/>
          <w:bCs/>
          <w:sz w:val="18"/>
          <w:szCs w:val="18"/>
        </w:rPr>
        <w:t>（2） 账龄超过1年或逾期的重要应付账款</w:t>
      </w:r>
      <w:bookmarkEnd w:id="370"/>
    </w:p>
    <w:p w14:paraId="6475859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9D9FE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75FA1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04B79B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DA2621B">
            <w:pPr>
              <w:spacing w:before="40" w:after="40" w:line="240" w:lineRule="exact"/>
              <w:jc w:val="center"/>
              <w:rPr>
                <w:rFonts w:ascii="宋体" w:hAnsi="宋体" w:eastAsia="宋体" w:cs="宋体"/>
                <w:sz w:val="18"/>
                <w:szCs w:val="18"/>
              </w:rPr>
            </w:pPr>
            <w:r>
              <w:rPr>
                <w:rFonts w:ascii="宋体" w:hAnsi="宋体" w:eastAsia="宋体" w:cs="宋体"/>
                <w:sz w:val="18"/>
                <w:szCs w:val="18"/>
              </w:rPr>
              <w:t>未偿还或结转的原因</w:t>
            </w:r>
          </w:p>
        </w:tc>
      </w:tr>
    </w:tbl>
    <w:p w14:paraId="5C73BCFB">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919664B">
      <w:pPr>
        <w:keepNext/>
        <w:keepLines/>
        <w:spacing w:before="300" w:after="300" w:line="280" w:lineRule="exact"/>
        <w:jc w:val="left"/>
        <w:outlineLvl w:val="2"/>
        <w:rPr>
          <w:rFonts w:ascii="宋体" w:hAnsi="宋体" w:eastAsia="宋体" w:cs="宋体"/>
          <w:b/>
          <w:bCs/>
          <w:sz w:val="21"/>
          <w:szCs w:val="21"/>
        </w:rPr>
      </w:pPr>
      <w:bookmarkStart w:id="371" w:name="_Toc989254"/>
      <w:r>
        <w:rPr>
          <w:rFonts w:ascii="宋体" w:hAnsi="宋体" w:eastAsia="宋体" w:cs="宋体"/>
          <w:b/>
          <w:bCs/>
          <w:sz w:val="21"/>
          <w:szCs w:val="21"/>
        </w:rPr>
        <w:t>37、其他应付款</w:t>
      </w:r>
      <w:bookmarkEnd w:id="371"/>
    </w:p>
    <w:p w14:paraId="1AE8936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E0697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DC6327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DA3BE8F">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26A99CD">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0C87F7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71C8086">
            <w:pPr>
              <w:spacing w:before="40" w:after="40" w:line="240" w:lineRule="exact"/>
              <w:jc w:val="left"/>
              <w:rPr>
                <w:rFonts w:ascii="宋体" w:hAnsi="宋体" w:eastAsia="宋体" w:cs="宋体"/>
                <w:sz w:val="18"/>
                <w:szCs w:val="18"/>
              </w:rPr>
            </w:pPr>
            <w:r>
              <w:rPr>
                <w:rFonts w:ascii="宋体" w:hAnsi="宋体" w:eastAsia="宋体" w:cs="宋体"/>
                <w:sz w:val="18"/>
                <w:szCs w:val="18"/>
              </w:rPr>
              <w:t>其他应付款</w:t>
            </w:r>
          </w:p>
        </w:tc>
        <w:tc>
          <w:tcPr>
            <w:tcW w:w="3213" w:type="dxa"/>
            <w:tcBorders>
              <w:top w:val="single" w:color="auto" w:sz="2" w:space="0"/>
              <w:left w:val="single" w:color="auto" w:sz="2" w:space="0"/>
              <w:bottom w:val="single" w:color="auto" w:sz="2" w:space="0"/>
              <w:right w:val="single" w:color="auto" w:sz="2" w:space="0"/>
            </w:tcBorders>
            <w:vAlign w:val="center"/>
          </w:tcPr>
          <w:p w14:paraId="0B1D5DE6">
            <w:pPr>
              <w:spacing w:before="0" w:after="0" w:line="240" w:lineRule="exact"/>
              <w:jc w:val="right"/>
              <w:rPr>
                <w:rFonts w:ascii="宋体" w:hAnsi="宋体" w:eastAsia="宋体" w:cs="宋体"/>
                <w:sz w:val="18"/>
                <w:szCs w:val="18"/>
              </w:rPr>
            </w:pPr>
            <w:r>
              <w:rPr>
                <w:rFonts w:ascii="宋体" w:hAnsi="宋体" w:eastAsia="宋体" w:cs="宋体"/>
                <w:sz w:val="18"/>
                <w:szCs w:val="18"/>
              </w:rPr>
              <w:t>36,520,008.56</w:t>
            </w:r>
          </w:p>
        </w:tc>
        <w:tc>
          <w:tcPr>
            <w:tcW w:w="3213" w:type="dxa"/>
            <w:tcBorders>
              <w:top w:val="single" w:color="auto" w:sz="2" w:space="0"/>
              <w:left w:val="single" w:color="auto" w:sz="2" w:space="0"/>
              <w:bottom w:val="single" w:color="auto" w:sz="2" w:space="0"/>
              <w:right w:val="single" w:color="auto" w:sz="2" w:space="0"/>
            </w:tcBorders>
            <w:vAlign w:val="center"/>
          </w:tcPr>
          <w:p w14:paraId="72AB211B">
            <w:pPr>
              <w:spacing w:before="0" w:after="0" w:line="240" w:lineRule="exact"/>
              <w:jc w:val="right"/>
              <w:rPr>
                <w:rFonts w:ascii="宋体" w:hAnsi="宋体" w:eastAsia="宋体" w:cs="宋体"/>
                <w:sz w:val="18"/>
                <w:szCs w:val="18"/>
              </w:rPr>
            </w:pPr>
            <w:r>
              <w:rPr>
                <w:rFonts w:ascii="宋体" w:hAnsi="宋体" w:eastAsia="宋体" w:cs="宋体"/>
                <w:sz w:val="18"/>
                <w:szCs w:val="18"/>
              </w:rPr>
              <w:t>42,619,772.74</w:t>
            </w:r>
          </w:p>
        </w:tc>
      </w:tr>
      <w:tr w14:paraId="1406E3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E2A01E2">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7CC8891B">
            <w:pPr>
              <w:spacing w:before="0" w:after="0" w:line="240" w:lineRule="exact"/>
              <w:jc w:val="right"/>
              <w:rPr>
                <w:rFonts w:ascii="宋体" w:hAnsi="宋体" w:eastAsia="宋体" w:cs="宋体"/>
                <w:sz w:val="18"/>
                <w:szCs w:val="18"/>
              </w:rPr>
            </w:pPr>
            <w:r>
              <w:rPr>
                <w:rFonts w:ascii="宋体" w:hAnsi="宋体" w:eastAsia="宋体" w:cs="宋体"/>
                <w:sz w:val="18"/>
                <w:szCs w:val="18"/>
              </w:rPr>
              <w:t>36,520,008.56</w:t>
            </w:r>
          </w:p>
        </w:tc>
        <w:tc>
          <w:tcPr>
            <w:tcW w:w="3213" w:type="dxa"/>
            <w:tcBorders>
              <w:top w:val="single" w:color="auto" w:sz="2" w:space="0"/>
              <w:left w:val="single" w:color="auto" w:sz="2" w:space="0"/>
              <w:bottom w:val="single" w:color="auto" w:sz="2" w:space="0"/>
              <w:right w:val="single" w:color="auto" w:sz="2" w:space="0"/>
            </w:tcBorders>
            <w:vAlign w:val="center"/>
          </w:tcPr>
          <w:p w14:paraId="3C0C4C3F">
            <w:pPr>
              <w:spacing w:before="0" w:after="0" w:line="240" w:lineRule="exact"/>
              <w:jc w:val="right"/>
              <w:rPr>
                <w:rFonts w:ascii="宋体" w:hAnsi="宋体" w:eastAsia="宋体" w:cs="宋体"/>
                <w:sz w:val="18"/>
                <w:szCs w:val="18"/>
              </w:rPr>
            </w:pPr>
            <w:r>
              <w:rPr>
                <w:rFonts w:ascii="宋体" w:hAnsi="宋体" w:eastAsia="宋体" w:cs="宋体"/>
                <w:sz w:val="18"/>
                <w:szCs w:val="18"/>
              </w:rPr>
              <w:t>42,619,772.74</w:t>
            </w:r>
          </w:p>
        </w:tc>
      </w:tr>
    </w:tbl>
    <w:p w14:paraId="7DE667EF">
      <w:pPr>
        <w:keepNext/>
        <w:keepLines/>
        <w:spacing w:before="300" w:after="300" w:line="280" w:lineRule="exact"/>
        <w:jc w:val="left"/>
        <w:outlineLvl w:val="3"/>
        <w:rPr>
          <w:rFonts w:ascii="宋体" w:hAnsi="宋体" w:eastAsia="宋体" w:cs="宋体"/>
          <w:b/>
          <w:bCs/>
          <w:sz w:val="18"/>
          <w:szCs w:val="18"/>
        </w:rPr>
      </w:pPr>
      <w:bookmarkStart w:id="372" w:name="_Toc989255"/>
      <w:r>
        <w:rPr>
          <w:rFonts w:ascii="宋体" w:hAnsi="宋体" w:eastAsia="宋体" w:cs="宋体"/>
          <w:b/>
          <w:bCs/>
          <w:sz w:val="18"/>
          <w:szCs w:val="18"/>
        </w:rPr>
        <w:t>（1） 应付利息</w:t>
      </w:r>
      <w:bookmarkEnd w:id="372"/>
    </w:p>
    <w:p w14:paraId="652C32B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08697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2C379D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27B57CD">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657B0CD">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45DA0B4D">
      <w:pPr>
        <w:spacing w:before="0" w:after="0" w:line="240" w:lineRule="exact"/>
        <w:jc w:val="left"/>
        <w:rPr>
          <w:rFonts w:ascii="宋体" w:hAnsi="宋体" w:eastAsia="宋体" w:cs="宋体"/>
          <w:sz w:val="18"/>
          <w:szCs w:val="18"/>
        </w:rPr>
      </w:pPr>
      <w:r>
        <w:rPr>
          <w:rFonts w:ascii="宋体" w:hAnsi="宋体" w:eastAsia="宋体" w:cs="宋体"/>
          <w:sz w:val="18"/>
          <w:szCs w:val="18"/>
        </w:rPr>
        <w:t>重要的已逾期未支付的利息情况：</w:t>
      </w:r>
    </w:p>
    <w:p w14:paraId="233759B6">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2E693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6158DD2">
            <w:pPr>
              <w:spacing w:before="40" w:after="40" w:line="240" w:lineRule="exact"/>
              <w:jc w:val="center"/>
              <w:rPr>
                <w:rFonts w:ascii="宋体" w:hAnsi="宋体" w:eastAsia="宋体" w:cs="宋体"/>
                <w:sz w:val="18"/>
                <w:szCs w:val="18"/>
              </w:rPr>
            </w:pPr>
            <w:r>
              <w:rPr>
                <w:rFonts w:ascii="宋体" w:hAnsi="宋体" w:eastAsia="宋体" w:cs="宋体"/>
                <w:sz w:val="18"/>
                <w:szCs w:val="18"/>
              </w:rPr>
              <w:t>借款单位</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E126D1D">
            <w:pPr>
              <w:spacing w:before="40" w:after="40" w:line="240" w:lineRule="exact"/>
              <w:jc w:val="center"/>
              <w:rPr>
                <w:rFonts w:ascii="宋体" w:hAnsi="宋体" w:eastAsia="宋体" w:cs="宋体"/>
                <w:sz w:val="18"/>
                <w:szCs w:val="18"/>
              </w:rPr>
            </w:pPr>
            <w:r>
              <w:rPr>
                <w:rFonts w:ascii="宋体" w:hAnsi="宋体" w:eastAsia="宋体" w:cs="宋体"/>
                <w:sz w:val="18"/>
                <w:szCs w:val="18"/>
              </w:rPr>
              <w:t>逾期金额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6365EBD">
            <w:pPr>
              <w:spacing w:before="40" w:after="40" w:line="240" w:lineRule="exact"/>
              <w:jc w:val="center"/>
              <w:rPr>
                <w:rFonts w:ascii="宋体" w:hAnsi="宋体" w:eastAsia="宋体" w:cs="宋体"/>
                <w:sz w:val="18"/>
                <w:szCs w:val="18"/>
              </w:rPr>
            </w:pPr>
            <w:r>
              <w:rPr>
                <w:rFonts w:ascii="宋体" w:hAnsi="宋体" w:eastAsia="宋体" w:cs="宋体"/>
                <w:sz w:val="18"/>
                <w:szCs w:val="18"/>
              </w:rPr>
              <w:t>逾期原因</w:t>
            </w:r>
          </w:p>
        </w:tc>
      </w:tr>
    </w:tbl>
    <w:p w14:paraId="0D9ECB2F">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A8CDF13">
      <w:pPr>
        <w:keepNext/>
        <w:keepLines/>
        <w:spacing w:before="300" w:after="300" w:line="280" w:lineRule="exact"/>
        <w:jc w:val="left"/>
        <w:outlineLvl w:val="3"/>
        <w:rPr>
          <w:rFonts w:ascii="宋体" w:hAnsi="宋体" w:eastAsia="宋体" w:cs="宋体"/>
          <w:b/>
          <w:bCs/>
          <w:sz w:val="18"/>
          <w:szCs w:val="18"/>
        </w:rPr>
      </w:pPr>
      <w:bookmarkStart w:id="373" w:name="_Toc989256"/>
      <w:r>
        <w:rPr>
          <w:rFonts w:ascii="宋体" w:hAnsi="宋体" w:eastAsia="宋体" w:cs="宋体"/>
          <w:b/>
          <w:bCs/>
          <w:sz w:val="18"/>
          <w:szCs w:val="18"/>
        </w:rPr>
        <w:t>（2） 应付股利</w:t>
      </w:r>
      <w:bookmarkEnd w:id="373"/>
    </w:p>
    <w:p w14:paraId="1D49AA1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B6879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89C82C4">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AA53BD8">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61B306B">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067F89A9">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其他说明，包括重要的超过1年未支付的应付股利，应披露未支付原因：</w:t>
      </w:r>
    </w:p>
    <w:p w14:paraId="0CFD9240">
      <w:pPr>
        <w:keepNext/>
        <w:keepLines/>
        <w:spacing w:before="300" w:after="300" w:line="280" w:lineRule="exact"/>
        <w:jc w:val="left"/>
        <w:outlineLvl w:val="3"/>
        <w:rPr>
          <w:rFonts w:ascii="宋体" w:hAnsi="宋体" w:eastAsia="宋体" w:cs="宋体"/>
          <w:b/>
          <w:bCs/>
          <w:sz w:val="18"/>
          <w:szCs w:val="18"/>
        </w:rPr>
      </w:pPr>
      <w:bookmarkStart w:id="374" w:name="_Toc989257"/>
      <w:r>
        <w:rPr>
          <w:rFonts w:ascii="宋体" w:hAnsi="宋体" w:eastAsia="宋体" w:cs="宋体"/>
          <w:b/>
          <w:bCs/>
          <w:sz w:val="18"/>
          <w:szCs w:val="18"/>
        </w:rPr>
        <w:t>（3） 其他应付款</w:t>
      </w:r>
      <w:bookmarkEnd w:id="374"/>
    </w:p>
    <w:p w14:paraId="0BC3A2AC">
      <w:pPr>
        <w:keepNext/>
        <w:keepLines/>
        <w:spacing w:before="300" w:after="300" w:line="280" w:lineRule="exact"/>
        <w:jc w:val="left"/>
        <w:outlineLvl w:val="4"/>
        <w:rPr>
          <w:rFonts w:ascii="宋体" w:hAnsi="宋体" w:eastAsia="宋体" w:cs="宋体"/>
          <w:b/>
          <w:bCs/>
          <w:sz w:val="18"/>
          <w:szCs w:val="18"/>
        </w:rPr>
      </w:pPr>
      <w:bookmarkStart w:id="375" w:name="_Toc989258"/>
      <w:r>
        <w:rPr>
          <w:rFonts w:ascii="宋体" w:hAnsi="宋体" w:eastAsia="宋体" w:cs="宋体"/>
          <w:b/>
          <w:bCs/>
          <w:sz w:val="18"/>
          <w:szCs w:val="18"/>
        </w:rPr>
        <w:t>1） 按款项性质列示其他应付款</w:t>
      </w:r>
      <w:bookmarkEnd w:id="375"/>
    </w:p>
    <w:p w14:paraId="0D2D856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31E7F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EC71E4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E1F58E7">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B1EF451">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2558D4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D9D68F2">
            <w:pPr>
              <w:spacing w:before="0" w:after="0" w:line="240" w:lineRule="exact"/>
              <w:jc w:val="left"/>
              <w:rPr>
                <w:rFonts w:ascii="宋体" w:hAnsi="宋体" w:eastAsia="宋体" w:cs="宋体"/>
                <w:sz w:val="18"/>
                <w:szCs w:val="18"/>
              </w:rPr>
            </w:pPr>
            <w:r>
              <w:rPr>
                <w:rFonts w:ascii="宋体" w:hAnsi="宋体" w:eastAsia="宋体" w:cs="宋体"/>
                <w:sz w:val="18"/>
                <w:szCs w:val="18"/>
              </w:rPr>
              <w:t>押金、保证金</w:t>
            </w:r>
          </w:p>
        </w:tc>
        <w:tc>
          <w:tcPr>
            <w:tcW w:w="3213" w:type="dxa"/>
            <w:tcBorders>
              <w:top w:val="single" w:color="auto" w:sz="2" w:space="0"/>
              <w:left w:val="single" w:color="auto" w:sz="2" w:space="0"/>
              <w:bottom w:val="single" w:color="auto" w:sz="2" w:space="0"/>
              <w:right w:val="single" w:color="auto" w:sz="2" w:space="0"/>
            </w:tcBorders>
            <w:vAlign w:val="center"/>
          </w:tcPr>
          <w:p w14:paraId="3E0F2F7B">
            <w:pPr>
              <w:spacing w:before="0" w:after="0" w:line="240" w:lineRule="exact"/>
              <w:jc w:val="right"/>
              <w:rPr>
                <w:rFonts w:ascii="宋体" w:hAnsi="宋体" w:eastAsia="宋体" w:cs="宋体"/>
                <w:sz w:val="18"/>
                <w:szCs w:val="18"/>
              </w:rPr>
            </w:pPr>
            <w:r>
              <w:rPr>
                <w:rFonts w:ascii="宋体" w:hAnsi="宋体" w:eastAsia="宋体" w:cs="宋体"/>
                <w:sz w:val="18"/>
                <w:szCs w:val="18"/>
              </w:rPr>
              <w:t>23,898,723.48</w:t>
            </w:r>
          </w:p>
        </w:tc>
        <w:tc>
          <w:tcPr>
            <w:tcW w:w="3213" w:type="dxa"/>
            <w:tcBorders>
              <w:top w:val="single" w:color="auto" w:sz="2" w:space="0"/>
              <w:left w:val="single" w:color="auto" w:sz="2" w:space="0"/>
              <w:bottom w:val="single" w:color="auto" w:sz="2" w:space="0"/>
              <w:right w:val="single" w:color="auto" w:sz="2" w:space="0"/>
            </w:tcBorders>
            <w:vAlign w:val="center"/>
          </w:tcPr>
          <w:p w14:paraId="2DC1DBC9">
            <w:pPr>
              <w:spacing w:before="0" w:after="0" w:line="240" w:lineRule="exact"/>
              <w:jc w:val="right"/>
              <w:rPr>
                <w:rFonts w:ascii="宋体" w:hAnsi="宋体" w:eastAsia="宋体" w:cs="宋体"/>
                <w:sz w:val="18"/>
                <w:szCs w:val="18"/>
              </w:rPr>
            </w:pPr>
            <w:r>
              <w:rPr>
                <w:rFonts w:ascii="宋体" w:hAnsi="宋体" w:eastAsia="宋体" w:cs="宋体"/>
                <w:sz w:val="18"/>
                <w:szCs w:val="18"/>
              </w:rPr>
              <w:t>26,552,008.82</w:t>
            </w:r>
          </w:p>
        </w:tc>
      </w:tr>
      <w:tr w14:paraId="0F65C9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9782E2E">
            <w:pPr>
              <w:spacing w:before="0" w:after="0" w:line="240" w:lineRule="exact"/>
              <w:jc w:val="left"/>
              <w:rPr>
                <w:rFonts w:ascii="宋体" w:hAnsi="宋体" w:eastAsia="宋体" w:cs="宋体"/>
                <w:sz w:val="18"/>
                <w:szCs w:val="18"/>
              </w:rPr>
            </w:pPr>
            <w:r>
              <w:rPr>
                <w:rFonts w:ascii="宋体" w:hAnsi="宋体" w:eastAsia="宋体" w:cs="宋体"/>
                <w:sz w:val="18"/>
                <w:szCs w:val="18"/>
              </w:rPr>
              <w:t>预提费用</w:t>
            </w:r>
          </w:p>
        </w:tc>
        <w:tc>
          <w:tcPr>
            <w:tcW w:w="3213" w:type="dxa"/>
            <w:tcBorders>
              <w:top w:val="single" w:color="auto" w:sz="2" w:space="0"/>
              <w:left w:val="single" w:color="auto" w:sz="2" w:space="0"/>
              <w:bottom w:val="single" w:color="auto" w:sz="2" w:space="0"/>
              <w:right w:val="single" w:color="auto" w:sz="2" w:space="0"/>
            </w:tcBorders>
            <w:vAlign w:val="center"/>
          </w:tcPr>
          <w:p w14:paraId="0CC680E7">
            <w:pPr>
              <w:spacing w:before="0" w:after="0" w:line="240" w:lineRule="exact"/>
              <w:jc w:val="right"/>
              <w:rPr>
                <w:rFonts w:ascii="宋体" w:hAnsi="宋体" w:eastAsia="宋体" w:cs="宋体"/>
                <w:sz w:val="18"/>
                <w:szCs w:val="18"/>
              </w:rPr>
            </w:pPr>
            <w:r>
              <w:rPr>
                <w:rFonts w:ascii="宋体" w:hAnsi="宋体" w:eastAsia="宋体" w:cs="宋体"/>
                <w:sz w:val="18"/>
                <w:szCs w:val="18"/>
              </w:rPr>
              <w:t>12,167,886.35</w:t>
            </w:r>
          </w:p>
        </w:tc>
        <w:tc>
          <w:tcPr>
            <w:tcW w:w="3213" w:type="dxa"/>
            <w:tcBorders>
              <w:top w:val="single" w:color="auto" w:sz="2" w:space="0"/>
              <w:left w:val="single" w:color="auto" w:sz="2" w:space="0"/>
              <w:bottom w:val="single" w:color="auto" w:sz="2" w:space="0"/>
              <w:right w:val="single" w:color="auto" w:sz="2" w:space="0"/>
            </w:tcBorders>
            <w:vAlign w:val="center"/>
          </w:tcPr>
          <w:p w14:paraId="2BBFD551">
            <w:pPr>
              <w:spacing w:before="0" w:after="0" w:line="240" w:lineRule="exact"/>
              <w:jc w:val="right"/>
              <w:rPr>
                <w:rFonts w:ascii="宋体" w:hAnsi="宋体" w:eastAsia="宋体" w:cs="宋体"/>
                <w:sz w:val="18"/>
                <w:szCs w:val="18"/>
              </w:rPr>
            </w:pPr>
            <w:r>
              <w:rPr>
                <w:rFonts w:ascii="宋体" w:hAnsi="宋体" w:eastAsia="宋体" w:cs="宋体"/>
                <w:sz w:val="18"/>
                <w:szCs w:val="18"/>
              </w:rPr>
              <w:t>14,655,977.96</w:t>
            </w:r>
          </w:p>
        </w:tc>
      </w:tr>
      <w:tr w14:paraId="626771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A4E5853">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14:paraId="66071A56">
            <w:pPr>
              <w:spacing w:before="0" w:after="0" w:line="240" w:lineRule="exact"/>
              <w:jc w:val="right"/>
              <w:rPr>
                <w:rFonts w:ascii="宋体" w:hAnsi="宋体" w:eastAsia="宋体" w:cs="宋体"/>
                <w:sz w:val="18"/>
                <w:szCs w:val="18"/>
              </w:rPr>
            </w:pPr>
            <w:r>
              <w:rPr>
                <w:rFonts w:ascii="宋体" w:hAnsi="宋体" w:eastAsia="宋体" w:cs="宋体"/>
                <w:sz w:val="18"/>
                <w:szCs w:val="18"/>
              </w:rPr>
              <w:t>453,398.73</w:t>
            </w:r>
          </w:p>
        </w:tc>
        <w:tc>
          <w:tcPr>
            <w:tcW w:w="3213" w:type="dxa"/>
            <w:tcBorders>
              <w:top w:val="single" w:color="auto" w:sz="2" w:space="0"/>
              <w:left w:val="single" w:color="auto" w:sz="2" w:space="0"/>
              <w:bottom w:val="single" w:color="auto" w:sz="2" w:space="0"/>
              <w:right w:val="single" w:color="auto" w:sz="2" w:space="0"/>
            </w:tcBorders>
            <w:vAlign w:val="center"/>
          </w:tcPr>
          <w:p w14:paraId="2D9328ED">
            <w:pPr>
              <w:spacing w:before="0" w:after="0" w:line="240" w:lineRule="exact"/>
              <w:jc w:val="right"/>
              <w:rPr>
                <w:rFonts w:ascii="宋体" w:hAnsi="宋体" w:eastAsia="宋体" w:cs="宋体"/>
                <w:sz w:val="18"/>
                <w:szCs w:val="18"/>
              </w:rPr>
            </w:pPr>
            <w:r>
              <w:rPr>
                <w:rFonts w:ascii="宋体" w:hAnsi="宋体" w:eastAsia="宋体" w:cs="宋体"/>
                <w:sz w:val="18"/>
                <w:szCs w:val="18"/>
              </w:rPr>
              <w:t>1,057,331.45</w:t>
            </w:r>
          </w:p>
        </w:tc>
      </w:tr>
      <w:tr w14:paraId="7002AA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34A58E9">
            <w:pPr>
              <w:spacing w:before="0" w:after="0" w:line="240" w:lineRule="exact"/>
              <w:jc w:val="left"/>
              <w:rPr>
                <w:rFonts w:ascii="宋体" w:hAnsi="宋体" w:eastAsia="宋体" w:cs="宋体"/>
                <w:sz w:val="18"/>
                <w:szCs w:val="18"/>
              </w:rPr>
            </w:pPr>
            <w:r>
              <w:rPr>
                <w:rFonts w:ascii="宋体" w:hAnsi="宋体" w:eastAsia="宋体" w:cs="宋体"/>
                <w:sz w:val="18"/>
                <w:szCs w:val="18"/>
              </w:rPr>
              <w:t>股权收购款</w:t>
            </w:r>
          </w:p>
        </w:tc>
        <w:tc>
          <w:tcPr>
            <w:tcW w:w="3213" w:type="dxa"/>
            <w:tcBorders>
              <w:top w:val="single" w:color="auto" w:sz="2" w:space="0"/>
              <w:left w:val="single" w:color="auto" w:sz="2" w:space="0"/>
              <w:bottom w:val="single" w:color="auto" w:sz="2" w:space="0"/>
              <w:right w:val="single" w:color="auto" w:sz="2" w:space="0"/>
            </w:tcBorders>
            <w:vAlign w:val="center"/>
          </w:tcPr>
          <w:p w14:paraId="417099B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3023073">
            <w:pPr>
              <w:spacing w:before="0" w:after="0" w:line="240" w:lineRule="exact"/>
              <w:jc w:val="right"/>
              <w:rPr>
                <w:rFonts w:ascii="宋体" w:hAnsi="宋体" w:eastAsia="宋体" w:cs="宋体"/>
                <w:sz w:val="18"/>
                <w:szCs w:val="18"/>
              </w:rPr>
            </w:pPr>
            <w:r>
              <w:rPr>
                <w:rFonts w:ascii="宋体" w:hAnsi="宋体" w:eastAsia="宋体" w:cs="宋体"/>
                <w:sz w:val="18"/>
                <w:szCs w:val="18"/>
              </w:rPr>
              <w:t>354,454.51</w:t>
            </w:r>
          </w:p>
        </w:tc>
      </w:tr>
      <w:tr w14:paraId="69943F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263F17C">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54A0CAF6">
            <w:pPr>
              <w:spacing w:before="0" w:after="0" w:line="240" w:lineRule="exact"/>
              <w:jc w:val="right"/>
              <w:rPr>
                <w:rFonts w:ascii="宋体" w:hAnsi="宋体" w:eastAsia="宋体" w:cs="宋体"/>
                <w:sz w:val="18"/>
                <w:szCs w:val="18"/>
              </w:rPr>
            </w:pPr>
            <w:r>
              <w:rPr>
                <w:rFonts w:ascii="宋体" w:hAnsi="宋体" w:eastAsia="宋体" w:cs="宋体"/>
                <w:sz w:val="18"/>
                <w:szCs w:val="18"/>
              </w:rPr>
              <w:t>36,520,008.56</w:t>
            </w:r>
          </w:p>
        </w:tc>
        <w:tc>
          <w:tcPr>
            <w:tcW w:w="3213" w:type="dxa"/>
            <w:tcBorders>
              <w:top w:val="single" w:color="auto" w:sz="2" w:space="0"/>
              <w:left w:val="single" w:color="auto" w:sz="2" w:space="0"/>
              <w:bottom w:val="single" w:color="auto" w:sz="2" w:space="0"/>
              <w:right w:val="single" w:color="auto" w:sz="2" w:space="0"/>
            </w:tcBorders>
            <w:vAlign w:val="center"/>
          </w:tcPr>
          <w:p w14:paraId="5DE7B48F">
            <w:pPr>
              <w:spacing w:before="0" w:after="0" w:line="240" w:lineRule="exact"/>
              <w:jc w:val="right"/>
              <w:rPr>
                <w:rFonts w:ascii="宋体" w:hAnsi="宋体" w:eastAsia="宋体" w:cs="宋体"/>
                <w:sz w:val="18"/>
                <w:szCs w:val="18"/>
              </w:rPr>
            </w:pPr>
            <w:r>
              <w:rPr>
                <w:rFonts w:ascii="宋体" w:hAnsi="宋体" w:eastAsia="宋体" w:cs="宋体"/>
                <w:sz w:val="18"/>
                <w:szCs w:val="18"/>
              </w:rPr>
              <w:t>42,619,772.74</w:t>
            </w:r>
          </w:p>
        </w:tc>
      </w:tr>
    </w:tbl>
    <w:p w14:paraId="3D43411D">
      <w:pPr>
        <w:keepNext/>
        <w:keepLines/>
        <w:spacing w:before="300" w:after="300" w:line="280" w:lineRule="exact"/>
        <w:jc w:val="left"/>
        <w:outlineLvl w:val="4"/>
        <w:rPr>
          <w:rFonts w:ascii="宋体" w:hAnsi="宋体" w:eastAsia="宋体" w:cs="宋体"/>
          <w:b/>
          <w:bCs/>
          <w:sz w:val="18"/>
          <w:szCs w:val="18"/>
        </w:rPr>
      </w:pPr>
      <w:bookmarkStart w:id="376" w:name="_Toc989259"/>
      <w:r>
        <w:rPr>
          <w:rFonts w:ascii="宋体" w:hAnsi="宋体" w:eastAsia="宋体" w:cs="宋体"/>
          <w:b/>
          <w:bCs/>
          <w:sz w:val="18"/>
          <w:szCs w:val="18"/>
        </w:rPr>
        <w:t>2） 账龄超过1年或逾期的重要其他应付款</w:t>
      </w:r>
      <w:bookmarkEnd w:id="376"/>
    </w:p>
    <w:p w14:paraId="0390047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4D93A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C96F9F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4DBFCEF">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A891D36">
            <w:pPr>
              <w:spacing w:before="40" w:after="40" w:line="240" w:lineRule="exact"/>
              <w:jc w:val="center"/>
              <w:rPr>
                <w:rFonts w:ascii="宋体" w:hAnsi="宋体" w:eastAsia="宋体" w:cs="宋体"/>
                <w:sz w:val="18"/>
                <w:szCs w:val="18"/>
              </w:rPr>
            </w:pPr>
            <w:r>
              <w:rPr>
                <w:rFonts w:ascii="宋体" w:hAnsi="宋体" w:eastAsia="宋体" w:cs="宋体"/>
                <w:sz w:val="18"/>
                <w:szCs w:val="18"/>
              </w:rPr>
              <w:t>未偿还或结转的原因</w:t>
            </w:r>
          </w:p>
        </w:tc>
      </w:tr>
    </w:tbl>
    <w:p w14:paraId="417A5E36">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6035D27">
      <w:pPr>
        <w:keepNext/>
        <w:keepLines/>
        <w:spacing w:before="300" w:after="300" w:line="280" w:lineRule="exact"/>
        <w:jc w:val="left"/>
        <w:outlineLvl w:val="2"/>
        <w:rPr>
          <w:rFonts w:ascii="宋体" w:hAnsi="宋体" w:eastAsia="宋体" w:cs="宋体"/>
          <w:b/>
          <w:bCs/>
          <w:sz w:val="21"/>
          <w:szCs w:val="21"/>
        </w:rPr>
      </w:pPr>
      <w:bookmarkStart w:id="377" w:name="_Toc989260"/>
      <w:r>
        <w:rPr>
          <w:rFonts w:ascii="宋体" w:hAnsi="宋体" w:eastAsia="宋体" w:cs="宋体"/>
          <w:b/>
          <w:bCs/>
          <w:sz w:val="21"/>
          <w:szCs w:val="21"/>
        </w:rPr>
        <w:t>38、预收款项</w:t>
      </w:r>
      <w:bookmarkEnd w:id="377"/>
    </w:p>
    <w:p w14:paraId="7D581CA9">
      <w:pPr>
        <w:keepNext/>
        <w:keepLines/>
        <w:spacing w:before="300" w:after="300" w:line="280" w:lineRule="exact"/>
        <w:jc w:val="left"/>
        <w:outlineLvl w:val="3"/>
        <w:rPr>
          <w:rFonts w:ascii="宋体" w:hAnsi="宋体" w:eastAsia="宋体" w:cs="宋体"/>
          <w:b/>
          <w:bCs/>
          <w:sz w:val="18"/>
          <w:szCs w:val="18"/>
        </w:rPr>
      </w:pPr>
      <w:bookmarkStart w:id="378" w:name="_Toc989261"/>
      <w:r>
        <w:rPr>
          <w:rFonts w:ascii="宋体" w:hAnsi="宋体" w:eastAsia="宋体" w:cs="宋体"/>
          <w:b/>
          <w:bCs/>
          <w:sz w:val="18"/>
          <w:szCs w:val="18"/>
        </w:rPr>
        <w:t>（1） 预收款项列示</w:t>
      </w:r>
      <w:bookmarkEnd w:id="378"/>
    </w:p>
    <w:p w14:paraId="3BD68AB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15E34C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54129B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ACDA9AB">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C60E317">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2AEC5B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25CDFFA">
            <w:pPr>
              <w:spacing w:before="0" w:after="0" w:line="240" w:lineRule="exact"/>
              <w:jc w:val="left"/>
              <w:rPr>
                <w:rFonts w:ascii="宋体" w:hAnsi="宋体" w:eastAsia="宋体" w:cs="宋体"/>
                <w:sz w:val="18"/>
                <w:szCs w:val="18"/>
              </w:rPr>
            </w:pPr>
            <w:r>
              <w:rPr>
                <w:rFonts w:ascii="宋体" w:hAnsi="宋体" w:eastAsia="宋体" w:cs="宋体"/>
                <w:sz w:val="18"/>
                <w:szCs w:val="18"/>
              </w:rPr>
              <w:t>预收房租款</w:t>
            </w:r>
          </w:p>
        </w:tc>
        <w:tc>
          <w:tcPr>
            <w:tcW w:w="3213" w:type="dxa"/>
            <w:tcBorders>
              <w:top w:val="single" w:color="auto" w:sz="2" w:space="0"/>
              <w:left w:val="single" w:color="auto" w:sz="2" w:space="0"/>
              <w:bottom w:val="single" w:color="auto" w:sz="2" w:space="0"/>
              <w:right w:val="single" w:color="auto" w:sz="2" w:space="0"/>
            </w:tcBorders>
            <w:vAlign w:val="center"/>
          </w:tcPr>
          <w:p w14:paraId="316E8F63">
            <w:pPr>
              <w:spacing w:before="0" w:after="0" w:line="240" w:lineRule="exact"/>
              <w:jc w:val="right"/>
              <w:rPr>
                <w:rFonts w:ascii="宋体" w:hAnsi="宋体" w:eastAsia="宋体" w:cs="宋体"/>
                <w:sz w:val="18"/>
                <w:szCs w:val="18"/>
              </w:rPr>
            </w:pPr>
            <w:r>
              <w:rPr>
                <w:rFonts w:ascii="宋体" w:hAnsi="宋体" w:eastAsia="宋体" w:cs="宋体"/>
                <w:sz w:val="18"/>
                <w:szCs w:val="18"/>
              </w:rPr>
              <w:t>5,779.82</w:t>
            </w:r>
          </w:p>
        </w:tc>
        <w:tc>
          <w:tcPr>
            <w:tcW w:w="3213" w:type="dxa"/>
            <w:tcBorders>
              <w:top w:val="single" w:color="auto" w:sz="2" w:space="0"/>
              <w:left w:val="single" w:color="auto" w:sz="2" w:space="0"/>
              <w:bottom w:val="single" w:color="auto" w:sz="2" w:space="0"/>
              <w:right w:val="single" w:color="auto" w:sz="2" w:space="0"/>
            </w:tcBorders>
            <w:vAlign w:val="center"/>
          </w:tcPr>
          <w:p w14:paraId="3BBC4869">
            <w:pPr>
              <w:spacing w:before="0" w:after="0" w:line="240" w:lineRule="exact"/>
              <w:jc w:val="right"/>
              <w:rPr>
                <w:rFonts w:ascii="宋体" w:hAnsi="宋体" w:eastAsia="宋体" w:cs="宋体"/>
                <w:sz w:val="18"/>
                <w:szCs w:val="18"/>
              </w:rPr>
            </w:pPr>
            <w:r>
              <w:rPr>
                <w:rFonts w:ascii="宋体" w:hAnsi="宋体" w:eastAsia="宋体" w:cs="宋体"/>
                <w:sz w:val="18"/>
                <w:szCs w:val="18"/>
              </w:rPr>
              <w:t>5,779.82</w:t>
            </w:r>
          </w:p>
        </w:tc>
      </w:tr>
      <w:tr w14:paraId="6F2A36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24AEE9D">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2E8D9EED">
            <w:pPr>
              <w:spacing w:before="0" w:after="0" w:line="240" w:lineRule="exact"/>
              <w:jc w:val="right"/>
              <w:rPr>
                <w:rFonts w:ascii="宋体" w:hAnsi="宋体" w:eastAsia="宋体" w:cs="宋体"/>
                <w:sz w:val="18"/>
                <w:szCs w:val="18"/>
              </w:rPr>
            </w:pPr>
            <w:r>
              <w:rPr>
                <w:rFonts w:ascii="宋体" w:hAnsi="宋体" w:eastAsia="宋体" w:cs="宋体"/>
                <w:sz w:val="18"/>
                <w:szCs w:val="18"/>
              </w:rPr>
              <w:t>5,779.82</w:t>
            </w:r>
          </w:p>
        </w:tc>
        <w:tc>
          <w:tcPr>
            <w:tcW w:w="3213" w:type="dxa"/>
            <w:tcBorders>
              <w:top w:val="single" w:color="auto" w:sz="2" w:space="0"/>
              <w:left w:val="single" w:color="auto" w:sz="2" w:space="0"/>
              <w:bottom w:val="single" w:color="auto" w:sz="2" w:space="0"/>
              <w:right w:val="single" w:color="auto" w:sz="2" w:space="0"/>
            </w:tcBorders>
            <w:vAlign w:val="center"/>
          </w:tcPr>
          <w:p w14:paraId="29E2C45B">
            <w:pPr>
              <w:spacing w:before="0" w:after="0" w:line="240" w:lineRule="exact"/>
              <w:jc w:val="right"/>
              <w:rPr>
                <w:rFonts w:ascii="宋体" w:hAnsi="宋体" w:eastAsia="宋体" w:cs="宋体"/>
                <w:sz w:val="18"/>
                <w:szCs w:val="18"/>
              </w:rPr>
            </w:pPr>
            <w:r>
              <w:rPr>
                <w:rFonts w:ascii="宋体" w:hAnsi="宋体" w:eastAsia="宋体" w:cs="宋体"/>
                <w:sz w:val="18"/>
                <w:szCs w:val="18"/>
              </w:rPr>
              <w:t>5,779.82</w:t>
            </w:r>
          </w:p>
        </w:tc>
      </w:tr>
    </w:tbl>
    <w:p w14:paraId="0AABC5CF">
      <w:pPr>
        <w:keepNext/>
        <w:keepLines/>
        <w:spacing w:before="300" w:after="300" w:line="280" w:lineRule="exact"/>
        <w:jc w:val="left"/>
        <w:outlineLvl w:val="3"/>
        <w:rPr>
          <w:rFonts w:ascii="宋体" w:hAnsi="宋体" w:eastAsia="宋体" w:cs="宋体"/>
          <w:b/>
          <w:bCs/>
          <w:sz w:val="18"/>
          <w:szCs w:val="18"/>
        </w:rPr>
      </w:pPr>
      <w:bookmarkStart w:id="379" w:name="_Toc989262"/>
      <w:r>
        <w:rPr>
          <w:rFonts w:ascii="宋体" w:hAnsi="宋体" w:eastAsia="宋体" w:cs="宋体"/>
          <w:b/>
          <w:bCs/>
          <w:sz w:val="18"/>
          <w:szCs w:val="18"/>
        </w:rPr>
        <w:t>（2） 账龄超过1年或逾期的重要预收款项</w:t>
      </w:r>
      <w:bookmarkEnd w:id="379"/>
    </w:p>
    <w:p w14:paraId="7656295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42C0D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FAEA58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4A638CE">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A6325FE">
            <w:pPr>
              <w:spacing w:before="40" w:after="40" w:line="240" w:lineRule="exact"/>
              <w:jc w:val="center"/>
              <w:rPr>
                <w:rFonts w:ascii="宋体" w:hAnsi="宋体" w:eastAsia="宋体" w:cs="宋体"/>
                <w:sz w:val="18"/>
                <w:szCs w:val="18"/>
              </w:rPr>
            </w:pPr>
            <w:r>
              <w:rPr>
                <w:rFonts w:ascii="宋体" w:hAnsi="宋体" w:eastAsia="宋体" w:cs="宋体"/>
                <w:sz w:val="18"/>
                <w:szCs w:val="18"/>
              </w:rPr>
              <w:t>未偿还或结转的原因</w:t>
            </w:r>
          </w:p>
        </w:tc>
      </w:tr>
    </w:tbl>
    <w:p w14:paraId="686D09E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3B7157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6225CC5">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B112373">
            <w:pPr>
              <w:spacing w:before="40" w:after="40" w:line="240" w:lineRule="exact"/>
              <w:jc w:val="center"/>
              <w:rPr>
                <w:rFonts w:ascii="宋体" w:hAnsi="宋体" w:eastAsia="宋体" w:cs="宋体"/>
                <w:sz w:val="18"/>
                <w:szCs w:val="18"/>
              </w:rPr>
            </w:pPr>
            <w:r>
              <w:rPr>
                <w:rFonts w:ascii="宋体" w:hAnsi="宋体" w:eastAsia="宋体" w:cs="宋体"/>
                <w:sz w:val="18"/>
                <w:szCs w:val="18"/>
              </w:rPr>
              <w:t>变动金额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E5BD56E">
            <w:pPr>
              <w:spacing w:before="40" w:after="40" w:line="240" w:lineRule="exact"/>
              <w:jc w:val="center"/>
              <w:rPr>
                <w:rFonts w:ascii="宋体" w:hAnsi="宋体" w:eastAsia="宋体" w:cs="宋体"/>
                <w:sz w:val="18"/>
                <w:szCs w:val="18"/>
              </w:rPr>
            </w:pPr>
            <w:r>
              <w:rPr>
                <w:rFonts w:ascii="宋体" w:hAnsi="宋体" w:eastAsia="宋体" w:cs="宋体"/>
                <w:sz w:val="18"/>
                <w:szCs w:val="18"/>
              </w:rPr>
              <w:t>变动原因</w:t>
            </w:r>
          </w:p>
        </w:tc>
      </w:tr>
    </w:tbl>
    <w:p w14:paraId="1722412A">
      <w:pPr>
        <w:keepNext/>
        <w:keepLines/>
        <w:spacing w:before="300" w:after="300" w:line="280" w:lineRule="exact"/>
        <w:jc w:val="left"/>
        <w:outlineLvl w:val="2"/>
        <w:rPr>
          <w:rFonts w:ascii="宋体" w:hAnsi="宋体" w:eastAsia="宋体" w:cs="宋体"/>
          <w:b/>
          <w:bCs/>
          <w:sz w:val="21"/>
          <w:szCs w:val="21"/>
        </w:rPr>
      </w:pPr>
      <w:bookmarkStart w:id="380" w:name="_Toc989263"/>
      <w:r>
        <w:rPr>
          <w:rFonts w:ascii="宋体" w:hAnsi="宋体" w:eastAsia="宋体" w:cs="宋体"/>
          <w:b/>
          <w:bCs/>
          <w:sz w:val="21"/>
          <w:szCs w:val="21"/>
        </w:rPr>
        <w:t>39、合同负债</w:t>
      </w:r>
      <w:bookmarkEnd w:id="380"/>
    </w:p>
    <w:p w14:paraId="4556836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7C55A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00B97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FB0EED">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3E804D8">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84FDE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1B2449F">
            <w:pPr>
              <w:spacing w:before="0" w:after="0" w:line="240" w:lineRule="exact"/>
              <w:jc w:val="left"/>
              <w:rPr>
                <w:rFonts w:ascii="宋体" w:hAnsi="宋体" w:eastAsia="宋体" w:cs="宋体"/>
                <w:sz w:val="18"/>
                <w:szCs w:val="18"/>
              </w:rPr>
            </w:pPr>
            <w:r>
              <w:rPr>
                <w:rFonts w:ascii="宋体" w:hAnsi="宋体" w:eastAsia="宋体" w:cs="宋体"/>
                <w:sz w:val="18"/>
                <w:szCs w:val="18"/>
              </w:rPr>
              <w:t>待执行销售合同</w:t>
            </w:r>
          </w:p>
        </w:tc>
        <w:tc>
          <w:tcPr>
            <w:tcW w:w="3213" w:type="dxa"/>
            <w:tcBorders>
              <w:top w:val="single" w:color="auto" w:sz="2" w:space="0"/>
              <w:left w:val="single" w:color="auto" w:sz="2" w:space="0"/>
              <w:bottom w:val="single" w:color="auto" w:sz="2" w:space="0"/>
              <w:right w:val="single" w:color="auto" w:sz="2" w:space="0"/>
            </w:tcBorders>
            <w:vAlign w:val="center"/>
          </w:tcPr>
          <w:p w14:paraId="2CB7306B">
            <w:pPr>
              <w:spacing w:before="0" w:after="0" w:line="240" w:lineRule="exact"/>
              <w:jc w:val="right"/>
              <w:rPr>
                <w:rFonts w:ascii="宋体" w:hAnsi="宋体" w:eastAsia="宋体" w:cs="宋体"/>
                <w:sz w:val="18"/>
                <w:szCs w:val="18"/>
              </w:rPr>
            </w:pPr>
            <w:r>
              <w:rPr>
                <w:rFonts w:ascii="宋体" w:hAnsi="宋体" w:eastAsia="宋体" w:cs="宋体"/>
                <w:sz w:val="18"/>
                <w:szCs w:val="18"/>
              </w:rPr>
              <w:t>3,566,027.15</w:t>
            </w:r>
          </w:p>
        </w:tc>
        <w:tc>
          <w:tcPr>
            <w:tcW w:w="3213" w:type="dxa"/>
            <w:tcBorders>
              <w:top w:val="single" w:color="auto" w:sz="2" w:space="0"/>
              <w:left w:val="single" w:color="auto" w:sz="2" w:space="0"/>
              <w:bottom w:val="single" w:color="auto" w:sz="2" w:space="0"/>
              <w:right w:val="single" w:color="auto" w:sz="2" w:space="0"/>
            </w:tcBorders>
            <w:vAlign w:val="center"/>
          </w:tcPr>
          <w:p w14:paraId="76B4B3CA">
            <w:pPr>
              <w:spacing w:before="0" w:after="0" w:line="240" w:lineRule="exact"/>
              <w:jc w:val="right"/>
              <w:rPr>
                <w:rFonts w:ascii="宋体" w:hAnsi="宋体" w:eastAsia="宋体" w:cs="宋体"/>
                <w:sz w:val="18"/>
                <w:szCs w:val="18"/>
              </w:rPr>
            </w:pPr>
            <w:r>
              <w:rPr>
                <w:rFonts w:ascii="宋体" w:hAnsi="宋体" w:eastAsia="宋体" w:cs="宋体"/>
                <w:sz w:val="18"/>
                <w:szCs w:val="18"/>
              </w:rPr>
              <w:t>11,907,797.71</w:t>
            </w:r>
          </w:p>
        </w:tc>
      </w:tr>
      <w:tr w14:paraId="110289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8ECC1D3">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27C6E844">
            <w:pPr>
              <w:spacing w:before="0" w:after="0" w:line="240" w:lineRule="exact"/>
              <w:jc w:val="right"/>
              <w:rPr>
                <w:rFonts w:ascii="宋体" w:hAnsi="宋体" w:eastAsia="宋体" w:cs="宋体"/>
                <w:sz w:val="18"/>
                <w:szCs w:val="18"/>
              </w:rPr>
            </w:pPr>
            <w:r>
              <w:rPr>
                <w:rFonts w:ascii="宋体" w:hAnsi="宋体" w:eastAsia="宋体" w:cs="宋体"/>
                <w:sz w:val="18"/>
                <w:szCs w:val="18"/>
              </w:rPr>
              <w:t>3,566,027.15</w:t>
            </w:r>
          </w:p>
        </w:tc>
        <w:tc>
          <w:tcPr>
            <w:tcW w:w="3213" w:type="dxa"/>
            <w:tcBorders>
              <w:top w:val="single" w:color="auto" w:sz="2" w:space="0"/>
              <w:left w:val="single" w:color="auto" w:sz="2" w:space="0"/>
              <w:bottom w:val="single" w:color="auto" w:sz="2" w:space="0"/>
              <w:right w:val="single" w:color="auto" w:sz="2" w:space="0"/>
            </w:tcBorders>
            <w:vAlign w:val="center"/>
          </w:tcPr>
          <w:p w14:paraId="5BA3478C">
            <w:pPr>
              <w:spacing w:before="0" w:after="0" w:line="240" w:lineRule="exact"/>
              <w:jc w:val="right"/>
              <w:rPr>
                <w:rFonts w:ascii="宋体" w:hAnsi="宋体" w:eastAsia="宋体" w:cs="宋体"/>
                <w:sz w:val="18"/>
                <w:szCs w:val="18"/>
              </w:rPr>
            </w:pPr>
            <w:r>
              <w:rPr>
                <w:rFonts w:ascii="宋体" w:hAnsi="宋体" w:eastAsia="宋体" w:cs="宋体"/>
                <w:sz w:val="18"/>
                <w:szCs w:val="18"/>
              </w:rPr>
              <w:t>11,907,797.71</w:t>
            </w:r>
          </w:p>
        </w:tc>
      </w:tr>
    </w:tbl>
    <w:p w14:paraId="0885E908">
      <w:pPr>
        <w:spacing w:before="0" w:after="0" w:line="240" w:lineRule="exact"/>
        <w:jc w:val="left"/>
        <w:rPr>
          <w:rFonts w:ascii="宋体" w:hAnsi="宋体" w:eastAsia="宋体" w:cs="宋体"/>
          <w:sz w:val="18"/>
          <w:szCs w:val="18"/>
        </w:rPr>
      </w:pPr>
      <w:r>
        <w:rPr>
          <w:rFonts w:ascii="宋体" w:hAnsi="宋体" w:eastAsia="宋体" w:cs="宋体"/>
          <w:sz w:val="18"/>
          <w:szCs w:val="18"/>
        </w:rPr>
        <w:t>账龄超过1年的重要合同负债</w:t>
      </w:r>
    </w:p>
    <w:p w14:paraId="6863599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9D914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518D1D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A8F343F">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B1AD34F">
            <w:pPr>
              <w:spacing w:before="40" w:after="40" w:line="240" w:lineRule="exact"/>
              <w:jc w:val="center"/>
              <w:rPr>
                <w:rFonts w:ascii="宋体" w:hAnsi="宋体" w:eastAsia="宋体" w:cs="宋体"/>
                <w:sz w:val="18"/>
                <w:szCs w:val="18"/>
              </w:rPr>
            </w:pPr>
            <w:r>
              <w:rPr>
                <w:rFonts w:ascii="宋体" w:hAnsi="宋体" w:eastAsia="宋体" w:cs="宋体"/>
                <w:sz w:val="18"/>
                <w:szCs w:val="18"/>
              </w:rPr>
              <w:t>未偿还或结转的原因</w:t>
            </w:r>
          </w:p>
        </w:tc>
      </w:tr>
    </w:tbl>
    <w:p w14:paraId="002A154B">
      <w:pPr>
        <w:spacing w:before="0" w:after="0" w:line="240" w:lineRule="exact"/>
        <w:jc w:val="left"/>
        <w:rPr>
          <w:rFonts w:ascii="宋体" w:hAnsi="宋体" w:eastAsia="宋体" w:cs="宋体"/>
          <w:sz w:val="18"/>
          <w:szCs w:val="18"/>
        </w:rPr>
      </w:pPr>
      <w:r>
        <w:rPr>
          <w:rFonts w:ascii="宋体" w:hAnsi="宋体" w:eastAsia="宋体" w:cs="宋体"/>
          <w:sz w:val="18"/>
          <w:szCs w:val="18"/>
        </w:rPr>
        <w:t>报告期内账面价值发生重大变动的金额和原因</w:t>
      </w:r>
    </w:p>
    <w:p w14:paraId="175BAEB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88C0C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C47EFD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F58D4CA">
            <w:pPr>
              <w:spacing w:before="40" w:after="40" w:line="240" w:lineRule="exact"/>
              <w:jc w:val="center"/>
              <w:rPr>
                <w:rFonts w:ascii="宋体" w:hAnsi="宋体" w:eastAsia="宋体" w:cs="宋体"/>
                <w:sz w:val="18"/>
                <w:szCs w:val="18"/>
              </w:rPr>
            </w:pPr>
            <w:r>
              <w:rPr>
                <w:rFonts w:ascii="宋体" w:hAnsi="宋体" w:eastAsia="宋体" w:cs="宋体"/>
                <w:sz w:val="18"/>
                <w:szCs w:val="18"/>
              </w:rPr>
              <w:t>变动金额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6D14CF8">
            <w:pPr>
              <w:spacing w:before="40" w:after="40" w:line="240" w:lineRule="exact"/>
              <w:jc w:val="center"/>
              <w:rPr>
                <w:rFonts w:ascii="宋体" w:hAnsi="宋体" w:eastAsia="宋体" w:cs="宋体"/>
                <w:sz w:val="18"/>
                <w:szCs w:val="18"/>
              </w:rPr>
            </w:pPr>
            <w:r>
              <w:rPr>
                <w:rFonts w:ascii="宋体" w:hAnsi="宋体" w:eastAsia="宋体" w:cs="宋体"/>
                <w:sz w:val="18"/>
                <w:szCs w:val="18"/>
              </w:rPr>
              <w:t>变动原因</w:t>
            </w:r>
          </w:p>
        </w:tc>
      </w:tr>
    </w:tbl>
    <w:p w14:paraId="1CC11E8D">
      <w:pPr>
        <w:keepNext/>
        <w:keepLines/>
        <w:spacing w:before="300" w:after="300" w:line="280" w:lineRule="exact"/>
        <w:jc w:val="left"/>
        <w:outlineLvl w:val="2"/>
        <w:rPr>
          <w:rFonts w:ascii="宋体" w:hAnsi="宋体" w:eastAsia="宋体" w:cs="宋体"/>
          <w:b/>
          <w:bCs/>
          <w:sz w:val="21"/>
          <w:szCs w:val="21"/>
        </w:rPr>
      </w:pPr>
      <w:bookmarkStart w:id="381" w:name="_Toc989264"/>
      <w:r>
        <w:rPr>
          <w:rFonts w:ascii="宋体" w:hAnsi="宋体" w:eastAsia="宋体" w:cs="宋体"/>
          <w:b/>
          <w:bCs/>
          <w:sz w:val="21"/>
          <w:szCs w:val="21"/>
        </w:rPr>
        <w:t>40、应付职工薪酬</w:t>
      </w:r>
      <w:bookmarkEnd w:id="381"/>
    </w:p>
    <w:p w14:paraId="5FB27521">
      <w:pPr>
        <w:keepNext/>
        <w:keepLines/>
        <w:spacing w:before="300" w:after="300" w:line="280" w:lineRule="exact"/>
        <w:jc w:val="left"/>
        <w:outlineLvl w:val="3"/>
        <w:rPr>
          <w:rFonts w:ascii="宋体" w:hAnsi="宋体" w:eastAsia="宋体" w:cs="宋体"/>
          <w:b/>
          <w:bCs/>
          <w:sz w:val="21"/>
          <w:szCs w:val="21"/>
        </w:rPr>
      </w:pPr>
      <w:bookmarkStart w:id="382" w:name="_Toc989265"/>
      <w:r>
        <w:rPr>
          <w:rFonts w:ascii="宋体" w:hAnsi="宋体" w:eastAsia="宋体" w:cs="宋体"/>
          <w:b/>
          <w:bCs/>
          <w:sz w:val="21"/>
          <w:szCs w:val="21"/>
        </w:rPr>
        <w:t>（1） 应付职工薪酬列示</w:t>
      </w:r>
      <w:bookmarkEnd w:id="382"/>
    </w:p>
    <w:p w14:paraId="22216AB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692FED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4932CF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3E1179D">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0AE1FE4">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DFEAEB4">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D866787">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321CE4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9BE2C73">
            <w:pPr>
              <w:spacing w:before="40" w:after="40" w:line="240" w:lineRule="exact"/>
              <w:jc w:val="left"/>
              <w:rPr>
                <w:rFonts w:ascii="宋体" w:hAnsi="宋体" w:eastAsia="宋体" w:cs="宋体"/>
                <w:sz w:val="18"/>
                <w:szCs w:val="18"/>
              </w:rPr>
            </w:pPr>
            <w:r>
              <w:rPr>
                <w:rFonts w:ascii="宋体" w:hAnsi="宋体" w:eastAsia="宋体" w:cs="宋体"/>
                <w:sz w:val="18"/>
                <w:szCs w:val="18"/>
              </w:rPr>
              <w:t>一、短期薪酬</w:t>
            </w:r>
          </w:p>
        </w:tc>
        <w:tc>
          <w:tcPr>
            <w:tcW w:w="1928" w:type="dxa"/>
            <w:tcBorders>
              <w:top w:val="single" w:color="auto" w:sz="2" w:space="0"/>
              <w:left w:val="single" w:color="auto" w:sz="2" w:space="0"/>
              <w:bottom w:val="single" w:color="auto" w:sz="2" w:space="0"/>
              <w:right w:val="single" w:color="auto" w:sz="2" w:space="0"/>
            </w:tcBorders>
            <w:vAlign w:val="center"/>
          </w:tcPr>
          <w:p w14:paraId="00161386">
            <w:pPr>
              <w:spacing w:before="0" w:after="0" w:line="240" w:lineRule="exact"/>
              <w:jc w:val="right"/>
              <w:rPr>
                <w:rFonts w:ascii="宋体" w:hAnsi="宋体" w:eastAsia="宋体" w:cs="宋体"/>
                <w:sz w:val="18"/>
                <w:szCs w:val="18"/>
              </w:rPr>
            </w:pPr>
            <w:r>
              <w:rPr>
                <w:rFonts w:ascii="宋体" w:hAnsi="宋体" w:eastAsia="宋体" w:cs="宋体"/>
                <w:sz w:val="18"/>
                <w:szCs w:val="18"/>
              </w:rPr>
              <w:t>14,924,102.26</w:t>
            </w:r>
          </w:p>
        </w:tc>
        <w:tc>
          <w:tcPr>
            <w:tcW w:w="1928" w:type="dxa"/>
            <w:tcBorders>
              <w:top w:val="single" w:color="auto" w:sz="2" w:space="0"/>
              <w:left w:val="single" w:color="auto" w:sz="2" w:space="0"/>
              <w:bottom w:val="single" w:color="auto" w:sz="2" w:space="0"/>
              <w:right w:val="single" w:color="auto" w:sz="2" w:space="0"/>
            </w:tcBorders>
            <w:vAlign w:val="center"/>
          </w:tcPr>
          <w:p w14:paraId="49A32038">
            <w:pPr>
              <w:spacing w:before="0" w:after="0" w:line="240" w:lineRule="exact"/>
              <w:jc w:val="right"/>
              <w:rPr>
                <w:rFonts w:ascii="宋体" w:hAnsi="宋体" w:eastAsia="宋体" w:cs="宋体"/>
                <w:sz w:val="18"/>
                <w:szCs w:val="18"/>
              </w:rPr>
            </w:pPr>
            <w:r>
              <w:rPr>
                <w:rFonts w:ascii="宋体" w:hAnsi="宋体" w:eastAsia="宋体" w:cs="宋体"/>
                <w:sz w:val="18"/>
                <w:szCs w:val="18"/>
              </w:rPr>
              <w:t>137,108,525.81</w:t>
            </w:r>
          </w:p>
        </w:tc>
        <w:tc>
          <w:tcPr>
            <w:tcW w:w="1928" w:type="dxa"/>
            <w:tcBorders>
              <w:top w:val="single" w:color="auto" w:sz="2" w:space="0"/>
              <w:left w:val="single" w:color="auto" w:sz="2" w:space="0"/>
              <w:bottom w:val="single" w:color="auto" w:sz="2" w:space="0"/>
              <w:right w:val="single" w:color="auto" w:sz="2" w:space="0"/>
            </w:tcBorders>
            <w:vAlign w:val="center"/>
          </w:tcPr>
          <w:p w14:paraId="0BD68283">
            <w:pPr>
              <w:spacing w:before="0" w:after="0" w:line="240" w:lineRule="exact"/>
              <w:jc w:val="right"/>
              <w:rPr>
                <w:rFonts w:ascii="宋体" w:hAnsi="宋体" w:eastAsia="宋体" w:cs="宋体"/>
                <w:sz w:val="18"/>
                <w:szCs w:val="18"/>
              </w:rPr>
            </w:pPr>
            <w:r>
              <w:rPr>
                <w:rFonts w:ascii="宋体" w:hAnsi="宋体" w:eastAsia="宋体" w:cs="宋体"/>
                <w:sz w:val="18"/>
                <w:szCs w:val="18"/>
              </w:rPr>
              <w:t>140,415,319.24</w:t>
            </w:r>
          </w:p>
        </w:tc>
        <w:tc>
          <w:tcPr>
            <w:tcW w:w="1928" w:type="dxa"/>
            <w:tcBorders>
              <w:top w:val="single" w:color="auto" w:sz="2" w:space="0"/>
              <w:left w:val="single" w:color="auto" w:sz="2" w:space="0"/>
              <w:bottom w:val="single" w:color="auto" w:sz="2" w:space="0"/>
              <w:right w:val="single" w:color="auto" w:sz="2" w:space="0"/>
            </w:tcBorders>
            <w:vAlign w:val="center"/>
          </w:tcPr>
          <w:p w14:paraId="6F042B88">
            <w:pPr>
              <w:spacing w:before="0" w:after="0" w:line="240" w:lineRule="exact"/>
              <w:jc w:val="right"/>
              <w:rPr>
                <w:rFonts w:ascii="宋体" w:hAnsi="宋体" w:eastAsia="宋体" w:cs="宋体"/>
                <w:sz w:val="18"/>
                <w:szCs w:val="18"/>
              </w:rPr>
            </w:pPr>
            <w:r>
              <w:rPr>
                <w:rFonts w:ascii="宋体" w:hAnsi="宋体" w:eastAsia="宋体" w:cs="宋体"/>
                <w:sz w:val="18"/>
                <w:szCs w:val="18"/>
              </w:rPr>
              <w:t>11,617,308.83</w:t>
            </w:r>
          </w:p>
        </w:tc>
      </w:tr>
      <w:tr w14:paraId="34EDB9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9C94E7B">
            <w:pPr>
              <w:spacing w:before="40" w:after="40" w:line="240" w:lineRule="exact"/>
              <w:jc w:val="left"/>
              <w:rPr>
                <w:rFonts w:ascii="宋体" w:hAnsi="宋体" w:eastAsia="宋体" w:cs="宋体"/>
                <w:sz w:val="18"/>
                <w:szCs w:val="18"/>
              </w:rPr>
            </w:pPr>
            <w:r>
              <w:rPr>
                <w:rFonts w:ascii="宋体" w:hAnsi="宋体" w:eastAsia="宋体" w:cs="宋体"/>
                <w:sz w:val="18"/>
                <w:szCs w:val="18"/>
              </w:rPr>
              <w:t>二、离职后福利-设定提存计划</w:t>
            </w:r>
          </w:p>
        </w:tc>
        <w:tc>
          <w:tcPr>
            <w:tcW w:w="1928" w:type="dxa"/>
            <w:tcBorders>
              <w:top w:val="single" w:color="auto" w:sz="2" w:space="0"/>
              <w:left w:val="single" w:color="auto" w:sz="2" w:space="0"/>
              <w:bottom w:val="single" w:color="auto" w:sz="2" w:space="0"/>
              <w:right w:val="single" w:color="auto" w:sz="2" w:space="0"/>
            </w:tcBorders>
            <w:vAlign w:val="center"/>
          </w:tcPr>
          <w:p w14:paraId="68EC0729">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115E95FF">
            <w:pPr>
              <w:spacing w:before="0" w:after="0" w:line="240" w:lineRule="exact"/>
              <w:jc w:val="right"/>
              <w:rPr>
                <w:rFonts w:ascii="宋体" w:hAnsi="宋体" w:eastAsia="宋体" w:cs="宋体"/>
                <w:sz w:val="18"/>
                <w:szCs w:val="18"/>
              </w:rPr>
            </w:pPr>
            <w:r>
              <w:rPr>
                <w:rFonts w:ascii="宋体" w:hAnsi="宋体" w:eastAsia="宋体" w:cs="宋体"/>
                <w:sz w:val="18"/>
                <w:szCs w:val="18"/>
              </w:rPr>
              <w:t>7,832,987.28</w:t>
            </w:r>
          </w:p>
        </w:tc>
        <w:tc>
          <w:tcPr>
            <w:tcW w:w="1928" w:type="dxa"/>
            <w:tcBorders>
              <w:top w:val="single" w:color="auto" w:sz="2" w:space="0"/>
              <w:left w:val="single" w:color="auto" w:sz="2" w:space="0"/>
              <w:bottom w:val="single" w:color="auto" w:sz="2" w:space="0"/>
              <w:right w:val="single" w:color="auto" w:sz="2" w:space="0"/>
            </w:tcBorders>
            <w:vAlign w:val="center"/>
          </w:tcPr>
          <w:p w14:paraId="4D880C99">
            <w:pPr>
              <w:spacing w:before="0" w:after="0" w:line="240" w:lineRule="exact"/>
              <w:jc w:val="right"/>
              <w:rPr>
                <w:rFonts w:ascii="宋体" w:hAnsi="宋体" w:eastAsia="宋体" w:cs="宋体"/>
                <w:sz w:val="18"/>
                <w:szCs w:val="18"/>
              </w:rPr>
            </w:pPr>
            <w:r>
              <w:rPr>
                <w:rFonts w:ascii="宋体" w:hAnsi="宋体" w:eastAsia="宋体" w:cs="宋体"/>
                <w:sz w:val="18"/>
                <w:szCs w:val="18"/>
              </w:rPr>
              <w:t>7,832,987.28</w:t>
            </w:r>
          </w:p>
        </w:tc>
        <w:tc>
          <w:tcPr>
            <w:tcW w:w="1928" w:type="dxa"/>
            <w:tcBorders>
              <w:top w:val="single" w:color="auto" w:sz="2" w:space="0"/>
              <w:left w:val="single" w:color="auto" w:sz="2" w:space="0"/>
              <w:bottom w:val="single" w:color="auto" w:sz="2" w:space="0"/>
              <w:right w:val="single" w:color="auto" w:sz="2" w:space="0"/>
            </w:tcBorders>
            <w:vAlign w:val="center"/>
          </w:tcPr>
          <w:p w14:paraId="681FF093">
            <w:pPr>
              <w:spacing w:before="0" w:after="0" w:line="240" w:lineRule="exact"/>
              <w:jc w:val="right"/>
              <w:rPr>
                <w:rFonts w:ascii="宋体" w:hAnsi="宋体" w:eastAsia="宋体" w:cs="宋体"/>
                <w:sz w:val="18"/>
                <w:szCs w:val="18"/>
              </w:rPr>
            </w:pPr>
          </w:p>
        </w:tc>
      </w:tr>
      <w:tr w14:paraId="5FBDAE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C8A3D88">
            <w:pPr>
              <w:spacing w:before="40" w:after="40" w:line="240" w:lineRule="exact"/>
              <w:jc w:val="left"/>
              <w:rPr>
                <w:rFonts w:ascii="宋体" w:hAnsi="宋体" w:eastAsia="宋体" w:cs="宋体"/>
                <w:sz w:val="18"/>
                <w:szCs w:val="18"/>
              </w:rPr>
            </w:pPr>
            <w:r>
              <w:rPr>
                <w:rFonts w:ascii="宋体" w:hAnsi="宋体" w:eastAsia="宋体" w:cs="宋体"/>
                <w:sz w:val="18"/>
                <w:szCs w:val="18"/>
              </w:rPr>
              <w:t>三、辞退福利</w:t>
            </w:r>
          </w:p>
        </w:tc>
        <w:tc>
          <w:tcPr>
            <w:tcW w:w="1928" w:type="dxa"/>
            <w:tcBorders>
              <w:top w:val="single" w:color="auto" w:sz="2" w:space="0"/>
              <w:left w:val="single" w:color="auto" w:sz="2" w:space="0"/>
              <w:bottom w:val="single" w:color="auto" w:sz="2" w:space="0"/>
              <w:right w:val="single" w:color="auto" w:sz="2" w:space="0"/>
            </w:tcBorders>
            <w:vAlign w:val="center"/>
          </w:tcPr>
          <w:p w14:paraId="2EF5D6BC">
            <w:pPr>
              <w:spacing w:before="0" w:after="0" w:line="240" w:lineRule="exact"/>
              <w:jc w:val="right"/>
              <w:rPr>
                <w:rFonts w:ascii="宋体" w:hAnsi="宋体" w:eastAsia="宋体" w:cs="宋体"/>
                <w:sz w:val="18"/>
                <w:szCs w:val="18"/>
              </w:rPr>
            </w:pPr>
            <w:r>
              <w:rPr>
                <w:rFonts w:ascii="宋体" w:hAnsi="宋体" w:eastAsia="宋体" w:cs="宋体"/>
                <w:sz w:val="18"/>
                <w:szCs w:val="18"/>
              </w:rPr>
              <w:t>835,400.00</w:t>
            </w:r>
          </w:p>
        </w:tc>
        <w:tc>
          <w:tcPr>
            <w:tcW w:w="1928" w:type="dxa"/>
            <w:tcBorders>
              <w:top w:val="single" w:color="auto" w:sz="2" w:space="0"/>
              <w:left w:val="single" w:color="auto" w:sz="2" w:space="0"/>
              <w:bottom w:val="single" w:color="auto" w:sz="2" w:space="0"/>
              <w:right w:val="single" w:color="auto" w:sz="2" w:space="0"/>
            </w:tcBorders>
            <w:vAlign w:val="center"/>
          </w:tcPr>
          <w:p w14:paraId="6678FEEF">
            <w:pPr>
              <w:spacing w:before="0" w:after="0" w:line="240" w:lineRule="exact"/>
              <w:jc w:val="right"/>
              <w:rPr>
                <w:rFonts w:ascii="宋体" w:hAnsi="宋体" w:eastAsia="宋体" w:cs="宋体"/>
                <w:sz w:val="18"/>
                <w:szCs w:val="18"/>
              </w:rPr>
            </w:pPr>
            <w:r>
              <w:rPr>
                <w:rFonts w:ascii="宋体" w:hAnsi="宋体" w:eastAsia="宋体" w:cs="宋体"/>
                <w:sz w:val="18"/>
                <w:szCs w:val="18"/>
              </w:rPr>
              <w:t>2,771,725.79</w:t>
            </w:r>
          </w:p>
        </w:tc>
        <w:tc>
          <w:tcPr>
            <w:tcW w:w="1928" w:type="dxa"/>
            <w:tcBorders>
              <w:top w:val="single" w:color="auto" w:sz="2" w:space="0"/>
              <w:left w:val="single" w:color="auto" w:sz="2" w:space="0"/>
              <w:bottom w:val="single" w:color="auto" w:sz="2" w:space="0"/>
              <w:right w:val="single" w:color="auto" w:sz="2" w:space="0"/>
            </w:tcBorders>
            <w:vAlign w:val="center"/>
          </w:tcPr>
          <w:p w14:paraId="01076A61">
            <w:pPr>
              <w:spacing w:before="0" w:after="0" w:line="240" w:lineRule="exact"/>
              <w:jc w:val="right"/>
              <w:rPr>
                <w:rFonts w:ascii="宋体" w:hAnsi="宋体" w:eastAsia="宋体" w:cs="宋体"/>
                <w:sz w:val="18"/>
                <w:szCs w:val="18"/>
              </w:rPr>
            </w:pPr>
            <w:r>
              <w:rPr>
                <w:rFonts w:ascii="宋体" w:hAnsi="宋体" w:eastAsia="宋体" w:cs="宋体"/>
                <w:sz w:val="18"/>
                <w:szCs w:val="18"/>
              </w:rPr>
              <w:t>3,552,606.79</w:t>
            </w:r>
          </w:p>
        </w:tc>
        <w:tc>
          <w:tcPr>
            <w:tcW w:w="1928" w:type="dxa"/>
            <w:tcBorders>
              <w:top w:val="single" w:color="auto" w:sz="2" w:space="0"/>
              <w:left w:val="single" w:color="auto" w:sz="2" w:space="0"/>
              <w:bottom w:val="single" w:color="auto" w:sz="2" w:space="0"/>
              <w:right w:val="single" w:color="auto" w:sz="2" w:space="0"/>
            </w:tcBorders>
            <w:vAlign w:val="center"/>
          </w:tcPr>
          <w:p w14:paraId="52D04EDD">
            <w:pPr>
              <w:spacing w:before="0" w:after="0" w:line="240" w:lineRule="exact"/>
              <w:jc w:val="right"/>
              <w:rPr>
                <w:rFonts w:ascii="宋体" w:hAnsi="宋体" w:eastAsia="宋体" w:cs="宋体"/>
                <w:sz w:val="18"/>
                <w:szCs w:val="18"/>
              </w:rPr>
            </w:pPr>
            <w:r>
              <w:rPr>
                <w:rFonts w:ascii="宋体" w:hAnsi="宋体" w:eastAsia="宋体" w:cs="宋体"/>
                <w:sz w:val="18"/>
                <w:szCs w:val="18"/>
              </w:rPr>
              <w:t>54,519.00</w:t>
            </w:r>
          </w:p>
        </w:tc>
      </w:tr>
      <w:tr w14:paraId="171657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2AEDF8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14:paraId="31FF3767">
            <w:pPr>
              <w:spacing w:before="0" w:after="0" w:line="240" w:lineRule="exact"/>
              <w:jc w:val="right"/>
              <w:rPr>
                <w:rFonts w:ascii="宋体" w:hAnsi="宋体" w:eastAsia="宋体" w:cs="宋体"/>
                <w:sz w:val="18"/>
                <w:szCs w:val="18"/>
              </w:rPr>
            </w:pPr>
            <w:r>
              <w:rPr>
                <w:rFonts w:ascii="宋体" w:hAnsi="宋体" w:eastAsia="宋体" w:cs="宋体"/>
                <w:sz w:val="18"/>
                <w:szCs w:val="18"/>
              </w:rPr>
              <w:t>15,759,502.26</w:t>
            </w:r>
          </w:p>
        </w:tc>
        <w:tc>
          <w:tcPr>
            <w:tcW w:w="1928" w:type="dxa"/>
            <w:tcBorders>
              <w:top w:val="single" w:color="auto" w:sz="2" w:space="0"/>
              <w:left w:val="single" w:color="auto" w:sz="2" w:space="0"/>
              <w:bottom w:val="single" w:color="auto" w:sz="2" w:space="0"/>
              <w:right w:val="single" w:color="auto" w:sz="2" w:space="0"/>
            </w:tcBorders>
            <w:vAlign w:val="center"/>
          </w:tcPr>
          <w:p w14:paraId="490C651D">
            <w:pPr>
              <w:spacing w:before="0" w:after="0" w:line="240" w:lineRule="exact"/>
              <w:jc w:val="right"/>
              <w:rPr>
                <w:rFonts w:ascii="宋体" w:hAnsi="宋体" w:eastAsia="宋体" w:cs="宋体"/>
                <w:sz w:val="18"/>
                <w:szCs w:val="18"/>
              </w:rPr>
            </w:pPr>
            <w:r>
              <w:rPr>
                <w:rFonts w:ascii="宋体" w:hAnsi="宋体" w:eastAsia="宋体" w:cs="宋体"/>
                <w:sz w:val="18"/>
                <w:szCs w:val="18"/>
              </w:rPr>
              <w:t>147,713,238.88</w:t>
            </w:r>
          </w:p>
        </w:tc>
        <w:tc>
          <w:tcPr>
            <w:tcW w:w="1928" w:type="dxa"/>
            <w:tcBorders>
              <w:top w:val="single" w:color="auto" w:sz="2" w:space="0"/>
              <w:left w:val="single" w:color="auto" w:sz="2" w:space="0"/>
              <w:bottom w:val="single" w:color="auto" w:sz="2" w:space="0"/>
              <w:right w:val="single" w:color="auto" w:sz="2" w:space="0"/>
            </w:tcBorders>
            <w:vAlign w:val="center"/>
          </w:tcPr>
          <w:p w14:paraId="620148E8">
            <w:pPr>
              <w:spacing w:before="0" w:after="0" w:line="240" w:lineRule="exact"/>
              <w:jc w:val="right"/>
              <w:rPr>
                <w:rFonts w:ascii="宋体" w:hAnsi="宋体" w:eastAsia="宋体" w:cs="宋体"/>
                <w:sz w:val="18"/>
                <w:szCs w:val="18"/>
              </w:rPr>
            </w:pPr>
            <w:r>
              <w:rPr>
                <w:rFonts w:ascii="宋体" w:hAnsi="宋体" w:eastAsia="宋体" w:cs="宋体"/>
                <w:sz w:val="18"/>
                <w:szCs w:val="18"/>
              </w:rPr>
              <w:t>151,800,913.31</w:t>
            </w:r>
          </w:p>
        </w:tc>
        <w:tc>
          <w:tcPr>
            <w:tcW w:w="1928" w:type="dxa"/>
            <w:tcBorders>
              <w:top w:val="single" w:color="auto" w:sz="2" w:space="0"/>
              <w:left w:val="single" w:color="auto" w:sz="2" w:space="0"/>
              <w:bottom w:val="single" w:color="auto" w:sz="2" w:space="0"/>
              <w:right w:val="single" w:color="auto" w:sz="2" w:space="0"/>
            </w:tcBorders>
            <w:vAlign w:val="center"/>
          </w:tcPr>
          <w:p w14:paraId="06BC9F68">
            <w:pPr>
              <w:spacing w:before="0" w:after="0" w:line="240" w:lineRule="exact"/>
              <w:jc w:val="right"/>
              <w:rPr>
                <w:rFonts w:ascii="宋体" w:hAnsi="宋体" w:eastAsia="宋体" w:cs="宋体"/>
                <w:sz w:val="18"/>
                <w:szCs w:val="18"/>
              </w:rPr>
            </w:pPr>
            <w:r>
              <w:rPr>
                <w:rFonts w:ascii="宋体" w:hAnsi="宋体" w:eastAsia="宋体" w:cs="宋体"/>
                <w:sz w:val="18"/>
                <w:szCs w:val="18"/>
              </w:rPr>
              <w:t>11,671,827.83</w:t>
            </w:r>
          </w:p>
        </w:tc>
      </w:tr>
    </w:tbl>
    <w:p w14:paraId="00E341D2">
      <w:pPr>
        <w:keepNext/>
        <w:keepLines/>
        <w:spacing w:before="300" w:after="300" w:line="280" w:lineRule="exact"/>
        <w:jc w:val="left"/>
        <w:outlineLvl w:val="3"/>
        <w:rPr>
          <w:rFonts w:ascii="宋体" w:hAnsi="宋体" w:eastAsia="宋体" w:cs="宋体"/>
          <w:b/>
          <w:bCs/>
          <w:sz w:val="21"/>
          <w:szCs w:val="21"/>
        </w:rPr>
      </w:pPr>
      <w:bookmarkStart w:id="383" w:name="_Toc989266"/>
      <w:r>
        <w:rPr>
          <w:rFonts w:ascii="宋体" w:hAnsi="宋体" w:eastAsia="宋体" w:cs="宋体"/>
          <w:b/>
          <w:bCs/>
          <w:sz w:val="21"/>
          <w:szCs w:val="21"/>
        </w:rPr>
        <w:t>（2） 短期薪酬列示</w:t>
      </w:r>
      <w:bookmarkEnd w:id="383"/>
    </w:p>
    <w:p w14:paraId="3F82498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5D789D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6EC6D1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14A83F5">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8C7FD80">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CD31836">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D0005C3">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0C624F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71284EC">
            <w:pPr>
              <w:spacing w:before="40" w:after="40" w:line="240" w:lineRule="exact"/>
              <w:jc w:val="left"/>
              <w:rPr>
                <w:rFonts w:ascii="宋体" w:hAnsi="宋体" w:eastAsia="宋体" w:cs="宋体"/>
                <w:sz w:val="18"/>
                <w:szCs w:val="18"/>
              </w:rPr>
            </w:pPr>
            <w:r>
              <w:rPr>
                <w:rFonts w:ascii="宋体" w:hAnsi="宋体" w:eastAsia="宋体" w:cs="宋体"/>
                <w:sz w:val="18"/>
                <w:szCs w:val="18"/>
              </w:rPr>
              <w:t>1、工资、奖金、津贴和补贴</w:t>
            </w:r>
          </w:p>
        </w:tc>
        <w:tc>
          <w:tcPr>
            <w:tcW w:w="1928" w:type="dxa"/>
            <w:tcBorders>
              <w:top w:val="single" w:color="auto" w:sz="2" w:space="0"/>
              <w:left w:val="single" w:color="auto" w:sz="2" w:space="0"/>
              <w:bottom w:val="single" w:color="auto" w:sz="2" w:space="0"/>
              <w:right w:val="single" w:color="auto" w:sz="2" w:space="0"/>
            </w:tcBorders>
            <w:vAlign w:val="center"/>
          </w:tcPr>
          <w:p w14:paraId="474ABF23">
            <w:pPr>
              <w:spacing w:before="0" w:after="0" w:line="240" w:lineRule="exact"/>
              <w:jc w:val="right"/>
              <w:rPr>
                <w:rFonts w:ascii="宋体" w:hAnsi="宋体" w:eastAsia="宋体" w:cs="宋体"/>
                <w:sz w:val="18"/>
                <w:szCs w:val="18"/>
              </w:rPr>
            </w:pPr>
            <w:r>
              <w:rPr>
                <w:rFonts w:ascii="宋体" w:hAnsi="宋体" w:eastAsia="宋体" w:cs="宋体"/>
                <w:sz w:val="18"/>
                <w:szCs w:val="18"/>
              </w:rPr>
              <w:t>14,753,064.86</w:t>
            </w:r>
          </w:p>
        </w:tc>
        <w:tc>
          <w:tcPr>
            <w:tcW w:w="1928" w:type="dxa"/>
            <w:tcBorders>
              <w:top w:val="single" w:color="auto" w:sz="2" w:space="0"/>
              <w:left w:val="single" w:color="auto" w:sz="2" w:space="0"/>
              <w:bottom w:val="single" w:color="auto" w:sz="2" w:space="0"/>
              <w:right w:val="single" w:color="auto" w:sz="2" w:space="0"/>
            </w:tcBorders>
            <w:vAlign w:val="center"/>
          </w:tcPr>
          <w:p w14:paraId="7A453C65">
            <w:pPr>
              <w:spacing w:before="0" w:after="0" w:line="240" w:lineRule="exact"/>
              <w:jc w:val="right"/>
              <w:rPr>
                <w:rFonts w:ascii="宋体" w:hAnsi="宋体" w:eastAsia="宋体" w:cs="宋体"/>
                <w:sz w:val="18"/>
                <w:szCs w:val="18"/>
              </w:rPr>
            </w:pPr>
            <w:r>
              <w:rPr>
                <w:rFonts w:ascii="宋体" w:hAnsi="宋体" w:eastAsia="宋体" w:cs="宋体"/>
                <w:sz w:val="18"/>
                <w:szCs w:val="18"/>
              </w:rPr>
              <w:t>121,548,303.29</w:t>
            </w:r>
          </w:p>
        </w:tc>
        <w:tc>
          <w:tcPr>
            <w:tcW w:w="1928" w:type="dxa"/>
            <w:tcBorders>
              <w:top w:val="single" w:color="auto" w:sz="2" w:space="0"/>
              <w:left w:val="single" w:color="auto" w:sz="2" w:space="0"/>
              <w:bottom w:val="single" w:color="auto" w:sz="2" w:space="0"/>
              <w:right w:val="single" w:color="auto" w:sz="2" w:space="0"/>
            </w:tcBorders>
            <w:vAlign w:val="center"/>
          </w:tcPr>
          <w:p w14:paraId="751D8205">
            <w:pPr>
              <w:spacing w:before="0" w:after="0" w:line="240" w:lineRule="exact"/>
              <w:jc w:val="right"/>
              <w:rPr>
                <w:rFonts w:ascii="宋体" w:hAnsi="宋体" w:eastAsia="宋体" w:cs="宋体"/>
                <w:sz w:val="18"/>
                <w:szCs w:val="18"/>
              </w:rPr>
            </w:pPr>
            <w:r>
              <w:rPr>
                <w:rFonts w:ascii="宋体" w:hAnsi="宋体" w:eastAsia="宋体" w:cs="宋体"/>
                <w:sz w:val="18"/>
                <w:szCs w:val="18"/>
              </w:rPr>
              <w:t>124,940,858.13</w:t>
            </w:r>
          </w:p>
        </w:tc>
        <w:tc>
          <w:tcPr>
            <w:tcW w:w="1928" w:type="dxa"/>
            <w:tcBorders>
              <w:top w:val="single" w:color="auto" w:sz="2" w:space="0"/>
              <w:left w:val="single" w:color="auto" w:sz="2" w:space="0"/>
              <w:bottom w:val="single" w:color="auto" w:sz="2" w:space="0"/>
              <w:right w:val="single" w:color="auto" w:sz="2" w:space="0"/>
            </w:tcBorders>
            <w:vAlign w:val="center"/>
          </w:tcPr>
          <w:p w14:paraId="4BA31297">
            <w:pPr>
              <w:spacing w:before="0" w:after="0" w:line="240" w:lineRule="exact"/>
              <w:jc w:val="right"/>
              <w:rPr>
                <w:rFonts w:ascii="宋体" w:hAnsi="宋体" w:eastAsia="宋体" w:cs="宋体"/>
                <w:sz w:val="18"/>
                <w:szCs w:val="18"/>
              </w:rPr>
            </w:pPr>
            <w:r>
              <w:rPr>
                <w:rFonts w:ascii="宋体" w:hAnsi="宋体" w:eastAsia="宋体" w:cs="宋体"/>
                <w:sz w:val="18"/>
                <w:szCs w:val="18"/>
              </w:rPr>
              <w:t>11,360,510.02</w:t>
            </w:r>
          </w:p>
        </w:tc>
      </w:tr>
      <w:tr w14:paraId="1F3F76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C3D7780">
            <w:pPr>
              <w:spacing w:before="40" w:after="40" w:line="240" w:lineRule="exact"/>
              <w:jc w:val="left"/>
              <w:rPr>
                <w:rFonts w:ascii="宋体" w:hAnsi="宋体" w:eastAsia="宋体" w:cs="宋体"/>
                <w:sz w:val="18"/>
                <w:szCs w:val="18"/>
              </w:rPr>
            </w:pPr>
            <w:r>
              <w:rPr>
                <w:rFonts w:ascii="宋体" w:hAnsi="宋体" w:eastAsia="宋体" w:cs="宋体"/>
                <w:sz w:val="18"/>
                <w:szCs w:val="18"/>
              </w:rPr>
              <w:t>2、职工福利费</w:t>
            </w:r>
          </w:p>
        </w:tc>
        <w:tc>
          <w:tcPr>
            <w:tcW w:w="1928" w:type="dxa"/>
            <w:tcBorders>
              <w:top w:val="single" w:color="auto" w:sz="2" w:space="0"/>
              <w:left w:val="single" w:color="auto" w:sz="2" w:space="0"/>
              <w:bottom w:val="single" w:color="auto" w:sz="2" w:space="0"/>
              <w:right w:val="single" w:color="auto" w:sz="2" w:space="0"/>
            </w:tcBorders>
            <w:vAlign w:val="center"/>
          </w:tcPr>
          <w:p w14:paraId="19E3C99E">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3D784A63">
            <w:pPr>
              <w:spacing w:before="0" w:after="0" w:line="240" w:lineRule="exact"/>
              <w:jc w:val="right"/>
              <w:rPr>
                <w:rFonts w:ascii="宋体" w:hAnsi="宋体" w:eastAsia="宋体" w:cs="宋体"/>
                <w:sz w:val="18"/>
                <w:szCs w:val="18"/>
              </w:rPr>
            </w:pPr>
            <w:r>
              <w:rPr>
                <w:rFonts w:ascii="宋体" w:hAnsi="宋体" w:eastAsia="宋体" w:cs="宋体"/>
                <w:sz w:val="18"/>
                <w:szCs w:val="18"/>
              </w:rPr>
              <w:t>5,853,582.48</w:t>
            </w:r>
          </w:p>
        </w:tc>
        <w:tc>
          <w:tcPr>
            <w:tcW w:w="1928" w:type="dxa"/>
            <w:tcBorders>
              <w:top w:val="single" w:color="auto" w:sz="2" w:space="0"/>
              <w:left w:val="single" w:color="auto" w:sz="2" w:space="0"/>
              <w:bottom w:val="single" w:color="auto" w:sz="2" w:space="0"/>
              <w:right w:val="single" w:color="auto" w:sz="2" w:space="0"/>
            </w:tcBorders>
            <w:vAlign w:val="center"/>
          </w:tcPr>
          <w:p w14:paraId="5A7ECBBA">
            <w:pPr>
              <w:spacing w:before="0" w:after="0" w:line="240" w:lineRule="exact"/>
              <w:jc w:val="right"/>
              <w:rPr>
                <w:rFonts w:ascii="宋体" w:hAnsi="宋体" w:eastAsia="宋体" w:cs="宋体"/>
                <w:sz w:val="18"/>
                <w:szCs w:val="18"/>
              </w:rPr>
            </w:pPr>
            <w:r>
              <w:rPr>
                <w:rFonts w:ascii="宋体" w:hAnsi="宋体" w:eastAsia="宋体" w:cs="宋体"/>
                <w:sz w:val="18"/>
                <w:szCs w:val="18"/>
              </w:rPr>
              <w:t>5,790,782.48</w:t>
            </w:r>
          </w:p>
        </w:tc>
        <w:tc>
          <w:tcPr>
            <w:tcW w:w="1928" w:type="dxa"/>
            <w:tcBorders>
              <w:top w:val="single" w:color="auto" w:sz="2" w:space="0"/>
              <w:left w:val="single" w:color="auto" w:sz="2" w:space="0"/>
              <w:bottom w:val="single" w:color="auto" w:sz="2" w:space="0"/>
              <w:right w:val="single" w:color="auto" w:sz="2" w:space="0"/>
            </w:tcBorders>
            <w:vAlign w:val="center"/>
          </w:tcPr>
          <w:p w14:paraId="41CC93AD">
            <w:pPr>
              <w:spacing w:before="0" w:after="0" w:line="240" w:lineRule="exact"/>
              <w:jc w:val="right"/>
              <w:rPr>
                <w:rFonts w:ascii="宋体" w:hAnsi="宋体" w:eastAsia="宋体" w:cs="宋体"/>
                <w:sz w:val="18"/>
                <w:szCs w:val="18"/>
              </w:rPr>
            </w:pPr>
            <w:r>
              <w:rPr>
                <w:rFonts w:ascii="宋体" w:hAnsi="宋体" w:eastAsia="宋体" w:cs="宋体"/>
                <w:sz w:val="18"/>
                <w:szCs w:val="18"/>
              </w:rPr>
              <w:t>62,800.00</w:t>
            </w:r>
          </w:p>
        </w:tc>
      </w:tr>
      <w:tr w14:paraId="2BEF97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CDCEC27">
            <w:pPr>
              <w:spacing w:before="40" w:after="40" w:line="240" w:lineRule="exact"/>
              <w:jc w:val="left"/>
              <w:rPr>
                <w:rFonts w:ascii="宋体" w:hAnsi="宋体" w:eastAsia="宋体" w:cs="宋体"/>
                <w:sz w:val="18"/>
                <w:szCs w:val="18"/>
              </w:rPr>
            </w:pPr>
            <w:r>
              <w:rPr>
                <w:rFonts w:ascii="宋体" w:hAnsi="宋体" w:eastAsia="宋体" w:cs="宋体"/>
                <w:sz w:val="18"/>
                <w:szCs w:val="18"/>
              </w:rPr>
              <w:t>3、社会保险费</w:t>
            </w:r>
          </w:p>
        </w:tc>
        <w:tc>
          <w:tcPr>
            <w:tcW w:w="1928" w:type="dxa"/>
            <w:tcBorders>
              <w:top w:val="single" w:color="auto" w:sz="2" w:space="0"/>
              <w:left w:val="single" w:color="auto" w:sz="2" w:space="0"/>
              <w:bottom w:val="single" w:color="auto" w:sz="2" w:space="0"/>
              <w:right w:val="single" w:color="auto" w:sz="2" w:space="0"/>
            </w:tcBorders>
            <w:vAlign w:val="center"/>
          </w:tcPr>
          <w:p w14:paraId="5A310FB3">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20E03903">
            <w:pPr>
              <w:spacing w:before="0" w:after="0" w:line="240" w:lineRule="exact"/>
              <w:jc w:val="right"/>
              <w:rPr>
                <w:rFonts w:ascii="宋体" w:hAnsi="宋体" w:eastAsia="宋体" w:cs="宋体"/>
                <w:sz w:val="18"/>
                <w:szCs w:val="18"/>
              </w:rPr>
            </w:pPr>
            <w:r>
              <w:rPr>
                <w:rFonts w:ascii="宋体" w:hAnsi="宋体" w:eastAsia="宋体" w:cs="宋体"/>
                <w:sz w:val="18"/>
                <w:szCs w:val="18"/>
              </w:rPr>
              <w:t>5,231,271.69</w:t>
            </w:r>
          </w:p>
        </w:tc>
        <w:tc>
          <w:tcPr>
            <w:tcW w:w="1928" w:type="dxa"/>
            <w:tcBorders>
              <w:top w:val="single" w:color="auto" w:sz="2" w:space="0"/>
              <w:left w:val="single" w:color="auto" w:sz="2" w:space="0"/>
              <w:bottom w:val="single" w:color="auto" w:sz="2" w:space="0"/>
              <w:right w:val="single" w:color="auto" w:sz="2" w:space="0"/>
            </w:tcBorders>
            <w:vAlign w:val="center"/>
          </w:tcPr>
          <w:p w14:paraId="1335C93B">
            <w:pPr>
              <w:spacing w:before="0" w:after="0" w:line="240" w:lineRule="exact"/>
              <w:jc w:val="right"/>
              <w:rPr>
                <w:rFonts w:ascii="宋体" w:hAnsi="宋体" w:eastAsia="宋体" w:cs="宋体"/>
                <w:sz w:val="18"/>
                <w:szCs w:val="18"/>
              </w:rPr>
            </w:pPr>
            <w:r>
              <w:rPr>
                <w:rFonts w:ascii="宋体" w:hAnsi="宋体" w:eastAsia="宋体" w:cs="宋体"/>
                <w:sz w:val="18"/>
                <w:szCs w:val="18"/>
              </w:rPr>
              <w:t>5,231,271.69</w:t>
            </w:r>
          </w:p>
        </w:tc>
        <w:tc>
          <w:tcPr>
            <w:tcW w:w="1928" w:type="dxa"/>
            <w:tcBorders>
              <w:top w:val="single" w:color="auto" w:sz="2" w:space="0"/>
              <w:left w:val="single" w:color="auto" w:sz="2" w:space="0"/>
              <w:bottom w:val="single" w:color="auto" w:sz="2" w:space="0"/>
              <w:right w:val="single" w:color="auto" w:sz="2" w:space="0"/>
            </w:tcBorders>
            <w:vAlign w:val="center"/>
          </w:tcPr>
          <w:p w14:paraId="6E07472C">
            <w:pPr>
              <w:spacing w:before="0" w:after="0" w:line="240" w:lineRule="exact"/>
              <w:jc w:val="right"/>
              <w:rPr>
                <w:rFonts w:ascii="宋体" w:hAnsi="宋体" w:eastAsia="宋体" w:cs="宋体"/>
                <w:sz w:val="18"/>
                <w:szCs w:val="18"/>
              </w:rPr>
            </w:pPr>
          </w:p>
        </w:tc>
      </w:tr>
      <w:tr w14:paraId="10D077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84B1532">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其中：医疗保险费</w:t>
            </w:r>
          </w:p>
        </w:tc>
        <w:tc>
          <w:tcPr>
            <w:tcW w:w="1928" w:type="dxa"/>
            <w:tcBorders>
              <w:top w:val="single" w:color="auto" w:sz="2" w:space="0"/>
              <w:left w:val="single" w:color="auto" w:sz="2" w:space="0"/>
              <w:bottom w:val="single" w:color="auto" w:sz="2" w:space="0"/>
              <w:right w:val="single" w:color="auto" w:sz="2" w:space="0"/>
            </w:tcBorders>
            <w:vAlign w:val="center"/>
          </w:tcPr>
          <w:p w14:paraId="2E14BBB0">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44E31149">
            <w:pPr>
              <w:spacing w:before="0" w:after="0" w:line="240" w:lineRule="exact"/>
              <w:jc w:val="right"/>
              <w:rPr>
                <w:rFonts w:ascii="宋体" w:hAnsi="宋体" w:eastAsia="宋体" w:cs="宋体"/>
                <w:sz w:val="18"/>
                <w:szCs w:val="18"/>
              </w:rPr>
            </w:pPr>
            <w:r>
              <w:rPr>
                <w:rFonts w:ascii="宋体" w:hAnsi="宋体" w:eastAsia="宋体" w:cs="宋体"/>
                <w:sz w:val="18"/>
                <w:szCs w:val="18"/>
              </w:rPr>
              <w:t>4,640,988.22</w:t>
            </w:r>
          </w:p>
        </w:tc>
        <w:tc>
          <w:tcPr>
            <w:tcW w:w="1928" w:type="dxa"/>
            <w:tcBorders>
              <w:top w:val="single" w:color="auto" w:sz="2" w:space="0"/>
              <w:left w:val="single" w:color="auto" w:sz="2" w:space="0"/>
              <w:bottom w:val="single" w:color="auto" w:sz="2" w:space="0"/>
              <w:right w:val="single" w:color="auto" w:sz="2" w:space="0"/>
            </w:tcBorders>
            <w:vAlign w:val="center"/>
          </w:tcPr>
          <w:p w14:paraId="203F3C6D">
            <w:pPr>
              <w:spacing w:before="0" w:after="0" w:line="240" w:lineRule="exact"/>
              <w:jc w:val="right"/>
              <w:rPr>
                <w:rFonts w:ascii="宋体" w:hAnsi="宋体" w:eastAsia="宋体" w:cs="宋体"/>
                <w:sz w:val="18"/>
                <w:szCs w:val="18"/>
              </w:rPr>
            </w:pPr>
            <w:r>
              <w:rPr>
                <w:rFonts w:ascii="宋体" w:hAnsi="宋体" w:eastAsia="宋体" w:cs="宋体"/>
                <w:sz w:val="18"/>
                <w:szCs w:val="18"/>
              </w:rPr>
              <w:t>4,640,988.22</w:t>
            </w:r>
          </w:p>
        </w:tc>
        <w:tc>
          <w:tcPr>
            <w:tcW w:w="1928" w:type="dxa"/>
            <w:tcBorders>
              <w:top w:val="single" w:color="auto" w:sz="2" w:space="0"/>
              <w:left w:val="single" w:color="auto" w:sz="2" w:space="0"/>
              <w:bottom w:val="single" w:color="auto" w:sz="2" w:space="0"/>
              <w:right w:val="single" w:color="auto" w:sz="2" w:space="0"/>
            </w:tcBorders>
            <w:vAlign w:val="center"/>
          </w:tcPr>
          <w:p w14:paraId="158C5EF8">
            <w:pPr>
              <w:spacing w:before="0" w:after="0" w:line="240" w:lineRule="exact"/>
              <w:jc w:val="right"/>
              <w:rPr>
                <w:rFonts w:ascii="宋体" w:hAnsi="宋体" w:eastAsia="宋体" w:cs="宋体"/>
                <w:sz w:val="18"/>
                <w:szCs w:val="18"/>
              </w:rPr>
            </w:pPr>
          </w:p>
        </w:tc>
      </w:tr>
      <w:tr w14:paraId="0D49B5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2D76FA7">
            <w:pPr>
              <w:spacing w:before="40" w:after="40" w:line="240" w:lineRule="exact"/>
              <w:ind w:firstLine="900" w:firstLineChars="500"/>
              <w:jc w:val="left"/>
              <w:rPr>
                <w:rFonts w:ascii="宋体" w:hAnsi="宋体" w:eastAsia="宋体" w:cs="宋体"/>
                <w:sz w:val="18"/>
                <w:szCs w:val="18"/>
              </w:rPr>
            </w:pPr>
            <w:r>
              <w:rPr>
                <w:rFonts w:ascii="宋体" w:hAnsi="宋体" w:eastAsia="宋体" w:cs="宋体"/>
                <w:sz w:val="18"/>
                <w:szCs w:val="18"/>
              </w:rPr>
              <w:t>工伤保险费</w:t>
            </w:r>
          </w:p>
        </w:tc>
        <w:tc>
          <w:tcPr>
            <w:tcW w:w="1928" w:type="dxa"/>
            <w:tcBorders>
              <w:top w:val="single" w:color="auto" w:sz="2" w:space="0"/>
              <w:left w:val="single" w:color="auto" w:sz="2" w:space="0"/>
              <w:bottom w:val="single" w:color="auto" w:sz="2" w:space="0"/>
              <w:right w:val="single" w:color="auto" w:sz="2" w:space="0"/>
            </w:tcBorders>
            <w:vAlign w:val="center"/>
          </w:tcPr>
          <w:p w14:paraId="5D062320">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6CBDFA1D">
            <w:pPr>
              <w:spacing w:before="0" w:after="0" w:line="240" w:lineRule="exact"/>
              <w:jc w:val="right"/>
              <w:rPr>
                <w:rFonts w:ascii="宋体" w:hAnsi="宋体" w:eastAsia="宋体" w:cs="宋体"/>
                <w:sz w:val="18"/>
                <w:szCs w:val="18"/>
              </w:rPr>
            </w:pPr>
            <w:r>
              <w:rPr>
                <w:rFonts w:ascii="宋体" w:hAnsi="宋体" w:eastAsia="宋体" w:cs="宋体"/>
                <w:sz w:val="18"/>
                <w:szCs w:val="18"/>
              </w:rPr>
              <w:t>352,017.86</w:t>
            </w:r>
          </w:p>
        </w:tc>
        <w:tc>
          <w:tcPr>
            <w:tcW w:w="1928" w:type="dxa"/>
            <w:tcBorders>
              <w:top w:val="single" w:color="auto" w:sz="2" w:space="0"/>
              <w:left w:val="single" w:color="auto" w:sz="2" w:space="0"/>
              <w:bottom w:val="single" w:color="auto" w:sz="2" w:space="0"/>
              <w:right w:val="single" w:color="auto" w:sz="2" w:space="0"/>
            </w:tcBorders>
            <w:vAlign w:val="center"/>
          </w:tcPr>
          <w:p w14:paraId="66B0FB24">
            <w:pPr>
              <w:spacing w:before="0" w:after="0" w:line="240" w:lineRule="exact"/>
              <w:jc w:val="right"/>
              <w:rPr>
                <w:rFonts w:ascii="宋体" w:hAnsi="宋体" w:eastAsia="宋体" w:cs="宋体"/>
                <w:sz w:val="18"/>
                <w:szCs w:val="18"/>
              </w:rPr>
            </w:pPr>
            <w:r>
              <w:rPr>
                <w:rFonts w:ascii="宋体" w:hAnsi="宋体" w:eastAsia="宋体" w:cs="宋体"/>
                <w:sz w:val="18"/>
                <w:szCs w:val="18"/>
              </w:rPr>
              <w:t>352,017.86</w:t>
            </w:r>
          </w:p>
        </w:tc>
        <w:tc>
          <w:tcPr>
            <w:tcW w:w="1928" w:type="dxa"/>
            <w:tcBorders>
              <w:top w:val="single" w:color="auto" w:sz="2" w:space="0"/>
              <w:left w:val="single" w:color="auto" w:sz="2" w:space="0"/>
              <w:bottom w:val="single" w:color="auto" w:sz="2" w:space="0"/>
              <w:right w:val="single" w:color="auto" w:sz="2" w:space="0"/>
            </w:tcBorders>
            <w:vAlign w:val="center"/>
          </w:tcPr>
          <w:p w14:paraId="70516325">
            <w:pPr>
              <w:spacing w:before="0" w:after="0" w:line="240" w:lineRule="exact"/>
              <w:jc w:val="right"/>
              <w:rPr>
                <w:rFonts w:ascii="宋体" w:hAnsi="宋体" w:eastAsia="宋体" w:cs="宋体"/>
                <w:sz w:val="18"/>
                <w:szCs w:val="18"/>
              </w:rPr>
            </w:pPr>
          </w:p>
        </w:tc>
      </w:tr>
      <w:tr w14:paraId="0F5E01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7F4AB1E">
            <w:pPr>
              <w:spacing w:before="40" w:after="40" w:line="240" w:lineRule="exact"/>
              <w:ind w:firstLine="900" w:firstLineChars="500"/>
              <w:jc w:val="left"/>
              <w:rPr>
                <w:rFonts w:ascii="宋体" w:hAnsi="宋体" w:eastAsia="宋体" w:cs="宋体"/>
                <w:sz w:val="18"/>
                <w:szCs w:val="18"/>
              </w:rPr>
            </w:pPr>
            <w:r>
              <w:rPr>
                <w:rFonts w:ascii="宋体" w:hAnsi="宋体" w:eastAsia="宋体" w:cs="宋体"/>
                <w:sz w:val="18"/>
                <w:szCs w:val="18"/>
              </w:rPr>
              <w:t>生育保险费</w:t>
            </w:r>
          </w:p>
        </w:tc>
        <w:tc>
          <w:tcPr>
            <w:tcW w:w="1928" w:type="dxa"/>
            <w:tcBorders>
              <w:top w:val="single" w:color="auto" w:sz="2" w:space="0"/>
              <w:left w:val="single" w:color="auto" w:sz="2" w:space="0"/>
              <w:bottom w:val="single" w:color="auto" w:sz="2" w:space="0"/>
              <w:right w:val="single" w:color="auto" w:sz="2" w:space="0"/>
            </w:tcBorders>
            <w:vAlign w:val="center"/>
          </w:tcPr>
          <w:p w14:paraId="14AEC59D">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106E3B99">
            <w:pPr>
              <w:spacing w:before="0" w:after="0" w:line="240" w:lineRule="exact"/>
              <w:jc w:val="right"/>
              <w:rPr>
                <w:rFonts w:ascii="宋体" w:hAnsi="宋体" w:eastAsia="宋体" w:cs="宋体"/>
                <w:sz w:val="18"/>
                <w:szCs w:val="18"/>
              </w:rPr>
            </w:pPr>
            <w:r>
              <w:rPr>
                <w:rFonts w:ascii="宋体" w:hAnsi="宋体" w:eastAsia="宋体" w:cs="宋体"/>
                <w:sz w:val="18"/>
                <w:szCs w:val="18"/>
              </w:rPr>
              <w:t>238,265.61</w:t>
            </w:r>
          </w:p>
        </w:tc>
        <w:tc>
          <w:tcPr>
            <w:tcW w:w="1928" w:type="dxa"/>
            <w:tcBorders>
              <w:top w:val="single" w:color="auto" w:sz="2" w:space="0"/>
              <w:left w:val="single" w:color="auto" w:sz="2" w:space="0"/>
              <w:bottom w:val="single" w:color="auto" w:sz="2" w:space="0"/>
              <w:right w:val="single" w:color="auto" w:sz="2" w:space="0"/>
            </w:tcBorders>
            <w:vAlign w:val="center"/>
          </w:tcPr>
          <w:p w14:paraId="6446C579">
            <w:pPr>
              <w:spacing w:before="0" w:after="0" w:line="240" w:lineRule="exact"/>
              <w:jc w:val="right"/>
              <w:rPr>
                <w:rFonts w:ascii="宋体" w:hAnsi="宋体" w:eastAsia="宋体" w:cs="宋体"/>
                <w:sz w:val="18"/>
                <w:szCs w:val="18"/>
              </w:rPr>
            </w:pPr>
            <w:r>
              <w:rPr>
                <w:rFonts w:ascii="宋体" w:hAnsi="宋体" w:eastAsia="宋体" w:cs="宋体"/>
                <w:sz w:val="18"/>
                <w:szCs w:val="18"/>
              </w:rPr>
              <w:t>238,265.61</w:t>
            </w:r>
          </w:p>
        </w:tc>
        <w:tc>
          <w:tcPr>
            <w:tcW w:w="1928" w:type="dxa"/>
            <w:tcBorders>
              <w:top w:val="single" w:color="auto" w:sz="2" w:space="0"/>
              <w:left w:val="single" w:color="auto" w:sz="2" w:space="0"/>
              <w:bottom w:val="single" w:color="auto" w:sz="2" w:space="0"/>
              <w:right w:val="single" w:color="auto" w:sz="2" w:space="0"/>
            </w:tcBorders>
            <w:vAlign w:val="center"/>
          </w:tcPr>
          <w:p w14:paraId="21474DD7">
            <w:pPr>
              <w:spacing w:before="0" w:after="0" w:line="240" w:lineRule="exact"/>
              <w:jc w:val="right"/>
              <w:rPr>
                <w:rFonts w:ascii="宋体" w:hAnsi="宋体" w:eastAsia="宋体" w:cs="宋体"/>
                <w:sz w:val="18"/>
                <w:szCs w:val="18"/>
              </w:rPr>
            </w:pPr>
          </w:p>
        </w:tc>
      </w:tr>
      <w:tr w14:paraId="7AEF08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AB67127">
            <w:pPr>
              <w:spacing w:before="40" w:after="40" w:line="240" w:lineRule="exact"/>
              <w:jc w:val="left"/>
              <w:rPr>
                <w:rFonts w:ascii="宋体" w:hAnsi="宋体" w:eastAsia="宋体" w:cs="宋体"/>
                <w:sz w:val="18"/>
                <w:szCs w:val="18"/>
              </w:rPr>
            </w:pPr>
            <w:r>
              <w:rPr>
                <w:rFonts w:ascii="宋体" w:hAnsi="宋体" w:eastAsia="宋体" w:cs="宋体"/>
                <w:sz w:val="18"/>
                <w:szCs w:val="18"/>
              </w:rPr>
              <w:t>4、住房公积金</w:t>
            </w:r>
          </w:p>
        </w:tc>
        <w:tc>
          <w:tcPr>
            <w:tcW w:w="1928" w:type="dxa"/>
            <w:tcBorders>
              <w:top w:val="single" w:color="auto" w:sz="2" w:space="0"/>
              <w:left w:val="single" w:color="auto" w:sz="2" w:space="0"/>
              <w:bottom w:val="single" w:color="auto" w:sz="2" w:space="0"/>
              <w:right w:val="single" w:color="auto" w:sz="2" w:space="0"/>
            </w:tcBorders>
            <w:vAlign w:val="center"/>
          </w:tcPr>
          <w:p w14:paraId="35302217">
            <w:pPr>
              <w:spacing w:before="0" w:after="0" w:line="240" w:lineRule="exact"/>
              <w:jc w:val="right"/>
              <w:rPr>
                <w:rFonts w:ascii="宋体" w:hAnsi="宋体" w:eastAsia="宋体" w:cs="宋体"/>
                <w:sz w:val="18"/>
                <w:szCs w:val="18"/>
              </w:rPr>
            </w:pPr>
            <w:r>
              <w:rPr>
                <w:rFonts w:ascii="宋体" w:hAnsi="宋体" w:eastAsia="宋体" w:cs="宋体"/>
                <w:sz w:val="18"/>
                <w:szCs w:val="18"/>
              </w:rPr>
              <w:t>2,558.00</w:t>
            </w:r>
          </w:p>
        </w:tc>
        <w:tc>
          <w:tcPr>
            <w:tcW w:w="1928" w:type="dxa"/>
            <w:tcBorders>
              <w:top w:val="single" w:color="auto" w:sz="2" w:space="0"/>
              <w:left w:val="single" w:color="auto" w:sz="2" w:space="0"/>
              <w:bottom w:val="single" w:color="auto" w:sz="2" w:space="0"/>
              <w:right w:val="single" w:color="auto" w:sz="2" w:space="0"/>
            </w:tcBorders>
            <w:vAlign w:val="center"/>
          </w:tcPr>
          <w:p w14:paraId="408CCD02">
            <w:pPr>
              <w:spacing w:before="0" w:after="0" w:line="240" w:lineRule="exact"/>
              <w:jc w:val="right"/>
              <w:rPr>
                <w:rFonts w:ascii="宋体" w:hAnsi="宋体" w:eastAsia="宋体" w:cs="宋体"/>
                <w:sz w:val="18"/>
                <w:szCs w:val="18"/>
              </w:rPr>
            </w:pPr>
            <w:r>
              <w:rPr>
                <w:rFonts w:ascii="宋体" w:hAnsi="宋体" w:eastAsia="宋体" w:cs="宋体"/>
                <w:sz w:val="18"/>
                <w:szCs w:val="18"/>
              </w:rPr>
              <w:t>3,227,761.54</w:t>
            </w:r>
          </w:p>
        </w:tc>
        <w:tc>
          <w:tcPr>
            <w:tcW w:w="1928" w:type="dxa"/>
            <w:tcBorders>
              <w:top w:val="single" w:color="auto" w:sz="2" w:space="0"/>
              <w:left w:val="single" w:color="auto" w:sz="2" w:space="0"/>
              <w:bottom w:val="single" w:color="auto" w:sz="2" w:space="0"/>
              <w:right w:val="single" w:color="auto" w:sz="2" w:space="0"/>
            </w:tcBorders>
            <w:vAlign w:val="center"/>
          </w:tcPr>
          <w:p w14:paraId="367AFCFA">
            <w:pPr>
              <w:spacing w:before="0" w:after="0" w:line="240" w:lineRule="exact"/>
              <w:jc w:val="right"/>
              <w:rPr>
                <w:rFonts w:ascii="宋体" w:hAnsi="宋体" w:eastAsia="宋体" w:cs="宋体"/>
                <w:sz w:val="18"/>
                <w:szCs w:val="18"/>
              </w:rPr>
            </w:pPr>
            <w:r>
              <w:rPr>
                <w:rFonts w:ascii="宋体" w:hAnsi="宋体" w:eastAsia="宋体" w:cs="宋体"/>
                <w:sz w:val="18"/>
                <w:szCs w:val="18"/>
              </w:rPr>
              <w:t>3,230,319.54</w:t>
            </w:r>
          </w:p>
        </w:tc>
        <w:tc>
          <w:tcPr>
            <w:tcW w:w="1928" w:type="dxa"/>
            <w:tcBorders>
              <w:top w:val="single" w:color="auto" w:sz="2" w:space="0"/>
              <w:left w:val="single" w:color="auto" w:sz="2" w:space="0"/>
              <w:bottom w:val="single" w:color="auto" w:sz="2" w:space="0"/>
              <w:right w:val="single" w:color="auto" w:sz="2" w:space="0"/>
            </w:tcBorders>
            <w:vAlign w:val="center"/>
          </w:tcPr>
          <w:p w14:paraId="0D386871">
            <w:pPr>
              <w:spacing w:before="0" w:after="0" w:line="240" w:lineRule="exact"/>
              <w:jc w:val="right"/>
              <w:rPr>
                <w:rFonts w:ascii="宋体" w:hAnsi="宋体" w:eastAsia="宋体" w:cs="宋体"/>
                <w:sz w:val="18"/>
                <w:szCs w:val="18"/>
              </w:rPr>
            </w:pPr>
          </w:p>
        </w:tc>
      </w:tr>
      <w:tr w14:paraId="695367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11BFCF2">
            <w:pPr>
              <w:spacing w:before="40" w:after="40" w:line="240" w:lineRule="exact"/>
              <w:jc w:val="left"/>
              <w:rPr>
                <w:rFonts w:ascii="宋体" w:hAnsi="宋体" w:eastAsia="宋体" w:cs="宋体"/>
                <w:sz w:val="18"/>
                <w:szCs w:val="18"/>
              </w:rPr>
            </w:pPr>
            <w:r>
              <w:rPr>
                <w:rFonts w:ascii="宋体" w:hAnsi="宋体" w:eastAsia="宋体" w:cs="宋体"/>
                <w:sz w:val="18"/>
                <w:szCs w:val="18"/>
              </w:rPr>
              <w:t>5、工会经费和职工教育经费</w:t>
            </w:r>
          </w:p>
        </w:tc>
        <w:tc>
          <w:tcPr>
            <w:tcW w:w="1928" w:type="dxa"/>
            <w:tcBorders>
              <w:top w:val="single" w:color="auto" w:sz="2" w:space="0"/>
              <w:left w:val="single" w:color="auto" w:sz="2" w:space="0"/>
              <w:bottom w:val="single" w:color="auto" w:sz="2" w:space="0"/>
              <w:right w:val="single" w:color="auto" w:sz="2" w:space="0"/>
            </w:tcBorders>
            <w:vAlign w:val="center"/>
          </w:tcPr>
          <w:p w14:paraId="202121AC">
            <w:pPr>
              <w:spacing w:before="0" w:after="0" w:line="240" w:lineRule="exact"/>
              <w:jc w:val="right"/>
              <w:rPr>
                <w:rFonts w:ascii="宋体" w:hAnsi="宋体" w:eastAsia="宋体" w:cs="宋体"/>
                <w:sz w:val="18"/>
                <w:szCs w:val="18"/>
              </w:rPr>
            </w:pPr>
            <w:r>
              <w:rPr>
                <w:rFonts w:ascii="宋体" w:hAnsi="宋体" w:eastAsia="宋体" w:cs="宋体"/>
                <w:sz w:val="18"/>
                <w:szCs w:val="18"/>
              </w:rPr>
              <w:t>168,479.40</w:t>
            </w:r>
          </w:p>
        </w:tc>
        <w:tc>
          <w:tcPr>
            <w:tcW w:w="1928" w:type="dxa"/>
            <w:tcBorders>
              <w:top w:val="single" w:color="auto" w:sz="2" w:space="0"/>
              <w:left w:val="single" w:color="auto" w:sz="2" w:space="0"/>
              <w:bottom w:val="single" w:color="auto" w:sz="2" w:space="0"/>
              <w:right w:val="single" w:color="auto" w:sz="2" w:space="0"/>
            </w:tcBorders>
            <w:vAlign w:val="center"/>
          </w:tcPr>
          <w:p w14:paraId="7C5A942E">
            <w:pPr>
              <w:spacing w:before="0" w:after="0" w:line="240" w:lineRule="exact"/>
              <w:jc w:val="right"/>
              <w:rPr>
                <w:rFonts w:ascii="宋体" w:hAnsi="宋体" w:eastAsia="宋体" w:cs="宋体"/>
                <w:sz w:val="18"/>
                <w:szCs w:val="18"/>
              </w:rPr>
            </w:pPr>
            <w:r>
              <w:rPr>
                <w:rFonts w:ascii="宋体" w:hAnsi="宋体" w:eastAsia="宋体" w:cs="宋体"/>
                <w:sz w:val="18"/>
                <w:szCs w:val="18"/>
              </w:rPr>
              <w:t>1,247,606.81</w:t>
            </w:r>
          </w:p>
        </w:tc>
        <w:tc>
          <w:tcPr>
            <w:tcW w:w="1928" w:type="dxa"/>
            <w:tcBorders>
              <w:top w:val="single" w:color="auto" w:sz="2" w:space="0"/>
              <w:left w:val="single" w:color="auto" w:sz="2" w:space="0"/>
              <w:bottom w:val="single" w:color="auto" w:sz="2" w:space="0"/>
              <w:right w:val="single" w:color="auto" w:sz="2" w:space="0"/>
            </w:tcBorders>
            <w:vAlign w:val="center"/>
          </w:tcPr>
          <w:p w14:paraId="4153B3B4">
            <w:pPr>
              <w:spacing w:before="0" w:after="0" w:line="240" w:lineRule="exact"/>
              <w:jc w:val="right"/>
              <w:rPr>
                <w:rFonts w:ascii="宋体" w:hAnsi="宋体" w:eastAsia="宋体" w:cs="宋体"/>
                <w:sz w:val="18"/>
                <w:szCs w:val="18"/>
              </w:rPr>
            </w:pPr>
            <w:r>
              <w:rPr>
                <w:rFonts w:ascii="宋体" w:hAnsi="宋体" w:eastAsia="宋体" w:cs="宋体"/>
                <w:sz w:val="18"/>
                <w:szCs w:val="18"/>
              </w:rPr>
              <w:t>1,222,087.40</w:t>
            </w:r>
          </w:p>
        </w:tc>
        <w:tc>
          <w:tcPr>
            <w:tcW w:w="1928" w:type="dxa"/>
            <w:tcBorders>
              <w:top w:val="single" w:color="auto" w:sz="2" w:space="0"/>
              <w:left w:val="single" w:color="auto" w:sz="2" w:space="0"/>
              <w:bottom w:val="single" w:color="auto" w:sz="2" w:space="0"/>
              <w:right w:val="single" w:color="auto" w:sz="2" w:space="0"/>
            </w:tcBorders>
            <w:vAlign w:val="center"/>
          </w:tcPr>
          <w:p w14:paraId="0B3A516B">
            <w:pPr>
              <w:spacing w:before="0" w:after="0" w:line="240" w:lineRule="exact"/>
              <w:jc w:val="right"/>
              <w:rPr>
                <w:rFonts w:ascii="宋体" w:hAnsi="宋体" w:eastAsia="宋体" w:cs="宋体"/>
                <w:sz w:val="18"/>
                <w:szCs w:val="18"/>
              </w:rPr>
            </w:pPr>
            <w:r>
              <w:rPr>
                <w:rFonts w:ascii="宋体" w:hAnsi="宋体" w:eastAsia="宋体" w:cs="宋体"/>
                <w:sz w:val="18"/>
                <w:szCs w:val="18"/>
              </w:rPr>
              <w:t>193,998.81</w:t>
            </w:r>
          </w:p>
        </w:tc>
      </w:tr>
      <w:tr w14:paraId="2A6E95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10BB97B">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14:paraId="69ACBAE7">
            <w:pPr>
              <w:spacing w:before="0" w:after="0" w:line="240" w:lineRule="exact"/>
              <w:jc w:val="right"/>
              <w:rPr>
                <w:rFonts w:ascii="宋体" w:hAnsi="宋体" w:eastAsia="宋体" w:cs="宋体"/>
                <w:sz w:val="18"/>
                <w:szCs w:val="18"/>
              </w:rPr>
            </w:pPr>
            <w:r>
              <w:rPr>
                <w:rFonts w:ascii="宋体" w:hAnsi="宋体" w:eastAsia="宋体" w:cs="宋体"/>
                <w:sz w:val="18"/>
                <w:szCs w:val="18"/>
              </w:rPr>
              <w:t>14,924,102.26</w:t>
            </w:r>
          </w:p>
        </w:tc>
        <w:tc>
          <w:tcPr>
            <w:tcW w:w="1928" w:type="dxa"/>
            <w:tcBorders>
              <w:top w:val="single" w:color="auto" w:sz="2" w:space="0"/>
              <w:left w:val="single" w:color="auto" w:sz="2" w:space="0"/>
              <w:bottom w:val="single" w:color="auto" w:sz="2" w:space="0"/>
              <w:right w:val="single" w:color="auto" w:sz="2" w:space="0"/>
            </w:tcBorders>
            <w:vAlign w:val="center"/>
          </w:tcPr>
          <w:p w14:paraId="7E0A64FE">
            <w:pPr>
              <w:spacing w:before="0" w:after="0" w:line="240" w:lineRule="exact"/>
              <w:jc w:val="right"/>
              <w:rPr>
                <w:rFonts w:ascii="宋体" w:hAnsi="宋体" w:eastAsia="宋体" w:cs="宋体"/>
                <w:sz w:val="18"/>
                <w:szCs w:val="18"/>
              </w:rPr>
            </w:pPr>
            <w:r>
              <w:rPr>
                <w:rFonts w:ascii="宋体" w:hAnsi="宋体" w:eastAsia="宋体" w:cs="宋体"/>
                <w:sz w:val="18"/>
                <w:szCs w:val="18"/>
              </w:rPr>
              <w:t>137,108,525.81</w:t>
            </w:r>
          </w:p>
        </w:tc>
        <w:tc>
          <w:tcPr>
            <w:tcW w:w="1928" w:type="dxa"/>
            <w:tcBorders>
              <w:top w:val="single" w:color="auto" w:sz="2" w:space="0"/>
              <w:left w:val="single" w:color="auto" w:sz="2" w:space="0"/>
              <w:bottom w:val="single" w:color="auto" w:sz="2" w:space="0"/>
              <w:right w:val="single" w:color="auto" w:sz="2" w:space="0"/>
            </w:tcBorders>
            <w:vAlign w:val="center"/>
          </w:tcPr>
          <w:p w14:paraId="6FC6070B">
            <w:pPr>
              <w:spacing w:before="0" w:after="0" w:line="240" w:lineRule="exact"/>
              <w:jc w:val="right"/>
              <w:rPr>
                <w:rFonts w:ascii="宋体" w:hAnsi="宋体" w:eastAsia="宋体" w:cs="宋体"/>
                <w:sz w:val="18"/>
                <w:szCs w:val="18"/>
              </w:rPr>
            </w:pPr>
            <w:r>
              <w:rPr>
                <w:rFonts w:ascii="宋体" w:hAnsi="宋体" w:eastAsia="宋体" w:cs="宋体"/>
                <w:sz w:val="18"/>
                <w:szCs w:val="18"/>
              </w:rPr>
              <w:t>140,415,319.24</w:t>
            </w:r>
          </w:p>
        </w:tc>
        <w:tc>
          <w:tcPr>
            <w:tcW w:w="1928" w:type="dxa"/>
            <w:tcBorders>
              <w:top w:val="single" w:color="auto" w:sz="2" w:space="0"/>
              <w:left w:val="single" w:color="auto" w:sz="2" w:space="0"/>
              <w:bottom w:val="single" w:color="auto" w:sz="2" w:space="0"/>
              <w:right w:val="single" w:color="auto" w:sz="2" w:space="0"/>
            </w:tcBorders>
            <w:vAlign w:val="center"/>
          </w:tcPr>
          <w:p w14:paraId="5083A94D">
            <w:pPr>
              <w:spacing w:before="0" w:after="0" w:line="240" w:lineRule="exact"/>
              <w:jc w:val="right"/>
              <w:rPr>
                <w:rFonts w:ascii="宋体" w:hAnsi="宋体" w:eastAsia="宋体" w:cs="宋体"/>
                <w:sz w:val="18"/>
                <w:szCs w:val="18"/>
              </w:rPr>
            </w:pPr>
            <w:r>
              <w:rPr>
                <w:rFonts w:ascii="宋体" w:hAnsi="宋体" w:eastAsia="宋体" w:cs="宋体"/>
                <w:sz w:val="18"/>
                <w:szCs w:val="18"/>
              </w:rPr>
              <w:t>11,617,308.83</w:t>
            </w:r>
          </w:p>
        </w:tc>
      </w:tr>
    </w:tbl>
    <w:p w14:paraId="2809A59F">
      <w:pPr>
        <w:keepNext/>
        <w:keepLines/>
        <w:spacing w:before="300" w:after="300" w:line="280" w:lineRule="exact"/>
        <w:jc w:val="left"/>
        <w:outlineLvl w:val="3"/>
        <w:rPr>
          <w:rFonts w:ascii="宋体" w:hAnsi="宋体" w:eastAsia="宋体" w:cs="宋体"/>
          <w:b/>
          <w:bCs/>
          <w:sz w:val="21"/>
          <w:szCs w:val="21"/>
        </w:rPr>
      </w:pPr>
      <w:bookmarkStart w:id="384" w:name="_Toc989267"/>
      <w:r>
        <w:rPr>
          <w:rFonts w:ascii="宋体" w:hAnsi="宋体" w:eastAsia="宋体" w:cs="宋体"/>
          <w:b/>
          <w:bCs/>
          <w:sz w:val="21"/>
          <w:szCs w:val="21"/>
        </w:rPr>
        <w:t>（3） 设定提存计划列示</w:t>
      </w:r>
      <w:bookmarkEnd w:id="384"/>
    </w:p>
    <w:p w14:paraId="0A6B095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0C1148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9BE0EB4">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37315BB">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4419FB7">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DB2B4CC">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3B173A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17FAD1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59C91B5">
            <w:pPr>
              <w:spacing w:before="40" w:after="40" w:line="240" w:lineRule="exact"/>
              <w:jc w:val="left"/>
              <w:rPr>
                <w:rFonts w:ascii="宋体" w:hAnsi="宋体" w:eastAsia="宋体" w:cs="宋体"/>
                <w:sz w:val="18"/>
                <w:szCs w:val="18"/>
              </w:rPr>
            </w:pPr>
            <w:r>
              <w:rPr>
                <w:rFonts w:ascii="宋体" w:hAnsi="宋体" w:eastAsia="宋体" w:cs="宋体"/>
                <w:sz w:val="18"/>
                <w:szCs w:val="18"/>
              </w:rPr>
              <w:t>1、基本养老保险</w:t>
            </w:r>
          </w:p>
        </w:tc>
        <w:tc>
          <w:tcPr>
            <w:tcW w:w="1928" w:type="dxa"/>
            <w:tcBorders>
              <w:top w:val="single" w:color="auto" w:sz="2" w:space="0"/>
              <w:left w:val="single" w:color="auto" w:sz="2" w:space="0"/>
              <w:bottom w:val="single" w:color="auto" w:sz="2" w:space="0"/>
              <w:right w:val="single" w:color="auto" w:sz="2" w:space="0"/>
            </w:tcBorders>
            <w:vAlign w:val="center"/>
          </w:tcPr>
          <w:p w14:paraId="061005A2">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513C8D1A">
            <w:pPr>
              <w:spacing w:before="0" w:after="0" w:line="240" w:lineRule="exact"/>
              <w:jc w:val="right"/>
              <w:rPr>
                <w:rFonts w:ascii="宋体" w:hAnsi="宋体" w:eastAsia="宋体" w:cs="宋体"/>
                <w:sz w:val="18"/>
                <w:szCs w:val="18"/>
              </w:rPr>
            </w:pPr>
            <w:r>
              <w:rPr>
                <w:rFonts w:ascii="宋体" w:hAnsi="宋体" w:eastAsia="宋体" w:cs="宋体"/>
                <w:sz w:val="18"/>
                <w:szCs w:val="18"/>
              </w:rPr>
              <w:t>7,590,006.95</w:t>
            </w:r>
          </w:p>
        </w:tc>
        <w:tc>
          <w:tcPr>
            <w:tcW w:w="1928" w:type="dxa"/>
            <w:tcBorders>
              <w:top w:val="single" w:color="auto" w:sz="2" w:space="0"/>
              <w:left w:val="single" w:color="auto" w:sz="2" w:space="0"/>
              <w:bottom w:val="single" w:color="auto" w:sz="2" w:space="0"/>
              <w:right w:val="single" w:color="auto" w:sz="2" w:space="0"/>
            </w:tcBorders>
            <w:vAlign w:val="center"/>
          </w:tcPr>
          <w:p w14:paraId="1722E89C">
            <w:pPr>
              <w:spacing w:before="0" w:after="0" w:line="240" w:lineRule="exact"/>
              <w:jc w:val="right"/>
              <w:rPr>
                <w:rFonts w:ascii="宋体" w:hAnsi="宋体" w:eastAsia="宋体" w:cs="宋体"/>
                <w:sz w:val="18"/>
                <w:szCs w:val="18"/>
              </w:rPr>
            </w:pPr>
            <w:r>
              <w:rPr>
                <w:rFonts w:ascii="宋体" w:hAnsi="宋体" w:eastAsia="宋体" w:cs="宋体"/>
                <w:sz w:val="18"/>
                <w:szCs w:val="18"/>
              </w:rPr>
              <w:t>7,590,006.95</w:t>
            </w:r>
          </w:p>
        </w:tc>
        <w:tc>
          <w:tcPr>
            <w:tcW w:w="1928" w:type="dxa"/>
            <w:tcBorders>
              <w:top w:val="single" w:color="auto" w:sz="2" w:space="0"/>
              <w:left w:val="single" w:color="auto" w:sz="2" w:space="0"/>
              <w:bottom w:val="single" w:color="auto" w:sz="2" w:space="0"/>
              <w:right w:val="single" w:color="auto" w:sz="2" w:space="0"/>
            </w:tcBorders>
            <w:vAlign w:val="center"/>
          </w:tcPr>
          <w:p w14:paraId="7B3F3EE3">
            <w:pPr>
              <w:spacing w:before="0" w:after="0" w:line="240" w:lineRule="exact"/>
              <w:jc w:val="right"/>
              <w:rPr>
                <w:rFonts w:ascii="宋体" w:hAnsi="宋体" w:eastAsia="宋体" w:cs="宋体"/>
                <w:sz w:val="18"/>
                <w:szCs w:val="18"/>
              </w:rPr>
            </w:pPr>
          </w:p>
        </w:tc>
      </w:tr>
      <w:tr w14:paraId="0F3769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BF02EE3">
            <w:pPr>
              <w:spacing w:before="40" w:after="40" w:line="240" w:lineRule="exact"/>
              <w:jc w:val="left"/>
              <w:rPr>
                <w:rFonts w:ascii="宋体" w:hAnsi="宋体" w:eastAsia="宋体" w:cs="宋体"/>
                <w:sz w:val="18"/>
                <w:szCs w:val="18"/>
              </w:rPr>
            </w:pPr>
            <w:r>
              <w:rPr>
                <w:rFonts w:ascii="宋体" w:hAnsi="宋体" w:eastAsia="宋体" w:cs="宋体"/>
                <w:sz w:val="18"/>
                <w:szCs w:val="18"/>
              </w:rPr>
              <w:t>2、失业保险费</w:t>
            </w:r>
          </w:p>
        </w:tc>
        <w:tc>
          <w:tcPr>
            <w:tcW w:w="1928" w:type="dxa"/>
            <w:tcBorders>
              <w:top w:val="single" w:color="auto" w:sz="2" w:space="0"/>
              <w:left w:val="single" w:color="auto" w:sz="2" w:space="0"/>
              <w:bottom w:val="single" w:color="auto" w:sz="2" w:space="0"/>
              <w:right w:val="single" w:color="auto" w:sz="2" w:space="0"/>
            </w:tcBorders>
            <w:vAlign w:val="center"/>
          </w:tcPr>
          <w:p w14:paraId="1DF68F86">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736687CA">
            <w:pPr>
              <w:spacing w:before="0" w:after="0" w:line="240" w:lineRule="exact"/>
              <w:jc w:val="right"/>
              <w:rPr>
                <w:rFonts w:ascii="宋体" w:hAnsi="宋体" w:eastAsia="宋体" w:cs="宋体"/>
                <w:sz w:val="18"/>
                <w:szCs w:val="18"/>
              </w:rPr>
            </w:pPr>
            <w:r>
              <w:rPr>
                <w:rFonts w:ascii="宋体" w:hAnsi="宋体" w:eastAsia="宋体" w:cs="宋体"/>
                <w:sz w:val="18"/>
                <w:szCs w:val="18"/>
              </w:rPr>
              <w:t>242,980.33</w:t>
            </w:r>
          </w:p>
        </w:tc>
        <w:tc>
          <w:tcPr>
            <w:tcW w:w="1928" w:type="dxa"/>
            <w:tcBorders>
              <w:top w:val="single" w:color="auto" w:sz="2" w:space="0"/>
              <w:left w:val="single" w:color="auto" w:sz="2" w:space="0"/>
              <w:bottom w:val="single" w:color="auto" w:sz="2" w:space="0"/>
              <w:right w:val="single" w:color="auto" w:sz="2" w:space="0"/>
            </w:tcBorders>
            <w:vAlign w:val="center"/>
          </w:tcPr>
          <w:p w14:paraId="251B82EE">
            <w:pPr>
              <w:spacing w:before="0" w:after="0" w:line="240" w:lineRule="exact"/>
              <w:jc w:val="right"/>
              <w:rPr>
                <w:rFonts w:ascii="宋体" w:hAnsi="宋体" w:eastAsia="宋体" w:cs="宋体"/>
                <w:sz w:val="18"/>
                <w:szCs w:val="18"/>
              </w:rPr>
            </w:pPr>
            <w:r>
              <w:rPr>
                <w:rFonts w:ascii="宋体" w:hAnsi="宋体" w:eastAsia="宋体" w:cs="宋体"/>
                <w:sz w:val="18"/>
                <w:szCs w:val="18"/>
              </w:rPr>
              <w:t>242,980.33</w:t>
            </w:r>
          </w:p>
        </w:tc>
        <w:tc>
          <w:tcPr>
            <w:tcW w:w="1928" w:type="dxa"/>
            <w:tcBorders>
              <w:top w:val="single" w:color="auto" w:sz="2" w:space="0"/>
              <w:left w:val="single" w:color="auto" w:sz="2" w:space="0"/>
              <w:bottom w:val="single" w:color="auto" w:sz="2" w:space="0"/>
              <w:right w:val="single" w:color="auto" w:sz="2" w:space="0"/>
            </w:tcBorders>
            <w:vAlign w:val="center"/>
          </w:tcPr>
          <w:p w14:paraId="4FEBF1FB">
            <w:pPr>
              <w:spacing w:before="0" w:after="0" w:line="240" w:lineRule="exact"/>
              <w:jc w:val="right"/>
              <w:rPr>
                <w:rFonts w:ascii="宋体" w:hAnsi="宋体" w:eastAsia="宋体" w:cs="宋体"/>
                <w:sz w:val="18"/>
                <w:szCs w:val="18"/>
              </w:rPr>
            </w:pPr>
          </w:p>
        </w:tc>
      </w:tr>
      <w:tr w14:paraId="7AF5B6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A4F78C2">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14:paraId="75B36AF2">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450D760A">
            <w:pPr>
              <w:spacing w:before="0" w:after="0" w:line="240" w:lineRule="exact"/>
              <w:jc w:val="right"/>
              <w:rPr>
                <w:rFonts w:ascii="宋体" w:hAnsi="宋体" w:eastAsia="宋体" w:cs="宋体"/>
                <w:sz w:val="18"/>
                <w:szCs w:val="18"/>
              </w:rPr>
            </w:pPr>
            <w:r>
              <w:rPr>
                <w:rFonts w:ascii="宋体" w:hAnsi="宋体" w:eastAsia="宋体" w:cs="宋体"/>
                <w:sz w:val="18"/>
                <w:szCs w:val="18"/>
              </w:rPr>
              <w:t>7,832,987.28</w:t>
            </w:r>
          </w:p>
        </w:tc>
        <w:tc>
          <w:tcPr>
            <w:tcW w:w="1928" w:type="dxa"/>
            <w:tcBorders>
              <w:top w:val="single" w:color="auto" w:sz="2" w:space="0"/>
              <w:left w:val="single" w:color="auto" w:sz="2" w:space="0"/>
              <w:bottom w:val="single" w:color="auto" w:sz="2" w:space="0"/>
              <w:right w:val="single" w:color="auto" w:sz="2" w:space="0"/>
            </w:tcBorders>
            <w:vAlign w:val="center"/>
          </w:tcPr>
          <w:p w14:paraId="44900898">
            <w:pPr>
              <w:spacing w:before="0" w:after="0" w:line="240" w:lineRule="exact"/>
              <w:jc w:val="right"/>
              <w:rPr>
                <w:rFonts w:ascii="宋体" w:hAnsi="宋体" w:eastAsia="宋体" w:cs="宋体"/>
                <w:sz w:val="18"/>
                <w:szCs w:val="18"/>
              </w:rPr>
            </w:pPr>
            <w:r>
              <w:rPr>
                <w:rFonts w:ascii="宋体" w:hAnsi="宋体" w:eastAsia="宋体" w:cs="宋体"/>
                <w:sz w:val="18"/>
                <w:szCs w:val="18"/>
              </w:rPr>
              <w:t>7,832,987.28</w:t>
            </w:r>
          </w:p>
        </w:tc>
        <w:tc>
          <w:tcPr>
            <w:tcW w:w="1928" w:type="dxa"/>
            <w:tcBorders>
              <w:top w:val="single" w:color="auto" w:sz="2" w:space="0"/>
              <w:left w:val="single" w:color="auto" w:sz="2" w:space="0"/>
              <w:bottom w:val="single" w:color="auto" w:sz="2" w:space="0"/>
              <w:right w:val="single" w:color="auto" w:sz="2" w:space="0"/>
            </w:tcBorders>
            <w:vAlign w:val="center"/>
          </w:tcPr>
          <w:p w14:paraId="0B9C7854">
            <w:pPr>
              <w:spacing w:before="0" w:after="0" w:line="240" w:lineRule="exact"/>
              <w:jc w:val="right"/>
              <w:rPr>
                <w:rFonts w:ascii="宋体" w:hAnsi="宋体" w:eastAsia="宋体" w:cs="宋体"/>
                <w:sz w:val="18"/>
                <w:szCs w:val="18"/>
              </w:rPr>
            </w:pPr>
          </w:p>
        </w:tc>
      </w:tr>
    </w:tbl>
    <w:p w14:paraId="1CD599D5">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A872B1B">
      <w:pPr>
        <w:keepNext/>
        <w:keepLines/>
        <w:spacing w:before="300" w:after="300" w:line="280" w:lineRule="exact"/>
        <w:jc w:val="left"/>
        <w:outlineLvl w:val="2"/>
        <w:rPr>
          <w:rFonts w:ascii="宋体" w:hAnsi="宋体" w:eastAsia="宋体" w:cs="宋体"/>
          <w:b/>
          <w:bCs/>
          <w:sz w:val="21"/>
          <w:szCs w:val="21"/>
        </w:rPr>
      </w:pPr>
      <w:bookmarkStart w:id="385" w:name="_Toc989268"/>
      <w:r>
        <w:rPr>
          <w:rFonts w:ascii="宋体" w:hAnsi="宋体" w:eastAsia="宋体" w:cs="宋体"/>
          <w:b/>
          <w:bCs/>
          <w:sz w:val="21"/>
          <w:szCs w:val="21"/>
        </w:rPr>
        <w:t>41、应交税费</w:t>
      </w:r>
      <w:bookmarkEnd w:id="385"/>
    </w:p>
    <w:p w14:paraId="0700221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666F8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E91395">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75621D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2E834E7">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E7B16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2ACBD7B">
            <w:pPr>
              <w:spacing w:before="0" w:after="0" w:line="240" w:lineRule="exact"/>
              <w:jc w:val="left"/>
              <w:rPr>
                <w:rFonts w:ascii="宋体" w:hAnsi="宋体" w:eastAsia="宋体" w:cs="宋体"/>
                <w:sz w:val="18"/>
                <w:szCs w:val="18"/>
              </w:rPr>
            </w:pPr>
            <w:r>
              <w:rPr>
                <w:rFonts w:ascii="宋体" w:hAnsi="宋体" w:eastAsia="宋体" w:cs="宋体"/>
                <w:sz w:val="18"/>
                <w:szCs w:val="18"/>
              </w:rPr>
              <w:t>增值税</w:t>
            </w:r>
          </w:p>
        </w:tc>
        <w:tc>
          <w:tcPr>
            <w:tcW w:w="3213" w:type="dxa"/>
            <w:tcBorders>
              <w:top w:val="single" w:color="auto" w:sz="2" w:space="0"/>
              <w:left w:val="single" w:color="auto" w:sz="2" w:space="0"/>
              <w:bottom w:val="single" w:color="auto" w:sz="2" w:space="0"/>
              <w:right w:val="single" w:color="auto" w:sz="2" w:space="0"/>
            </w:tcBorders>
            <w:vAlign w:val="center"/>
          </w:tcPr>
          <w:p w14:paraId="77B1E616">
            <w:pPr>
              <w:spacing w:before="0" w:after="0" w:line="240" w:lineRule="exact"/>
              <w:jc w:val="right"/>
              <w:rPr>
                <w:rFonts w:ascii="宋体" w:hAnsi="宋体" w:eastAsia="宋体" w:cs="宋体"/>
                <w:sz w:val="18"/>
                <w:szCs w:val="18"/>
              </w:rPr>
            </w:pPr>
            <w:r>
              <w:rPr>
                <w:rFonts w:ascii="宋体" w:hAnsi="宋体" w:eastAsia="宋体" w:cs="宋体"/>
                <w:sz w:val="18"/>
                <w:szCs w:val="18"/>
              </w:rPr>
              <w:t>3,125,990.15</w:t>
            </w:r>
          </w:p>
        </w:tc>
        <w:tc>
          <w:tcPr>
            <w:tcW w:w="3213" w:type="dxa"/>
            <w:tcBorders>
              <w:top w:val="single" w:color="auto" w:sz="2" w:space="0"/>
              <w:left w:val="single" w:color="auto" w:sz="2" w:space="0"/>
              <w:bottom w:val="single" w:color="auto" w:sz="2" w:space="0"/>
              <w:right w:val="single" w:color="auto" w:sz="2" w:space="0"/>
            </w:tcBorders>
            <w:vAlign w:val="center"/>
          </w:tcPr>
          <w:p w14:paraId="5A47C74E">
            <w:pPr>
              <w:spacing w:before="0" w:after="0" w:line="240" w:lineRule="exact"/>
              <w:jc w:val="right"/>
              <w:rPr>
                <w:rFonts w:ascii="宋体" w:hAnsi="宋体" w:eastAsia="宋体" w:cs="宋体"/>
                <w:sz w:val="18"/>
                <w:szCs w:val="18"/>
              </w:rPr>
            </w:pPr>
            <w:r>
              <w:rPr>
                <w:rFonts w:ascii="宋体" w:hAnsi="宋体" w:eastAsia="宋体" w:cs="宋体"/>
                <w:sz w:val="18"/>
                <w:szCs w:val="18"/>
              </w:rPr>
              <w:t>3,173,914.10</w:t>
            </w:r>
          </w:p>
        </w:tc>
      </w:tr>
      <w:tr w14:paraId="62EEEF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526F942">
            <w:pPr>
              <w:spacing w:before="0" w:after="0" w:line="240" w:lineRule="exact"/>
              <w:jc w:val="left"/>
              <w:rPr>
                <w:rFonts w:ascii="宋体" w:hAnsi="宋体" w:eastAsia="宋体" w:cs="宋体"/>
                <w:sz w:val="18"/>
                <w:szCs w:val="18"/>
              </w:rPr>
            </w:pPr>
            <w:r>
              <w:rPr>
                <w:rFonts w:ascii="宋体" w:hAnsi="宋体" w:eastAsia="宋体" w:cs="宋体"/>
                <w:sz w:val="18"/>
                <w:szCs w:val="18"/>
              </w:rPr>
              <w:t>企业所得税</w:t>
            </w:r>
          </w:p>
        </w:tc>
        <w:tc>
          <w:tcPr>
            <w:tcW w:w="3213" w:type="dxa"/>
            <w:tcBorders>
              <w:top w:val="single" w:color="auto" w:sz="2" w:space="0"/>
              <w:left w:val="single" w:color="auto" w:sz="2" w:space="0"/>
              <w:bottom w:val="single" w:color="auto" w:sz="2" w:space="0"/>
              <w:right w:val="single" w:color="auto" w:sz="2" w:space="0"/>
            </w:tcBorders>
            <w:vAlign w:val="center"/>
          </w:tcPr>
          <w:p w14:paraId="4D28CAA3">
            <w:pPr>
              <w:spacing w:before="0" w:after="0" w:line="240" w:lineRule="exact"/>
              <w:jc w:val="right"/>
              <w:rPr>
                <w:rFonts w:ascii="宋体" w:hAnsi="宋体" w:eastAsia="宋体" w:cs="宋体"/>
                <w:sz w:val="18"/>
                <w:szCs w:val="18"/>
              </w:rPr>
            </w:pPr>
            <w:r>
              <w:rPr>
                <w:rFonts w:ascii="宋体" w:hAnsi="宋体" w:eastAsia="宋体" w:cs="宋体"/>
                <w:sz w:val="18"/>
                <w:szCs w:val="18"/>
              </w:rPr>
              <w:t>2,913,364.07</w:t>
            </w:r>
          </w:p>
        </w:tc>
        <w:tc>
          <w:tcPr>
            <w:tcW w:w="3213" w:type="dxa"/>
            <w:tcBorders>
              <w:top w:val="single" w:color="auto" w:sz="2" w:space="0"/>
              <w:left w:val="single" w:color="auto" w:sz="2" w:space="0"/>
              <w:bottom w:val="single" w:color="auto" w:sz="2" w:space="0"/>
              <w:right w:val="single" w:color="auto" w:sz="2" w:space="0"/>
            </w:tcBorders>
            <w:vAlign w:val="center"/>
          </w:tcPr>
          <w:p w14:paraId="4B0C9DC3">
            <w:pPr>
              <w:spacing w:before="0" w:after="0" w:line="240" w:lineRule="exact"/>
              <w:jc w:val="right"/>
              <w:rPr>
                <w:rFonts w:ascii="宋体" w:hAnsi="宋体" w:eastAsia="宋体" w:cs="宋体"/>
                <w:sz w:val="18"/>
                <w:szCs w:val="18"/>
              </w:rPr>
            </w:pPr>
            <w:r>
              <w:rPr>
                <w:rFonts w:ascii="宋体" w:hAnsi="宋体" w:eastAsia="宋体" w:cs="宋体"/>
                <w:sz w:val="18"/>
                <w:szCs w:val="18"/>
              </w:rPr>
              <w:t>1,669,861.07</w:t>
            </w:r>
          </w:p>
        </w:tc>
      </w:tr>
      <w:tr w14:paraId="347774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B1ABB1D">
            <w:pPr>
              <w:spacing w:before="0" w:after="0" w:line="240" w:lineRule="exact"/>
              <w:jc w:val="left"/>
              <w:rPr>
                <w:rFonts w:ascii="宋体" w:hAnsi="宋体" w:eastAsia="宋体" w:cs="宋体"/>
                <w:sz w:val="18"/>
                <w:szCs w:val="18"/>
              </w:rPr>
            </w:pPr>
            <w:r>
              <w:rPr>
                <w:rFonts w:ascii="宋体" w:hAnsi="宋体" w:eastAsia="宋体" w:cs="宋体"/>
                <w:sz w:val="18"/>
                <w:szCs w:val="18"/>
              </w:rPr>
              <w:t>个人所得税</w:t>
            </w:r>
          </w:p>
        </w:tc>
        <w:tc>
          <w:tcPr>
            <w:tcW w:w="3213" w:type="dxa"/>
            <w:tcBorders>
              <w:top w:val="single" w:color="auto" w:sz="2" w:space="0"/>
              <w:left w:val="single" w:color="auto" w:sz="2" w:space="0"/>
              <w:bottom w:val="single" w:color="auto" w:sz="2" w:space="0"/>
              <w:right w:val="single" w:color="auto" w:sz="2" w:space="0"/>
            </w:tcBorders>
            <w:vAlign w:val="center"/>
          </w:tcPr>
          <w:p w14:paraId="52951EE2">
            <w:pPr>
              <w:spacing w:before="0" w:after="0" w:line="240" w:lineRule="exact"/>
              <w:jc w:val="right"/>
              <w:rPr>
                <w:rFonts w:ascii="宋体" w:hAnsi="宋体" w:eastAsia="宋体" w:cs="宋体"/>
                <w:sz w:val="18"/>
                <w:szCs w:val="18"/>
              </w:rPr>
            </w:pPr>
            <w:r>
              <w:rPr>
                <w:rFonts w:ascii="宋体" w:hAnsi="宋体" w:eastAsia="宋体" w:cs="宋体"/>
                <w:sz w:val="18"/>
                <w:szCs w:val="18"/>
              </w:rPr>
              <w:t>832,489.91</w:t>
            </w:r>
          </w:p>
        </w:tc>
        <w:tc>
          <w:tcPr>
            <w:tcW w:w="3213" w:type="dxa"/>
            <w:tcBorders>
              <w:top w:val="single" w:color="auto" w:sz="2" w:space="0"/>
              <w:left w:val="single" w:color="auto" w:sz="2" w:space="0"/>
              <w:bottom w:val="single" w:color="auto" w:sz="2" w:space="0"/>
              <w:right w:val="single" w:color="auto" w:sz="2" w:space="0"/>
            </w:tcBorders>
            <w:vAlign w:val="center"/>
          </w:tcPr>
          <w:p w14:paraId="5DDA0C88">
            <w:pPr>
              <w:spacing w:before="0" w:after="0" w:line="240" w:lineRule="exact"/>
              <w:jc w:val="right"/>
              <w:rPr>
                <w:rFonts w:ascii="宋体" w:hAnsi="宋体" w:eastAsia="宋体" w:cs="宋体"/>
                <w:sz w:val="18"/>
                <w:szCs w:val="18"/>
              </w:rPr>
            </w:pPr>
            <w:r>
              <w:rPr>
                <w:rFonts w:ascii="宋体" w:hAnsi="宋体" w:eastAsia="宋体" w:cs="宋体"/>
                <w:sz w:val="18"/>
                <w:szCs w:val="18"/>
              </w:rPr>
              <w:t>763,570.90</w:t>
            </w:r>
          </w:p>
        </w:tc>
      </w:tr>
      <w:tr w14:paraId="4A2558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5009942">
            <w:pPr>
              <w:spacing w:before="0" w:after="0" w:line="240" w:lineRule="exact"/>
              <w:jc w:val="left"/>
              <w:rPr>
                <w:rFonts w:ascii="宋体" w:hAnsi="宋体" w:eastAsia="宋体" w:cs="宋体"/>
                <w:sz w:val="18"/>
                <w:szCs w:val="18"/>
              </w:rPr>
            </w:pPr>
            <w:r>
              <w:rPr>
                <w:rFonts w:ascii="宋体" w:hAnsi="宋体" w:eastAsia="宋体" w:cs="宋体"/>
                <w:sz w:val="18"/>
                <w:szCs w:val="18"/>
              </w:rPr>
              <w:t>城市维护建设税</w:t>
            </w:r>
          </w:p>
        </w:tc>
        <w:tc>
          <w:tcPr>
            <w:tcW w:w="3213" w:type="dxa"/>
            <w:tcBorders>
              <w:top w:val="single" w:color="auto" w:sz="2" w:space="0"/>
              <w:left w:val="single" w:color="auto" w:sz="2" w:space="0"/>
              <w:bottom w:val="single" w:color="auto" w:sz="2" w:space="0"/>
              <w:right w:val="single" w:color="auto" w:sz="2" w:space="0"/>
            </w:tcBorders>
            <w:vAlign w:val="center"/>
          </w:tcPr>
          <w:p w14:paraId="5D8731C5">
            <w:pPr>
              <w:spacing w:before="0" w:after="0" w:line="240" w:lineRule="exact"/>
              <w:jc w:val="right"/>
              <w:rPr>
                <w:rFonts w:ascii="宋体" w:hAnsi="宋体" w:eastAsia="宋体" w:cs="宋体"/>
                <w:sz w:val="18"/>
                <w:szCs w:val="18"/>
              </w:rPr>
            </w:pPr>
            <w:r>
              <w:rPr>
                <w:rFonts w:ascii="宋体" w:hAnsi="宋体" w:eastAsia="宋体" w:cs="宋体"/>
                <w:sz w:val="18"/>
                <w:szCs w:val="18"/>
              </w:rPr>
              <w:t>139,406.86</w:t>
            </w:r>
          </w:p>
        </w:tc>
        <w:tc>
          <w:tcPr>
            <w:tcW w:w="3213" w:type="dxa"/>
            <w:tcBorders>
              <w:top w:val="single" w:color="auto" w:sz="2" w:space="0"/>
              <w:left w:val="single" w:color="auto" w:sz="2" w:space="0"/>
              <w:bottom w:val="single" w:color="auto" w:sz="2" w:space="0"/>
              <w:right w:val="single" w:color="auto" w:sz="2" w:space="0"/>
            </w:tcBorders>
            <w:vAlign w:val="center"/>
          </w:tcPr>
          <w:p w14:paraId="28F678AD">
            <w:pPr>
              <w:spacing w:before="0" w:after="0" w:line="240" w:lineRule="exact"/>
              <w:jc w:val="right"/>
              <w:rPr>
                <w:rFonts w:ascii="宋体" w:hAnsi="宋体" w:eastAsia="宋体" w:cs="宋体"/>
                <w:sz w:val="18"/>
                <w:szCs w:val="18"/>
              </w:rPr>
            </w:pPr>
            <w:r>
              <w:rPr>
                <w:rFonts w:ascii="宋体" w:hAnsi="宋体" w:eastAsia="宋体" w:cs="宋体"/>
                <w:sz w:val="18"/>
                <w:szCs w:val="18"/>
              </w:rPr>
              <w:t>219,469.63</w:t>
            </w:r>
          </w:p>
        </w:tc>
      </w:tr>
      <w:tr w14:paraId="5E722E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795E7C5">
            <w:pPr>
              <w:spacing w:before="0" w:after="0" w:line="240" w:lineRule="exact"/>
              <w:jc w:val="left"/>
              <w:rPr>
                <w:rFonts w:ascii="宋体" w:hAnsi="宋体" w:eastAsia="宋体" w:cs="宋体"/>
                <w:sz w:val="18"/>
                <w:szCs w:val="18"/>
              </w:rPr>
            </w:pPr>
            <w:r>
              <w:rPr>
                <w:rFonts w:ascii="宋体" w:hAnsi="宋体" w:eastAsia="宋体" w:cs="宋体"/>
                <w:sz w:val="18"/>
                <w:szCs w:val="18"/>
              </w:rPr>
              <w:t>教育费附加</w:t>
            </w:r>
          </w:p>
        </w:tc>
        <w:tc>
          <w:tcPr>
            <w:tcW w:w="3213" w:type="dxa"/>
            <w:tcBorders>
              <w:top w:val="single" w:color="auto" w:sz="2" w:space="0"/>
              <w:left w:val="single" w:color="auto" w:sz="2" w:space="0"/>
              <w:bottom w:val="single" w:color="auto" w:sz="2" w:space="0"/>
              <w:right w:val="single" w:color="auto" w:sz="2" w:space="0"/>
            </w:tcBorders>
            <w:vAlign w:val="center"/>
          </w:tcPr>
          <w:p w14:paraId="41568921">
            <w:pPr>
              <w:spacing w:before="0" w:after="0" w:line="240" w:lineRule="exact"/>
              <w:jc w:val="right"/>
              <w:rPr>
                <w:rFonts w:ascii="宋体" w:hAnsi="宋体" w:eastAsia="宋体" w:cs="宋体"/>
                <w:sz w:val="18"/>
                <w:szCs w:val="18"/>
              </w:rPr>
            </w:pPr>
            <w:r>
              <w:rPr>
                <w:rFonts w:ascii="宋体" w:hAnsi="宋体" w:eastAsia="宋体" w:cs="宋体"/>
                <w:sz w:val="18"/>
                <w:szCs w:val="18"/>
              </w:rPr>
              <w:t>160,308.03</w:t>
            </w:r>
          </w:p>
        </w:tc>
        <w:tc>
          <w:tcPr>
            <w:tcW w:w="3213" w:type="dxa"/>
            <w:tcBorders>
              <w:top w:val="single" w:color="auto" w:sz="2" w:space="0"/>
              <w:left w:val="single" w:color="auto" w:sz="2" w:space="0"/>
              <w:bottom w:val="single" w:color="auto" w:sz="2" w:space="0"/>
              <w:right w:val="single" w:color="auto" w:sz="2" w:space="0"/>
            </w:tcBorders>
            <w:vAlign w:val="center"/>
          </w:tcPr>
          <w:p w14:paraId="45DDC339">
            <w:pPr>
              <w:spacing w:before="0" w:after="0" w:line="240" w:lineRule="exact"/>
              <w:jc w:val="right"/>
              <w:rPr>
                <w:rFonts w:ascii="宋体" w:hAnsi="宋体" w:eastAsia="宋体" w:cs="宋体"/>
                <w:sz w:val="18"/>
                <w:szCs w:val="18"/>
              </w:rPr>
            </w:pPr>
            <w:r>
              <w:rPr>
                <w:rFonts w:ascii="宋体" w:hAnsi="宋体" w:eastAsia="宋体" w:cs="宋体"/>
                <w:sz w:val="18"/>
                <w:szCs w:val="18"/>
              </w:rPr>
              <w:t>161,971.00</w:t>
            </w:r>
          </w:p>
        </w:tc>
      </w:tr>
      <w:tr w14:paraId="28969C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93A031D">
            <w:pPr>
              <w:spacing w:before="0" w:after="0" w:line="240" w:lineRule="exact"/>
              <w:jc w:val="left"/>
              <w:rPr>
                <w:rFonts w:ascii="宋体" w:hAnsi="宋体" w:eastAsia="宋体" w:cs="宋体"/>
                <w:sz w:val="18"/>
                <w:szCs w:val="18"/>
              </w:rPr>
            </w:pPr>
            <w:r>
              <w:rPr>
                <w:rFonts w:ascii="宋体" w:hAnsi="宋体" w:eastAsia="宋体" w:cs="宋体"/>
                <w:sz w:val="18"/>
                <w:szCs w:val="18"/>
              </w:rPr>
              <w:t>印花税</w:t>
            </w:r>
          </w:p>
        </w:tc>
        <w:tc>
          <w:tcPr>
            <w:tcW w:w="3213" w:type="dxa"/>
            <w:tcBorders>
              <w:top w:val="single" w:color="auto" w:sz="2" w:space="0"/>
              <w:left w:val="single" w:color="auto" w:sz="2" w:space="0"/>
              <w:bottom w:val="single" w:color="auto" w:sz="2" w:space="0"/>
              <w:right w:val="single" w:color="auto" w:sz="2" w:space="0"/>
            </w:tcBorders>
            <w:vAlign w:val="center"/>
          </w:tcPr>
          <w:p w14:paraId="411D6E81">
            <w:pPr>
              <w:spacing w:before="0" w:after="0" w:line="240" w:lineRule="exact"/>
              <w:jc w:val="right"/>
              <w:rPr>
                <w:rFonts w:ascii="宋体" w:hAnsi="宋体" w:eastAsia="宋体" w:cs="宋体"/>
                <w:sz w:val="18"/>
                <w:szCs w:val="18"/>
              </w:rPr>
            </w:pPr>
            <w:r>
              <w:rPr>
                <w:rFonts w:ascii="宋体" w:hAnsi="宋体" w:eastAsia="宋体" w:cs="宋体"/>
                <w:sz w:val="18"/>
                <w:szCs w:val="18"/>
              </w:rPr>
              <w:t>49,225.16</w:t>
            </w:r>
          </w:p>
        </w:tc>
        <w:tc>
          <w:tcPr>
            <w:tcW w:w="3213" w:type="dxa"/>
            <w:tcBorders>
              <w:top w:val="single" w:color="auto" w:sz="2" w:space="0"/>
              <w:left w:val="single" w:color="auto" w:sz="2" w:space="0"/>
              <w:bottom w:val="single" w:color="auto" w:sz="2" w:space="0"/>
              <w:right w:val="single" w:color="auto" w:sz="2" w:space="0"/>
            </w:tcBorders>
            <w:vAlign w:val="center"/>
          </w:tcPr>
          <w:p w14:paraId="3E2BF40B">
            <w:pPr>
              <w:spacing w:before="0" w:after="0" w:line="240" w:lineRule="exact"/>
              <w:jc w:val="right"/>
              <w:rPr>
                <w:rFonts w:ascii="宋体" w:hAnsi="宋体" w:eastAsia="宋体" w:cs="宋体"/>
                <w:sz w:val="18"/>
                <w:szCs w:val="18"/>
              </w:rPr>
            </w:pPr>
            <w:r>
              <w:rPr>
                <w:rFonts w:ascii="宋体" w:hAnsi="宋体" w:eastAsia="宋体" w:cs="宋体"/>
                <w:sz w:val="18"/>
                <w:szCs w:val="18"/>
              </w:rPr>
              <w:t>90,435.81</w:t>
            </w:r>
          </w:p>
        </w:tc>
      </w:tr>
      <w:tr w14:paraId="5C3601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3E20CA9">
            <w:pPr>
              <w:spacing w:before="0" w:after="0" w:line="240" w:lineRule="exact"/>
              <w:jc w:val="left"/>
              <w:rPr>
                <w:rFonts w:ascii="宋体" w:hAnsi="宋体" w:eastAsia="宋体" w:cs="宋体"/>
                <w:sz w:val="18"/>
                <w:szCs w:val="18"/>
              </w:rPr>
            </w:pPr>
            <w:r>
              <w:rPr>
                <w:rFonts w:ascii="宋体" w:hAnsi="宋体" w:eastAsia="宋体" w:cs="宋体"/>
                <w:sz w:val="18"/>
                <w:szCs w:val="18"/>
              </w:rPr>
              <w:t>房产税</w:t>
            </w:r>
          </w:p>
        </w:tc>
        <w:tc>
          <w:tcPr>
            <w:tcW w:w="3213" w:type="dxa"/>
            <w:tcBorders>
              <w:top w:val="single" w:color="auto" w:sz="2" w:space="0"/>
              <w:left w:val="single" w:color="auto" w:sz="2" w:space="0"/>
              <w:bottom w:val="single" w:color="auto" w:sz="2" w:space="0"/>
              <w:right w:val="single" w:color="auto" w:sz="2" w:space="0"/>
            </w:tcBorders>
            <w:vAlign w:val="center"/>
          </w:tcPr>
          <w:p w14:paraId="36C6F296">
            <w:pPr>
              <w:spacing w:before="0" w:after="0" w:line="240" w:lineRule="exact"/>
              <w:jc w:val="right"/>
              <w:rPr>
                <w:rFonts w:ascii="宋体" w:hAnsi="宋体" w:eastAsia="宋体" w:cs="宋体"/>
                <w:sz w:val="18"/>
                <w:szCs w:val="18"/>
              </w:rPr>
            </w:pPr>
            <w:r>
              <w:rPr>
                <w:rFonts w:ascii="宋体" w:hAnsi="宋体" w:eastAsia="宋体" w:cs="宋体"/>
                <w:sz w:val="18"/>
                <w:szCs w:val="18"/>
              </w:rPr>
              <w:t>1,177,209.14</w:t>
            </w:r>
          </w:p>
        </w:tc>
        <w:tc>
          <w:tcPr>
            <w:tcW w:w="3213" w:type="dxa"/>
            <w:tcBorders>
              <w:top w:val="single" w:color="auto" w:sz="2" w:space="0"/>
              <w:left w:val="single" w:color="auto" w:sz="2" w:space="0"/>
              <w:bottom w:val="single" w:color="auto" w:sz="2" w:space="0"/>
              <w:right w:val="single" w:color="auto" w:sz="2" w:space="0"/>
            </w:tcBorders>
            <w:vAlign w:val="center"/>
          </w:tcPr>
          <w:p w14:paraId="017CEDE9">
            <w:pPr>
              <w:spacing w:before="0" w:after="0" w:line="240" w:lineRule="exact"/>
              <w:jc w:val="right"/>
              <w:rPr>
                <w:rFonts w:ascii="宋体" w:hAnsi="宋体" w:eastAsia="宋体" w:cs="宋体"/>
                <w:sz w:val="18"/>
                <w:szCs w:val="18"/>
              </w:rPr>
            </w:pPr>
            <w:r>
              <w:rPr>
                <w:rFonts w:ascii="宋体" w:hAnsi="宋体" w:eastAsia="宋体" w:cs="宋体"/>
                <w:sz w:val="18"/>
                <w:szCs w:val="18"/>
              </w:rPr>
              <w:t>1,181,495.66</w:t>
            </w:r>
          </w:p>
        </w:tc>
      </w:tr>
      <w:tr w14:paraId="499D9E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DB4B3CA">
            <w:pPr>
              <w:spacing w:before="0" w:after="0" w:line="240" w:lineRule="exact"/>
              <w:jc w:val="left"/>
              <w:rPr>
                <w:rFonts w:ascii="宋体" w:hAnsi="宋体" w:eastAsia="宋体" w:cs="宋体"/>
                <w:sz w:val="18"/>
                <w:szCs w:val="18"/>
              </w:rPr>
            </w:pPr>
            <w:r>
              <w:rPr>
                <w:rFonts w:ascii="宋体" w:hAnsi="宋体" w:eastAsia="宋体" w:cs="宋体"/>
                <w:sz w:val="18"/>
                <w:szCs w:val="18"/>
              </w:rPr>
              <w:t>土地使用税</w:t>
            </w:r>
          </w:p>
        </w:tc>
        <w:tc>
          <w:tcPr>
            <w:tcW w:w="3213" w:type="dxa"/>
            <w:tcBorders>
              <w:top w:val="single" w:color="auto" w:sz="2" w:space="0"/>
              <w:left w:val="single" w:color="auto" w:sz="2" w:space="0"/>
              <w:bottom w:val="single" w:color="auto" w:sz="2" w:space="0"/>
              <w:right w:val="single" w:color="auto" w:sz="2" w:space="0"/>
            </w:tcBorders>
            <w:vAlign w:val="center"/>
          </w:tcPr>
          <w:p w14:paraId="494FF6D3">
            <w:pPr>
              <w:spacing w:before="0" w:after="0" w:line="240" w:lineRule="exact"/>
              <w:jc w:val="right"/>
              <w:rPr>
                <w:rFonts w:ascii="宋体" w:hAnsi="宋体" w:eastAsia="宋体" w:cs="宋体"/>
                <w:sz w:val="18"/>
                <w:szCs w:val="18"/>
              </w:rPr>
            </w:pPr>
            <w:r>
              <w:rPr>
                <w:rFonts w:ascii="宋体" w:hAnsi="宋体" w:eastAsia="宋体" w:cs="宋体"/>
                <w:sz w:val="18"/>
                <w:szCs w:val="18"/>
              </w:rPr>
              <w:t>249,312.40</w:t>
            </w:r>
          </w:p>
        </w:tc>
        <w:tc>
          <w:tcPr>
            <w:tcW w:w="3213" w:type="dxa"/>
            <w:tcBorders>
              <w:top w:val="single" w:color="auto" w:sz="2" w:space="0"/>
              <w:left w:val="single" w:color="auto" w:sz="2" w:space="0"/>
              <w:bottom w:val="single" w:color="auto" w:sz="2" w:space="0"/>
              <w:right w:val="single" w:color="auto" w:sz="2" w:space="0"/>
            </w:tcBorders>
            <w:vAlign w:val="center"/>
          </w:tcPr>
          <w:p w14:paraId="17988577">
            <w:pPr>
              <w:spacing w:before="0" w:after="0" w:line="240" w:lineRule="exact"/>
              <w:jc w:val="right"/>
              <w:rPr>
                <w:rFonts w:ascii="宋体" w:hAnsi="宋体" w:eastAsia="宋体" w:cs="宋体"/>
                <w:sz w:val="18"/>
                <w:szCs w:val="18"/>
              </w:rPr>
            </w:pPr>
            <w:r>
              <w:rPr>
                <w:rFonts w:ascii="宋体" w:hAnsi="宋体" w:eastAsia="宋体" w:cs="宋体"/>
                <w:sz w:val="18"/>
                <w:szCs w:val="18"/>
              </w:rPr>
              <w:t>249,312.41</w:t>
            </w:r>
          </w:p>
        </w:tc>
      </w:tr>
      <w:tr w14:paraId="095549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A7F98C4">
            <w:pPr>
              <w:spacing w:before="0" w:after="0" w:line="240" w:lineRule="exact"/>
              <w:jc w:val="left"/>
              <w:rPr>
                <w:rFonts w:ascii="宋体" w:hAnsi="宋体" w:eastAsia="宋体" w:cs="宋体"/>
                <w:sz w:val="18"/>
                <w:szCs w:val="18"/>
              </w:rPr>
            </w:pPr>
            <w:r>
              <w:rPr>
                <w:rFonts w:ascii="宋体" w:hAnsi="宋体" w:eastAsia="宋体" w:cs="宋体"/>
                <w:sz w:val="18"/>
                <w:szCs w:val="18"/>
              </w:rPr>
              <w:t>环境保护税</w:t>
            </w:r>
          </w:p>
        </w:tc>
        <w:tc>
          <w:tcPr>
            <w:tcW w:w="3213" w:type="dxa"/>
            <w:tcBorders>
              <w:top w:val="single" w:color="auto" w:sz="2" w:space="0"/>
              <w:left w:val="single" w:color="auto" w:sz="2" w:space="0"/>
              <w:bottom w:val="single" w:color="auto" w:sz="2" w:space="0"/>
              <w:right w:val="single" w:color="auto" w:sz="2" w:space="0"/>
            </w:tcBorders>
            <w:vAlign w:val="center"/>
          </w:tcPr>
          <w:p w14:paraId="4A0B8795">
            <w:pPr>
              <w:spacing w:before="0" w:after="0" w:line="240" w:lineRule="exact"/>
              <w:jc w:val="right"/>
              <w:rPr>
                <w:rFonts w:ascii="宋体" w:hAnsi="宋体" w:eastAsia="宋体" w:cs="宋体"/>
                <w:sz w:val="18"/>
                <w:szCs w:val="18"/>
              </w:rPr>
            </w:pPr>
            <w:r>
              <w:rPr>
                <w:rFonts w:ascii="宋体" w:hAnsi="宋体" w:eastAsia="宋体" w:cs="宋体"/>
                <w:sz w:val="18"/>
                <w:szCs w:val="18"/>
              </w:rPr>
              <w:t>2,281.05</w:t>
            </w:r>
          </w:p>
        </w:tc>
        <w:tc>
          <w:tcPr>
            <w:tcW w:w="3213" w:type="dxa"/>
            <w:tcBorders>
              <w:top w:val="single" w:color="auto" w:sz="2" w:space="0"/>
              <w:left w:val="single" w:color="auto" w:sz="2" w:space="0"/>
              <w:bottom w:val="single" w:color="auto" w:sz="2" w:space="0"/>
              <w:right w:val="single" w:color="auto" w:sz="2" w:space="0"/>
            </w:tcBorders>
            <w:vAlign w:val="center"/>
          </w:tcPr>
          <w:p w14:paraId="4E625056">
            <w:pPr>
              <w:spacing w:before="0" w:after="0" w:line="240" w:lineRule="exact"/>
              <w:jc w:val="right"/>
              <w:rPr>
                <w:rFonts w:ascii="宋体" w:hAnsi="宋体" w:eastAsia="宋体" w:cs="宋体"/>
                <w:sz w:val="18"/>
                <w:szCs w:val="18"/>
              </w:rPr>
            </w:pPr>
            <w:r>
              <w:rPr>
                <w:rFonts w:ascii="宋体" w:hAnsi="宋体" w:eastAsia="宋体" w:cs="宋体"/>
                <w:sz w:val="18"/>
                <w:szCs w:val="18"/>
              </w:rPr>
              <w:t>3,166.35</w:t>
            </w:r>
          </w:p>
        </w:tc>
      </w:tr>
      <w:tr w14:paraId="147F4A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ADDFF94">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4DB84996">
            <w:pPr>
              <w:spacing w:before="0" w:after="0" w:line="240" w:lineRule="exact"/>
              <w:jc w:val="right"/>
              <w:rPr>
                <w:rFonts w:ascii="宋体" w:hAnsi="宋体" w:eastAsia="宋体" w:cs="宋体"/>
                <w:sz w:val="18"/>
                <w:szCs w:val="18"/>
              </w:rPr>
            </w:pPr>
            <w:r>
              <w:rPr>
                <w:rFonts w:ascii="宋体" w:hAnsi="宋体" w:eastAsia="宋体" w:cs="宋体"/>
                <w:sz w:val="18"/>
                <w:szCs w:val="18"/>
              </w:rPr>
              <w:t>8,649,586.77</w:t>
            </w:r>
          </w:p>
        </w:tc>
        <w:tc>
          <w:tcPr>
            <w:tcW w:w="3213" w:type="dxa"/>
            <w:tcBorders>
              <w:top w:val="single" w:color="auto" w:sz="2" w:space="0"/>
              <w:left w:val="single" w:color="auto" w:sz="2" w:space="0"/>
              <w:bottom w:val="single" w:color="auto" w:sz="2" w:space="0"/>
              <w:right w:val="single" w:color="auto" w:sz="2" w:space="0"/>
            </w:tcBorders>
            <w:vAlign w:val="center"/>
          </w:tcPr>
          <w:p w14:paraId="213C64DB">
            <w:pPr>
              <w:spacing w:before="0" w:after="0" w:line="240" w:lineRule="exact"/>
              <w:jc w:val="right"/>
              <w:rPr>
                <w:rFonts w:ascii="宋体" w:hAnsi="宋体" w:eastAsia="宋体" w:cs="宋体"/>
                <w:sz w:val="18"/>
                <w:szCs w:val="18"/>
              </w:rPr>
            </w:pPr>
            <w:r>
              <w:rPr>
                <w:rFonts w:ascii="宋体" w:hAnsi="宋体" w:eastAsia="宋体" w:cs="宋体"/>
                <w:sz w:val="18"/>
                <w:szCs w:val="18"/>
              </w:rPr>
              <w:t>7,513,196.93</w:t>
            </w:r>
          </w:p>
        </w:tc>
      </w:tr>
    </w:tbl>
    <w:p w14:paraId="3F4E6A0B">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A723A45">
      <w:pPr>
        <w:keepNext/>
        <w:keepLines/>
        <w:spacing w:before="300" w:after="300" w:line="280" w:lineRule="exact"/>
        <w:jc w:val="left"/>
        <w:outlineLvl w:val="2"/>
        <w:rPr>
          <w:rFonts w:ascii="宋体" w:hAnsi="宋体" w:eastAsia="宋体" w:cs="宋体"/>
          <w:b/>
          <w:bCs/>
          <w:sz w:val="21"/>
          <w:szCs w:val="21"/>
        </w:rPr>
      </w:pPr>
      <w:bookmarkStart w:id="386" w:name="_Toc989269"/>
      <w:r>
        <w:rPr>
          <w:rFonts w:ascii="宋体" w:hAnsi="宋体" w:eastAsia="宋体" w:cs="宋体"/>
          <w:b/>
          <w:bCs/>
          <w:sz w:val="21"/>
          <w:szCs w:val="21"/>
        </w:rPr>
        <w:t>42、持有待售负债</w:t>
      </w:r>
      <w:bookmarkEnd w:id="386"/>
    </w:p>
    <w:p w14:paraId="087DAFB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80750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720649A">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E2E04F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2E61B24">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2A79FE22">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52216969">
      <w:pPr>
        <w:keepNext/>
        <w:keepLines/>
        <w:spacing w:before="300" w:after="300" w:line="280" w:lineRule="exact"/>
        <w:jc w:val="left"/>
        <w:outlineLvl w:val="2"/>
        <w:rPr>
          <w:rFonts w:ascii="宋体" w:hAnsi="宋体" w:eastAsia="宋体" w:cs="宋体"/>
          <w:b/>
          <w:bCs/>
          <w:sz w:val="21"/>
          <w:szCs w:val="21"/>
        </w:rPr>
      </w:pPr>
      <w:bookmarkStart w:id="387" w:name="_Toc989270"/>
      <w:r>
        <w:rPr>
          <w:rFonts w:ascii="宋体" w:hAnsi="宋体" w:eastAsia="宋体" w:cs="宋体"/>
          <w:b/>
          <w:bCs/>
          <w:sz w:val="21"/>
          <w:szCs w:val="21"/>
        </w:rPr>
        <w:t>43、一年内到期的非流动负债</w:t>
      </w:r>
      <w:bookmarkEnd w:id="387"/>
    </w:p>
    <w:p w14:paraId="3F0BA22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46635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11C87A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8067076">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0E50EB2">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99F66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9B4BDFB">
            <w:pPr>
              <w:spacing w:before="0" w:after="0" w:line="240" w:lineRule="exact"/>
              <w:jc w:val="left"/>
              <w:rPr>
                <w:rFonts w:ascii="宋体" w:hAnsi="宋体" w:eastAsia="宋体" w:cs="宋体"/>
                <w:sz w:val="18"/>
                <w:szCs w:val="18"/>
              </w:rPr>
            </w:pPr>
            <w:r>
              <w:rPr>
                <w:rFonts w:ascii="宋体" w:hAnsi="宋体" w:eastAsia="宋体" w:cs="宋体"/>
                <w:sz w:val="18"/>
                <w:szCs w:val="18"/>
              </w:rPr>
              <w:t>一年内到期的长期借款（含利息）</w:t>
            </w:r>
          </w:p>
        </w:tc>
        <w:tc>
          <w:tcPr>
            <w:tcW w:w="3213" w:type="dxa"/>
            <w:tcBorders>
              <w:top w:val="single" w:color="auto" w:sz="2" w:space="0"/>
              <w:left w:val="single" w:color="auto" w:sz="2" w:space="0"/>
              <w:bottom w:val="single" w:color="auto" w:sz="2" w:space="0"/>
              <w:right w:val="single" w:color="auto" w:sz="2" w:space="0"/>
            </w:tcBorders>
            <w:vAlign w:val="center"/>
          </w:tcPr>
          <w:p w14:paraId="791CC7B3">
            <w:pPr>
              <w:spacing w:before="0" w:after="0" w:line="240" w:lineRule="exact"/>
              <w:jc w:val="right"/>
              <w:rPr>
                <w:rFonts w:ascii="宋体" w:hAnsi="宋体" w:eastAsia="宋体" w:cs="宋体"/>
                <w:sz w:val="18"/>
                <w:szCs w:val="18"/>
              </w:rPr>
            </w:pPr>
            <w:r>
              <w:rPr>
                <w:rFonts w:ascii="宋体" w:hAnsi="宋体" w:eastAsia="宋体" w:cs="宋体"/>
                <w:sz w:val="18"/>
                <w:szCs w:val="18"/>
              </w:rPr>
              <w:t>117,922,112.91</w:t>
            </w:r>
          </w:p>
        </w:tc>
        <w:tc>
          <w:tcPr>
            <w:tcW w:w="3213" w:type="dxa"/>
            <w:tcBorders>
              <w:top w:val="single" w:color="auto" w:sz="2" w:space="0"/>
              <w:left w:val="single" w:color="auto" w:sz="2" w:space="0"/>
              <w:bottom w:val="single" w:color="auto" w:sz="2" w:space="0"/>
              <w:right w:val="single" w:color="auto" w:sz="2" w:space="0"/>
            </w:tcBorders>
            <w:vAlign w:val="center"/>
          </w:tcPr>
          <w:p w14:paraId="00F4ABFA">
            <w:pPr>
              <w:spacing w:before="0" w:after="0" w:line="240" w:lineRule="exact"/>
              <w:jc w:val="right"/>
              <w:rPr>
                <w:rFonts w:ascii="宋体" w:hAnsi="宋体" w:eastAsia="宋体" w:cs="宋体"/>
                <w:sz w:val="18"/>
                <w:szCs w:val="18"/>
              </w:rPr>
            </w:pPr>
            <w:r>
              <w:rPr>
                <w:rFonts w:ascii="宋体" w:hAnsi="宋体" w:eastAsia="宋体" w:cs="宋体"/>
                <w:sz w:val="18"/>
                <w:szCs w:val="18"/>
              </w:rPr>
              <w:t>72,121,556.87</w:t>
            </w:r>
          </w:p>
        </w:tc>
      </w:tr>
      <w:tr w14:paraId="0221B8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3628BF9">
            <w:pPr>
              <w:spacing w:before="0" w:after="0" w:line="240" w:lineRule="exact"/>
              <w:jc w:val="left"/>
              <w:rPr>
                <w:rFonts w:ascii="宋体" w:hAnsi="宋体" w:eastAsia="宋体" w:cs="宋体"/>
                <w:sz w:val="18"/>
                <w:szCs w:val="18"/>
              </w:rPr>
            </w:pPr>
            <w:r>
              <w:rPr>
                <w:rFonts w:ascii="宋体" w:hAnsi="宋体" w:eastAsia="宋体" w:cs="宋体"/>
                <w:sz w:val="18"/>
                <w:szCs w:val="18"/>
              </w:rPr>
              <w:t>一年内到期的租赁负债</w:t>
            </w:r>
          </w:p>
        </w:tc>
        <w:tc>
          <w:tcPr>
            <w:tcW w:w="3213" w:type="dxa"/>
            <w:tcBorders>
              <w:top w:val="single" w:color="auto" w:sz="2" w:space="0"/>
              <w:left w:val="single" w:color="auto" w:sz="2" w:space="0"/>
              <w:bottom w:val="single" w:color="auto" w:sz="2" w:space="0"/>
              <w:right w:val="single" w:color="auto" w:sz="2" w:space="0"/>
            </w:tcBorders>
            <w:vAlign w:val="center"/>
          </w:tcPr>
          <w:p w14:paraId="564EB9A2">
            <w:pPr>
              <w:spacing w:before="0" w:after="0" w:line="240" w:lineRule="exact"/>
              <w:jc w:val="right"/>
              <w:rPr>
                <w:rFonts w:ascii="宋体" w:hAnsi="宋体" w:eastAsia="宋体" w:cs="宋体"/>
                <w:sz w:val="18"/>
                <w:szCs w:val="18"/>
              </w:rPr>
            </w:pPr>
            <w:r>
              <w:rPr>
                <w:rFonts w:ascii="宋体" w:hAnsi="宋体" w:eastAsia="宋体" w:cs="宋体"/>
                <w:sz w:val="18"/>
                <w:szCs w:val="18"/>
              </w:rPr>
              <w:t>95,242.87</w:t>
            </w:r>
          </w:p>
        </w:tc>
        <w:tc>
          <w:tcPr>
            <w:tcW w:w="3213" w:type="dxa"/>
            <w:tcBorders>
              <w:top w:val="single" w:color="auto" w:sz="2" w:space="0"/>
              <w:left w:val="single" w:color="auto" w:sz="2" w:space="0"/>
              <w:bottom w:val="single" w:color="auto" w:sz="2" w:space="0"/>
              <w:right w:val="single" w:color="auto" w:sz="2" w:space="0"/>
            </w:tcBorders>
            <w:vAlign w:val="center"/>
          </w:tcPr>
          <w:p w14:paraId="77CE2FFB">
            <w:pPr>
              <w:spacing w:before="0" w:after="0" w:line="240" w:lineRule="exact"/>
              <w:jc w:val="right"/>
              <w:rPr>
                <w:rFonts w:ascii="宋体" w:hAnsi="宋体" w:eastAsia="宋体" w:cs="宋体"/>
                <w:sz w:val="18"/>
                <w:szCs w:val="18"/>
              </w:rPr>
            </w:pPr>
            <w:r>
              <w:rPr>
                <w:rFonts w:ascii="宋体" w:hAnsi="宋体" w:eastAsia="宋体" w:cs="宋体"/>
                <w:sz w:val="18"/>
                <w:szCs w:val="18"/>
              </w:rPr>
              <w:t>183,120.11</w:t>
            </w:r>
          </w:p>
        </w:tc>
      </w:tr>
      <w:tr w14:paraId="605106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A97645A">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2A1D143A">
            <w:pPr>
              <w:spacing w:before="0" w:after="0" w:line="240" w:lineRule="exact"/>
              <w:jc w:val="right"/>
              <w:rPr>
                <w:rFonts w:ascii="宋体" w:hAnsi="宋体" w:eastAsia="宋体" w:cs="宋体"/>
                <w:sz w:val="18"/>
                <w:szCs w:val="18"/>
              </w:rPr>
            </w:pPr>
            <w:r>
              <w:rPr>
                <w:rFonts w:ascii="宋体" w:hAnsi="宋体" w:eastAsia="宋体" w:cs="宋体"/>
                <w:sz w:val="18"/>
                <w:szCs w:val="18"/>
              </w:rPr>
              <w:t>118,017,355.78</w:t>
            </w:r>
          </w:p>
        </w:tc>
        <w:tc>
          <w:tcPr>
            <w:tcW w:w="3213" w:type="dxa"/>
            <w:tcBorders>
              <w:top w:val="single" w:color="auto" w:sz="2" w:space="0"/>
              <w:left w:val="single" w:color="auto" w:sz="2" w:space="0"/>
              <w:bottom w:val="single" w:color="auto" w:sz="2" w:space="0"/>
              <w:right w:val="single" w:color="auto" w:sz="2" w:space="0"/>
            </w:tcBorders>
            <w:vAlign w:val="center"/>
          </w:tcPr>
          <w:p w14:paraId="637D6D8B">
            <w:pPr>
              <w:spacing w:before="0" w:after="0" w:line="240" w:lineRule="exact"/>
              <w:jc w:val="right"/>
              <w:rPr>
                <w:rFonts w:ascii="宋体" w:hAnsi="宋体" w:eastAsia="宋体" w:cs="宋体"/>
                <w:sz w:val="18"/>
                <w:szCs w:val="18"/>
              </w:rPr>
            </w:pPr>
            <w:r>
              <w:rPr>
                <w:rFonts w:ascii="宋体" w:hAnsi="宋体" w:eastAsia="宋体" w:cs="宋体"/>
                <w:sz w:val="18"/>
                <w:szCs w:val="18"/>
              </w:rPr>
              <w:t>72,304,676.98</w:t>
            </w:r>
          </w:p>
        </w:tc>
      </w:tr>
    </w:tbl>
    <w:p w14:paraId="12E12D46">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5E5BE49">
      <w:pPr>
        <w:keepNext/>
        <w:keepLines/>
        <w:spacing w:before="300" w:after="300" w:line="280" w:lineRule="exact"/>
        <w:jc w:val="left"/>
        <w:outlineLvl w:val="2"/>
        <w:rPr>
          <w:rFonts w:ascii="宋体" w:hAnsi="宋体" w:eastAsia="宋体" w:cs="宋体"/>
          <w:b/>
          <w:bCs/>
          <w:sz w:val="21"/>
          <w:szCs w:val="21"/>
        </w:rPr>
      </w:pPr>
      <w:bookmarkStart w:id="388" w:name="_Toc989271"/>
      <w:r>
        <w:rPr>
          <w:rFonts w:ascii="宋体" w:hAnsi="宋体" w:eastAsia="宋体" w:cs="宋体"/>
          <w:b/>
          <w:bCs/>
          <w:sz w:val="21"/>
          <w:szCs w:val="21"/>
        </w:rPr>
        <w:t>44、其他流动负债</w:t>
      </w:r>
      <w:bookmarkEnd w:id="388"/>
    </w:p>
    <w:p w14:paraId="484D5F4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1C5000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DACB705">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49B6416">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0D8B126">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7CEFC9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86FEAB0">
            <w:pPr>
              <w:spacing w:before="0" w:after="0" w:line="240" w:lineRule="exact"/>
              <w:jc w:val="left"/>
              <w:rPr>
                <w:rFonts w:ascii="宋体" w:hAnsi="宋体" w:eastAsia="宋体" w:cs="宋体"/>
                <w:sz w:val="18"/>
                <w:szCs w:val="18"/>
              </w:rPr>
            </w:pPr>
            <w:r>
              <w:rPr>
                <w:rFonts w:ascii="宋体" w:hAnsi="宋体" w:eastAsia="宋体" w:cs="宋体"/>
                <w:sz w:val="18"/>
                <w:szCs w:val="18"/>
              </w:rPr>
              <w:t>预收货款中增值税部分金额</w:t>
            </w:r>
          </w:p>
        </w:tc>
        <w:tc>
          <w:tcPr>
            <w:tcW w:w="3213" w:type="dxa"/>
            <w:tcBorders>
              <w:top w:val="single" w:color="auto" w:sz="2" w:space="0"/>
              <w:left w:val="single" w:color="auto" w:sz="2" w:space="0"/>
              <w:bottom w:val="single" w:color="auto" w:sz="2" w:space="0"/>
              <w:right w:val="single" w:color="auto" w:sz="2" w:space="0"/>
            </w:tcBorders>
            <w:vAlign w:val="center"/>
          </w:tcPr>
          <w:p w14:paraId="6DF9416C">
            <w:pPr>
              <w:spacing w:before="0" w:after="0" w:line="240" w:lineRule="exact"/>
              <w:jc w:val="right"/>
              <w:rPr>
                <w:rFonts w:ascii="宋体" w:hAnsi="宋体" w:eastAsia="宋体" w:cs="宋体"/>
                <w:sz w:val="18"/>
                <w:szCs w:val="18"/>
              </w:rPr>
            </w:pPr>
            <w:r>
              <w:rPr>
                <w:rFonts w:ascii="宋体" w:hAnsi="宋体" w:eastAsia="宋体" w:cs="宋体"/>
                <w:sz w:val="18"/>
                <w:szCs w:val="18"/>
              </w:rPr>
              <w:t>326,543.03</w:t>
            </w:r>
          </w:p>
        </w:tc>
        <w:tc>
          <w:tcPr>
            <w:tcW w:w="3213" w:type="dxa"/>
            <w:tcBorders>
              <w:top w:val="single" w:color="auto" w:sz="2" w:space="0"/>
              <w:left w:val="single" w:color="auto" w:sz="2" w:space="0"/>
              <w:bottom w:val="single" w:color="auto" w:sz="2" w:space="0"/>
              <w:right w:val="single" w:color="auto" w:sz="2" w:space="0"/>
            </w:tcBorders>
            <w:vAlign w:val="center"/>
          </w:tcPr>
          <w:p w14:paraId="0112DFA9">
            <w:pPr>
              <w:spacing w:before="0" w:after="0" w:line="240" w:lineRule="exact"/>
              <w:jc w:val="right"/>
              <w:rPr>
                <w:rFonts w:ascii="宋体" w:hAnsi="宋体" w:eastAsia="宋体" w:cs="宋体"/>
                <w:sz w:val="18"/>
                <w:szCs w:val="18"/>
              </w:rPr>
            </w:pPr>
            <w:r>
              <w:rPr>
                <w:rFonts w:ascii="宋体" w:hAnsi="宋体" w:eastAsia="宋体" w:cs="宋体"/>
                <w:sz w:val="18"/>
                <w:szCs w:val="18"/>
              </w:rPr>
              <w:t>1,513,683.19</w:t>
            </w:r>
          </w:p>
        </w:tc>
      </w:tr>
      <w:tr w14:paraId="3CA19C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784E2BF">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10591EE9">
            <w:pPr>
              <w:spacing w:before="0" w:after="0" w:line="240" w:lineRule="exact"/>
              <w:jc w:val="right"/>
              <w:rPr>
                <w:rFonts w:ascii="宋体" w:hAnsi="宋体" w:eastAsia="宋体" w:cs="宋体"/>
                <w:sz w:val="18"/>
                <w:szCs w:val="18"/>
              </w:rPr>
            </w:pPr>
            <w:r>
              <w:rPr>
                <w:rFonts w:ascii="宋体" w:hAnsi="宋体" w:eastAsia="宋体" w:cs="宋体"/>
                <w:sz w:val="18"/>
                <w:szCs w:val="18"/>
              </w:rPr>
              <w:t>326,543.03</w:t>
            </w:r>
          </w:p>
        </w:tc>
        <w:tc>
          <w:tcPr>
            <w:tcW w:w="3213" w:type="dxa"/>
            <w:tcBorders>
              <w:top w:val="single" w:color="auto" w:sz="2" w:space="0"/>
              <w:left w:val="single" w:color="auto" w:sz="2" w:space="0"/>
              <w:bottom w:val="single" w:color="auto" w:sz="2" w:space="0"/>
              <w:right w:val="single" w:color="auto" w:sz="2" w:space="0"/>
            </w:tcBorders>
            <w:vAlign w:val="center"/>
          </w:tcPr>
          <w:p w14:paraId="374D8012">
            <w:pPr>
              <w:spacing w:before="0" w:after="0" w:line="240" w:lineRule="exact"/>
              <w:jc w:val="right"/>
              <w:rPr>
                <w:rFonts w:ascii="宋体" w:hAnsi="宋体" w:eastAsia="宋体" w:cs="宋体"/>
                <w:sz w:val="18"/>
                <w:szCs w:val="18"/>
              </w:rPr>
            </w:pPr>
            <w:r>
              <w:rPr>
                <w:rFonts w:ascii="宋体" w:hAnsi="宋体" w:eastAsia="宋体" w:cs="宋体"/>
                <w:sz w:val="18"/>
                <w:szCs w:val="18"/>
              </w:rPr>
              <w:t>1,513,683.19</w:t>
            </w:r>
          </w:p>
        </w:tc>
      </w:tr>
    </w:tbl>
    <w:p w14:paraId="0E6C76CA">
      <w:pPr>
        <w:spacing w:before="100" w:after="100" w:line="240" w:lineRule="exact"/>
        <w:jc w:val="left"/>
        <w:rPr>
          <w:rFonts w:ascii="宋体" w:hAnsi="宋体" w:eastAsia="宋体" w:cs="宋体"/>
          <w:sz w:val="18"/>
          <w:szCs w:val="18"/>
        </w:rPr>
      </w:pPr>
      <w:r>
        <w:rPr>
          <w:rFonts w:ascii="宋体" w:hAnsi="宋体" w:eastAsia="宋体" w:cs="宋体"/>
          <w:sz w:val="18"/>
          <w:szCs w:val="18"/>
        </w:rPr>
        <w:t>短期应付债券的增减变动：</w:t>
      </w:r>
    </w:p>
    <w:p w14:paraId="45D7A86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89"/>
        <w:gridCol w:w="689"/>
        <w:gridCol w:w="689"/>
        <w:gridCol w:w="689"/>
        <w:gridCol w:w="689"/>
        <w:gridCol w:w="689"/>
        <w:gridCol w:w="689"/>
        <w:gridCol w:w="689"/>
        <w:gridCol w:w="689"/>
        <w:gridCol w:w="689"/>
        <w:gridCol w:w="689"/>
        <w:gridCol w:w="689"/>
        <w:gridCol w:w="689"/>
        <w:gridCol w:w="689"/>
      </w:tblGrid>
      <w:tr w14:paraId="547711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48F5A683">
            <w:pPr>
              <w:spacing w:before="40" w:after="40" w:line="240" w:lineRule="exact"/>
              <w:jc w:val="center"/>
              <w:rPr>
                <w:rFonts w:ascii="宋体" w:hAnsi="宋体" w:eastAsia="宋体" w:cs="宋体"/>
                <w:sz w:val="18"/>
                <w:szCs w:val="18"/>
              </w:rPr>
            </w:pPr>
            <w:r>
              <w:rPr>
                <w:rFonts w:ascii="宋体" w:hAnsi="宋体" w:eastAsia="宋体" w:cs="宋体"/>
                <w:sz w:val="18"/>
                <w:szCs w:val="18"/>
              </w:rPr>
              <w:t>债券名称</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556DBF0C">
            <w:pPr>
              <w:spacing w:before="40" w:after="40" w:line="240" w:lineRule="exact"/>
              <w:jc w:val="center"/>
              <w:rPr>
                <w:rFonts w:ascii="宋体" w:hAnsi="宋体" w:eastAsia="宋体" w:cs="宋体"/>
                <w:sz w:val="18"/>
                <w:szCs w:val="18"/>
              </w:rPr>
            </w:pPr>
            <w:r>
              <w:rPr>
                <w:rFonts w:ascii="宋体" w:hAnsi="宋体" w:eastAsia="宋体" w:cs="宋体"/>
                <w:sz w:val="18"/>
                <w:szCs w:val="18"/>
              </w:rPr>
              <w:t>面值</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C8931A2">
            <w:pPr>
              <w:spacing w:before="40" w:after="40" w:line="240" w:lineRule="exact"/>
              <w:jc w:val="center"/>
              <w:rPr>
                <w:rFonts w:ascii="宋体" w:hAnsi="宋体" w:eastAsia="宋体" w:cs="宋体"/>
                <w:sz w:val="18"/>
                <w:szCs w:val="18"/>
              </w:rPr>
            </w:pPr>
            <w:r>
              <w:rPr>
                <w:rFonts w:ascii="宋体" w:hAnsi="宋体" w:eastAsia="宋体" w:cs="宋体"/>
                <w:sz w:val="18"/>
                <w:szCs w:val="18"/>
              </w:rPr>
              <w:t>票面利率</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05EAF725">
            <w:pPr>
              <w:spacing w:before="40" w:after="40" w:line="240" w:lineRule="exact"/>
              <w:jc w:val="center"/>
              <w:rPr>
                <w:rFonts w:ascii="宋体" w:hAnsi="宋体" w:eastAsia="宋体" w:cs="宋体"/>
                <w:sz w:val="18"/>
                <w:szCs w:val="18"/>
              </w:rPr>
            </w:pPr>
            <w:r>
              <w:rPr>
                <w:rFonts w:ascii="宋体" w:hAnsi="宋体" w:eastAsia="宋体" w:cs="宋体"/>
                <w:sz w:val="18"/>
                <w:szCs w:val="18"/>
              </w:rPr>
              <w:t>发行日期</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3C9293EA">
            <w:pPr>
              <w:spacing w:before="40" w:after="40" w:line="240" w:lineRule="exact"/>
              <w:jc w:val="center"/>
              <w:rPr>
                <w:rFonts w:ascii="宋体" w:hAnsi="宋体" w:eastAsia="宋体" w:cs="宋体"/>
                <w:sz w:val="18"/>
                <w:szCs w:val="18"/>
              </w:rPr>
            </w:pPr>
            <w:r>
              <w:rPr>
                <w:rFonts w:ascii="宋体" w:hAnsi="宋体" w:eastAsia="宋体" w:cs="宋体"/>
                <w:sz w:val="18"/>
                <w:szCs w:val="18"/>
              </w:rPr>
              <w:t>债券期限</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3A223002">
            <w:pPr>
              <w:spacing w:before="40" w:after="40" w:line="240" w:lineRule="exact"/>
              <w:jc w:val="center"/>
              <w:rPr>
                <w:rFonts w:ascii="宋体" w:hAnsi="宋体" w:eastAsia="宋体" w:cs="宋体"/>
                <w:sz w:val="18"/>
                <w:szCs w:val="18"/>
              </w:rPr>
            </w:pPr>
            <w:r>
              <w:rPr>
                <w:rFonts w:ascii="宋体" w:hAnsi="宋体" w:eastAsia="宋体" w:cs="宋体"/>
                <w:sz w:val="18"/>
                <w:szCs w:val="18"/>
              </w:rPr>
              <w:t>发行金额</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3CF7DCA0">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5BE5C2F7">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本期发行</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0844CD54">
            <w:pPr>
              <w:spacing w:before="40" w:after="40" w:line="240" w:lineRule="exact"/>
              <w:jc w:val="center"/>
              <w:rPr>
                <w:rFonts w:ascii="宋体" w:hAnsi="宋体" w:eastAsia="宋体" w:cs="宋体"/>
                <w:sz w:val="18"/>
                <w:szCs w:val="18"/>
              </w:rPr>
            </w:pPr>
            <w:r>
              <w:rPr>
                <w:rFonts w:ascii="宋体" w:hAnsi="宋体" w:eastAsia="宋体" w:cs="宋体"/>
                <w:sz w:val="18"/>
                <w:szCs w:val="18"/>
              </w:rPr>
              <w:t>按面值计提利息</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3BCA2E7C">
            <w:pPr>
              <w:spacing w:before="40" w:after="40" w:line="240" w:lineRule="exact"/>
              <w:jc w:val="center"/>
              <w:rPr>
                <w:rFonts w:ascii="宋体" w:hAnsi="宋体" w:eastAsia="宋体" w:cs="宋体"/>
                <w:sz w:val="18"/>
                <w:szCs w:val="18"/>
              </w:rPr>
            </w:pPr>
            <w:r>
              <w:rPr>
                <w:rFonts w:ascii="宋体" w:hAnsi="宋体" w:eastAsia="宋体" w:cs="宋体"/>
                <w:sz w:val="18"/>
                <w:szCs w:val="18"/>
              </w:rPr>
              <w:t>溢折价摊销</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62165718">
            <w:pPr>
              <w:spacing w:before="40" w:after="40" w:line="240" w:lineRule="exact"/>
              <w:jc w:val="center"/>
              <w:rPr>
                <w:rFonts w:ascii="宋体" w:hAnsi="宋体" w:eastAsia="宋体" w:cs="宋体"/>
                <w:sz w:val="18"/>
                <w:szCs w:val="18"/>
              </w:rPr>
            </w:pPr>
            <w:r>
              <w:rPr>
                <w:rFonts w:ascii="宋体" w:hAnsi="宋体" w:eastAsia="宋体" w:cs="宋体"/>
                <w:sz w:val="18"/>
                <w:szCs w:val="18"/>
              </w:rPr>
              <w:t>本期偿还</w:t>
            </w:r>
          </w:p>
        </w:tc>
        <w:tc>
          <w:tcPr>
            <w:tcW w:w="689" w:type="dxa"/>
            <w:tcBorders>
              <w:top w:val="single" w:color="auto" w:sz="2" w:space="0"/>
              <w:left w:val="single" w:color="auto" w:sz="2" w:space="0"/>
              <w:bottom w:val="single" w:color="auto" w:sz="2" w:space="0"/>
              <w:right w:val="single" w:color="auto" w:sz="2" w:space="0"/>
            </w:tcBorders>
            <w:vAlign w:val="center"/>
          </w:tcPr>
          <w:p w14:paraId="45E73FC4">
            <w:pPr>
              <w:spacing w:before="0" w:after="0" w:line="240" w:lineRule="exact"/>
              <w:jc w:val="center"/>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6F948360">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5D617CCF">
            <w:pPr>
              <w:spacing w:before="40" w:after="40" w:line="240" w:lineRule="exact"/>
              <w:jc w:val="center"/>
              <w:rPr>
                <w:rFonts w:ascii="宋体" w:hAnsi="宋体" w:eastAsia="宋体" w:cs="宋体"/>
                <w:sz w:val="18"/>
                <w:szCs w:val="18"/>
              </w:rPr>
            </w:pPr>
            <w:r>
              <w:rPr>
                <w:rFonts w:ascii="宋体" w:hAnsi="宋体" w:eastAsia="宋体" w:cs="宋体"/>
                <w:sz w:val="18"/>
                <w:szCs w:val="18"/>
              </w:rPr>
              <w:t>是否违约</w:t>
            </w:r>
          </w:p>
        </w:tc>
      </w:tr>
      <w:tr w14:paraId="282A5F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89" w:type="dxa"/>
            <w:tcBorders>
              <w:top w:val="single" w:color="auto" w:sz="2" w:space="0"/>
              <w:left w:val="single" w:color="auto" w:sz="2" w:space="0"/>
              <w:bottom w:val="single" w:color="auto" w:sz="2" w:space="0"/>
              <w:right w:val="single" w:color="auto" w:sz="2" w:space="0"/>
            </w:tcBorders>
            <w:vAlign w:val="center"/>
          </w:tcPr>
          <w:p w14:paraId="42634B58">
            <w:pPr>
              <w:spacing w:before="0" w:after="0" w:line="240" w:lineRule="exact"/>
              <w:jc w:val="lef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288D3559">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2285EF76">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0D469B5D">
            <w:pPr>
              <w:spacing w:before="0" w:after="0" w:line="240" w:lineRule="exact"/>
              <w:jc w:val="lef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6710EDBA">
            <w:pPr>
              <w:spacing w:before="0" w:after="0" w:line="240" w:lineRule="exact"/>
              <w:jc w:val="lef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15F35968">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561E3122">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494EF261">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32E7BB92">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1945742F">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591624A3">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736E3B2E">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7D686FFD">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3D048883">
            <w:pPr>
              <w:spacing w:before="0" w:after="0" w:line="240" w:lineRule="exact"/>
              <w:jc w:val="left"/>
              <w:rPr>
                <w:rFonts w:ascii="宋体" w:hAnsi="宋体" w:eastAsia="宋体" w:cs="宋体"/>
                <w:sz w:val="18"/>
                <w:szCs w:val="18"/>
              </w:rPr>
            </w:pPr>
          </w:p>
        </w:tc>
      </w:tr>
      <w:tr w14:paraId="430739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5C89D03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2944FFEC"/>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3603AA9"/>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300C96F8"/>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76EE7B2"/>
        </w:tc>
        <w:tc>
          <w:tcPr>
            <w:tcW w:w="689" w:type="dxa"/>
            <w:tcBorders>
              <w:top w:val="single" w:color="auto" w:sz="2" w:space="0"/>
              <w:left w:val="single" w:color="auto" w:sz="2" w:space="0"/>
              <w:bottom w:val="single" w:color="auto" w:sz="2" w:space="0"/>
              <w:right w:val="single" w:color="auto" w:sz="2" w:space="0"/>
            </w:tcBorders>
            <w:vAlign w:val="center"/>
          </w:tcPr>
          <w:p w14:paraId="2DB8BDF0">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3DB02CE3">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01FAF071">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2A7C832B">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3FB3EB0C">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3636A0A1">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74881518">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2329CD7D">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5EBE04E8"/>
        </w:tc>
      </w:tr>
    </w:tbl>
    <w:p w14:paraId="4DAEE4B4">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31C70E7">
      <w:pPr>
        <w:keepNext/>
        <w:keepLines/>
        <w:spacing w:before="300" w:after="300" w:line="280" w:lineRule="exact"/>
        <w:jc w:val="left"/>
        <w:outlineLvl w:val="2"/>
        <w:rPr>
          <w:rFonts w:ascii="宋体" w:hAnsi="宋体" w:eastAsia="宋体" w:cs="宋体"/>
          <w:b/>
          <w:bCs/>
          <w:sz w:val="21"/>
          <w:szCs w:val="21"/>
        </w:rPr>
      </w:pPr>
      <w:bookmarkStart w:id="389" w:name="_Toc989272"/>
      <w:r>
        <w:rPr>
          <w:rFonts w:ascii="宋体" w:hAnsi="宋体" w:eastAsia="宋体" w:cs="宋体"/>
          <w:b/>
          <w:bCs/>
          <w:sz w:val="21"/>
          <w:szCs w:val="21"/>
        </w:rPr>
        <w:t>45、长期借款</w:t>
      </w:r>
      <w:bookmarkEnd w:id="389"/>
    </w:p>
    <w:p w14:paraId="37989796">
      <w:pPr>
        <w:keepNext/>
        <w:keepLines/>
        <w:spacing w:before="300" w:after="300" w:line="280" w:lineRule="exact"/>
        <w:jc w:val="left"/>
        <w:outlineLvl w:val="3"/>
        <w:rPr>
          <w:rFonts w:ascii="宋体" w:hAnsi="宋体" w:eastAsia="宋体" w:cs="宋体"/>
          <w:b/>
          <w:bCs/>
          <w:sz w:val="18"/>
          <w:szCs w:val="18"/>
        </w:rPr>
      </w:pPr>
      <w:bookmarkStart w:id="390" w:name="_Toc989273"/>
      <w:r>
        <w:rPr>
          <w:rFonts w:ascii="宋体" w:hAnsi="宋体" w:eastAsia="宋体" w:cs="宋体"/>
          <w:b/>
          <w:bCs/>
          <w:sz w:val="18"/>
          <w:szCs w:val="18"/>
        </w:rPr>
        <w:t>（1） 长期借款分类</w:t>
      </w:r>
      <w:bookmarkEnd w:id="390"/>
    </w:p>
    <w:p w14:paraId="7102D55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3513D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ACC834">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56358DE">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1A94C2">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D4967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76C0ADA">
            <w:pPr>
              <w:spacing w:before="0" w:after="0" w:line="240" w:lineRule="exact"/>
              <w:jc w:val="left"/>
              <w:rPr>
                <w:rFonts w:ascii="宋体" w:hAnsi="宋体" w:eastAsia="宋体" w:cs="宋体"/>
                <w:sz w:val="18"/>
                <w:szCs w:val="18"/>
              </w:rPr>
            </w:pPr>
            <w:r>
              <w:rPr>
                <w:rFonts w:ascii="宋体" w:hAnsi="宋体" w:eastAsia="宋体" w:cs="宋体"/>
                <w:sz w:val="18"/>
                <w:szCs w:val="18"/>
              </w:rPr>
              <w:t>抵押、保证借款</w:t>
            </w:r>
          </w:p>
        </w:tc>
        <w:tc>
          <w:tcPr>
            <w:tcW w:w="3213" w:type="dxa"/>
            <w:tcBorders>
              <w:top w:val="single" w:color="auto" w:sz="2" w:space="0"/>
              <w:left w:val="single" w:color="auto" w:sz="2" w:space="0"/>
              <w:bottom w:val="single" w:color="auto" w:sz="2" w:space="0"/>
              <w:right w:val="single" w:color="auto" w:sz="2" w:space="0"/>
            </w:tcBorders>
            <w:vAlign w:val="center"/>
          </w:tcPr>
          <w:p w14:paraId="79F31AD5">
            <w:pPr>
              <w:spacing w:before="0" w:after="0" w:line="240" w:lineRule="exact"/>
              <w:jc w:val="right"/>
              <w:rPr>
                <w:rFonts w:ascii="宋体" w:hAnsi="宋体" w:eastAsia="宋体" w:cs="宋体"/>
                <w:sz w:val="18"/>
                <w:szCs w:val="18"/>
              </w:rPr>
            </w:pPr>
            <w:r>
              <w:rPr>
                <w:rFonts w:ascii="宋体" w:hAnsi="宋体" w:eastAsia="宋体" w:cs="宋体"/>
                <w:sz w:val="18"/>
                <w:szCs w:val="18"/>
              </w:rPr>
              <w:t>259,922,100.00</w:t>
            </w:r>
          </w:p>
        </w:tc>
        <w:tc>
          <w:tcPr>
            <w:tcW w:w="3213" w:type="dxa"/>
            <w:tcBorders>
              <w:top w:val="single" w:color="auto" w:sz="2" w:space="0"/>
              <w:left w:val="single" w:color="auto" w:sz="2" w:space="0"/>
              <w:bottom w:val="single" w:color="auto" w:sz="2" w:space="0"/>
              <w:right w:val="single" w:color="auto" w:sz="2" w:space="0"/>
            </w:tcBorders>
            <w:vAlign w:val="center"/>
          </w:tcPr>
          <w:p w14:paraId="3D31CD0E">
            <w:pPr>
              <w:spacing w:before="0" w:after="0" w:line="240" w:lineRule="exact"/>
              <w:jc w:val="right"/>
              <w:rPr>
                <w:rFonts w:ascii="宋体" w:hAnsi="宋体" w:eastAsia="宋体" w:cs="宋体"/>
                <w:sz w:val="18"/>
                <w:szCs w:val="18"/>
              </w:rPr>
            </w:pPr>
            <w:r>
              <w:rPr>
                <w:rFonts w:ascii="宋体" w:hAnsi="宋体" w:eastAsia="宋体" w:cs="宋体"/>
                <w:sz w:val="18"/>
                <w:szCs w:val="18"/>
              </w:rPr>
              <w:t>233,631,100.00</w:t>
            </w:r>
          </w:p>
        </w:tc>
      </w:tr>
      <w:tr w14:paraId="12A59F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379D816">
            <w:pPr>
              <w:spacing w:before="0" w:after="0" w:line="240" w:lineRule="exact"/>
              <w:jc w:val="left"/>
              <w:rPr>
                <w:rFonts w:ascii="宋体" w:hAnsi="宋体" w:eastAsia="宋体" w:cs="宋体"/>
                <w:sz w:val="18"/>
                <w:szCs w:val="18"/>
              </w:rPr>
            </w:pPr>
            <w:r>
              <w:rPr>
                <w:rFonts w:ascii="宋体" w:hAnsi="宋体" w:eastAsia="宋体" w:cs="宋体"/>
                <w:sz w:val="18"/>
                <w:szCs w:val="18"/>
              </w:rPr>
              <w:t>质押、保证借款</w:t>
            </w:r>
          </w:p>
        </w:tc>
        <w:tc>
          <w:tcPr>
            <w:tcW w:w="3213" w:type="dxa"/>
            <w:tcBorders>
              <w:top w:val="single" w:color="auto" w:sz="2" w:space="0"/>
              <w:left w:val="single" w:color="auto" w:sz="2" w:space="0"/>
              <w:bottom w:val="single" w:color="auto" w:sz="2" w:space="0"/>
              <w:right w:val="single" w:color="auto" w:sz="2" w:space="0"/>
            </w:tcBorders>
            <w:vAlign w:val="center"/>
          </w:tcPr>
          <w:p w14:paraId="0EF86B48">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1E27C40">
            <w:pPr>
              <w:spacing w:before="0" w:after="0" w:line="240" w:lineRule="exact"/>
              <w:jc w:val="right"/>
              <w:rPr>
                <w:rFonts w:ascii="宋体" w:hAnsi="宋体" w:eastAsia="宋体" w:cs="宋体"/>
                <w:sz w:val="18"/>
                <w:szCs w:val="18"/>
              </w:rPr>
            </w:pPr>
            <w:r>
              <w:rPr>
                <w:rFonts w:ascii="宋体" w:hAnsi="宋体" w:eastAsia="宋体" w:cs="宋体"/>
                <w:sz w:val="18"/>
                <w:szCs w:val="18"/>
              </w:rPr>
              <w:t>5,800,000.00</w:t>
            </w:r>
          </w:p>
        </w:tc>
      </w:tr>
      <w:tr w14:paraId="1EA05E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2045C72">
            <w:pPr>
              <w:spacing w:before="0" w:after="0" w:line="240" w:lineRule="exact"/>
              <w:jc w:val="left"/>
              <w:rPr>
                <w:rFonts w:ascii="宋体" w:hAnsi="宋体" w:eastAsia="宋体" w:cs="宋体"/>
                <w:sz w:val="18"/>
                <w:szCs w:val="18"/>
              </w:rPr>
            </w:pPr>
            <w:r>
              <w:rPr>
                <w:rFonts w:ascii="宋体" w:hAnsi="宋体" w:eastAsia="宋体" w:cs="宋体"/>
                <w:sz w:val="18"/>
                <w:szCs w:val="18"/>
              </w:rPr>
              <w:t>未到期应付利息</w:t>
            </w:r>
          </w:p>
        </w:tc>
        <w:tc>
          <w:tcPr>
            <w:tcW w:w="3213" w:type="dxa"/>
            <w:tcBorders>
              <w:top w:val="single" w:color="auto" w:sz="2" w:space="0"/>
              <w:left w:val="single" w:color="auto" w:sz="2" w:space="0"/>
              <w:bottom w:val="single" w:color="auto" w:sz="2" w:space="0"/>
              <w:right w:val="single" w:color="auto" w:sz="2" w:space="0"/>
            </w:tcBorders>
            <w:vAlign w:val="center"/>
          </w:tcPr>
          <w:p w14:paraId="341B7053">
            <w:pPr>
              <w:spacing w:before="0" w:after="0" w:line="240" w:lineRule="exact"/>
              <w:jc w:val="right"/>
              <w:rPr>
                <w:rFonts w:ascii="宋体" w:hAnsi="宋体" w:eastAsia="宋体" w:cs="宋体"/>
                <w:sz w:val="18"/>
                <w:szCs w:val="18"/>
              </w:rPr>
            </w:pPr>
            <w:r>
              <w:rPr>
                <w:rFonts w:ascii="宋体" w:hAnsi="宋体" w:eastAsia="宋体" w:cs="宋体"/>
                <w:sz w:val="18"/>
                <w:szCs w:val="18"/>
              </w:rPr>
              <w:t>363,112.91</w:t>
            </w:r>
          </w:p>
        </w:tc>
        <w:tc>
          <w:tcPr>
            <w:tcW w:w="3213" w:type="dxa"/>
            <w:tcBorders>
              <w:top w:val="single" w:color="auto" w:sz="2" w:space="0"/>
              <w:left w:val="single" w:color="auto" w:sz="2" w:space="0"/>
              <w:bottom w:val="single" w:color="auto" w:sz="2" w:space="0"/>
              <w:right w:val="single" w:color="auto" w:sz="2" w:space="0"/>
            </w:tcBorders>
            <w:vAlign w:val="center"/>
          </w:tcPr>
          <w:p w14:paraId="2536CC85">
            <w:pPr>
              <w:spacing w:before="0" w:after="0" w:line="240" w:lineRule="exact"/>
              <w:jc w:val="right"/>
              <w:rPr>
                <w:rFonts w:ascii="宋体" w:hAnsi="宋体" w:eastAsia="宋体" w:cs="宋体"/>
                <w:sz w:val="18"/>
                <w:szCs w:val="18"/>
              </w:rPr>
            </w:pPr>
            <w:r>
              <w:rPr>
                <w:rFonts w:ascii="宋体" w:hAnsi="宋体" w:eastAsia="宋体" w:cs="宋体"/>
                <w:sz w:val="18"/>
                <w:szCs w:val="18"/>
              </w:rPr>
              <w:t>382,556.87</w:t>
            </w:r>
          </w:p>
        </w:tc>
      </w:tr>
      <w:tr w14:paraId="54C250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82EF71E">
            <w:pPr>
              <w:spacing w:before="0" w:after="0" w:line="240" w:lineRule="exact"/>
              <w:jc w:val="left"/>
              <w:rPr>
                <w:rFonts w:ascii="宋体" w:hAnsi="宋体" w:eastAsia="宋体" w:cs="宋体"/>
                <w:sz w:val="18"/>
                <w:szCs w:val="18"/>
              </w:rPr>
            </w:pPr>
            <w:r>
              <w:rPr>
                <w:rFonts w:ascii="宋体" w:hAnsi="宋体" w:eastAsia="宋体" w:cs="宋体"/>
                <w:sz w:val="18"/>
                <w:szCs w:val="18"/>
              </w:rPr>
              <w:t>减：一年内到期的长期借款</w:t>
            </w:r>
          </w:p>
        </w:tc>
        <w:tc>
          <w:tcPr>
            <w:tcW w:w="3213" w:type="dxa"/>
            <w:tcBorders>
              <w:top w:val="single" w:color="auto" w:sz="2" w:space="0"/>
              <w:left w:val="single" w:color="auto" w:sz="2" w:space="0"/>
              <w:bottom w:val="single" w:color="auto" w:sz="2" w:space="0"/>
              <w:right w:val="single" w:color="auto" w:sz="2" w:space="0"/>
            </w:tcBorders>
            <w:vAlign w:val="center"/>
          </w:tcPr>
          <w:p w14:paraId="289ACC04">
            <w:pPr>
              <w:spacing w:before="0" w:after="0" w:line="240" w:lineRule="exact"/>
              <w:jc w:val="right"/>
              <w:rPr>
                <w:rFonts w:ascii="宋体" w:hAnsi="宋体" w:eastAsia="宋体" w:cs="宋体"/>
                <w:sz w:val="18"/>
                <w:szCs w:val="18"/>
              </w:rPr>
            </w:pPr>
            <w:r>
              <w:rPr>
                <w:rFonts w:ascii="宋体" w:hAnsi="宋体" w:eastAsia="宋体" w:cs="宋体"/>
                <w:sz w:val="18"/>
                <w:szCs w:val="18"/>
              </w:rPr>
              <w:t>-117,922,112.91</w:t>
            </w:r>
          </w:p>
        </w:tc>
        <w:tc>
          <w:tcPr>
            <w:tcW w:w="3213" w:type="dxa"/>
            <w:tcBorders>
              <w:top w:val="single" w:color="auto" w:sz="2" w:space="0"/>
              <w:left w:val="single" w:color="auto" w:sz="2" w:space="0"/>
              <w:bottom w:val="single" w:color="auto" w:sz="2" w:space="0"/>
              <w:right w:val="single" w:color="auto" w:sz="2" w:space="0"/>
            </w:tcBorders>
            <w:vAlign w:val="center"/>
          </w:tcPr>
          <w:p w14:paraId="7CF61CB1">
            <w:pPr>
              <w:spacing w:before="0" w:after="0" w:line="240" w:lineRule="exact"/>
              <w:jc w:val="right"/>
              <w:rPr>
                <w:rFonts w:ascii="宋体" w:hAnsi="宋体" w:eastAsia="宋体" w:cs="宋体"/>
                <w:sz w:val="18"/>
                <w:szCs w:val="18"/>
              </w:rPr>
            </w:pPr>
            <w:r>
              <w:rPr>
                <w:rFonts w:ascii="宋体" w:hAnsi="宋体" w:eastAsia="宋体" w:cs="宋体"/>
                <w:sz w:val="18"/>
                <w:szCs w:val="18"/>
              </w:rPr>
              <w:t>-72,121,556.87</w:t>
            </w:r>
          </w:p>
        </w:tc>
      </w:tr>
      <w:tr w14:paraId="1DA269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D34072C">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088B1580">
            <w:pPr>
              <w:spacing w:before="0" w:after="0" w:line="240" w:lineRule="exact"/>
              <w:jc w:val="right"/>
              <w:rPr>
                <w:rFonts w:ascii="宋体" w:hAnsi="宋体" w:eastAsia="宋体" w:cs="宋体"/>
                <w:sz w:val="18"/>
                <w:szCs w:val="18"/>
              </w:rPr>
            </w:pPr>
            <w:r>
              <w:rPr>
                <w:rFonts w:ascii="宋体" w:hAnsi="宋体" w:eastAsia="宋体" w:cs="宋体"/>
                <w:sz w:val="18"/>
                <w:szCs w:val="18"/>
              </w:rPr>
              <w:t>142,363,100.00</w:t>
            </w:r>
          </w:p>
        </w:tc>
        <w:tc>
          <w:tcPr>
            <w:tcW w:w="3213" w:type="dxa"/>
            <w:tcBorders>
              <w:top w:val="single" w:color="auto" w:sz="2" w:space="0"/>
              <w:left w:val="single" w:color="auto" w:sz="2" w:space="0"/>
              <w:bottom w:val="single" w:color="auto" w:sz="2" w:space="0"/>
              <w:right w:val="single" w:color="auto" w:sz="2" w:space="0"/>
            </w:tcBorders>
            <w:vAlign w:val="center"/>
          </w:tcPr>
          <w:p w14:paraId="00AC5FF5">
            <w:pPr>
              <w:spacing w:before="0" w:after="0" w:line="240" w:lineRule="exact"/>
              <w:jc w:val="right"/>
              <w:rPr>
                <w:rFonts w:ascii="宋体" w:hAnsi="宋体" w:eastAsia="宋体" w:cs="宋体"/>
                <w:sz w:val="18"/>
                <w:szCs w:val="18"/>
              </w:rPr>
            </w:pPr>
            <w:r>
              <w:rPr>
                <w:rFonts w:ascii="宋体" w:hAnsi="宋体" w:eastAsia="宋体" w:cs="宋体"/>
                <w:sz w:val="18"/>
                <w:szCs w:val="18"/>
              </w:rPr>
              <w:t>167,692,100.00</w:t>
            </w:r>
          </w:p>
        </w:tc>
      </w:tr>
    </w:tbl>
    <w:p w14:paraId="65700223">
      <w:pPr>
        <w:spacing w:before="100" w:after="100" w:line="240" w:lineRule="exact"/>
        <w:jc w:val="left"/>
        <w:rPr>
          <w:rFonts w:ascii="宋体" w:hAnsi="宋体" w:eastAsia="宋体" w:cs="宋体"/>
          <w:sz w:val="18"/>
          <w:szCs w:val="18"/>
        </w:rPr>
      </w:pPr>
      <w:r>
        <w:rPr>
          <w:rFonts w:ascii="宋体" w:hAnsi="宋体" w:eastAsia="宋体" w:cs="宋体"/>
          <w:sz w:val="18"/>
          <w:szCs w:val="18"/>
        </w:rPr>
        <w:t>长期借款分类的说明：</w:t>
      </w:r>
    </w:p>
    <w:p w14:paraId="341F53D5">
      <w:pPr>
        <w:pStyle w:val="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4"/>
          <w:szCs w:val="24"/>
        </w:rPr>
      </w:pPr>
      <w:r>
        <w:rPr>
          <w:rFonts w:hint="eastAsia" w:ascii="宋体" w:hAnsi="宋体" w:eastAsia="宋体" w:cs="宋体"/>
          <w:sz w:val="21"/>
          <w:szCs w:val="21"/>
        </w:rPr>
        <w:t>2022 年 11 月，公司、李国平分别与中信银行股份有限公司福州分行签署了编号为(2022)信银榕长字第 2022111164449221 号的《最高额抵押合同》、(2022)信银榕长字第2022111164449222 号的《最高额保证合同》，担保债权最高额限度为人民币 12,480 万元， 抵押物为坐落于闽侯县上街镇乌龙江中大道 7 号（A 地块）福州高新区海西高新技术产业园创新园二期 16#楼。截至2024年12月31日，借款余额 8,835 万元。</w:t>
      </w:r>
    </w:p>
    <w:p w14:paraId="6443A36C">
      <w:pPr>
        <w:pStyle w:val="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4"/>
          <w:szCs w:val="24"/>
        </w:rPr>
      </w:pPr>
      <w:r>
        <w:rPr>
          <w:rFonts w:hint="eastAsia" w:ascii="宋体" w:hAnsi="宋体" w:eastAsia="宋体" w:cs="宋体"/>
          <w:sz w:val="21"/>
          <w:szCs w:val="21"/>
        </w:rPr>
        <w:t>2022年12月，公司、李国平分别与兴业银行股份有限公司福州分行签署了编号为项 HQ2022126-DB2 的《抵押合同》、项 HQ2022126-DB1 的《保证合同》，担保的主合同为编号项 HQ2022126 的《项目融资借款合同》，保证限额为 15,000 万元。截至 2024 年 12 月 31日，借款余额 8,232.21 万元。</w:t>
      </w:r>
    </w:p>
    <w:p w14:paraId="37892C4D">
      <w:pPr>
        <w:pStyle w:val="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4"/>
          <w:szCs w:val="24"/>
        </w:rPr>
      </w:pPr>
      <w:r>
        <w:rPr>
          <w:rFonts w:hint="eastAsia" w:ascii="宋体" w:hAnsi="宋体" w:eastAsia="宋体" w:cs="宋体"/>
          <w:sz w:val="21"/>
          <w:szCs w:val="21"/>
        </w:rPr>
        <w:t>2024年，公司及李国平与兴业银行股份有限公司签署了编号为授HQ2024057的《额度授信合同》，其下还有编号为授HQ2024057-DB1的《最高额保证合同》和授HQ2024057-DB2的《最高额抵押合同》，授信合同的最高额度限度为人民币10,580万元整；保证人为李国平，抵押物为柘荣县东源乡洋边村洋边1-6号制剂车间(三)、口服固体制剂车间、质检中心、综合办公楼、口服固体制剂车间(一)、合成车间(二)、化学品仓库(三)、提取车间、合成车间(一)、配电室水泵房、机修车间、化学品仓库(一)、化学品仓库(二)、锅炉房(下)、锅炉房(上)、门卫(二)、门卫(一)及土地，权证编号为闽(2022)柘荣县不动产权第0005954号；公司与2024年9月取得借款共计4,080万元，截至2024年12月31日，借款余额4,080万元。</w:t>
      </w:r>
    </w:p>
    <w:p w14:paraId="1330D97F">
      <w:pPr>
        <w:pStyle w:val="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4"/>
          <w:szCs w:val="24"/>
        </w:rPr>
      </w:pPr>
      <w:r>
        <w:rPr>
          <w:rFonts w:hint="eastAsia" w:ascii="宋体" w:hAnsi="宋体" w:eastAsia="宋体" w:cs="宋体"/>
          <w:sz w:val="21"/>
          <w:szCs w:val="21"/>
        </w:rPr>
        <w:t>2024年，公司及李国平与中国光大银行股份有限公司福州分行签署了编号为FZGTZ24012的《综合授信协议》，其下还附有编号为FZGTZ24012DY的《最高额抵押合同》和编号为FZGTZ24012B的《最高额保证合同》，授信协议的最高额限度为人民币5100万元整；保证人为李国平，抵押物为坐落于盘阳路59弄9号2层、盘阳路59弄4号地下1层车位(人防)477、478、479、480、488、489室，权证编号沪(2019)闵字不动产权第012262号和盘阳路59弄9号3层、盘阳路59弄4号地下1层车位(人防)490、491、492、493、494、495室，权证编号为沪(2019)闵字不动产权第12269号；公司于2024年10月和11月分别取得借款3,000万，2,100万元。截止2024年12月31日，借款余额4,845万元。</w:t>
      </w:r>
    </w:p>
    <w:p w14:paraId="49DE344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其他说明，包括利率区间：</w:t>
      </w:r>
    </w:p>
    <w:p w14:paraId="085ADEA8">
      <w:pPr>
        <w:keepNext/>
        <w:keepLines/>
        <w:spacing w:before="300" w:after="300" w:line="280" w:lineRule="exact"/>
        <w:jc w:val="left"/>
        <w:outlineLvl w:val="2"/>
        <w:rPr>
          <w:rFonts w:ascii="宋体" w:hAnsi="宋体" w:eastAsia="宋体" w:cs="宋体"/>
          <w:b/>
          <w:bCs/>
          <w:sz w:val="21"/>
          <w:szCs w:val="21"/>
        </w:rPr>
      </w:pPr>
      <w:bookmarkStart w:id="391" w:name="_Toc989274"/>
      <w:r>
        <w:rPr>
          <w:rFonts w:ascii="宋体" w:hAnsi="宋体" w:eastAsia="宋体" w:cs="宋体"/>
          <w:b/>
          <w:bCs/>
          <w:sz w:val="21"/>
          <w:szCs w:val="21"/>
        </w:rPr>
        <w:t>46、应付债券</w:t>
      </w:r>
      <w:bookmarkEnd w:id="391"/>
    </w:p>
    <w:p w14:paraId="607B43A7">
      <w:pPr>
        <w:keepNext/>
        <w:keepLines/>
        <w:spacing w:before="300" w:after="300" w:line="280" w:lineRule="exact"/>
        <w:jc w:val="left"/>
        <w:outlineLvl w:val="3"/>
        <w:rPr>
          <w:rFonts w:ascii="宋体" w:hAnsi="宋体" w:eastAsia="宋体" w:cs="宋体"/>
          <w:b/>
          <w:bCs/>
          <w:sz w:val="21"/>
          <w:szCs w:val="21"/>
        </w:rPr>
      </w:pPr>
      <w:bookmarkStart w:id="392" w:name="_Toc989275"/>
      <w:r>
        <w:rPr>
          <w:rFonts w:ascii="宋体" w:hAnsi="宋体" w:eastAsia="宋体" w:cs="宋体"/>
          <w:b/>
          <w:bCs/>
          <w:sz w:val="21"/>
          <w:szCs w:val="21"/>
        </w:rPr>
        <w:t>（1） 应付债券</w:t>
      </w:r>
      <w:bookmarkEnd w:id="392"/>
    </w:p>
    <w:p w14:paraId="7F6119C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4A4E7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1E65CCC">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091956E">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7C327B6">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57BF3A2A">
      <w:pPr>
        <w:keepNext/>
        <w:keepLines/>
        <w:spacing w:before="300" w:after="300" w:line="280" w:lineRule="exact"/>
        <w:jc w:val="left"/>
        <w:outlineLvl w:val="3"/>
        <w:rPr>
          <w:rFonts w:ascii="宋体" w:hAnsi="宋体" w:eastAsia="宋体" w:cs="宋体"/>
          <w:b/>
          <w:bCs/>
          <w:sz w:val="21"/>
          <w:szCs w:val="21"/>
        </w:rPr>
      </w:pPr>
      <w:bookmarkStart w:id="393" w:name="_Toc989276"/>
      <w:r>
        <w:rPr>
          <w:rFonts w:ascii="宋体" w:hAnsi="宋体" w:eastAsia="宋体" w:cs="宋体"/>
          <w:b/>
          <w:bCs/>
          <w:sz w:val="21"/>
          <w:szCs w:val="21"/>
        </w:rPr>
        <w:t>（2） 应付债券的增减变动（不包括划分为金融负债的优先股、永续债等其他金融工具）</w:t>
      </w:r>
      <w:bookmarkEnd w:id="393"/>
    </w:p>
    <w:p w14:paraId="037DCF8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89"/>
        <w:gridCol w:w="689"/>
        <w:gridCol w:w="689"/>
        <w:gridCol w:w="689"/>
        <w:gridCol w:w="689"/>
        <w:gridCol w:w="689"/>
        <w:gridCol w:w="689"/>
        <w:gridCol w:w="689"/>
        <w:gridCol w:w="689"/>
        <w:gridCol w:w="689"/>
        <w:gridCol w:w="689"/>
        <w:gridCol w:w="689"/>
        <w:gridCol w:w="689"/>
        <w:gridCol w:w="689"/>
      </w:tblGrid>
      <w:tr w14:paraId="16E79A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4263358F">
            <w:pPr>
              <w:spacing w:before="40" w:after="40" w:line="240" w:lineRule="exact"/>
              <w:jc w:val="center"/>
              <w:rPr>
                <w:rFonts w:ascii="宋体" w:hAnsi="宋体" w:eastAsia="宋体" w:cs="宋体"/>
                <w:sz w:val="18"/>
                <w:szCs w:val="18"/>
              </w:rPr>
            </w:pPr>
            <w:r>
              <w:rPr>
                <w:rFonts w:ascii="宋体" w:hAnsi="宋体" w:eastAsia="宋体" w:cs="宋体"/>
                <w:sz w:val="18"/>
                <w:szCs w:val="18"/>
              </w:rPr>
              <w:t>债券名称</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6818C1A">
            <w:pPr>
              <w:spacing w:before="40" w:after="40" w:line="240" w:lineRule="exact"/>
              <w:jc w:val="center"/>
              <w:rPr>
                <w:rFonts w:ascii="宋体" w:hAnsi="宋体" w:eastAsia="宋体" w:cs="宋体"/>
                <w:sz w:val="18"/>
                <w:szCs w:val="18"/>
              </w:rPr>
            </w:pPr>
            <w:r>
              <w:rPr>
                <w:rFonts w:ascii="宋体" w:hAnsi="宋体" w:eastAsia="宋体" w:cs="宋体"/>
                <w:sz w:val="18"/>
                <w:szCs w:val="18"/>
              </w:rPr>
              <w:t>面值</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56412EBC">
            <w:pPr>
              <w:spacing w:before="40" w:after="40" w:line="240" w:lineRule="exact"/>
              <w:jc w:val="center"/>
              <w:rPr>
                <w:rFonts w:ascii="宋体" w:hAnsi="宋体" w:eastAsia="宋体" w:cs="宋体"/>
                <w:sz w:val="18"/>
                <w:szCs w:val="18"/>
              </w:rPr>
            </w:pPr>
            <w:r>
              <w:rPr>
                <w:rFonts w:ascii="宋体" w:hAnsi="宋体" w:eastAsia="宋体" w:cs="宋体"/>
                <w:sz w:val="18"/>
                <w:szCs w:val="18"/>
              </w:rPr>
              <w:t>票面利率</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B27CE16">
            <w:pPr>
              <w:spacing w:before="40" w:after="40" w:line="240" w:lineRule="exact"/>
              <w:jc w:val="center"/>
              <w:rPr>
                <w:rFonts w:ascii="宋体" w:hAnsi="宋体" w:eastAsia="宋体" w:cs="宋体"/>
                <w:sz w:val="18"/>
                <w:szCs w:val="18"/>
              </w:rPr>
            </w:pPr>
            <w:r>
              <w:rPr>
                <w:rFonts w:ascii="宋体" w:hAnsi="宋体" w:eastAsia="宋体" w:cs="宋体"/>
                <w:sz w:val="18"/>
                <w:szCs w:val="18"/>
              </w:rPr>
              <w:t>发行日期</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59606CAD">
            <w:pPr>
              <w:spacing w:before="40" w:after="40" w:line="240" w:lineRule="exact"/>
              <w:jc w:val="center"/>
              <w:rPr>
                <w:rFonts w:ascii="宋体" w:hAnsi="宋体" w:eastAsia="宋体" w:cs="宋体"/>
                <w:sz w:val="18"/>
                <w:szCs w:val="18"/>
              </w:rPr>
            </w:pPr>
            <w:r>
              <w:rPr>
                <w:rFonts w:ascii="宋体" w:hAnsi="宋体" w:eastAsia="宋体" w:cs="宋体"/>
                <w:sz w:val="18"/>
                <w:szCs w:val="18"/>
              </w:rPr>
              <w:t>债券期限</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4AE896CF">
            <w:pPr>
              <w:spacing w:before="40" w:after="40" w:line="240" w:lineRule="exact"/>
              <w:jc w:val="center"/>
              <w:rPr>
                <w:rFonts w:ascii="宋体" w:hAnsi="宋体" w:eastAsia="宋体" w:cs="宋体"/>
                <w:sz w:val="18"/>
                <w:szCs w:val="18"/>
              </w:rPr>
            </w:pPr>
            <w:r>
              <w:rPr>
                <w:rFonts w:ascii="宋体" w:hAnsi="宋体" w:eastAsia="宋体" w:cs="宋体"/>
                <w:sz w:val="18"/>
                <w:szCs w:val="18"/>
              </w:rPr>
              <w:t>发行金额</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1D1380D7">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88AEE64">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本期发行</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412DBAC1">
            <w:pPr>
              <w:spacing w:before="40" w:after="40" w:line="240" w:lineRule="exact"/>
              <w:jc w:val="center"/>
              <w:rPr>
                <w:rFonts w:ascii="宋体" w:hAnsi="宋体" w:eastAsia="宋体" w:cs="宋体"/>
                <w:sz w:val="18"/>
                <w:szCs w:val="18"/>
              </w:rPr>
            </w:pPr>
            <w:r>
              <w:rPr>
                <w:rFonts w:ascii="宋体" w:hAnsi="宋体" w:eastAsia="宋体" w:cs="宋体"/>
                <w:sz w:val="18"/>
                <w:szCs w:val="18"/>
              </w:rPr>
              <w:t>按面值计提利息</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0D42F8E7">
            <w:pPr>
              <w:spacing w:before="40" w:after="40" w:line="240" w:lineRule="exact"/>
              <w:jc w:val="center"/>
              <w:rPr>
                <w:rFonts w:ascii="宋体" w:hAnsi="宋体" w:eastAsia="宋体" w:cs="宋体"/>
                <w:sz w:val="18"/>
                <w:szCs w:val="18"/>
              </w:rPr>
            </w:pPr>
            <w:r>
              <w:rPr>
                <w:rFonts w:ascii="宋体" w:hAnsi="宋体" w:eastAsia="宋体" w:cs="宋体"/>
                <w:sz w:val="18"/>
                <w:szCs w:val="18"/>
              </w:rPr>
              <w:t>溢折价摊销</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F074D2A">
            <w:pPr>
              <w:spacing w:before="40" w:after="40" w:line="240" w:lineRule="exact"/>
              <w:jc w:val="center"/>
              <w:rPr>
                <w:rFonts w:ascii="宋体" w:hAnsi="宋体" w:eastAsia="宋体" w:cs="宋体"/>
                <w:sz w:val="18"/>
                <w:szCs w:val="18"/>
              </w:rPr>
            </w:pPr>
            <w:r>
              <w:rPr>
                <w:rFonts w:ascii="宋体" w:hAnsi="宋体" w:eastAsia="宋体" w:cs="宋体"/>
                <w:sz w:val="18"/>
                <w:szCs w:val="18"/>
              </w:rPr>
              <w:t>本期偿还</w:t>
            </w:r>
          </w:p>
        </w:tc>
        <w:tc>
          <w:tcPr>
            <w:tcW w:w="689" w:type="dxa"/>
            <w:tcBorders>
              <w:top w:val="single" w:color="auto" w:sz="2" w:space="0"/>
              <w:left w:val="single" w:color="auto" w:sz="2" w:space="0"/>
              <w:bottom w:val="single" w:color="auto" w:sz="2" w:space="0"/>
              <w:right w:val="single" w:color="auto" w:sz="2" w:space="0"/>
            </w:tcBorders>
            <w:vAlign w:val="center"/>
          </w:tcPr>
          <w:p w14:paraId="12393891">
            <w:pPr>
              <w:spacing w:before="0" w:after="0" w:line="240" w:lineRule="exact"/>
              <w:jc w:val="center"/>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75361017">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034E1B6B">
            <w:pPr>
              <w:spacing w:before="40" w:after="40" w:line="240" w:lineRule="exact"/>
              <w:jc w:val="center"/>
              <w:rPr>
                <w:rFonts w:ascii="宋体" w:hAnsi="宋体" w:eastAsia="宋体" w:cs="宋体"/>
                <w:sz w:val="18"/>
                <w:szCs w:val="18"/>
              </w:rPr>
            </w:pPr>
            <w:r>
              <w:rPr>
                <w:rFonts w:ascii="宋体" w:hAnsi="宋体" w:eastAsia="宋体" w:cs="宋体"/>
                <w:sz w:val="18"/>
                <w:szCs w:val="18"/>
              </w:rPr>
              <w:t>是否违约</w:t>
            </w:r>
          </w:p>
        </w:tc>
      </w:tr>
      <w:tr w14:paraId="22E44D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89" w:type="dxa"/>
            <w:tcBorders>
              <w:top w:val="single" w:color="auto" w:sz="2" w:space="0"/>
              <w:left w:val="single" w:color="auto" w:sz="2" w:space="0"/>
              <w:bottom w:val="single" w:color="auto" w:sz="2" w:space="0"/>
              <w:right w:val="single" w:color="auto" w:sz="2" w:space="0"/>
            </w:tcBorders>
            <w:vAlign w:val="center"/>
          </w:tcPr>
          <w:p w14:paraId="4E898CF1">
            <w:pPr>
              <w:spacing w:before="0" w:after="0" w:line="240" w:lineRule="exact"/>
              <w:jc w:val="lef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73992EBB">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24A4EC92">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54101FF5">
            <w:pPr>
              <w:spacing w:before="0" w:after="0" w:line="240" w:lineRule="exact"/>
              <w:jc w:val="lef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26C59792">
            <w:pPr>
              <w:spacing w:before="0" w:after="0" w:line="240" w:lineRule="exact"/>
              <w:jc w:val="lef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483DB750">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542AD9E7">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21476480">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6D0F8706">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234723B3">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7E5070DA">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53A29C06">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203F59E7">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34A993E8">
            <w:pPr>
              <w:spacing w:before="0" w:after="0" w:line="240" w:lineRule="exact"/>
              <w:jc w:val="left"/>
              <w:rPr>
                <w:rFonts w:ascii="宋体" w:hAnsi="宋体" w:eastAsia="宋体" w:cs="宋体"/>
                <w:sz w:val="18"/>
                <w:szCs w:val="18"/>
              </w:rPr>
            </w:pPr>
          </w:p>
        </w:tc>
      </w:tr>
      <w:tr w14:paraId="1CD3CC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0039A7D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754"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7416F92F">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89" w:type="dxa"/>
            <w:tcBorders>
              <w:top w:val="single" w:color="auto" w:sz="2" w:space="0"/>
              <w:left w:val="single" w:color="auto" w:sz="2" w:space="0"/>
              <w:bottom w:val="single" w:color="auto" w:sz="2" w:space="0"/>
              <w:right w:val="single" w:color="auto" w:sz="2" w:space="0"/>
            </w:tcBorders>
            <w:vAlign w:val="center"/>
          </w:tcPr>
          <w:p w14:paraId="52CF0BE9">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0FA25EA0">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5BE23982">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3369642E">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062A33F8">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264405FF">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44858452">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vAlign w:val="center"/>
          </w:tcPr>
          <w:p w14:paraId="37AA89CF">
            <w:pPr>
              <w:spacing w:before="0" w:after="0" w:line="240" w:lineRule="exact"/>
              <w:jc w:val="right"/>
              <w:rPr>
                <w:rFonts w:ascii="宋体" w:hAnsi="宋体" w:eastAsia="宋体" w:cs="宋体"/>
                <w:sz w:val="18"/>
                <w:szCs w:val="18"/>
              </w:rPr>
            </w:pPr>
          </w:p>
        </w:tc>
        <w:tc>
          <w:tcPr>
            <w:tcW w:w="689" w:type="dxa"/>
            <w:tcBorders>
              <w:top w:val="single" w:color="auto" w:sz="2" w:space="0"/>
              <w:left w:val="single" w:color="auto" w:sz="2" w:space="0"/>
              <w:bottom w:val="single" w:color="auto" w:sz="2" w:space="0"/>
              <w:right w:val="single" w:color="auto" w:sz="2" w:space="0"/>
            </w:tcBorders>
            <w:shd w:val="clear" w:color="auto" w:fill="D3D3D3"/>
            <w:vAlign w:val="center"/>
          </w:tcPr>
          <w:p w14:paraId="1078B08D">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14:paraId="0E498329">
      <w:pPr>
        <w:keepNext/>
        <w:keepLines/>
        <w:spacing w:before="300" w:after="300" w:line="280" w:lineRule="exact"/>
        <w:jc w:val="left"/>
        <w:outlineLvl w:val="3"/>
        <w:rPr>
          <w:rFonts w:ascii="宋体" w:hAnsi="宋体" w:eastAsia="宋体" w:cs="宋体"/>
          <w:b/>
          <w:bCs/>
          <w:sz w:val="21"/>
          <w:szCs w:val="21"/>
        </w:rPr>
      </w:pPr>
      <w:bookmarkStart w:id="394" w:name="_Toc989277"/>
      <w:r>
        <w:rPr>
          <w:rFonts w:ascii="宋体" w:hAnsi="宋体" w:eastAsia="宋体" w:cs="宋体"/>
          <w:b/>
          <w:bCs/>
          <w:sz w:val="21"/>
          <w:szCs w:val="21"/>
        </w:rPr>
        <w:t>（3） 可转换公司债券的说明</w:t>
      </w:r>
      <w:bookmarkEnd w:id="394"/>
    </w:p>
    <w:p w14:paraId="788CBC9A">
      <w:pPr>
        <w:keepNext/>
        <w:keepLines/>
        <w:spacing w:before="300" w:after="300" w:line="280" w:lineRule="exact"/>
        <w:jc w:val="left"/>
        <w:outlineLvl w:val="3"/>
        <w:rPr>
          <w:rFonts w:ascii="宋体" w:hAnsi="宋体" w:eastAsia="宋体" w:cs="宋体"/>
          <w:b/>
          <w:bCs/>
          <w:sz w:val="21"/>
          <w:szCs w:val="21"/>
        </w:rPr>
      </w:pPr>
      <w:bookmarkStart w:id="395" w:name="_Toc989278"/>
      <w:r>
        <w:rPr>
          <w:rFonts w:ascii="宋体" w:hAnsi="宋体" w:eastAsia="宋体" w:cs="宋体"/>
          <w:b/>
          <w:bCs/>
          <w:sz w:val="21"/>
          <w:szCs w:val="21"/>
        </w:rPr>
        <w:t>（4） 划分为金融负债的其他金融工具说明</w:t>
      </w:r>
      <w:bookmarkEnd w:id="395"/>
    </w:p>
    <w:p w14:paraId="01CB9B09">
      <w:pPr>
        <w:spacing w:before="100" w:after="100" w:line="240" w:lineRule="exact"/>
        <w:jc w:val="left"/>
        <w:rPr>
          <w:rFonts w:ascii="宋体" w:hAnsi="宋体" w:eastAsia="宋体" w:cs="宋体"/>
          <w:sz w:val="18"/>
          <w:szCs w:val="18"/>
        </w:rPr>
      </w:pPr>
      <w:r>
        <w:rPr>
          <w:rFonts w:ascii="宋体" w:hAnsi="宋体" w:eastAsia="宋体" w:cs="宋体"/>
          <w:sz w:val="18"/>
          <w:szCs w:val="18"/>
        </w:rPr>
        <w:t>期末发行在外的优先股、永续债等其他金融工具基本情况</w:t>
      </w:r>
    </w:p>
    <w:p w14:paraId="568E29F3">
      <w:pPr>
        <w:spacing w:before="0" w:after="0" w:line="240" w:lineRule="exact"/>
        <w:jc w:val="left"/>
        <w:rPr>
          <w:rFonts w:ascii="宋体" w:hAnsi="宋体" w:eastAsia="宋体" w:cs="宋体"/>
          <w:sz w:val="18"/>
          <w:szCs w:val="18"/>
        </w:rPr>
      </w:pPr>
      <w:r>
        <w:rPr>
          <w:rFonts w:ascii="宋体" w:hAnsi="宋体" w:eastAsia="宋体" w:cs="宋体"/>
          <w:sz w:val="18"/>
          <w:szCs w:val="18"/>
        </w:rPr>
        <w:t>期末发行在外的优先股、永续债等金融工具变动情况表</w:t>
      </w:r>
    </w:p>
    <w:p w14:paraId="550C5C6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3DC708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BBCE866">
            <w:pPr>
              <w:spacing w:before="40" w:after="40" w:line="240" w:lineRule="exact"/>
              <w:jc w:val="center"/>
              <w:rPr>
                <w:rFonts w:ascii="宋体" w:hAnsi="宋体" w:eastAsia="宋体" w:cs="宋体"/>
                <w:sz w:val="18"/>
                <w:szCs w:val="18"/>
              </w:rPr>
            </w:pPr>
            <w:r>
              <w:rPr>
                <w:rFonts w:ascii="宋体" w:hAnsi="宋体" w:eastAsia="宋体" w:cs="宋体"/>
                <w:sz w:val="18"/>
                <w:szCs w:val="18"/>
              </w:rPr>
              <w:t>发行在外的金融工具</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2F0550B">
            <w:pPr>
              <w:spacing w:before="40" w:after="40" w:line="240" w:lineRule="exact"/>
              <w:jc w:val="center"/>
              <w:rPr>
                <w:rFonts w:ascii="宋体" w:hAnsi="宋体" w:eastAsia="宋体" w:cs="宋体"/>
                <w:sz w:val="18"/>
                <w:szCs w:val="18"/>
              </w:rPr>
            </w:pPr>
            <w:r>
              <w:rPr>
                <w:rFonts w:ascii="宋体" w:hAnsi="宋体" w:eastAsia="宋体" w:cs="宋体"/>
                <w:sz w:val="18"/>
                <w:szCs w:val="18"/>
              </w:rPr>
              <w:t>期初</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B33A0DB">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D7A62A3">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1A73F26">
            <w:pPr>
              <w:spacing w:before="40" w:after="40" w:line="240" w:lineRule="exact"/>
              <w:jc w:val="center"/>
              <w:rPr>
                <w:rFonts w:ascii="宋体" w:hAnsi="宋体" w:eastAsia="宋体" w:cs="宋体"/>
                <w:sz w:val="18"/>
                <w:szCs w:val="18"/>
              </w:rPr>
            </w:pPr>
            <w:r>
              <w:rPr>
                <w:rFonts w:ascii="宋体" w:hAnsi="宋体" w:eastAsia="宋体" w:cs="宋体"/>
                <w:sz w:val="18"/>
                <w:szCs w:val="18"/>
              </w:rPr>
              <w:t>期末</w:t>
            </w:r>
          </w:p>
        </w:tc>
      </w:tr>
      <w:tr w14:paraId="3DB22B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continue"/>
            <w:tcBorders>
              <w:top w:val="single" w:color="auto" w:sz="2" w:space="0"/>
              <w:left w:val="single" w:color="auto" w:sz="2" w:space="0"/>
              <w:bottom w:val="single" w:color="auto" w:sz="2" w:space="0"/>
              <w:right w:val="single" w:color="auto" w:sz="2" w:space="0"/>
            </w:tcBorders>
            <w:vAlign w:val="center"/>
          </w:tcPr>
          <w:p w14:paraId="6024A161"/>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AD947B0">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01915A7">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E06CF08">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922587D">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43141A4">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84A6287">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939561D">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80F42B1">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bl>
    <w:p w14:paraId="0259DDB1">
      <w:pPr>
        <w:spacing w:before="100" w:after="100" w:line="240" w:lineRule="exact"/>
        <w:jc w:val="left"/>
        <w:rPr>
          <w:rFonts w:ascii="宋体" w:hAnsi="宋体" w:eastAsia="宋体" w:cs="宋体"/>
          <w:sz w:val="18"/>
          <w:szCs w:val="18"/>
        </w:rPr>
      </w:pPr>
      <w:r>
        <w:rPr>
          <w:rFonts w:ascii="宋体" w:hAnsi="宋体" w:eastAsia="宋体" w:cs="宋体"/>
          <w:sz w:val="18"/>
          <w:szCs w:val="18"/>
        </w:rPr>
        <w:t>其他金融工具划分为金融负债的依据说明</w:t>
      </w:r>
    </w:p>
    <w:p w14:paraId="4EAD2A0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3169E19">
      <w:pPr>
        <w:keepNext/>
        <w:keepLines/>
        <w:spacing w:before="300" w:after="300" w:line="280" w:lineRule="exact"/>
        <w:jc w:val="left"/>
        <w:outlineLvl w:val="2"/>
        <w:rPr>
          <w:rFonts w:ascii="宋体" w:hAnsi="宋体" w:eastAsia="宋体" w:cs="宋体"/>
          <w:b/>
          <w:bCs/>
          <w:sz w:val="21"/>
          <w:szCs w:val="21"/>
        </w:rPr>
      </w:pPr>
      <w:bookmarkStart w:id="396" w:name="_Toc989279"/>
      <w:r>
        <w:rPr>
          <w:rFonts w:ascii="宋体" w:hAnsi="宋体" w:eastAsia="宋体" w:cs="宋体"/>
          <w:b/>
          <w:bCs/>
          <w:sz w:val="21"/>
          <w:szCs w:val="21"/>
        </w:rPr>
        <w:t>47、租赁负债</w:t>
      </w:r>
      <w:bookmarkEnd w:id="396"/>
    </w:p>
    <w:p w14:paraId="265D9A5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ECF96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547FE8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4B786F">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6E31C3C">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2F823A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CA854AA">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3213" w:type="dxa"/>
            <w:tcBorders>
              <w:top w:val="single" w:color="auto" w:sz="2" w:space="0"/>
              <w:left w:val="single" w:color="auto" w:sz="2" w:space="0"/>
              <w:bottom w:val="single" w:color="auto" w:sz="2" w:space="0"/>
              <w:right w:val="single" w:color="auto" w:sz="2" w:space="0"/>
            </w:tcBorders>
            <w:vAlign w:val="center"/>
          </w:tcPr>
          <w:p w14:paraId="35E26876">
            <w:pPr>
              <w:spacing w:before="0" w:after="0" w:line="240" w:lineRule="exact"/>
              <w:jc w:val="right"/>
              <w:rPr>
                <w:rFonts w:ascii="宋体" w:hAnsi="宋体" w:eastAsia="宋体" w:cs="宋体"/>
                <w:sz w:val="18"/>
                <w:szCs w:val="18"/>
              </w:rPr>
            </w:pPr>
            <w:r>
              <w:rPr>
                <w:rFonts w:ascii="宋体" w:hAnsi="宋体" w:eastAsia="宋体" w:cs="宋体"/>
                <w:sz w:val="18"/>
                <w:szCs w:val="18"/>
              </w:rPr>
              <w:t>97,142.87</w:t>
            </w:r>
          </w:p>
        </w:tc>
        <w:tc>
          <w:tcPr>
            <w:tcW w:w="3213" w:type="dxa"/>
            <w:tcBorders>
              <w:top w:val="single" w:color="auto" w:sz="2" w:space="0"/>
              <w:left w:val="single" w:color="auto" w:sz="2" w:space="0"/>
              <w:bottom w:val="single" w:color="auto" w:sz="2" w:space="0"/>
              <w:right w:val="single" w:color="auto" w:sz="2" w:space="0"/>
            </w:tcBorders>
            <w:vAlign w:val="center"/>
          </w:tcPr>
          <w:p w14:paraId="19499476">
            <w:pPr>
              <w:spacing w:before="0" w:after="0" w:line="240" w:lineRule="exact"/>
              <w:jc w:val="right"/>
              <w:rPr>
                <w:rFonts w:ascii="宋体" w:hAnsi="宋体" w:eastAsia="宋体" w:cs="宋体"/>
                <w:sz w:val="18"/>
                <w:szCs w:val="18"/>
              </w:rPr>
            </w:pPr>
            <w:r>
              <w:rPr>
                <w:rFonts w:ascii="宋体" w:hAnsi="宋体" w:eastAsia="宋体" w:cs="宋体"/>
                <w:sz w:val="18"/>
                <w:szCs w:val="18"/>
              </w:rPr>
              <w:t>194,285.73</w:t>
            </w:r>
          </w:p>
        </w:tc>
      </w:tr>
      <w:tr w14:paraId="58E8CB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ED00BC9">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3213" w:type="dxa"/>
            <w:tcBorders>
              <w:top w:val="single" w:color="auto" w:sz="2" w:space="0"/>
              <w:left w:val="single" w:color="auto" w:sz="2" w:space="0"/>
              <w:bottom w:val="single" w:color="auto" w:sz="2" w:space="0"/>
              <w:right w:val="single" w:color="auto" w:sz="2" w:space="0"/>
            </w:tcBorders>
            <w:vAlign w:val="center"/>
          </w:tcPr>
          <w:p w14:paraId="2969589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CF6A336">
            <w:pPr>
              <w:spacing w:before="0" w:after="0" w:line="240" w:lineRule="exact"/>
              <w:jc w:val="right"/>
              <w:rPr>
                <w:rFonts w:ascii="宋体" w:hAnsi="宋体" w:eastAsia="宋体" w:cs="宋体"/>
                <w:sz w:val="18"/>
                <w:szCs w:val="18"/>
              </w:rPr>
            </w:pPr>
            <w:r>
              <w:rPr>
                <w:rFonts w:ascii="宋体" w:hAnsi="宋体" w:eastAsia="宋体" w:cs="宋体"/>
                <w:sz w:val="18"/>
                <w:szCs w:val="18"/>
              </w:rPr>
              <w:t>97,142.86</w:t>
            </w:r>
          </w:p>
        </w:tc>
      </w:tr>
      <w:tr w14:paraId="70ADC2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4FE686D">
            <w:pPr>
              <w:spacing w:before="0" w:after="0" w:line="240" w:lineRule="exact"/>
              <w:jc w:val="left"/>
              <w:rPr>
                <w:rFonts w:ascii="宋体" w:hAnsi="宋体" w:eastAsia="宋体" w:cs="宋体"/>
                <w:sz w:val="18"/>
                <w:szCs w:val="18"/>
              </w:rPr>
            </w:pPr>
            <w:r>
              <w:rPr>
                <w:rFonts w:ascii="宋体" w:hAnsi="宋体" w:eastAsia="宋体" w:cs="宋体"/>
                <w:sz w:val="18"/>
                <w:szCs w:val="18"/>
              </w:rPr>
              <w:t>减：未确认融资费用</w:t>
            </w:r>
          </w:p>
        </w:tc>
        <w:tc>
          <w:tcPr>
            <w:tcW w:w="3213" w:type="dxa"/>
            <w:tcBorders>
              <w:top w:val="single" w:color="auto" w:sz="2" w:space="0"/>
              <w:left w:val="single" w:color="auto" w:sz="2" w:space="0"/>
              <w:bottom w:val="single" w:color="auto" w:sz="2" w:space="0"/>
              <w:right w:val="single" w:color="auto" w:sz="2" w:space="0"/>
            </w:tcBorders>
            <w:vAlign w:val="center"/>
          </w:tcPr>
          <w:p w14:paraId="14D6C9DB">
            <w:pPr>
              <w:spacing w:before="0" w:after="0" w:line="240" w:lineRule="exact"/>
              <w:jc w:val="right"/>
              <w:rPr>
                <w:rFonts w:ascii="宋体" w:hAnsi="宋体" w:eastAsia="宋体" w:cs="宋体"/>
                <w:sz w:val="18"/>
                <w:szCs w:val="18"/>
              </w:rPr>
            </w:pPr>
            <w:r>
              <w:rPr>
                <w:rFonts w:ascii="宋体" w:hAnsi="宋体" w:eastAsia="宋体" w:cs="宋体"/>
                <w:sz w:val="18"/>
                <w:szCs w:val="18"/>
              </w:rPr>
              <w:t>-1,900.00</w:t>
            </w:r>
          </w:p>
        </w:tc>
        <w:tc>
          <w:tcPr>
            <w:tcW w:w="3213" w:type="dxa"/>
            <w:tcBorders>
              <w:top w:val="single" w:color="auto" w:sz="2" w:space="0"/>
              <w:left w:val="single" w:color="auto" w:sz="2" w:space="0"/>
              <w:bottom w:val="single" w:color="auto" w:sz="2" w:space="0"/>
              <w:right w:val="single" w:color="auto" w:sz="2" w:space="0"/>
            </w:tcBorders>
            <w:vAlign w:val="center"/>
          </w:tcPr>
          <w:p w14:paraId="6B06C64F">
            <w:pPr>
              <w:spacing w:before="0" w:after="0" w:line="240" w:lineRule="exact"/>
              <w:jc w:val="right"/>
              <w:rPr>
                <w:rFonts w:ascii="宋体" w:hAnsi="宋体" w:eastAsia="宋体" w:cs="宋体"/>
                <w:sz w:val="18"/>
                <w:szCs w:val="18"/>
              </w:rPr>
            </w:pPr>
            <w:r>
              <w:rPr>
                <w:rFonts w:ascii="宋体" w:hAnsi="宋体" w:eastAsia="宋体" w:cs="宋体"/>
                <w:sz w:val="18"/>
                <w:szCs w:val="18"/>
              </w:rPr>
              <w:t>-13,441.13</w:t>
            </w:r>
          </w:p>
        </w:tc>
      </w:tr>
      <w:tr w14:paraId="263A21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28E9717">
            <w:pPr>
              <w:spacing w:before="0" w:after="0" w:line="240" w:lineRule="exact"/>
              <w:jc w:val="left"/>
              <w:rPr>
                <w:rFonts w:ascii="宋体" w:hAnsi="宋体" w:eastAsia="宋体" w:cs="宋体"/>
                <w:sz w:val="18"/>
                <w:szCs w:val="18"/>
              </w:rPr>
            </w:pPr>
            <w:r>
              <w:rPr>
                <w:rFonts w:ascii="宋体" w:hAnsi="宋体" w:eastAsia="宋体" w:cs="宋体"/>
                <w:sz w:val="18"/>
                <w:szCs w:val="18"/>
              </w:rPr>
              <w:t>减：一年内到期的租赁负债</w:t>
            </w:r>
          </w:p>
        </w:tc>
        <w:tc>
          <w:tcPr>
            <w:tcW w:w="3213" w:type="dxa"/>
            <w:tcBorders>
              <w:top w:val="single" w:color="auto" w:sz="2" w:space="0"/>
              <w:left w:val="single" w:color="auto" w:sz="2" w:space="0"/>
              <w:bottom w:val="single" w:color="auto" w:sz="2" w:space="0"/>
              <w:right w:val="single" w:color="auto" w:sz="2" w:space="0"/>
            </w:tcBorders>
            <w:vAlign w:val="center"/>
          </w:tcPr>
          <w:p w14:paraId="5C4D2291">
            <w:pPr>
              <w:spacing w:before="0" w:after="0" w:line="240" w:lineRule="exact"/>
              <w:jc w:val="right"/>
              <w:rPr>
                <w:rFonts w:ascii="宋体" w:hAnsi="宋体" w:eastAsia="宋体" w:cs="宋体"/>
                <w:sz w:val="18"/>
                <w:szCs w:val="18"/>
              </w:rPr>
            </w:pPr>
            <w:r>
              <w:rPr>
                <w:rFonts w:ascii="宋体" w:hAnsi="宋体" w:eastAsia="宋体" w:cs="宋体"/>
                <w:sz w:val="18"/>
                <w:szCs w:val="18"/>
              </w:rPr>
              <w:t>-95,242.87</w:t>
            </w:r>
          </w:p>
        </w:tc>
        <w:tc>
          <w:tcPr>
            <w:tcW w:w="3213" w:type="dxa"/>
            <w:tcBorders>
              <w:top w:val="single" w:color="auto" w:sz="2" w:space="0"/>
              <w:left w:val="single" w:color="auto" w:sz="2" w:space="0"/>
              <w:bottom w:val="single" w:color="auto" w:sz="2" w:space="0"/>
              <w:right w:val="single" w:color="auto" w:sz="2" w:space="0"/>
            </w:tcBorders>
            <w:vAlign w:val="center"/>
          </w:tcPr>
          <w:p w14:paraId="0EFD944A">
            <w:pPr>
              <w:spacing w:before="0" w:after="0" w:line="240" w:lineRule="exact"/>
              <w:jc w:val="right"/>
              <w:rPr>
                <w:rFonts w:ascii="宋体" w:hAnsi="宋体" w:eastAsia="宋体" w:cs="宋体"/>
                <w:sz w:val="18"/>
                <w:szCs w:val="18"/>
              </w:rPr>
            </w:pPr>
            <w:r>
              <w:rPr>
                <w:rFonts w:ascii="宋体" w:hAnsi="宋体" w:eastAsia="宋体" w:cs="宋体"/>
                <w:sz w:val="18"/>
                <w:szCs w:val="18"/>
              </w:rPr>
              <w:t>-183,120.11</w:t>
            </w:r>
          </w:p>
        </w:tc>
      </w:tr>
      <w:tr w14:paraId="746501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E76E70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14DE4F6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BAD4DA7">
            <w:pPr>
              <w:spacing w:before="0" w:after="0" w:line="240" w:lineRule="exact"/>
              <w:jc w:val="right"/>
              <w:rPr>
                <w:rFonts w:ascii="宋体" w:hAnsi="宋体" w:eastAsia="宋体" w:cs="宋体"/>
                <w:sz w:val="18"/>
                <w:szCs w:val="18"/>
              </w:rPr>
            </w:pPr>
            <w:r>
              <w:rPr>
                <w:rFonts w:ascii="宋体" w:hAnsi="宋体" w:eastAsia="宋体" w:cs="宋体"/>
                <w:sz w:val="18"/>
                <w:szCs w:val="18"/>
              </w:rPr>
              <w:t>94,867.35</w:t>
            </w:r>
          </w:p>
        </w:tc>
      </w:tr>
    </w:tbl>
    <w:p w14:paraId="037524DF">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49788478">
      <w:pPr>
        <w:keepNext/>
        <w:keepLines/>
        <w:spacing w:before="300" w:after="300" w:line="280" w:lineRule="exact"/>
        <w:jc w:val="left"/>
        <w:outlineLvl w:val="2"/>
        <w:rPr>
          <w:rFonts w:ascii="宋体" w:hAnsi="宋体" w:eastAsia="宋体" w:cs="宋体"/>
          <w:b/>
          <w:bCs/>
          <w:sz w:val="21"/>
          <w:szCs w:val="21"/>
        </w:rPr>
      </w:pPr>
      <w:bookmarkStart w:id="397" w:name="_Toc989280"/>
      <w:r>
        <w:rPr>
          <w:rFonts w:ascii="宋体" w:hAnsi="宋体" w:eastAsia="宋体" w:cs="宋体"/>
          <w:b/>
          <w:bCs/>
          <w:sz w:val="21"/>
          <w:szCs w:val="21"/>
        </w:rPr>
        <w:t>48、长期应付款</w:t>
      </w:r>
      <w:bookmarkEnd w:id="397"/>
    </w:p>
    <w:p w14:paraId="62101C6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C1156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AB013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55861FD">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7C934B0">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163EB8E9">
      <w:pPr>
        <w:keepNext/>
        <w:keepLines/>
        <w:spacing w:before="300" w:after="300" w:line="280" w:lineRule="exact"/>
        <w:jc w:val="left"/>
        <w:outlineLvl w:val="3"/>
        <w:rPr>
          <w:rFonts w:ascii="宋体" w:hAnsi="宋体" w:eastAsia="宋体" w:cs="宋体"/>
          <w:b/>
          <w:bCs/>
          <w:sz w:val="18"/>
          <w:szCs w:val="18"/>
        </w:rPr>
      </w:pPr>
      <w:bookmarkStart w:id="398" w:name="_Toc989281"/>
      <w:r>
        <w:rPr>
          <w:rFonts w:ascii="宋体" w:hAnsi="宋体" w:eastAsia="宋体" w:cs="宋体"/>
          <w:b/>
          <w:bCs/>
          <w:sz w:val="18"/>
          <w:szCs w:val="18"/>
        </w:rPr>
        <w:t>（1） 按款项性质列示长期应付款</w:t>
      </w:r>
      <w:bookmarkEnd w:id="398"/>
    </w:p>
    <w:p w14:paraId="1DA2462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E6F25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EBD25E5">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57DC494">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5DE562C">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63CB03B8">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1095CF85">
      <w:pPr>
        <w:keepNext/>
        <w:keepLines/>
        <w:spacing w:before="300" w:after="300" w:line="280" w:lineRule="exact"/>
        <w:jc w:val="left"/>
        <w:outlineLvl w:val="3"/>
        <w:rPr>
          <w:rFonts w:ascii="宋体" w:hAnsi="宋体" w:eastAsia="宋体" w:cs="宋体"/>
          <w:b/>
          <w:bCs/>
          <w:sz w:val="18"/>
          <w:szCs w:val="18"/>
        </w:rPr>
      </w:pPr>
      <w:bookmarkStart w:id="399" w:name="_Toc989282"/>
      <w:r>
        <w:rPr>
          <w:rFonts w:ascii="宋体" w:hAnsi="宋体" w:eastAsia="宋体" w:cs="宋体"/>
          <w:b/>
          <w:bCs/>
          <w:sz w:val="18"/>
          <w:szCs w:val="18"/>
        </w:rPr>
        <w:t>（2） 专项应付款</w:t>
      </w:r>
      <w:bookmarkEnd w:id="399"/>
    </w:p>
    <w:p w14:paraId="1549C87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204A15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3B0941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9EC219F">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DFA2871">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B66B4BF">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9448278">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20386A3">
            <w:pPr>
              <w:spacing w:before="40" w:after="40" w:line="240" w:lineRule="exact"/>
              <w:jc w:val="center"/>
              <w:rPr>
                <w:rFonts w:ascii="宋体" w:hAnsi="宋体" w:eastAsia="宋体" w:cs="宋体"/>
                <w:sz w:val="18"/>
                <w:szCs w:val="18"/>
              </w:rPr>
            </w:pPr>
            <w:r>
              <w:rPr>
                <w:rFonts w:ascii="宋体" w:hAnsi="宋体" w:eastAsia="宋体" w:cs="宋体"/>
                <w:sz w:val="18"/>
                <w:szCs w:val="18"/>
              </w:rPr>
              <w:t>形成原因</w:t>
            </w:r>
          </w:p>
        </w:tc>
      </w:tr>
    </w:tbl>
    <w:p w14:paraId="411F10C8">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BDA80FF">
      <w:pPr>
        <w:keepNext/>
        <w:keepLines/>
        <w:spacing w:before="300" w:after="300" w:line="280" w:lineRule="exact"/>
        <w:jc w:val="left"/>
        <w:outlineLvl w:val="2"/>
        <w:rPr>
          <w:rFonts w:ascii="宋体" w:hAnsi="宋体" w:eastAsia="宋体" w:cs="宋体"/>
          <w:b/>
          <w:bCs/>
          <w:sz w:val="21"/>
          <w:szCs w:val="21"/>
        </w:rPr>
      </w:pPr>
      <w:bookmarkStart w:id="400" w:name="_Toc989283"/>
      <w:r>
        <w:rPr>
          <w:rFonts w:ascii="宋体" w:hAnsi="宋体" w:eastAsia="宋体" w:cs="宋体"/>
          <w:b/>
          <w:bCs/>
          <w:sz w:val="21"/>
          <w:szCs w:val="21"/>
        </w:rPr>
        <w:t>49、长期应付职工薪酬</w:t>
      </w:r>
      <w:bookmarkEnd w:id="400"/>
    </w:p>
    <w:p w14:paraId="6623A4CF">
      <w:pPr>
        <w:keepNext/>
        <w:keepLines/>
        <w:spacing w:before="300" w:after="300" w:line="280" w:lineRule="exact"/>
        <w:jc w:val="left"/>
        <w:outlineLvl w:val="3"/>
        <w:rPr>
          <w:rFonts w:ascii="宋体" w:hAnsi="宋体" w:eastAsia="宋体" w:cs="宋体"/>
          <w:b/>
          <w:bCs/>
          <w:sz w:val="18"/>
          <w:szCs w:val="18"/>
        </w:rPr>
      </w:pPr>
      <w:bookmarkStart w:id="401" w:name="_Toc989284"/>
      <w:r>
        <w:rPr>
          <w:rFonts w:ascii="宋体" w:hAnsi="宋体" w:eastAsia="宋体" w:cs="宋体"/>
          <w:b/>
          <w:bCs/>
          <w:sz w:val="18"/>
          <w:szCs w:val="18"/>
        </w:rPr>
        <w:t>（1） 长期应付职工薪酬表</w:t>
      </w:r>
      <w:bookmarkEnd w:id="401"/>
    </w:p>
    <w:p w14:paraId="1103D34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17C02A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67711F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09A3356">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3CF6E9B">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67465D9B">
      <w:pPr>
        <w:keepNext/>
        <w:keepLines/>
        <w:spacing w:before="300" w:after="300" w:line="280" w:lineRule="exact"/>
        <w:jc w:val="left"/>
        <w:outlineLvl w:val="3"/>
        <w:rPr>
          <w:rFonts w:ascii="宋体" w:hAnsi="宋体" w:eastAsia="宋体" w:cs="宋体"/>
          <w:b/>
          <w:bCs/>
          <w:sz w:val="18"/>
          <w:szCs w:val="18"/>
        </w:rPr>
      </w:pPr>
      <w:bookmarkStart w:id="402" w:name="_Toc989285"/>
      <w:r>
        <w:rPr>
          <w:rFonts w:ascii="宋体" w:hAnsi="宋体" w:eastAsia="宋体" w:cs="宋体"/>
          <w:b/>
          <w:bCs/>
          <w:sz w:val="18"/>
          <w:szCs w:val="18"/>
        </w:rPr>
        <w:t>（2） 设定受益计划变动情况</w:t>
      </w:r>
      <w:bookmarkEnd w:id="402"/>
    </w:p>
    <w:p w14:paraId="0BA3F383">
      <w:pPr>
        <w:spacing w:before="120" w:after="120" w:line="240" w:lineRule="exact"/>
        <w:jc w:val="left"/>
        <w:rPr>
          <w:rFonts w:ascii="宋体" w:hAnsi="宋体" w:eastAsia="宋体" w:cs="宋体"/>
          <w:sz w:val="18"/>
          <w:szCs w:val="18"/>
        </w:rPr>
      </w:pPr>
      <w:r>
        <w:rPr>
          <w:rFonts w:ascii="宋体" w:hAnsi="宋体" w:eastAsia="宋体" w:cs="宋体"/>
          <w:sz w:val="18"/>
          <w:szCs w:val="18"/>
        </w:rPr>
        <w:t>设定受益计划义务现值：</w:t>
      </w:r>
    </w:p>
    <w:p w14:paraId="5DEBBE98">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45098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2A46758">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C5E6A88">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25E5724">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bl>
    <w:p w14:paraId="4FE28651">
      <w:pPr>
        <w:spacing w:before="0" w:after="0" w:line="240" w:lineRule="exact"/>
        <w:jc w:val="left"/>
        <w:rPr>
          <w:rFonts w:ascii="宋体" w:hAnsi="宋体" w:eastAsia="宋体" w:cs="宋体"/>
          <w:sz w:val="18"/>
          <w:szCs w:val="18"/>
        </w:rPr>
      </w:pPr>
      <w:r>
        <w:rPr>
          <w:rFonts w:ascii="宋体" w:hAnsi="宋体" w:eastAsia="宋体" w:cs="宋体"/>
          <w:sz w:val="18"/>
          <w:szCs w:val="18"/>
        </w:rPr>
        <w:t>计划资产：</w:t>
      </w:r>
    </w:p>
    <w:p w14:paraId="4B4E288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CB358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7BAD57D">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6776BC6">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347B492">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bl>
    <w:p w14:paraId="03D25DBE">
      <w:pPr>
        <w:spacing w:before="0" w:after="0" w:line="240" w:lineRule="exact"/>
        <w:jc w:val="left"/>
        <w:rPr>
          <w:rFonts w:ascii="宋体" w:hAnsi="宋体" w:eastAsia="宋体" w:cs="宋体"/>
          <w:sz w:val="18"/>
          <w:szCs w:val="18"/>
        </w:rPr>
      </w:pPr>
      <w:r>
        <w:rPr>
          <w:rFonts w:ascii="宋体" w:hAnsi="宋体" w:eastAsia="宋体" w:cs="宋体"/>
          <w:sz w:val="18"/>
          <w:szCs w:val="18"/>
        </w:rPr>
        <w:t>设定受益计划净负债（净资产）</w:t>
      </w:r>
    </w:p>
    <w:p w14:paraId="3B64D08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C6997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6DD982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46F9385">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C32D86D">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bl>
    <w:p w14:paraId="4418B453">
      <w:pPr>
        <w:spacing w:before="100" w:after="100" w:line="240" w:lineRule="exact"/>
        <w:jc w:val="left"/>
        <w:rPr>
          <w:rFonts w:ascii="宋体" w:hAnsi="宋体" w:eastAsia="宋体" w:cs="宋体"/>
          <w:sz w:val="18"/>
          <w:szCs w:val="18"/>
        </w:rPr>
      </w:pPr>
      <w:r>
        <w:rPr>
          <w:rFonts w:ascii="宋体" w:hAnsi="宋体" w:eastAsia="宋体" w:cs="宋体"/>
          <w:sz w:val="18"/>
          <w:szCs w:val="18"/>
        </w:rPr>
        <w:t>设定受益计划的内容及与之相关风险、对公司未来现金流量、时间和不确定性的影响说明：</w:t>
      </w:r>
    </w:p>
    <w:p w14:paraId="2CD80480">
      <w:pPr>
        <w:spacing w:before="100" w:after="100" w:line="240" w:lineRule="exact"/>
        <w:jc w:val="left"/>
        <w:rPr>
          <w:rFonts w:ascii="宋体" w:hAnsi="宋体" w:eastAsia="宋体" w:cs="宋体"/>
          <w:sz w:val="18"/>
          <w:szCs w:val="18"/>
        </w:rPr>
      </w:pPr>
      <w:r>
        <w:rPr>
          <w:rFonts w:ascii="宋体" w:hAnsi="宋体" w:eastAsia="宋体" w:cs="宋体"/>
          <w:sz w:val="18"/>
          <w:szCs w:val="18"/>
        </w:rPr>
        <w:t>设定受益计划重大精算假设及敏感性分析结果说明：</w:t>
      </w:r>
    </w:p>
    <w:p w14:paraId="71BA6990">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4B35A38">
      <w:pPr>
        <w:keepNext/>
        <w:keepLines/>
        <w:spacing w:before="300" w:after="300" w:line="280" w:lineRule="exact"/>
        <w:jc w:val="left"/>
        <w:outlineLvl w:val="2"/>
        <w:rPr>
          <w:rFonts w:ascii="宋体" w:hAnsi="宋体" w:eastAsia="宋体" w:cs="宋体"/>
          <w:b/>
          <w:bCs/>
          <w:sz w:val="21"/>
          <w:szCs w:val="21"/>
        </w:rPr>
      </w:pPr>
      <w:bookmarkStart w:id="403" w:name="_Toc989286"/>
      <w:r>
        <w:rPr>
          <w:rFonts w:ascii="宋体" w:hAnsi="宋体" w:eastAsia="宋体" w:cs="宋体"/>
          <w:b/>
          <w:bCs/>
          <w:sz w:val="21"/>
          <w:szCs w:val="21"/>
        </w:rPr>
        <w:t>50、预计负债</w:t>
      </w:r>
      <w:bookmarkEnd w:id="403"/>
    </w:p>
    <w:p w14:paraId="7B10B99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5442CC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5E8B83D">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639C7B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A59A35F">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B3D5618">
            <w:pPr>
              <w:spacing w:before="40" w:after="40" w:line="240" w:lineRule="exact"/>
              <w:jc w:val="center"/>
              <w:rPr>
                <w:rFonts w:ascii="宋体" w:hAnsi="宋体" w:eastAsia="宋体" w:cs="宋体"/>
                <w:sz w:val="18"/>
                <w:szCs w:val="18"/>
              </w:rPr>
            </w:pPr>
            <w:r>
              <w:rPr>
                <w:rFonts w:ascii="宋体" w:hAnsi="宋体" w:eastAsia="宋体" w:cs="宋体"/>
                <w:sz w:val="18"/>
                <w:szCs w:val="18"/>
              </w:rPr>
              <w:t>形成原因</w:t>
            </w:r>
          </w:p>
        </w:tc>
      </w:tr>
      <w:tr w14:paraId="556172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A0E18B5">
            <w:pPr>
              <w:spacing w:before="0" w:after="0" w:line="240" w:lineRule="exact"/>
              <w:jc w:val="left"/>
              <w:rPr>
                <w:rFonts w:ascii="宋体" w:hAnsi="宋体" w:eastAsia="宋体" w:cs="宋体"/>
                <w:sz w:val="18"/>
                <w:szCs w:val="18"/>
              </w:rPr>
            </w:pPr>
            <w:r>
              <w:rPr>
                <w:rFonts w:ascii="宋体" w:hAnsi="宋体" w:eastAsia="宋体" w:cs="宋体"/>
                <w:sz w:val="18"/>
                <w:szCs w:val="18"/>
              </w:rPr>
              <w:t>预计退货款</w:t>
            </w:r>
          </w:p>
        </w:tc>
        <w:tc>
          <w:tcPr>
            <w:tcW w:w="2410" w:type="dxa"/>
            <w:tcBorders>
              <w:top w:val="single" w:color="auto" w:sz="2" w:space="0"/>
              <w:left w:val="single" w:color="auto" w:sz="2" w:space="0"/>
              <w:bottom w:val="single" w:color="auto" w:sz="2" w:space="0"/>
              <w:right w:val="single" w:color="auto" w:sz="2" w:space="0"/>
            </w:tcBorders>
            <w:vAlign w:val="center"/>
          </w:tcPr>
          <w:p w14:paraId="7A8F43C2">
            <w:pPr>
              <w:spacing w:before="0" w:after="0" w:line="240" w:lineRule="exact"/>
              <w:jc w:val="right"/>
              <w:rPr>
                <w:rFonts w:ascii="宋体" w:hAnsi="宋体" w:eastAsia="宋体" w:cs="宋体"/>
                <w:sz w:val="18"/>
                <w:szCs w:val="18"/>
              </w:rPr>
            </w:pPr>
            <w:r>
              <w:rPr>
                <w:rFonts w:ascii="宋体" w:hAnsi="宋体" w:eastAsia="宋体" w:cs="宋体"/>
                <w:sz w:val="18"/>
                <w:szCs w:val="18"/>
              </w:rPr>
              <w:t>1,035,871.46</w:t>
            </w:r>
          </w:p>
        </w:tc>
        <w:tc>
          <w:tcPr>
            <w:tcW w:w="2410" w:type="dxa"/>
            <w:tcBorders>
              <w:top w:val="single" w:color="auto" w:sz="2" w:space="0"/>
              <w:left w:val="single" w:color="auto" w:sz="2" w:space="0"/>
              <w:bottom w:val="single" w:color="auto" w:sz="2" w:space="0"/>
              <w:right w:val="single" w:color="auto" w:sz="2" w:space="0"/>
            </w:tcBorders>
            <w:vAlign w:val="center"/>
          </w:tcPr>
          <w:p w14:paraId="75F847E3">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C313B48">
            <w:pPr>
              <w:spacing w:before="0" w:after="0" w:line="240" w:lineRule="exact"/>
              <w:jc w:val="left"/>
              <w:rPr>
                <w:rFonts w:ascii="宋体" w:hAnsi="宋体" w:eastAsia="宋体" w:cs="宋体"/>
                <w:sz w:val="18"/>
                <w:szCs w:val="18"/>
              </w:rPr>
            </w:pPr>
            <w:r>
              <w:rPr>
                <w:rFonts w:ascii="宋体" w:hAnsi="宋体" w:eastAsia="宋体" w:cs="宋体"/>
                <w:sz w:val="18"/>
                <w:szCs w:val="18"/>
              </w:rPr>
              <w:t>根据历史退货率预估退货款</w:t>
            </w:r>
          </w:p>
        </w:tc>
      </w:tr>
      <w:tr w14:paraId="4728AB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AE59074">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6D434872">
            <w:pPr>
              <w:spacing w:before="0" w:after="0" w:line="240" w:lineRule="exact"/>
              <w:jc w:val="right"/>
              <w:rPr>
                <w:rFonts w:ascii="宋体" w:hAnsi="宋体" w:eastAsia="宋体" w:cs="宋体"/>
                <w:sz w:val="18"/>
                <w:szCs w:val="18"/>
              </w:rPr>
            </w:pPr>
            <w:r>
              <w:rPr>
                <w:rFonts w:ascii="宋体" w:hAnsi="宋体" w:eastAsia="宋体" w:cs="宋体"/>
                <w:sz w:val="18"/>
                <w:szCs w:val="18"/>
              </w:rPr>
              <w:t>1,035,871.46</w:t>
            </w:r>
          </w:p>
        </w:tc>
        <w:tc>
          <w:tcPr>
            <w:tcW w:w="2410" w:type="dxa"/>
            <w:tcBorders>
              <w:top w:val="single" w:color="auto" w:sz="2" w:space="0"/>
              <w:left w:val="single" w:color="auto" w:sz="2" w:space="0"/>
              <w:bottom w:val="single" w:color="auto" w:sz="2" w:space="0"/>
              <w:right w:val="single" w:color="auto" w:sz="2" w:space="0"/>
            </w:tcBorders>
            <w:vAlign w:val="center"/>
          </w:tcPr>
          <w:p w14:paraId="0E69A466">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A12F451"/>
        </w:tc>
      </w:tr>
    </w:tbl>
    <w:p w14:paraId="14B87274">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其他说明，包括重要预计负债的相关重要假设、估计说明：</w:t>
      </w:r>
    </w:p>
    <w:p w14:paraId="059B4CE5">
      <w:pPr>
        <w:keepNext/>
        <w:keepLines/>
        <w:spacing w:before="300" w:after="300" w:line="280" w:lineRule="exact"/>
        <w:jc w:val="left"/>
        <w:outlineLvl w:val="2"/>
        <w:rPr>
          <w:rFonts w:ascii="宋体" w:hAnsi="宋体" w:eastAsia="宋体" w:cs="宋体"/>
          <w:b/>
          <w:bCs/>
          <w:sz w:val="21"/>
          <w:szCs w:val="21"/>
        </w:rPr>
      </w:pPr>
      <w:bookmarkStart w:id="404" w:name="_Toc989287"/>
      <w:r>
        <w:rPr>
          <w:rFonts w:ascii="宋体" w:hAnsi="宋体" w:eastAsia="宋体" w:cs="宋体"/>
          <w:b/>
          <w:bCs/>
          <w:sz w:val="21"/>
          <w:szCs w:val="21"/>
        </w:rPr>
        <w:t>51、递延收益</w:t>
      </w:r>
      <w:bookmarkEnd w:id="404"/>
    </w:p>
    <w:p w14:paraId="4EF78A3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243615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DA4923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611C4D9">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EF9C772">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055EB5B">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D13208E">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42A0409">
            <w:pPr>
              <w:spacing w:before="40" w:after="40" w:line="240" w:lineRule="exact"/>
              <w:jc w:val="center"/>
              <w:rPr>
                <w:rFonts w:ascii="宋体" w:hAnsi="宋体" w:eastAsia="宋体" w:cs="宋体"/>
                <w:sz w:val="18"/>
                <w:szCs w:val="18"/>
              </w:rPr>
            </w:pPr>
            <w:r>
              <w:rPr>
                <w:rFonts w:ascii="宋体" w:hAnsi="宋体" w:eastAsia="宋体" w:cs="宋体"/>
                <w:sz w:val="18"/>
                <w:szCs w:val="18"/>
              </w:rPr>
              <w:t>形成原因</w:t>
            </w:r>
          </w:p>
        </w:tc>
      </w:tr>
      <w:tr w14:paraId="7A821A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49F6A1D3">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与资产相关政府补助</w:t>
            </w:r>
          </w:p>
        </w:tc>
        <w:tc>
          <w:tcPr>
            <w:tcW w:w="1606" w:type="dxa"/>
            <w:tcBorders>
              <w:top w:val="single" w:color="auto" w:sz="2" w:space="0"/>
              <w:left w:val="single" w:color="auto" w:sz="2" w:space="0"/>
              <w:bottom w:val="single" w:color="auto" w:sz="2" w:space="0"/>
              <w:right w:val="single" w:color="auto" w:sz="2" w:space="0"/>
            </w:tcBorders>
            <w:vAlign w:val="center"/>
          </w:tcPr>
          <w:p w14:paraId="19B14AFF">
            <w:pPr>
              <w:spacing w:before="0" w:after="0" w:line="240" w:lineRule="exact"/>
              <w:jc w:val="right"/>
              <w:rPr>
                <w:rFonts w:ascii="宋体" w:hAnsi="宋体" w:eastAsia="宋体" w:cs="宋体"/>
                <w:sz w:val="18"/>
                <w:szCs w:val="18"/>
              </w:rPr>
            </w:pPr>
            <w:r>
              <w:rPr>
                <w:rFonts w:ascii="宋体" w:hAnsi="宋体" w:eastAsia="宋体" w:cs="宋体"/>
                <w:sz w:val="18"/>
                <w:szCs w:val="18"/>
              </w:rPr>
              <w:t>37,493,744.35</w:t>
            </w:r>
          </w:p>
        </w:tc>
        <w:tc>
          <w:tcPr>
            <w:tcW w:w="1606" w:type="dxa"/>
            <w:tcBorders>
              <w:top w:val="single" w:color="auto" w:sz="2" w:space="0"/>
              <w:left w:val="single" w:color="auto" w:sz="2" w:space="0"/>
              <w:bottom w:val="single" w:color="auto" w:sz="2" w:space="0"/>
              <w:right w:val="single" w:color="auto" w:sz="2" w:space="0"/>
            </w:tcBorders>
            <w:vAlign w:val="center"/>
          </w:tcPr>
          <w:p w14:paraId="6914B0FD">
            <w:pPr>
              <w:spacing w:before="0" w:after="0" w:line="240" w:lineRule="exact"/>
              <w:jc w:val="right"/>
              <w:rPr>
                <w:rFonts w:ascii="宋体" w:hAnsi="宋体" w:eastAsia="宋体" w:cs="宋体"/>
                <w:sz w:val="18"/>
                <w:szCs w:val="18"/>
              </w:rPr>
            </w:pPr>
            <w:r>
              <w:rPr>
                <w:rFonts w:ascii="宋体" w:hAnsi="宋体" w:eastAsia="宋体" w:cs="宋体"/>
                <w:sz w:val="18"/>
                <w:szCs w:val="18"/>
              </w:rPr>
              <w:t>30,000,000.00</w:t>
            </w:r>
          </w:p>
        </w:tc>
        <w:tc>
          <w:tcPr>
            <w:tcW w:w="1606" w:type="dxa"/>
            <w:tcBorders>
              <w:top w:val="single" w:color="auto" w:sz="2" w:space="0"/>
              <w:left w:val="single" w:color="auto" w:sz="2" w:space="0"/>
              <w:bottom w:val="single" w:color="auto" w:sz="2" w:space="0"/>
              <w:right w:val="single" w:color="auto" w:sz="2" w:space="0"/>
            </w:tcBorders>
            <w:vAlign w:val="center"/>
          </w:tcPr>
          <w:p w14:paraId="157DC3EF">
            <w:pPr>
              <w:spacing w:before="0" w:after="0" w:line="240" w:lineRule="exact"/>
              <w:jc w:val="right"/>
              <w:rPr>
                <w:rFonts w:ascii="宋体" w:hAnsi="宋体" w:eastAsia="宋体" w:cs="宋体"/>
                <w:sz w:val="18"/>
                <w:szCs w:val="18"/>
              </w:rPr>
            </w:pPr>
            <w:r>
              <w:rPr>
                <w:rFonts w:ascii="宋体" w:hAnsi="宋体" w:eastAsia="宋体" w:cs="宋体"/>
                <w:sz w:val="18"/>
                <w:szCs w:val="18"/>
              </w:rPr>
              <w:t>4,003,143.73</w:t>
            </w:r>
          </w:p>
        </w:tc>
        <w:tc>
          <w:tcPr>
            <w:tcW w:w="1606" w:type="dxa"/>
            <w:tcBorders>
              <w:top w:val="single" w:color="auto" w:sz="2" w:space="0"/>
              <w:left w:val="single" w:color="auto" w:sz="2" w:space="0"/>
              <w:bottom w:val="single" w:color="auto" w:sz="2" w:space="0"/>
              <w:right w:val="single" w:color="auto" w:sz="2" w:space="0"/>
            </w:tcBorders>
            <w:vAlign w:val="center"/>
          </w:tcPr>
          <w:p w14:paraId="64102A83">
            <w:pPr>
              <w:spacing w:before="0" w:after="0" w:line="240" w:lineRule="exact"/>
              <w:jc w:val="right"/>
              <w:rPr>
                <w:rFonts w:ascii="宋体" w:hAnsi="宋体" w:eastAsia="宋体" w:cs="宋体"/>
                <w:sz w:val="18"/>
                <w:szCs w:val="18"/>
              </w:rPr>
            </w:pPr>
            <w:r>
              <w:rPr>
                <w:rFonts w:ascii="宋体" w:hAnsi="宋体" w:eastAsia="宋体" w:cs="宋体"/>
                <w:sz w:val="18"/>
                <w:szCs w:val="18"/>
              </w:rPr>
              <w:t>63,490,600.62</w:t>
            </w:r>
          </w:p>
        </w:tc>
        <w:tc>
          <w:tcPr>
            <w:tcW w:w="1606" w:type="dxa"/>
            <w:tcBorders>
              <w:top w:val="single" w:color="auto" w:sz="2" w:space="0"/>
              <w:left w:val="single" w:color="auto" w:sz="2" w:space="0"/>
              <w:bottom w:val="single" w:color="auto" w:sz="2" w:space="0"/>
              <w:right w:val="single" w:color="auto" w:sz="2" w:space="0"/>
            </w:tcBorders>
            <w:vAlign w:val="center"/>
          </w:tcPr>
          <w:p w14:paraId="776ED244">
            <w:pPr>
              <w:spacing w:before="0" w:after="0" w:line="240" w:lineRule="exact"/>
              <w:jc w:val="left"/>
              <w:rPr>
                <w:rFonts w:ascii="宋体" w:hAnsi="宋体" w:eastAsia="宋体" w:cs="宋体"/>
                <w:sz w:val="18"/>
                <w:szCs w:val="18"/>
              </w:rPr>
            </w:pPr>
            <w:r>
              <w:rPr>
                <w:rFonts w:ascii="宋体" w:hAnsi="宋体" w:eastAsia="宋体" w:cs="宋体"/>
                <w:sz w:val="18"/>
                <w:szCs w:val="18"/>
              </w:rPr>
              <w:t>详见表1</w:t>
            </w:r>
          </w:p>
        </w:tc>
      </w:tr>
      <w:tr w14:paraId="72FF76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23256D40">
            <w:pPr>
              <w:spacing w:before="0" w:after="0" w:line="240" w:lineRule="exact"/>
              <w:jc w:val="left"/>
              <w:rPr>
                <w:rFonts w:ascii="宋体" w:hAnsi="宋体" w:eastAsia="宋体" w:cs="宋体"/>
                <w:sz w:val="18"/>
                <w:szCs w:val="18"/>
              </w:rPr>
            </w:pPr>
            <w:r>
              <w:rPr>
                <w:rFonts w:ascii="宋体" w:hAnsi="宋体" w:eastAsia="宋体" w:cs="宋体"/>
                <w:sz w:val="18"/>
                <w:szCs w:val="18"/>
              </w:rPr>
              <w:t>与收益相关政府补助</w:t>
            </w:r>
          </w:p>
        </w:tc>
        <w:tc>
          <w:tcPr>
            <w:tcW w:w="1606" w:type="dxa"/>
            <w:tcBorders>
              <w:top w:val="single" w:color="auto" w:sz="2" w:space="0"/>
              <w:left w:val="single" w:color="auto" w:sz="2" w:space="0"/>
              <w:bottom w:val="single" w:color="auto" w:sz="2" w:space="0"/>
              <w:right w:val="single" w:color="auto" w:sz="2" w:space="0"/>
            </w:tcBorders>
            <w:vAlign w:val="center"/>
          </w:tcPr>
          <w:p w14:paraId="7CE6CBFE">
            <w:pPr>
              <w:spacing w:before="0" w:after="0" w:line="240" w:lineRule="exact"/>
              <w:jc w:val="right"/>
              <w:rPr>
                <w:rFonts w:ascii="宋体" w:hAnsi="宋体" w:eastAsia="宋体" w:cs="宋体"/>
                <w:sz w:val="18"/>
                <w:szCs w:val="18"/>
              </w:rPr>
            </w:pPr>
            <w:r>
              <w:rPr>
                <w:rFonts w:ascii="宋体" w:hAnsi="宋体" w:eastAsia="宋体" w:cs="宋体"/>
                <w:sz w:val="18"/>
                <w:szCs w:val="18"/>
              </w:rPr>
              <w:t>2,500,000.00</w:t>
            </w:r>
          </w:p>
        </w:tc>
        <w:tc>
          <w:tcPr>
            <w:tcW w:w="1606" w:type="dxa"/>
            <w:tcBorders>
              <w:top w:val="single" w:color="auto" w:sz="2" w:space="0"/>
              <w:left w:val="single" w:color="auto" w:sz="2" w:space="0"/>
              <w:bottom w:val="single" w:color="auto" w:sz="2" w:space="0"/>
              <w:right w:val="single" w:color="auto" w:sz="2" w:space="0"/>
            </w:tcBorders>
            <w:vAlign w:val="center"/>
          </w:tcPr>
          <w:p w14:paraId="2E27548E">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29FB1B96">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7867672C">
            <w:pPr>
              <w:spacing w:before="0" w:after="0" w:line="240" w:lineRule="exact"/>
              <w:jc w:val="right"/>
              <w:rPr>
                <w:rFonts w:ascii="宋体" w:hAnsi="宋体" w:eastAsia="宋体" w:cs="宋体"/>
                <w:sz w:val="18"/>
                <w:szCs w:val="18"/>
              </w:rPr>
            </w:pPr>
            <w:r>
              <w:rPr>
                <w:rFonts w:ascii="宋体" w:hAnsi="宋体" w:eastAsia="宋体" w:cs="宋体"/>
                <w:sz w:val="18"/>
                <w:szCs w:val="18"/>
              </w:rPr>
              <w:t>2,500,000.00</w:t>
            </w:r>
          </w:p>
        </w:tc>
        <w:tc>
          <w:tcPr>
            <w:tcW w:w="1606" w:type="dxa"/>
            <w:tcBorders>
              <w:top w:val="single" w:color="auto" w:sz="2" w:space="0"/>
              <w:left w:val="single" w:color="auto" w:sz="2" w:space="0"/>
              <w:bottom w:val="single" w:color="auto" w:sz="2" w:space="0"/>
              <w:right w:val="single" w:color="auto" w:sz="2" w:space="0"/>
            </w:tcBorders>
            <w:vAlign w:val="center"/>
          </w:tcPr>
          <w:p w14:paraId="7A86F6FC">
            <w:pPr>
              <w:spacing w:before="0" w:after="0" w:line="240" w:lineRule="exact"/>
              <w:jc w:val="left"/>
              <w:rPr>
                <w:rFonts w:ascii="宋体" w:hAnsi="宋体" w:eastAsia="宋体" w:cs="宋体"/>
                <w:sz w:val="18"/>
                <w:szCs w:val="18"/>
              </w:rPr>
            </w:pPr>
            <w:r>
              <w:rPr>
                <w:rFonts w:ascii="宋体" w:hAnsi="宋体" w:eastAsia="宋体" w:cs="宋体"/>
                <w:sz w:val="18"/>
                <w:szCs w:val="18"/>
              </w:rPr>
              <w:t>详见表1</w:t>
            </w:r>
          </w:p>
        </w:tc>
      </w:tr>
      <w:tr w14:paraId="03A372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4BFC721">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vAlign w:val="center"/>
          </w:tcPr>
          <w:p w14:paraId="7499F304">
            <w:pPr>
              <w:spacing w:before="0" w:after="0" w:line="240" w:lineRule="exact"/>
              <w:jc w:val="right"/>
              <w:rPr>
                <w:rFonts w:ascii="宋体" w:hAnsi="宋体" w:eastAsia="宋体" w:cs="宋体"/>
                <w:sz w:val="18"/>
                <w:szCs w:val="18"/>
              </w:rPr>
            </w:pPr>
            <w:r>
              <w:rPr>
                <w:rFonts w:ascii="宋体" w:hAnsi="宋体" w:eastAsia="宋体" w:cs="宋体"/>
                <w:sz w:val="18"/>
                <w:szCs w:val="18"/>
              </w:rPr>
              <w:t>39,993,744.35</w:t>
            </w:r>
          </w:p>
        </w:tc>
        <w:tc>
          <w:tcPr>
            <w:tcW w:w="1606" w:type="dxa"/>
            <w:tcBorders>
              <w:top w:val="single" w:color="auto" w:sz="2" w:space="0"/>
              <w:left w:val="single" w:color="auto" w:sz="2" w:space="0"/>
              <w:bottom w:val="single" w:color="auto" w:sz="2" w:space="0"/>
              <w:right w:val="single" w:color="auto" w:sz="2" w:space="0"/>
            </w:tcBorders>
            <w:vAlign w:val="center"/>
          </w:tcPr>
          <w:p w14:paraId="683BF8EA">
            <w:pPr>
              <w:spacing w:before="0" w:after="0" w:line="240" w:lineRule="exact"/>
              <w:jc w:val="right"/>
              <w:rPr>
                <w:rFonts w:ascii="宋体" w:hAnsi="宋体" w:eastAsia="宋体" w:cs="宋体"/>
                <w:sz w:val="18"/>
                <w:szCs w:val="18"/>
              </w:rPr>
            </w:pPr>
            <w:r>
              <w:rPr>
                <w:rFonts w:ascii="宋体" w:hAnsi="宋体" w:eastAsia="宋体" w:cs="宋体"/>
                <w:sz w:val="18"/>
                <w:szCs w:val="18"/>
              </w:rPr>
              <w:t>30,000,000.00</w:t>
            </w:r>
          </w:p>
        </w:tc>
        <w:tc>
          <w:tcPr>
            <w:tcW w:w="1606" w:type="dxa"/>
            <w:tcBorders>
              <w:top w:val="single" w:color="auto" w:sz="2" w:space="0"/>
              <w:left w:val="single" w:color="auto" w:sz="2" w:space="0"/>
              <w:bottom w:val="single" w:color="auto" w:sz="2" w:space="0"/>
              <w:right w:val="single" w:color="auto" w:sz="2" w:space="0"/>
            </w:tcBorders>
            <w:vAlign w:val="center"/>
          </w:tcPr>
          <w:p w14:paraId="77633EA3">
            <w:pPr>
              <w:spacing w:before="0" w:after="0" w:line="240" w:lineRule="exact"/>
              <w:jc w:val="right"/>
              <w:rPr>
                <w:rFonts w:ascii="宋体" w:hAnsi="宋体" w:eastAsia="宋体" w:cs="宋体"/>
                <w:sz w:val="18"/>
                <w:szCs w:val="18"/>
              </w:rPr>
            </w:pPr>
            <w:r>
              <w:rPr>
                <w:rFonts w:ascii="宋体" w:hAnsi="宋体" w:eastAsia="宋体" w:cs="宋体"/>
                <w:sz w:val="18"/>
                <w:szCs w:val="18"/>
              </w:rPr>
              <w:t>4,003,143.73</w:t>
            </w:r>
          </w:p>
        </w:tc>
        <w:tc>
          <w:tcPr>
            <w:tcW w:w="1606" w:type="dxa"/>
            <w:tcBorders>
              <w:top w:val="single" w:color="auto" w:sz="2" w:space="0"/>
              <w:left w:val="single" w:color="auto" w:sz="2" w:space="0"/>
              <w:bottom w:val="single" w:color="auto" w:sz="2" w:space="0"/>
              <w:right w:val="single" w:color="auto" w:sz="2" w:space="0"/>
            </w:tcBorders>
            <w:vAlign w:val="center"/>
          </w:tcPr>
          <w:p w14:paraId="2FB80C00">
            <w:pPr>
              <w:spacing w:before="0" w:after="0" w:line="240" w:lineRule="exact"/>
              <w:jc w:val="right"/>
              <w:rPr>
                <w:rFonts w:ascii="宋体" w:hAnsi="宋体" w:eastAsia="宋体" w:cs="宋体"/>
                <w:sz w:val="18"/>
                <w:szCs w:val="18"/>
              </w:rPr>
            </w:pPr>
            <w:r>
              <w:rPr>
                <w:rFonts w:ascii="宋体" w:hAnsi="宋体" w:eastAsia="宋体" w:cs="宋体"/>
                <w:sz w:val="18"/>
                <w:szCs w:val="18"/>
              </w:rPr>
              <w:t>65,990,600.62</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09C09B3"/>
        </w:tc>
      </w:tr>
    </w:tbl>
    <w:p w14:paraId="7168A792">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7F82E7A">
      <w:pPr>
        <w:pStyle w:val="2"/>
        <w:keepNext w:val="0"/>
        <w:keepLines w:val="0"/>
        <w:widowControl/>
        <w:suppressLineNumbers w:val="0"/>
        <w:ind w:left="0" w:right="0"/>
        <w:rPr>
          <w:rFonts w:hint="eastAsia" w:ascii="宋体" w:hAnsi="宋体" w:eastAsia="宋体" w:cs="宋体"/>
          <w:sz w:val="24"/>
          <w:szCs w:val="24"/>
        </w:rPr>
      </w:pPr>
      <w:r>
        <w:rPr>
          <w:rFonts w:hint="eastAsia" w:ascii="宋体" w:hAnsi="宋体" w:eastAsia="宋体" w:cs="宋体"/>
          <w:color w:val="000000"/>
          <w:sz w:val="21"/>
          <w:szCs w:val="21"/>
        </w:rPr>
        <w:t>本公司政府补助详见附注十一、政府补助涉及政府补助的负债项目。</w:t>
      </w:r>
    </w:p>
    <w:p w14:paraId="44F8FC62">
      <w:pPr>
        <w:keepNext/>
        <w:keepLines/>
        <w:spacing w:before="300" w:after="300" w:line="280" w:lineRule="exact"/>
        <w:jc w:val="left"/>
        <w:outlineLvl w:val="2"/>
        <w:rPr>
          <w:rFonts w:ascii="宋体" w:hAnsi="宋体" w:eastAsia="宋体" w:cs="宋体"/>
          <w:b/>
          <w:bCs/>
          <w:sz w:val="21"/>
          <w:szCs w:val="21"/>
        </w:rPr>
      </w:pPr>
      <w:bookmarkStart w:id="405" w:name="_Toc989288"/>
      <w:r>
        <w:rPr>
          <w:rFonts w:ascii="宋体" w:hAnsi="宋体" w:eastAsia="宋体" w:cs="宋体"/>
          <w:b/>
          <w:bCs/>
          <w:sz w:val="21"/>
          <w:szCs w:val="21"/>
        </w:rPr>
        <w:t>52、其他非流动负债</w:t>
      </w:r>
      <w:bookmarkEnd w:id="405"/>
    </w:p>
    <w:p w14:paraId="5794D2E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3FFC96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A52503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90E2B5A">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85FFFE8">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259361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1C81B3F">
            <w:pPr>
              <w:spacing w:before="0" w:after="0" w:line="240" w:lineRule="exact"/>
              <w:jc w:val="left"/>
              <w:rPr>
                <w:rFonts w:ascii="宋体" w:hAnsi="宋体" w:eastAsia="宋体" w:cs="宋体"/>
                <w:sz w:val="18"/>
                <w:szCs w:val="18"/>
              </w:rPr>
            </w:pPr>
            <w:r>
              <w:rPr>
                <w:rFonts w:ascii="宋体" w:hAnsi="宋体" w:eastAsia="宋体" w:cs="宋体"/>
                <w:sz w:val="18"/>
                <w:szCs w:val="18"/>
              </w:rPr>
              <w:t>股权回购义务</w:t>
            </w:r>
          </w:p>
        </w:tc>
        <w:tc>
          <w:tcPr>
            <w:tcW w:w="3213" w:type="dxa"/>
            <w:tcBorders>
              <w:top w:val="single" w:color="auto" w:sz="2" w:space="0"/>
              <w:left w:val="single" w:color="auto" w:sz="2" w:space="0"/>
              <w:bottom w:val="single" w:color="auto" w:sz="2" w:space="0"/>
              <w:right w:val="single" w:color="auto" w:sz="2" w:space="0"/>
            </w:tcBorders>
            <w:vAlign w:val="center"/>
          </w:tcPr>
          <w:p w14:paraId="71F53303">
            <w:pPr>
              <w:spacing w:before="0" w:after="0" w:line="240" w:lineRule="exact"/>
              <w:jc w:val="right"/>
              <w:rPr>
                <w:rFonts w:ascii="宋体" w:hAnsi="宋体" w:eastAsia="宋体" w:cs="宋体"/>
                <w:sz w:val="18"/>
                <w:szCs w:val="18"/>
              </w:rPr>
            </w:pPr>
            <w:r>
              <w:rPr>
                <w:rFonts w:ascii="宋体" w:hAnsi="宋体" w:eastAsia="宋体" w:cs="宋体"/>
                <w:sz w:val="18"/>
                <w:szCs w:val="18"/>
              </w:rPr>
              <w:t>255,200,000.00</w:t>
            </w:r>
          </w:p>
        </w:tc>
        <w:tc>
          <w:tcPr>
            <w:tcW w:w="3213" w:type="dxa"/>
            <w:tcBorders>
              <w:top w:val="single" w:color="auto" w:sz="2" w:space="0"/>
              <w:left w:val="single" w:color="auto" w:sz="2" w:space="0"/>
              <w:bottom w:val="single" w:color="auto" w:sz="2" w:space="0"/>
              <w:right w:val="single" w:color="auto" w:sz="2" w:space="0"/>
            </w:tcBorders>
            <w:vAlign w:val="center"/>
          </w:tcPr>
          <w:p w14:paraId="3DB91EF1">
            <w:pPr>
              <w:spacing w:before="0" w:after="0" w:line="240" w:lineRule="exact"/>
              <w:jc w:val="right"/>
              <w:rPr>
                <w:rFonts w:ascii="宋体" w:hAnsi="宋体" w:eastAsia="宋体" w:cs="宋体"/>
                <w:sz w:val="18"/>
                <w:szCs w:val="18"/>
              </w:rPr>
            </w:pPr>
            <w:r>
              <w:rPr>
                <w:rFonts w:ascii="宋体" w:hAnsi="宋体" w:eastAsia="宋体" w:cs="宋体"/>
                <w:sz w:val="18"/>
                <w:szCs w:val="18"/>
              </w:rPr>
              <w:t>237,306,666.67</w:t>
            </w:r>
          </w:p>
        </w:tc>
      </w:tr>
      <w:tr w14:paraId="083E7A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56D5F7A">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4986AF39">
            <w:pPr>
              <w:spacing w:before="0" w:after="0" w:line="240" w:lineRule="exact"/>
              <w:jc w:val="right"/>
              <w:rPr>
                <w:rFonts w:ascii="宋体" w:hAnsi="宋体" w:eastAsia="宋体" w:cs="宋体"/>
                <w:sz w:val="18"/>
                <w:szCs w:val="18"/>
              </w:rPr>
            </w:pPr>
            <w:r>
              <w:rPr>
                <w:rFonts w:ascii="宋体" w:hAnsi="宋体" w:eastAsia="宋体" w:cs="宋体"/>
                <w:sz w:val="18"/>
                <w:szCs w:val="18"/>
              </w:rPr>
              <w:t>255,200,000.00</w:t>
            </w:r>
          </w:p>
        </w:tc>
        <w:tc>
          <w:tcPr>
            <w:tcW w:w="3213" w:type="dxa"/>
            <w:tcBorders>
              <w:top w:val="single" w:color="auto" w:sz="2" w:space="0"/>
              <w:left w:val="single" w:color="auto" w:sz="2" w:space="0"/>
              <w:bottom w:val="single" w:color="auto" w:sz="2" w:space="0"/>
              <w:right w:val="single" w:color="auto" w:sz="2" w:space="0"/>
            </w:tcBorders>
            <w:vAlign w:val="center"/>
          </w:tcPr>
          <w:p w14:paraId="5BBFB687">
            <w:pPr>
              <w:spacing w:before="0" w:after="0" w:line="240" w:lineRule="exact"/>
              <w:jc w:val="right"/>
              <w:rPr>
                <w:rFonts w:ascii="宋体" w:hAnsi="宋体" w:eastAsia="宋体" w:cs="宋体"/>
                <w:sz w:val="18"/>
                <w:szCs w:val="18"/>
              </w:rPr>
            </w:pPr>
            <w:r>
              <w:rPr>
                <w:rFonts w:ascii="宋体" w:hAnsi="宋体" w:eastAsia="宋体" w:cs="宋体"/>
                <w:sz w:val="18"/>
                <w:szCs w:val="18"/>
              </w:rPr>
              <w:t>237,306,666.67</w:t>
            </w:r>
          </w:p>
        </w:tc>
      </w:tr>
    </w:tbl>
    <w:p w14:paraId="35C69A2B">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C6582B8">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报告期内其他非流动负债账面价值发生重大变动的金额和原因：</w:t>
      </w:r>
    </w:p>
    <w:tbl>
      <w:tblPr>
        <w:tblStyle w:val="3"/>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283"/>
        <w:gridCol w:w="3438"/>
        <w:gridCol w:w="3132"/>
      </w:tblGrid>
      <w:tr w14:paraId="244D3C2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blHeader/>
        </w:trPr>
        <w:tc>
          <w:tcPr>
            <w:tcW w:w="277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4BDA440B">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项目</w:t>
            </w:r>
          </w:p>
        </w:tc>
        <w:tc>
          <w:tcPr>
            <w:tcW w:w="290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5BF99E6">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ascii="Arial Narrow" w:hAnsi="Arial Narrow" w:eastAsia="Arial Narrow" w:cs="Arial Narrow"/>
                <w:sz w:val="18"/>
                <w:szCs w:val="18"/>
              </w:rPr>
              <w:t>2024</w:t>
            </w:r>
            <w:r>
              <w:rPr>
                <w:rFonts w:hint="eastAsia" w:ascii="宋体" w:hAnsi="宋体" w:eastAsia="宋体" w:cs="宋体"/>
                <w:sz w:val="18"/>
                <w:szCs w:val="18"/>
              </w:rPr>
              <w:t>年度变动金额</w:t>
            </w:r>
          </w:p>
        </w:tc>
        <w:tc>
          <w:tcPr>
            <w:tcW w:w="264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C7052B6">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变动原因</w:t>
            </w:r>
          </w:p>
        </w:tc>
      </w:tr>
      <w:tr w14:paraId="606359D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77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1535AF8A">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股权回购义务</w:t>
            </w:r>
          </w:p>
        </w:tc>
        <w:tc>
          <w:tcPr>
            <w:tcW w:w="2900" w:type="dxa"/>
            <w:tcBorders>
              <w:top w:val="nil"/>
              <w:left w:val="nil"/>
              <w:bottom w:val="single" w:color="auto" w:sz="8" w:space="0"/>
              <w:right w:val="single" w:color="auto" w:sz="8" w:space="0"/>
            </w:tcBorders>
            <w:shd w:val="clear" w:color="auto" w:fill="auto"/>
            <w:tcMar>
              <w:left w:w="108" w:type="dxa"/>
              <w:right w:w="108" w:type="dxa"/>
            </w:tcMar>
            <w:vAlign w:val="center"/>
          </w:tcPr>
          <w:p w14:paraId="42F9FE91">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17,893,333.33</w:t>
            </w:r>
          </w:p>
        </w:tc>
        <w:tc>
          <w:tcPr>
            <w:tcW w:w="2642" w:type="dxa"/>
            <w:tcBorders>
              <w:top w:val="nil"/>
              <w:left w:val="nil"/>
              <w:bottom w:val="single" w:color="auto" w:sz="8" w:space="0"/>
              <w:right w:val="single" w:color="auto" w:sz="8" w:space="0"/>
            </w:tcBorders>
            <w:shd w:val="clear" w:color="auto" w:fill="auto"/>
            <w:tcMar>
              <w:left w:w="108" w:type="dxa"/>
              <w:right w:w="108" w:type="dxa"/>
            </w:tcMar>
            <w:vAlign w:val="center"/>
          </w:tcPr>
          <w:p w14:paraId="2E4FC7C8">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回购利息</w:t>
            </w:r>
          </w:p>
        </w:tc>
      </w:tr>
      <w:tr w14:paraId="1BA4FB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40" w:hRule="atLeast"/>
        </w:trPr>
        <w:tc>
          <w:tcPr>
            <w:tcW w:w="277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6BC703F0">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合计</w:t>
            </w:r>
          </w:p>
        </w:tc>
        <w:tc>
          <w:tcPr>
            <w:tcW w:w="2900" w:type="dxa"/>
            <w:tcBorders>
              <w:top w:val="nil"/>
              <w:left w:val="nil"/>
              <w:bottom w:val="single" w:color="auto" w:sz="8" w:space="0"/>
              <w:right w:val="single" w:color="auto" w:sz="8" w:space="0"/>
            </w:tcBorders>
            <w:shd w:val="clear" w:color="auto" w:fill="auto"/>
            <w:tcMar>
              <w:left w:w="108" w:type="dxa"/>
              <w:right w:w="108" w:type="dxa"/>
            </w:tcMar>
            <w:vAlign w:val="center"/>
          </w:tcPr>
          <w:p w14:paraId="5ABEA7BE">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17,893,333.33</w:t>
            </w:r>
          </w:p>
        </w:tc>
        <w:tc>
          <w:tcPr>
            <w:tcW w:w="2642" w:type="dxa"/>
            <w:tcBorders>
              <w:top w:val="nil"/>
              <w:left w:val="nil"/>
              <w:bottom w:val="single" w:color="auto" w:sz="8" w:space="0"/>
              <w:right w:val="single" w:color="auto" w:sz="8" w:space="0"/>
            </w:tcBorders>
            <w:shd w:val="clear" w:color="auto" w:fill="auto"/>
            <w:tcMar>
              <w:left w:w="108" w:type="dxa"/>
              <w:right w:w="108" w:type="dxa"/>
            </w:tcMar>
            <w:vAlign w:val="center"/>
          </w:tcPr>
          <w:p w14:paraId="4DC393DD">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Arial Narrow" w:hAnsi="Arial Narrow" w:eastAsia="Arial Narrow" w:cs="Arial Narrow"/>
                <w:sz w:val="18"/>
                <w:szCs w:val="18"/>
              </w:rPr>
              <w:t> </w:t>
            </w:r>
          </w:p>
        </w:tc>
      </w:tr>
    </w:tbl>
    <w:p w14:paraId="4AA42974">
      <w:pPr>
        <w:keepNext/>
        <w:keepLines/>
        <w:spacing w:before="300" w:after="300" w:line="280" w:lineRule="exact"/>
        <w:jc w:val="left"/>
        <w:outlineLvl w:val="2"/>
        <w:rPr>
          <w:rFonts w:ascii="宋体" w:hAnsi="宋体" w:eastAsia="宋体" w:cs="宋体"/>
          <w:b/>
          <w:bCs/>
          <w:sz w:val="21"/>
          <w:szCs w:val="21"/>
        </w:rPr>
      </w:pPr>
      <w:bookmarkStart w:id="406" w:name="_Toc989289"/>
      <w:r>
        <w:rPr>
          <w:rFonts w:ascii="宋体" w:hAnsi="宋体" w:eastAsia="宋体" w:cs="宋体"/>
          <w:b/>
          <w:bCs/>
          <w:sz w:val="21"/>
          <w:szCs w:val="21"/>
        </w:rPr>
        <w:t>53、股本</w:t>
      </w:r>
      <w:bookmarkEnd w:id="406"/>
    </w:p>
    <w:p w14:paraId="7FA78C0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5"/>
        <w:gridCol w:w="1205"/>
        <w:gridCol w:w="1205"/>
        <w:gridCol w:w="1205"/>
        <w:gridCol w:w="1205"/>
        <w:gridCol w:w="1205"/>
        <w:gridCol w:w="1205"/>
        <w:gridCol w:w="1205"/>
      </w:tblGrid>
      <w:tr w14:paraId="330851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6C54655"/>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0C5B926">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6024"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78C6F7E5">
            <w:pPr>
              <w:spacing w:before="40" w:after="40" w:line="240" w:lineRule="exact"/>
              <w:jc w:val="center"/>
              <w:rPr>
                <w:rFonts w:ascii="宋体" w:hAnsi="宋体" w:eastAsia="宋体" w:cs="宋体"/>
                <w:sz w:val="18"/>
                <w:szCs w:val="18"/>
              </w:rPr>
            </w:pPr>
            <w:r>
              <w:rPr>
                <w:rFonts w:ascii="宋体" w:hAnsi="宋体" w:eastAsia="宋体" w:cs="宋体"/>
                <w:sz w:val="18"/>
                <w:szCs w:val="18"/>
              </w:rPr>
              <w:t>本次变动增减（+、-）</w:t>
            </w: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EB53F68">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42FF1A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CC3D8EC"/>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25C1BFE"/>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09336CAD">
            <w:pPr>
              <w:spacing w:before="40" w:after="40" w:line="240" w:lineRule="exact"/>
              <w:jc w:val="center"/>
              <w:rPr>
                <w:rFonts w:ascii="宋体" w:hAnsi="宋体" w:eastAsia="宋体" w:cs="宋体"/>
                <w:sz w:val="18"/>
                <w:szCs w:val="18"/>
              </w:rPr>
            </w:pPr>
            <w:r>
              <w:rPr>
                <w:rFonts w:ascii="宋体" w:hAnsi="宋体" w:eastAsia="宋体" w:cs="宋体"/>
                <w:sz w:val="18"/>
                <w:szCs w:val="18"/>
              </w:rPr>
              <w:t>发行新股</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14FF9C89">
            <w:pPr>
              <w:spacing w:before="40" w:after="40" w:line="240" w:lineRule="exact"/>
              <w:jc w:val="center"/>
              <w:rPr>
                <w:rFonts w:ascii="宋体" w:hAnsi="宋体" w:eastAsia="宋体" w:cs="宋体"/>
                <w:sz w:val="18"/>
                <w:szCs w:val="18"/>
              </w:rPr>
            </w:pPr>
            <w:r>
              <w:rPr>
                <w:rFonts w:ascii="宋体" w:hAnsi="宋体" w:eastAsia="宋体" w:cs="宋体"/>
                <w:sz w:val="18"/>
                <w:szCs w:val="18"/>
              </w:rPr>
              <w:t>送股</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606B660B">
            <w:pPr>
              <w:spacing w:before="40" w:after="40" w:line="240" w:lineRule="exact"/>
              <w:jc w:val="center"/>
              <w:rPr>
                <w:rFonts w:ascii="宋体" w:hAnsi="宋体" w:eastAsia="宋体" w:cs="宋体"/>
                <w:sz w:val="18"/>
                <w:szCs w:val="18"/>
              </w:rPr>
            </w:pPr>
            <w:r>
              <w:rPr>
                <w:rFonts w:ascii="宋体" w:hAnsi="宋体" w:eastAsia="宋体" w:cs="宋体"/>
                <w:sz w:val="18"/>
                <w:szCs w:val="18"/>
              </w:rPr>
              <w:t>公积金转股</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6988CCFE">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35E326AE">
            <w:pPr>
              <w:spacing w:before="40" w:after="40" w:line="240" w:lineRule="exact"/>
              <w:jc w:val="center"/>
              <w:rPr>
                <w:rFonts w:ascii="宋体" w:hAnsi="宋体" w:eastAsia="宋体" w:cs="宋体"/>
                <w:sz w:val="18"/>
                <w:szCs w:val="18"/>
              </w:rPr>
            </w:pPr>
            <w:r>
              <w:rPr>
                <w:rFonts w:ascii="宋体" w:hAnsi="宋体" w:eastAsia="宋体" w:cs="宋体"/>
                <w:sz w:val="18"/>
                <w:szCs w:val="18"/>
              </w:rPr>
              <w:t>小计</w:t>
            </w:r>
          </w:p>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01F122A"/>
        </w:tc>
      </w:tr>
      <w:tr w14:paraId="47D833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4E03A87A">
            <w:pPr>
              <w:spacing w:before="40" w:after="40" w:line="240" w:lineRule="exact"/>
              <w:jc w:val="left"/>
              <w:rPr>
                <w:rFonts w:ascii="宋体" w:hAnsi="宋体" w:eastAsia="宋体" w:cs="宋体"/>
                <w:sz w:val="18"/>
                <w:szCs w:val="18"/>
              </w:rPr>
            </w:pPr>
            <w:r>
              <w:rPr>
                <w:rFonts w:ascii="宋体" w:hAnsi="宋体" w:eastAsia="宋体" w:cs="宋体"/>
                <w:sz w:val="18"/>
                <w:szCs w:val="18"/>
              </w:rPr>
              <w:t>股份总数</w:t>
            </w:r>
          </w:p>
        </w:tc>
        <w:tc>
          <w:tcPr>
            <w:tcW w:w="1205" w:type="dxa"/>
            <w:tcBorders>
              <w:top w:val="single" w:color="auto" w:sz="2" w:space="0"/>
              <w:left w:val="single" w:color="auto" w:sz="2" w:space="0"/>
              <w:bottom w:val="single" w:color="auto" w:sz="2" w:space="0"/>
              <w:right w:val="single" w:color="auto" w:sz="2" w:space="0"/>
            </w:tcBorders>
            <w:vAlign w:val="center"/>
          </w:tcPr>
          <w:p w14:paraId="584C813F">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c>
          <w:tcPr>
            <w:tcW w:w="1205" w:type="dxa"/>
            <w:tcBorders>
              <w:top w:val="single" w:color="auto" w:sz="2" w:space="0"/>
              <w:left w:val="single" w:color="auto" w:sz="2" w:space="0"/>
              <w:bottom w:val="single" w:color="auto" w:sz="2" w:space="0"/>
              <w:right w:val="single" w:color="auto" w:sz="2" w:space="0"/>
            </w:tcBorders>
            <w:vAlign w:val="center"/>
          </w:tcPr>
          <w:p w14:paraId="69FE0AF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C5317A6">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E0ACFBF">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CF4BE6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4C7D4CD5">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7D04376">
            <w:pPr>
              <w:spacing w:before="0" w:after="0" w:line="240" w:lineRule="exact"/>
              <w:jc w:val="right"/>
              <w:rPr>
                <w:rFonts w:ascii="宋体" w:hAnsi="宋体" w:eastAsia="宋体" w:cs="宋体"/>
                <w:sz w:val="18"/>
                <w:szCs w:val="18"/>
              </w:rPr>
            </w:pPr>
            <w:r>
              <w:rPr>
                <w:rFonts w:ascii="宋体" w:hAnsi="宋体" w:eastAsia="宋体" w:cs="宋体"/>
                <w:sz w:val="18"/>
                <w:szCs w:val="18"/>
              </w:rPr>
              <w:t>159,267,000.00</w:t>
            </w:r>
          </w:p>
        </w:tc>
      </w:tr>
    </w:tbl>
    <w:p w14:paraId="5212E98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123BA0DE">
      <w:pPr>
        <w:keepNext/>
        <w:keepLines/>
        <w:spacing w:before="300" w:after="300" w:line="280" w:lineRule="exact"/>
        <w:jc w:val="left"/>
        <w:outlineLvl w:val="2"/>
        <w:rPr>
          <w:rFonts w:ascii="宋体" w:hAnsi="宋体" w:eastAsia="宋体" w:cs="宋体"/>
          <w:b/>
          <w:bCs/>
          <w:sz w:val="21"/>
          <w:szCs w:val="21"/>
        </w:rPr>
      </w:pPr>
      <w:bookmarkStart w:id="407" w:name="_Toc989290"/>
      <w:r>
        <w:rPr>
          <w:rFonts w:ascii="宋体" w:hAnsi="宋体" w:eastAsia="宋体" w:cs="宋体"/>
          <w:b/>
          <w:bCs/>
          <w:sz w:val="21"/>
          <w:szCs w:val="21"/>
        </w:rPr>
        <w:t>54、其他权益工具</w:t>
      </w:r>
      <w:bookmarkEnd w:id="407"/>
    </w:p>
    <w:p w14:paraId="0A0EE97C">
      <w:pPr>
        <w:keepNext/>
        <w:keepLines/>
        <w:spacing w:before="300" w:after="300" w:line="280" w:lineRule="exact"/>
        <w:jc w:val="left"/>
        <w:outlineLvl w:val="3"/>
        <w:rPr>
          <w:rFonts w:ascii="宋体" w:hAnsi="宋体" w:eastAsia="宋体" w:cs="宋体"/>
          <w:b/>
          <w:bCs/>
          <w:sz w:val="18"/>
          <w:szCs w:val="18"/>
        </w:rPr>
      </w:pPr>
      <w:bookmarkStart w:id="408" w:name="_Toc989291"/>
      <w:r>
        <w:rPr>
          <w:rFonts w:ascii="宋体" w:hAnsi="宋体" w:eastAsia="宋体" w:cs="宋体"/>
          <w:b/>
          <w:bCs/>
          <w:sz w:val="18"/>
          <w:szCs w:val="18"/>
        </w:rPr>
        <w:t>（1） 期末发行在外的优先股、永续债等其他金融工具基本情况</w:t>
      </w:r>
      <w:bookmarkEnd w:id="408"/>
    </w:p>
    <w:p w14:paraId="6EF74262">
      <w:pPr>
        <w:keepNext/>
        <w:keepLines/>
        <w:spacing w:before="300" w:after="300" w:line="280" w:lineRule="exact"/>
        <w:jc w:val="left"/>
        <w:outlineLvl w:val="3"/>
        <w:rPr>
          <w:rFonts w:ascii="宋体" w:hAnsi="宋体" w:eastAsia="宋体" w:cs="宋体"/>
          <w:b/>
          <w:bCs/>
          <w:sz w:val="18"/>
          <w:szCs w:val="18"/>
        </w:rPr>
      </w:pPr>
      <w:bookmarkStart w:id="409" w:name="_Toc989292"/>
      <w:r>
        <w:rPr>
          <w:rFonts w:ascii="宋体" w:hAnsi="宋体" w:eastAsia="宋体" w:cs="宋体"/>
          <w:b/>
          <w:bCs/>
          <w:sz w:val="18"/>
          <w:szCs w:val="18"/>
        </w:rPr>
        <w:t>（2） 期末发行在外的优先股、永续债等金融工具变动情况表</w:t>
      </w:r>
      <w:bookmarkEnd w:id="409"/>
    </w:p>
    <w:p w14:paraId="1E26355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7507DD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8BA3BFD">
            <w:pPr>
              <w:spacing w:before="40" w:after="40" w:line="240" w:lineRule="exact"/>
              <w:jc w:val="center"/>
              <w:rPr>
                <w:rFonts w:ascii="宋体" w:hAnsi="宋体" w:eastAsia="宋体" w:cs="宋体"/>
                <w:sz w:val="18"/>
                <w:szCs w:val="18"/>
              </w:rPr>
            </w:pPr>
            <w:r>
              <w:rPr>
                <w:rFonts w:ascii="宋体" w:hAnsi="宋体" w:eastAsia="宋体" w:cs="宋体"/>
                <w:sz w:val="18"/>
                <w:szCs w:val="18"/>
              </w:rPr>
              <w:t>发行在外的金融工具</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7CB1334">
            <w:pPr>
              <w:spacing w:before="40" w:after="40" w:line="240" w:lineRule="exact"/>
              <w:jc w:val="center"/>
              <w:rPr>
                <w:rFonts w:ascii="宋体" w:hAnsi="宋体" w:eastAsia="宋体" w:cs="宋体"/>
                <w:sz w:val="18"/>
                <w:szCs w:val="18"/>
              </w:rPr>
            </w:pPr>
            <w:r>
              <w:rPr>
                <w:rFonts w:ascii="宋体" w:hAnsi="宋体" w:eastAsia="宋体" w:cs="宋体"/>
                <w:sz w:val="18"/>
                <w:szCs w:val="18"/>
              </w:rPr>
              <w:t>期初</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1523B59">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DF4570B">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2CBC4B3">
            <w:pPr>
              <w:spacing w:before="40" w:after="40" w:line="240" w:lineRule="exact"/>
              <w:jc w:val="center"/>
              <w:rPr>
                <w:rFonts w:ascii="宋体" w:hAnsi="宋体" w:eastAsia="宋体" w:cs="宋体"/>
                <w:sz w:val="18"/>
                <w:szCs w:val="18"/>
              </w:rPr>
            </w:pPr>
            <w:r>
              <w:rPr>
                <w:rFonts w:ascii="宋体" w:hAnsi="宋体" w:eastAsia="宋体" w:cs="宋体"/>
                <w:sz w:val="18"/>
                <w:szCs w:val="18"/>
              </w:rPr>
              <w:t>期末</w:t>
            </w:r>
          </w:p>
        </w:tc>
      </w:tr>
      <w:tr w14:paraId="20F738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47C0EA8"/>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E9C9D71">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DFE0E34">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328F85A">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11CC106">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66ED612">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EF3D9C6">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AA81826">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992EDA5">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bl>
    <w:p w14:paraId="520F1C30">
      <w:pPr>
        <w:spacing w:before="100" w:after="100" w:line="240" w:lineRule="exact"/>
        <w:jc w:val="left"/>
        <w:rPr>
          <w:rFonts w:ascii="宋体" w:hAnsi="宋体" w:eastAsia="宋体" w:cs="宋体"/>
          <w:sz w:val="18"/>
          <w:szCs w:val="18"/>
        </w:rPr>
      </w:pPr>
      <w:r>
        <w:rPr>
          <w:rFonts w:ascii="宋体" w:hAnsi="宋体" w:eastAsia="宋体" w:cs="宋体"/>
          <w:sz w:val="18"/>
          <w:szCs w:val="18"/>
        </w:rPr>
        <w:t>其他权益工具本期增减变动情况、变动原因说明，以及相关会计处理的依据：</w:t>
      </w:r>
    </w:p>
    <w:p w14:paraId="000D077D">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F20805F">
      <w:pPr>
        <w:keepNext/>
        <w:keepLines/>
        <w:spacing w:before="300" w:after="300" w:line="280" w:lineRule="exact"/>
        <w:jc w:val="left"/>
        <w:outlineLvl w:val="2"/>
        <w:rPr>
          <w:rFonts w:ascii="宋体" w:hAnsi="宋体" w:eastAsia="宋体" w:cs="宋体"/>
          <w:b/>
          <w:bCs/>
          <w:sz w:val="21"/>
          <w:szCs w:val="21"/>
        </w:rPr>
      </w:pPr>
      <w:bookmarkStart w:id="410" w:name="_Toc989293"/>
      <w:r>
        <w:rPr>
          <w:rFonts w:ascii="宋体" w:hAnsi="宋体" w:eastAsia="宋体" w:cs="宋体"/>
          <w:b/>
          <w:bCs/>
          <w:sz w:val="21"/>
          <w:szCs w:val="21"/>
        </w:rPr>
        <w:t>55、资本公积</w:t>
      </w:r>
      <w:bookmarkEnd w:id="410"/>
    </w:p>
    <w:p w14:paraId="54A8914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ECF1D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6ABC640">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008F375">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F0C57F3">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558E1B1">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51FA276">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0E7B6E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F683854">
            <w:pPr>
              <w:spacing w:before="40" w:after="40" w:line="240" w:lineRule="exact"/>
              <w:jc w:val="left"/>
              <w:rPr>
                <w:rFonts w:ascii="宋体" w:hAnsi="宋体" w:eastAsia="宋体" w:cs="宋体"/>
                <w:sz w:val="18"/>
                <w:szCs w:val="18"/>
              </w:rPr>
            </w:pPr>
            <w:r>
              <w:rPr>
                <w:rFonts w:ascii="宋体" w:hAnsi="宋体" w:eastAsia="宋体" w:cs="宋体"/>
                <w:sz w:val="18"/>
                <w:szCs w:val="18"/>
              </w:rPr>
              <w:t>资本溢价（股本溢价）</w:t>
            </w:r>
          </w:p>
        </w:tc>
        <w:tc>
          <w:tcPr>
            <w:tcW w:w="1928" w:type="dxa"/>
            <w:tcBorders>
              <w:top w:val="single" w:color="auto" w:sz="2" w:space="0"/>
              <w:left w:val="single" w:color="auto" w:sz="2" w:space="0"/>
              <w:bottom w:val="single" w:color="auto" w:sz="2" w:space="0"/>
              <w:right w:val="single" w:color="auto" w:sz="2" w:space="0"/>
            </w:tcBorders>
            <w:vAlign w:val="center"/>
          </w:tcPr>
          <w:p w14:paraId="16012563">
            <w:pPr>
              <w:spacing w:before="0" w:after="0" w:line="240" w:lineRule="exact"/>
              <w:jc w:val="right"/>
              <w:rPr>
                <w:rFonts w:ascii="宋体" w:hAnsi="宋体" w:eastAsia="宋体" w:cs="宋体"/>
                <w:sz w:val="18"/>
                <w:szCs w:val="18"/>
              </w:rPr>
            </w:pPr>
            <w:r>
              <w:rPr>
                <w:rFonts w:ascii="宋体" w:hAnsi="宋体" w:eastAsia="宋体" w:cs="宋体"/>
                <w:sz w:val="18"/>
                <w:szCs w:val="18"/>
              </w:rPr>
              <w:t>604,678,115.18</w:t>
            </w:r>
          </w:p>
        </w:tc>
        <w:tc>
          <w:tcPr>
            <w:tcW w:w="1928" w:type="dxa"/>
            <w:tcBorders>
              <w:top w:val="single" w:color="auto" w:sz="2" w:space="0"/>
              <w:left w:val="single" w:color="auto" w:sz="2" w:space="0"/>
              <w:bottom w:val="single" w:color="auto" w:sz="2" w:space="0"/>
              <w:right w:val="single" w:color="auto" w:sz="2" w:space="0"/>
            </w:tcBorders>
            <w:vAlign w:val="center"/>
          </w:tcPr>
          <w:p w14:paraId="6659B16F">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724945CA">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35225E86">
            <w:pPr>
              <w:spacing w:before="0" w:after="0" w:line="240" w:lineRule="exact"/>
              <w:jc w:val="right"/>
              <w:rPr>
                <w:rFonts w:ascii="宋体" w:hAnsi="宋体" w:eastAsia="宋体" w:cs="宋体"/>
                <w:sz w:val="18"/>
                <w:szCs w:val="18"/>
              </w:rPr>
            </w:pPr>
            <w:r>
              <w:rPr>
                <w:rFonts w:ascii="宋体" w:hAnsi="宋体" w:eastAsia="宋体" w:cs="宋体"/>
                <w:sz w:val="18"/>
                <w:szCs w:val="18"/>
              </w:rPr>
              <w:t>604,678,115.18</w:t>
            </w:r>
          </w:p>
        </w:tc>
      </w:tr>
      <w:tr w14:paraId="648C8F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7C556E0">
            <w:pPr>
              <w:spacing w:before="40" w:after="40" w:line="240" w:lineRule="exact"/>
              <w:jc w:val="left"/>
              <w:rPr>
                <w:rFonts w:ascii="宋体" w:hAnsi="宋体" w:eastAsia="宋体" w:cs="宋体"/>
                <w:sz w:val="18"/>
                <w:szCs w:val="18"/>
              </w:rPr>
            </w:pPr>
            <w:r>
              <w:rPr>
                <w:rFonts w:ascii="宋体" w:hAnsi="宋体" w:eastAsia="宋体" w:cs="宋体"/>
                <w:sz w:val="18"/>
                <w:szCs w:val="18"/>
              </w:rPr>
              <w:t>其他资本公积</w:t>
            </w:r>
          </w:p>
        </w:tc>
        <w:tc>
          <w:tcPr>
            <w:tcW w:w="1928" w:type="dxa"/>
            <w:tcBorders>
              <w:top w:val="single" w:color="auto" w:sz="2" w:space="0"/>
              <w:left w:val="single" w:color="auto" w:sz="2" w:space="0"/>
              <w:bottom w:val="single" w:color="auto" w:sz="2" w:space="0"/>
              <w:right w:val="single" w:color="auto" w:sz="2" w:space="0"/>
            </w:tcBorders>
            <w:vAlign w:val="center"/>
          </w:tcPr>
          <w:p w14:paraId="041FB417">
            <w:pPr>
              <w:spacing w:before="0" w:after="0" w:line="240" w:lineRule="exact"/>
              <w:jc w:val="right"/>
              <w:rPr>
                <w:rFonts w:ascii="宋体" w:hAnsi="宋体" w:eastAsia="宋体" w:cs="宋体"/>
                <w:sz w:val="18"/>
                <w:szCs w:val="18"/>
              </w:rPr>
            </w:pPr>
            <w:r>
              <w:rPr>
                <w:rFonts w:ascii="宋体" w:hAnsi="宋体" w:eastAsia="宋体" w:cs="宋体"/>
                <w:sz w:val="18"/>
                <w:szCs w:val="18"/>
              </w:rPr>
              <w:t>3,247,779.30</w:t>
            </w:r>
          </w:p>
        </w:tc>
        <w:tc>
          <w:tcPr>
            <w:tcW w:w="1928" w:type="dxa"/>
            <w:tcBorders>
              <w:top w:val="single" w:color="auto" w:sz="2" w:space="0"/>
              <w:left w:val="single" w:color="auto" w:sz="2" w:space="0"/>
              <w:bottom w:val="single" w:color="auto" w:sz="2" w:space="0"/>
              <w:right w:val="single" w:color="auto" w:sz="2" w:space="0"/>
            </w:tcBorders>
            <w:vAlign w:val="center"/>
          </w:tcPr>
          <w:p w14:paraId="190E60A8">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6C532AAE">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2340A9DB">
            <w:pPr>
              <w:spacing w:before="0" w:after="0" w:line="240" w:lineRule="exact"/>
              <w:jc w:val="right"/>
              <w:rPr>
                <w:rFonts w:ascii="宋体" w:hAnsi="宋体" w:eastAsia="宋体" w:cs="宋体"/>
                <w:sz w:val="18"/>
                <w:szCs w:val="18"/>
              </w:rPr>
            </w:pPr>
            <w:r>
              <w:rPr>
                <w:rFonts w:ascii="宋体" w:hAnsi="宋体" w:eastAsia="宋体" w:cs="宋体"/>
                <w:sz w:val="18"/>
                <w:szCs w:val="18"/>
              </w:rPr>
              <w:t>3,247,779.30</w:t>
            </w:r>
          </w:p>
        </w:tc>
      </w:tr>
      <w:tr w14:paraId="43C7F8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04BBE28">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14:paraId="3CA999C2">
            <w:pPr>
              <w:spacing w:before="0" w:after="0" w:line="240" w:lineRule="exact"/>
              <w:jc w:val="right"/>
              <w:rPr>
                <w:rFonts w:ascii="宋体" w:hAnsi="宋体" w:eastAsia="宋体" w:cs="宋体"/>
                <w:sz w:val="18"/>
                <w:szCs w:val="18"/>
              </w:rPr>
            </w:pPr>
            <w:r>
              <w:rPr>
                <w:rFonts w:ascii="宋体" w:hAnsi="宋体" w:eastAsia="宋体" w:cs="宋体"/>
                <w:sz w:val="18"/>
                <w:szCs w:val="18"/>
              </w:rPr>
              <w:t>607,925,894.48</w:t>
            </w:r>
          </w:p>
        </w:tc>
        <w:tc>
          <w:tcPr>
            <w:tcW w:w="1928" w:type="dxa"/>
            <w:tcBorders>
              <w:top w:val="single" w:color="auto" w:sz="2" w:space="0"/>
              <w:left w:val="single" w:color="auto" w:sz="2" w:space="0"/>
              <w:bottom w:val="single" w:color="auto" w:sz="2" w:space="0"/>
              <w:right w:val="single" w:color="auto" w:sz="2" w:space="0"/>
            </w:tcBorders>
            <w:vAlign w:val="center"/>
          </w:tcPr>
          <w:p w14:paraId="6E46C2AD">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4DC10088">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067746DB">
            <w:pPr>
              <w:spacing w:before="0" w:after="0" w:line="240" w:lineRule="exact"/>
              <w:jc w:val="right"/>
              <w:rPr>
                <w:rFonts w:ascii="宋体" w:hAnsi="宋体" w:eastAsia="宋体" w:cs="宋体"/>
                <w:sz w:val="18"/>
                <w:szCs w:val="18"/>
              </w:rPr>
            </w:pPr>
            <w:r>
              <w:rPr>
                <w:rFonts w:ascii="宋体" w:hAnsi="宋体" w:eastAsia="宋体" w:cs="宋体"/>
                <w:sz w:val="18"/>
                <w:szCs w:val="18"/>
              </w:rPr>
              <w:t>607,925,894.48</w:t>
            </w:r>
          </w:p>
        </w:tc>
      </w:tr>
    </w:tbl>
    <w:p w14:paraId="2DA9F784">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其他说明，包括本期增减变动情况、变动原因说明：</w:t>
      </w:r>
    </w:p>
    <w:p w14:paraId="78EE1547">
      <w:pPr>
        <w:keepNext/>
        <w:keepLines/>
        <w:spacing w:before="300" w:after="300" w:line="280" w:lineRule="exact"/>
        <w:jc w:val="left"/>
        <w:outlineLvl w:val="2"/>
        <w:rPr>
          <w:rFonts w:ascii="宋体" w:hAnsi="宋体" w:eastAsia="宋体" w:cs="宋体"/>
          <w:b/>
          <w:bCs/>
          <w:sz w:val="21"/>
          <w:szCs w:val="21"/>
        </w:rPr>
      </w:pPr>
      <w:bookmarkStart w:id="411" w:name="_Toc989294"/>
      <w:r>
        <w:rPr>
          <w:rFonts w:ascii="宋体" w:hAnsi="宋体" w:eastAsia="宋体" w:cs="宋体"/>
          <w:b/>
          <w:bCs/>
          <w:sz w:val="21"/>
          <w:szCs w:val="21"/>
        </w:rPr>
        <w:t>56、库存股</w:t>
      </w:r>
      <w:bookmarkEnd w:id="411"/>
    </w:p>
    <w:p w14:paraId="595CE0F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117235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619919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9E36FC0">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9307624">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9867040">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17BAC99">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bl>
    <w:p w14:paraId="487A9DA9">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其他说明，包括本期增减变动情况、变动原因说明：</w:t>
      </w:r>
    </w:p>
    <w:p w14:paraId="24F63BC7">
      <w:pPr>
        <w:keepNext/>
        <w:keepLines/>
        <w:spacing w:before="300" w:after="300" w:line="280" w:lineRule="exact"/>
        <w:jc w:val="left"/>
        <w:outlineLvl w:val="2"/>
        <w:rPr>
          <w:rFonts w:ascii="宋体" w:hAnsi="宋体" w:eastAsia="宋体" w:cs="宋体"/>
          <w:b/>
          <w:bCs/>
          <w:sz w:val="21"/>
          <w:szCs w:val="21"/>
        </w:rPr>
      </w:pPr>
      <w:bookmarkStart w:id="412" w:name="_Toc989295"/>
      <w:r>
        <w:rPr>
          <w:rFonts w:ascii="宋体" w:hAnsi="宋体" w:eastAsia="宋体" w:cs="宋体"/>
          <w:b/>
          <w:bCs/>
          <w:sz w:val="21"/>
          <w:szCs w:val="21"/>
        </w:rPr>
        <w:t>57、其他综合收益</w:t>
      </w:r>
      <w:bookmarkEnd w:id="412"/>
    </w:p>
    <w:p w14:paraId="31C0743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632999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6A86CE5">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CE4D6C4">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6426"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3F6D06E4">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E4DADFB">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30391E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AEBF233"/>
        </w:tc>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C23DD07"/>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E75662B">
            <w:pPr>
              <w:spacing w:before="40" w:after="40" w:line="240" w:lineRule="exact"/>
              <w:jc w:val="center"/>
              <w:rPr>
                <w:rFonts w:ascii="宋体" w:hAnsi="宋体" w:eastAsia="宋体" w:cs="宋体"/>
                <w:sz w:val="18"/>
                <w:szCs w:val="18"/>
              </w:rPr>
            </w:pPr>
            <w:r>
              <w:rPr>
                <w:rFonts w:ascii="宋体" w:hAnsi="宋体" w:eastAsia="宋体" w:cs="宋体"/>
                <w:sz w:val="18"/>
                <w:szCs w:val="18"/>
              </w:rPr>
              <w:t>本期所得税前发生额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3B0A76A">
            <w:pPr>
              <w:spacing w:before="40" w:after="40" w:line="240" w:lineRule="exact"/>
              <w:jc w:val="center"/>
              <w:rPr>
                <w:rFonts w:ascii="宋体" w:hAnsi="宋体" w:eastAsia="宋体" w:cs="宋体"/>
                <w:sz w:val="18"/>
                <w:szCs w:val="18"/>
              </w:rPr>
            </w:pPr>
            <w:r>
              <w:rPr>
                <w:rFonts w:ascii="宋体" w:hAnsi="宋体" w:eastAsia="宋体" w:cs="宋体"/>
                <w:sz w:val="18"/>
                <w:szCs w:val="18"/>
              </w:rPr>
              <w:t>减：前期计入其他综合收益当期转入损益</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DDA2B20">
            <w:pPr>
              <w:spacing w:before="40" w:after="40" w:line="240" w:lineRule="exact"/>
              <w:jc w:val="center"/>
              <w:rPr>
                <w:rFonts w:ascii="宋体" w:hAnsi="宋体" w:eastAsia="宋体" w:cs="宋体"/>
                <w:sz w:val="18"/>
                <w:szCs w:val="18"/>
              </w:rPr>
            </w:pPr>
            <w:r>
              <w:rPr>
                <w:rFonts w:ascii="宋体" w:hAnsi="宋体" w:eastAsia="宋体" w:cs="宋体"/>
                <w:sz w:val="18"/>
                <w:szCs w:val="18"/>
              </w:rPr>
              <w:t>减：前期计入其他综合收益当期转入留存收益</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5D45BB5">
            <w:pPr>
              <w:spacing w:before="40" w:after="40" w:line="240" w:lineRule="exact"/>
              <w:jc w:val="center"/>
              <w:rPr>
                <w:rFonts w:ascii="宋体" w:hAnsi="宋体" w:eastAsia="宋体" w:cs="宋体"/>
                <w:sz w:val="18"/>
                <w:szCs w:val="18"/>
              </w:rPr>
            </w:pPr>
            <w:r>
              <w:rPr>
                <w:rFonts w:ascii="宋体" w:hAnsi="宋体" w:eastAsia="宋体" w:cs="宋体"/>
                <w:sz w:val="18"/>
                <w:szCs w:val="18"/>
              </w:rPr>
              <w:t>减：所得税费用</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9C57422">
            <w:pPr>
              <w:spacing w:before="40" w:after="40" w:line="240" w:lineRule="exact"/>
              <w:jc w:val="center"/>
              <w:rPr>
                <w:rFonts w:ascii="宋体" w:hAnsi="宋体" w:eastAsia="宋体" w:cs="宋体"/>
                <w:sz w:val="18"/>
                <w:szCs w:val="18"/>
              </w:rPr>
            </w:pPr>
            <w:r>
              <w:rPr>
                <w:rFonts w:ascii="宋体" w:hAnsi="宋体" w:eastAsia="宋体" w:cs="宋体"/>
                <w:sz w:val="18"/>
                <w:szCs w:val="18"/>
              </w:rPr>
              <w:t>税后归属于母公司</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DE9FAD6">
            <w:pPr>
              <w:spacing w:before="40" w:after="40" w:line="240" w:lineRule="exact"/>
              <w:jc w:val="center"/>
              <w:rPr>
                <w:rFonts w:ascii="宋体" w:hAnsi="宋体" w:eastAsia="宋体" w:cs="宋体"/>
                <w:sz w:val="18"/>
                <w:szCs w:val="18"/>
              </w:rPr>
            </w:pPr>
            <w:r>
              <w:rPr>
                <w:rFonts w:ascii="宋体" w:hAnsi="宋体" w:eastAsia="宋体" w:cs="宋体"/>
                <w:sz w:val="18"/>
                <w:szCs w:val="18"/>
              </w:rPr>
              <w:t>税后归属于少数股东</w:t>
            </w:r>
          </w:p>
        </w:tc>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6A950D5"/>
        </w:tc>
      </w:tr>
    </w:tbl>
    <w:p w14:paraId="7C11169A">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其他说明，包括对现金流量套期损益的有效部分转为被套期项目初始确认金额调整：</w:t>
      </w:r>
    </w:p>
    <w:p w14:paraId="5490B473">
      <w:pPr>
        <w:keepNext/>
        <w:keepLines/>
        <w:spacing w:before="300" w:after="300" w:line="280" w:lineRule="exact"/>
        <w:jc w:val="left"/>
        <w:outlineLvl w:val="2"/>
        <w:rPr>
          <w:rFonts w:ascii="宋体" w:hAnsi="宋体" w:eastAsia="宋体" w:cs="宋体"/>
          <w:b/>
          <w:bCs/>
          <w:sz w:val="21"/>
          <w:szCs w:val="21"/>
        </w:rPr>
      </w:pPr>
      <w:bookmarkStart w:id="413" w:name="_Toc989296"/>
      <w:r>
        <w:rPr>
          <w:rFonts w:ascii="宋体" w:hAnsi="宋体" w:eastAsia="宋体" w:cs="宋体"/>
          <w:b/>
          <w:bCs/>
          <w:sz w:val="21"/>
          <w:szCs w:val="21"/>
        </w:rPr>
        <w:t>58、专项储备</w:t>
      </w:r>
      <w:bookmarkEnd w:id="413"/>
    </w:p>
    <w:p w14:paraId="675746B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5F8A9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B92825A">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275A17A">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B60983D">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B826DA1">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26D8AC4">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bl>
    <w:p w14:paraId="6B3E49DD">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其他说明，包括本期增减变动情况、变动原因说明：</w:t>
      </w:r>
    </w:p>
    <w:p w14:paraId="436AE0BA">
      <w:pPr>
        <w:keepNext/>
        <w:keepLines/>
        <w:spacing w:before="300" w:after="300" w:line="280" w:lineRule="exact"/>
        <w:jc w:val="left"/>
        <w:outlineLvl w:val="2"/>
        <w:rPr>
          <w:rFonts w:ascii="宋体" w:hAnsi="宋体" w:eastAsia="宋体" w:cs="宋体"/>
          <w:b/>
          <w:bCs/>
          <w:sz w:val="21"/>
          <w:szCs w:val="21"/>
        </w:rPr>
      </w:pPr>
      <w:bookmarkStart w:id="414" w:name="_Toc989297"/>
      <w:r>
        <w:rPr>
          <w:rFonts w:ascii="宋体" w:hAnsi="宋体" w:eastAsia="宋体" w:cs="宋体"/>
          <w:b/>
          <w:bCs/>
          <w:sz w:val="21"/>
          <w:szCs w:val="21"/>
        </w:rPr>
        <w:t>59、盈余公积</w:t>
      </w:r>
      <w:bookmarkEnd w:id="414"/>
    </w:p>
    <w:p w14:paraId="7ADAFBD0">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20ABE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76E1F1D">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D4FE1EB">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7A5C33F">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C3DFE86">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DA657B4">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1E9D99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93A69FE">
            <w:pPr>
              <w:spacing w:before="40" w:after="40" w:line="240" w:lineRule="exact"/>
              <w:jc w:val="left"/>
              <w:rPr>
                <w:rFonts w:ascii="宋体" w:hAnsi="宋体" w:eastAsia="宋体" w:cs="宋体"/>
                <w:sz w:val="18"/>
                <w:szCs w:val="18"/>
              </w:rPr>
            </w:pPr>
            <w:r>
              <w:rPr>
                <w:rFonts w:ascii="宋体" w:hAnsi="宋体" w:eastAsia="宋体" w:cs="宋体"/>
                <w:sz w:val="18"/>
                <w:szCs w:val="18"/>
              </w:rPr>
              <w:t>法定盈余公积</w:t>
            </w:r>
          </w:p>
        </w:tc>
        <w:tc>
          <w:tcPr>
            <w:tcW w:w="1928" w:type="dxa"/>
            <w:tcBorders>
              <w:top w:val="single" w:color="auto" w:sz="2" w:space="0"/>
              <w:left w:val="single" w:color="auto" w:sz="2" w:space="0"/>
              <w:bottom w:val="single" w:color="auto" w:sz="2" w:space="0"/>
              <w:right w:val="single" w:color="auto" w:sz="2" w:space="0"/>
            </w:tcBorders>
            <w:vAlign w:val="center"/>
          </w:tcPr>
          <w:p w14:paraId="6FFA9FAD">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1928" w:type="dxa"/>
            <w:tcBorders>
              <w:top w:val="single" w:color="auto" w:sz="2" w:space="0"/>
              <w:left w:val="single" w:color="auto" w:sz="2" w:space="0"/>
              <w:bottom w:val="single" w:color="auto" w:sz="2" w:space="0"/>
              <w:right w:val="single" w:color="auto" w:sz="2" w:space="0"/>
            </w:tcBorders>
            <w:vAlign w:val="center"/>
          </w:tcPr>
          <w:p w14:paraId="061E6E97">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51E68623">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07EBC8C1">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r>
      <w:tr w14:paraId="6E43AC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68A4E01">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14:paraId="7306337F">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c>
          <w:tcPr>
            <w:tcW w:w="1928" w:type="dxa"/>
            <w:tcBorders>
              <w:top w:val="single" w:color="auto" w:sz="2" w:space="0"/>
              <w:left w:val="single" w:color="auto" w:sz="2" w:space="0"/>
              <w:bottom w:val="single" w:color="auto" w:sz="2" w:space="0"/>
              <w:right w:val="single" w:color="auto" w:sz="2" w:space="0"/>
            </w:tcBorders>
            <w:vAlign w:val="center"/>
          </w:tcPr>
          <w:p w14:paraId="375AE468">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22AFF3DA">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42DE821E">
            <w:pPr>
              <w:spacing w:before="0" w:after="0" w:line="240" w:lineRule="exact"/>
              <w:jc w:val="right"/>
              <w:rPr>
                <w:rFonts w:ascii="宋体" w:hAnsi="宋体" w:eastAsia="宋体" w:cs="宋体"/>
                <w:sz w:val="18"/>
                <w:szCs w:val="18"/>
              </w:rPr>
            </w:pPr>
            <w:r>
              <w:rPr>
                <w:rFonts w:ascii="宋体" w:hAnsi="宋体" w:eastAsia="宋体" w:cs="宋体"/>
                <w:sz w:val="18"/>
                <w:szCs w:val="18"/>
              </w:rPr>
              <w:t>44,393,833.31</w:t>
            </w:r>
          </w:p>
        </w:tc>
      </w:tr>
    </w:tbl>
    <w:p w14:paraId="4A4B5DB9">
      <w:pPr>
        <w:spacing w:before="100" w:after="100" w:line="240" w:lineRule="exact"/>
        <w:jc w:val="left"/>
        <w:rPr>
          <w:rFonts w:ascii="宋体" w:hAnsi="宋体" w:eastAsia="宋体" w:cs="宋体"/>
          <w:sz w:val="18"/>
          <w:szCs w:val="18"/>
        </w:rPr>
      </w:pPr>
      <w:r>
        <w:rPr>
          <w:rFonts w:ascii="宋体" w:hAnsi="宋体" w:eastAsia="宋体" w:cs="宋体"/>
          <w:sz w:val="18"/>
          <w:szCs w:val="18"/>
        </w:rPr>
        <w:t>盈余公积说明，包括本期增减变动情况、变动原因说明：</w:t>
      </w:r>
    </w:p>
    <w:p w14:paraId="41C20534">
      <w:pPr>
        <w:keepNext/>
        <w:keepLines/>
        <w:spacing w:before="300" w:after="300" w:line="280" w:lineRule="exact"/>
        <w:jc w:val="left"/>
        <w:outlineLvl w:val="2"/>
        <w:rPr>
          <w:rFonts w:ascii="宋体" w:hAnsi="宋体" w:eastAsia="宋体" w:cs="宋体"/>
          <w:b/>
          <w:bCs/>
          <w:sz w:val="21"/>
          <w:szCs w:val="21"/>
        </w:rPr>
      </w:pPr>
      <w:bookmarkStart w:id="415" w:name="_Toc989298"/>
      <w:r>
        <w:rPr>
          <w:rFonts w:ascii="宋体" w:hAnsi="宋体" w:eastAsia="宋体" w:cs="宋体"/>
          <w:b/>
          <w:bCs/>
          <w:sz w:val="21"/>
          <w:szCs w:val="21"/>
        </w:rPr>
        <w:t>60、未分配利润</w:t>
      </w:r>
      <w:bookmarkEnd w:id="415"/>
    </w:p>
    <w:p w14:paraId="7CEC863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7B4996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FC1595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99DFB8B">
            <w:pPr>
              <w:spacing w:before="40" w:after="40" w:line="240" w:lineRule="exact"/>
              <w:jc w:val="center"/>
              <w:rPr>
                <w:rFonts w:ascii="宋体" w:hAnsi="宋体" w:eastAsia="宋体" w:cs="宋体"/>
                <w:sz w:val="18"/>
                <w:szCs w:val="18"/>
              </w:rPr>
            </w:pPr>
            <w:r>
              <w:rPr>
                <w:rFonts w:ascii="宋体" w:hAnsi="宋体" w:eastAsia="宋体" w:cs="宋体"/>
                <w:sz w:val="18"/>
                <w:szCs w:val="18"/>
              </w:rPr>
              <w:t>本期</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82A232F">
            <w:pPr>
              <w:spacing w:before="40" w:after="40" w:line="240" w:lineRule="exact"/>
              <w:jc w:val="center"/>
              <w:rPr>
                <w:rFonts w:ascii="宋体" w:hAnsi="宋体" w:eastAsia="宋体" w:cs="宋体"/>
                <w:sz w:val="18"/>
                <w:szCs w:val="18"/>
              </w:rPr>
            </w:pPr>
            <w:r>
              <w:rPr>
                <w:rFonts w:ascii="宋体" w:hAnsi="宋体" w:eastAsia="宋体" w:cs="宋体"/>
                <w:sz w:val="18"/>
                <w:szCs w:val="18"/>
              </w:rPr>
              <w:t>上期</w:t>
            </w:r>
          </w:p>
        </w:tc>
      </w:tr>
      <w:tr w14:paraId="25CD6A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DB599B8">
            <w:pPr>
              <w:spacing w:before="40" w:after="40" w:line="240" w:lineRule="exact"/>
              <w:jc w:val="left"/>
              <w:rPr>
                <w:rFonts w:ascii="宋体" w:hAnsi="宋体" w:eastAsia="宋体" w:cs="宋体"/>
                <w:sz w:val="18"/>
                <w:szCs w:val="18"/>
              </w:rPr>
            </w:pPr>
            <w:r>
              <w:rPr>
                <w:rFonts w:ascii="宋体" w:hAnsi="宋体" w:eastAsia="宋体" w:cs="宋体"/>
                <w:sz w:val="18"/>
                <w:szCs w:val="18"/>
              </w:rPr>
              <w:t>调整前上期末未分配利润</w:t>
            </w:r>
          </w:p>
        </w:tc>
        <w:tc>
          <w:tcPr>
            <w:tcW w:w="3213" w:type="dxa"/>
            <w:tcBorders>
              <w:top w:val="single" w:color="auto" w:sz="2" w:space="0"/>
              <w:left w:val="single" w:color="auto" w:sz="2" w:space="0"/>
              <w:bottom w:val="single" w:color="auto" w:sz="2" w:space="0"/>
              <w:right w:val="single" w:color="auto" w:sz="2" w:space="0"/>
            </w:tcBorders>
            <w:vAlign w:val="center"/>
          </w:tcPr>
          <w:p w14:paraId="536B68AE">
            <w:pPr>
              <w:spacing w:before="0" w:after="0" w:line="240" w:lineRule="exact"/>
              <w:jc w:val="right"/>
              <w:rPr>
                <w:rFonts w:ascii="宋体" w:hAnsi="宋体" w:eastAsia="宋体" w:cs="宋体"/>
                <w:sz w:val="18"/>
                <w:szCs w:val="18"/>
              </w:rPr>
            </w:pPr>
            <w:r>
              <w:rPr>
                <w:rFonts w:ascii="宋体" w:hAnsi="宋体" w:eastAsia="宋体" w:cs="宋体"/>
                <w:sz w:val="18"/>
                <w:szCs w:val="18"/>
              </w:rPr>
              <w:t>-295,103,547.33</w:t>
            </w:r>
          </w:p>
        </w:tc>
        <w:tc>
          <w:tcPr>
            <w:tcW w:w="3213" w:type="dxa"/>
            <w:tcBorders>
              <w:top w:val="single" w:color="auto" w:sz="2" w:space="0"/>
              <w:left w:val="single" w:color="auto" w:sz="2" w:space="0"/>
              <w:bottom w:val="single" w:color="auto" w:sz="2" w:space="0"/>
              <w:right w:val="single" w:color="auto" w:sz="2" w:space="0"/>
            </w:tcBorders>
            <w:vAlign w:val="center"/>
          </w:tcPr>
          <w:p w14:paraId="1616B2D7">
            <w:pPr>
              <w:spacing w:before="0" w:after="0" w:line="240" w:lineRule="exact"/>
              <w:jc w:val="right"/>
              <w:rPr>
                <w:rFonts w:ascii="宋体" w:hAnsi="宋体" w:eastAsia="宋体" w:cs="宋体"/>
                <w:sz w:val="18"/>
                <w:szCs w:val="18"/>
              </w:rPr>
            </w:pPr>
            <w:r>
              <w:rPr>
                <w:rFonts w:ascii="宋体" w:hAnsi="宋体" w:eastAsia="宋体" w:cs="宋体"/>
                <w:sz w:val="18"/>
                <w:szCs w:val="18"/>
              </w:rPr>
              <w:t>53,486,295.85</w:t>
            </w:r>
          </w:p>
        </w:tc>
      </w:tr>
      <w:tr w14:paraId="353D12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C0697C1">
            <w:pPr>
              <w:spacing w:before="40" w:after="40" w:line="240" w:lineRule="exact"/>
              <w:jc w:val="left"/>
              <w:rPr>
                <w:rFonts w:ascii="宋体" w:hAnsi="宋体" w:eastAsia="宋体" w:cs="宋体"/>
                <w:sz w:val="18"/>
                <w:szCs w:val="18"/>
              </w:rPr>
            </w:pPr>
            <w:r>
              <w:rPr>
                <w:rFonts w:ascii="宋体" w:hAnsi="宋体" w:eastAsia="宋体" w:cs="宋体"/>
                <w:sz w:val="18"/>
                <w:szCs w:val="18"/>
              </w:rPr>
              <w:t>调整后期初未分配利润</w:t>
            </w:r>
          </w:p>
        </w:tc>
        <w:tc>
          <w:tcPr>
            <w:tcW w:w="3213" w:type="dxa"/>
            <w:tcBorders>
              <w:top w:val="single" w:color="auto" w:sz="2" w:space="0"/>
              <w:left w:val="single" w:color="auto" w:sz="2" w:space="0"/>
              <w:bottom w:val="single" w:color="auto" w:sz="2" w:space="0"/>
              <w:right w:val="single" w:color="auto" w:sz="2" w:space="0"/>
            </w:tcBorders>
            <w:vAlign w:val="center"/>
          </w:tcPr>
          <w:p w14:paraId="058DF743">
            <w:pPr>
              <w:spacing w:before="0" w:after="0" w:line="240" w:lineRule="exact"/>
              <w:jc w:val="right"/>
              <w:rPr>
                <w:rFonts w:ascii="宋体" w:hAnsi="宋体" w:eastAsia="宋体" w:cs="宋体"/>
                <w:sz w:val="18"/>
                <w:szCs w:val="18"/>
              </w:rPr>
            </w:pPr>
            <w:r>
              <w:rPr>
                <w:rFonts w:ascii="宋体" w:hAnsi="宋体" w:eastAsia="宋体" w:cs="宋体"/>
                <w:sz w:val="18"/>
                <w:szCs w:val="18"/>
              </w:rPr>
              <w:t>-295,103,547.33</w:t>
            </w:r>
          </w:p>
        </w:tc>
        <w:tc>
          <w:tcPr>
            <w:tcW w:w="3213" w:type="dxa"/>
            <w:tcBorders>
              <w:top w:val="single" w:color="auto" w:sz="2" w:space="0"/>
              <w:left w:val="single" w:color="auto" w:sz="2" w:space="0"/>
              <w:bottom w:val="single" w:color="auto" w:sz="2" w:space="0"/>
              <w:right w:val="single" w:color="auto" w:sz="2" w:space="0"/>
            </w:tcBorders>
            <w:vAlign w:val="center"/>
          </w:tcPr>
          <w:p w14:paraId="2EC17710">
            <w:pPr>
              <w:spacing w:before="0" w:after="0" w:line="240" w:lineRule="exact"/>
              <w:jc w:val="right"/>
              <w:rPr>
                <w:rFonts w:ascii="宋体" w:hAnsi="宋体" w:eastAsia="宋体" w:cs="宋体"/>
                <w:sz w:val="18"/>
                <w:szCs w:val="18"/>
              </w:rPr>
            </w:pPr>
            <w:r>
              <w:rPr>
                <w:rFonts w:ascii="宋体" w:hAnsi="宋体" w:eastAsia="宋体" w:cs="宋体"/>
                <w:sz w:val="18"/>
                <w:szCs w:val="18"/>
              </w:rPr>
              <w:t>53,486,295.85</w:t>
            </w:r>
          </w:p>
        </w:tc>
      </w:tr>
      <w:tr w14:paraId="13F82F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8EB8B4">
            <w:pPr>
              <w:spacing w:before="40" w:after="40" w:line="240" w:lineRule="exact"/>
              <w:jc w:val="left"/>
              <w:rPr>
                <w:rFonts w:ascii="宋体" w:hAnsi="宋体" w:eastAsia="宋体" w:cs="宋体"/>
                <w:sz w:val="18"/>
                <w:szCs w:val="18"/>
              </w:rPr>
            </w:pPr>
            <w:r>
              <w:rPr>
                <w:rFonts w:ascii="宋体" w:hAnsi="宋体" w:eastAsia="宋体" w:cs="宋体"/>
                <w:sz w:val="18"/>
                <w:szCs w:val="18"/>
              </w:rPr>
              <w:t>加：本期归属于母公司所有者的净利润</w:t>
            </w:r>
          </w:p>
        </w:tc>
        <w:tc>
          <w:tcPr>
            <w:tcW w:w="3213" w:type="dxa"/>
            <w:tcBorders>
              <w:top w:val="single" w:color="auto" w:sz="2" w:space="0"/>
              <w:left w:val="single" w:color="auto" w:sz="2" w:space="0"/>
              <w:bottom w:val="single" w:color="auto" w:sz="2" w:space="0"/>
              <w:right w:val="single" w:color="auto" w:sz="2" w:space="0"/>
            </w:tcBorders>
            <w:vAlign w:val="center"/>
          </w:tcPr>
          <w:p w14:paraId="7B0012EF">
            <w:pPr>
              <w:spacing w:before="0" w:after="0" w:line="240" w:lineRule="exact"/>
              <w:jc w:val="right"/>
              <w:rPr>
                <w:rFonts w:ascii="宋体" w:hAnsi="宋体" w:eastAsia="宋体" w:cs="宋体"/>
                <w:sz w:val="18"/>
                <w:szCs w:val="18"/>
              </w:rPr>
            </w:pPr>
            <w:r>
              <w:rPr>
                <w:rFonts w:ascii="宋体" w:hAnsi="宋体" w:eastAsia="宋体" w:cs="宋体"/>
                <w:sz w:val="18"/>
                <w:szCs w:val="18"/>
              </w:rPr>
              <w:t>-156,304,356.74</w:t>
            </w:r>
          </w:p>
        </w:tc>
        <w:tc>
          <w:tcPr>
            <w:tcW w:w="3213" w:type="dxa"/>
            <w:tcBorders>
              <w:top w:val="single" w:color="auto" w:sz="2" w:space="0"/>
              <w:left w:val="single" w:color="auto" w:sz="2" w:space="0"/>
              <w:bottom w:val="single" w:color="auto" w:sz="2" w:space="0"/>
              <w:right w:val="single" w:color="auto" w:sz="2" w:space="0"/>
            </w:tcBorders>
            <w:vAlign w:val="center"/>
          </w:tcPr>
          <w:p w14:paraId="1B506E13">
            <w:pPr>
              <w:spacing w:before="0" w:after="0" w:line="240" w:lineRule="exact"/>
              <w:jc w:val="right"/>
              <w:rPr>
                <w:rFonts w:ascii="宋体" w:hAnsi="宋体" w:eastAsia="宋体" w:cs="宋体"/>
                <w:sz w:val="18"/>
                <w:szCs w:val="18"/>
              </w:rPr>
            </w:pPr>
            <w:r>
              <w:rPr>
                <w:rFonts w:ascii="宋体" w:hAnsi="宋体" w:eastAsia="宋体" w:cs="宋体"/>
                <w:sz w:val="18"/>
                <w:szCs w:val="18"/>
              </w:rPr>
              <w:t>-348,589,843.18</w:t>
            </w:r>
          </w:p>
        </w:tc>
      </w:tr>
      <w:tr w14:paraId="6627E1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32F7940">
            <w:pPr>
              <w:spacing w:before="40" w:after="40" w:line="240" w:lineRule="exact"/>
              <w:jc w:val="left"/>
              <w:rPr>
                <w:rFonts w:ascii="宋体" w:hAnsi="宋体" w:eastAsia="宋体" w:cs="宋体"/>
                <w:sz w:val="18"/>
                <w:szCs w:val="18"/>
              </w:rPr>
            </w:pPr>
            <w:r>
              <w:rPr>
                <w:rFonts w:ascii="宋体" w:hAnsi="宋体" w:eastAsia="宋体" w:cs="宋体"/>
                <w:sz w:val="18"/>
                <w:szCs w:val="18"/>
              </w:rPr>
              <w:t>期末未分配利润</w:t>
            </w:r>
          </w:p>
        </w:tc>
        <w:tc>
          <w:tcPr>
            <w:tcW w:w="3213" w:type="dxa"/>
            <w:tcBorders>
              <w:top w:val="single" w:color="auto" w:sz="2" w:space="0"/>
              <w:left w:val="single" w:color="auto" w:sz="2" w:space="0"/>
              <w:bottom w:val="single" w:color="auto" w:sz="2" w:space="0"/>
              <w:right w:val="single" w:color="auto" w:sz="2" w:space="0"/>
            </w:tcBorders>
            <w:vAlign w:val="center"/>
          </w:tcPr>
          <w:p w14:paraId="767C7CE4">
            <w:pPr>
              <w:spacing w:before="0" w:after="0" w:line="240" w:lineRule="exact"/>
              <w:jc w:val="right"/>
              <w:rPr>
                <w:rFonts w:ascii="宋体" w:hAnsi="宋体" w:eastAsia="宋体" w:cs="宋体"/>
                <w:sz w:val="18"/>
                <w:szCs w:val="18"/>
              </w:rPr>
            </w:pPr>
            <w:r>
              <w:rPr>
                <w:rFonts w:ascii="宋体" w:hAnsi="宋体" w:eastAsia="宋体" w:cs="宋体"/>
                <w:sz w:val="18"/>
                <w:szCs w:val="18"/>
              </w:rPr>
              <w:t>-451,407,904.07</w:t>
            </w:r>
          </w:p>
        </w:tc>
        <w:tc>
          <w:tcPr>
            <w:tcW w:w="3213" w:type="dxa"/>
            <w:tcBorders>
              <w:top w:val="single" w:color="auto" w:sz="2" w:space="0"/>
              <w:left w:val="single" w:color="auto" w:sz="2" w:space="0"/>
              <w:bottom w:val="single" w:color="auto" w:sz="2" w:space="0"/>
              <w:right w:val="single" w:color="auto" w:sz="2" w:space="0"/>
            </w:tcBorders>
            <w:vAlign w:val="center"/>
          </w:tcPr>
          <w:p w14:paraId="4A0509C0">
            <w:pPr>
              <w:spacing w:before="0" w:after="0" w:line="240" w:lineRule="exact"/>
              <w:jc w:val="right"/>
              <w:rPr>
                <w:rFonts w:ascii="宋体" w:hAnsi="宋体" w:eastAsia="宋体" w:cs="宋体"/>
                <w:sz w:val="18"/>
                <w:szCs w:val="18"/>
              </w:rPr>
            </w:pPr>
            <w:r>
              <w:rPr>
                <w:rFonts w:ascii="宋体" w:hAnsi="宋体" w:eastAsia="宋体" w:cs="宋体"/>
                <w:sz w:val="18"/>
                <w:szCs w:val="18"/>
              </w:rPr>
              <w:t>-295,103,547.33</w:t>
            </w:r>
          </w:p>
        </w:tc>
      </w:tr>
    </w:tbl>
    <w:p w14:paraId="4C0C7391">
      <w:pPr>
        <w:spacing w:before="100" w:after="100" w:line="240" w:lineRule="exact"/>
        <w:jc w:val="left"/>
        <w:rPr>
          <w:rFonts w:ascii="宋体" w:hAnsi="宋体" w:eastAsia="宋体" w:cs="宋体"/>
          <w:sz w:val="18"/>
          <w:szCs w:val="18"/>
        </w:rPr>
      </w:pPr>
      <w:r>
        <w:rPr>
          <w:rFonts w:ascii="宋体" w:hAnsi="宋体" w:eastAsia="宋体" w:cs="宋体"/>
          <w:sz w:val="18"/>
          <w:szCs w:val="18"/>
        </w:rPr>
        <w:t>调整期初未分配利润明细：</w:t>
      </w:r>
    </w:p>
    <w:p w14:paraId="13BB9B8C">
      <w:pPr>
        <w:spacing w:before="100" w:after="100" w:line="240" w:lineRule="exact"/>
        <w:jc w:val="left"/>
        <w:rPr>
          <w:rFonts w:ascii="宋体" w:hAnsi="宋体" w:eastAsia="宋体" w:cs="宋体"/>
          <w:sz w:val="18"/>
          <w:szCs w:val="18"/>
        </w:rPr>
      </w:pPr>
      <w:r>
        <w:rPr>
          <w:rFonts w:ascii="宋体" w:hAnsi="宋体" w:eastAsia="宋体" w:cs="宋体"/>
          <w:sz w:val="18"/>
          <w:szCs w:val="18"/>
        </w:rPr>
        <w:t>1）、由于《企业会计准则》及其相关新规定进行追溯调整，影响期初未分配利润元。</w:t>
      </w:r>
    </w:p>
    <w:p w14:paraId="3680BBA2">
      <w:pPr>
        <w:spacing w:before="100" w:after="100" w:line="240" w:lineRule="exact"/>
        <w:jc w:val="left"/>
        <w:rPr>
          <w:rFonts w:ascii="宋体" w:hAnsi="宋体" w:eastAsia="宋体" w:cs="宋体"/>
          <w:sz w:val="18"/>
          <w:szCs w:val="18"/>
        </w:rPr>
      </w:pPr>
      <w:r>
        <w:rPr>
          <w:rFonts w:ascii="宋体" w:hAnsi="宋体" w:eastAsia="宋体" w:cs="宋体"/>
          <w:sz w:val="18"/>
          <w:szCs w:val="18"/>
        </w:rPr>
        <w:t>2）、由于会计政策变更，影响期初未分配利润元。</w:t>
      </w:r>
    </w:p>
    <w:p w14:paraId="582083A8">
      <w:pPr>
        <w:spacing w:before="100" w:after="100" w:line="240" w:lineRule="exact"/>
        <w:jc w:val="left"/>
        <w:rPr>
          <w:rFonts w:ascii="宋体" w:hAnsi="宋体" w:eastAsia="宋体" w:cs="宋体"/>
          <w:sz w:val="18"/>
          <w:szCs w:val="18"/>
        </w:rPr>
      </w:pPr>
      <w:r>
        <w:rPr>
          <w:rFonts w:ascii="宋体" w:hAnsi="宋体" w:eastAsia="宋体" w:cs="宋体"/>
          <w:sz w:val="18"/>
          <w:szCs w:val="18"/>
        </w:rPr>
        <w:t>3）、由于重大会计差错更正，影响期初未分配利润元。</w:t>
      </w:r>
    </w:p>
    <w:p w14:paraId="697D935C">
      <w:pPr>
        <w:spacing w:before="100" w:after="100" w:line="240" w:lineRule="exact"/>
        <w:jc w:val="left"/>
        <w:rPr>
          <w:rFonts w:ascii="宋体" w:hAnsi="宋体" w:eastAsia="宋体" w:cs="宋体"/>
          <w:sz w:val="18"/>
          <w:szCs w:val="18"/>
        </w:rPr>
      </w:pPr>
      <w:r>
        <w:rPr>
          <w:rFonts w:ascii="宋体" w:hAnsi="宋体" w:eastAsia="宋体" w:cs="宋体"/>
          <w:sz w:val="18"/>
          <w:szCs w:val="18"/>
        </w:rPr>
        <w:t>4）、由于同一控制导致的合并范围变更，影响期初未分配利润元。</w:t>
      </w:r>
    </w:p>
    <w:p w14:paraId="7B1C309C">
      <w:pPr>
        <w:spacing w:before="100" w:after="100" w:line="240" w:lineRule="exact"/>
        <w:jc w:val="left"/>
        <w:rPr>
          <w:rFonts w:ascii="宋体" w:hAnsi="宋体" w:eastAsia="宋体" w:cs="宋体"/>
          <w:sz w:val="18"/>
          <w:szCs w:val="18"/>
        </w:rPr>
      </w:pPr>
      <w:r>
        <w:rPr>
          <w:rFonts w:ascii="宋体" w:hAnsi="宋体" w:eastAsia="宋体" w:cs="宋体"/>
          <w:sz w:val="18"/>
          <w:szCs w:val="18"/>
        </w:rPr>
        <w:t>5）、其他调整合计影响期初未分配利润元。</w:t>
      </w:r>
    </w:p>
    <w:p w14:paraId="3943AE1F">
      <w:pPr>
        <w:keepNext/>
        <w:keepLines/>
        <w:spacing w:before="300" w:after="300" w:line="280" w:lineRule="exact"/>
        <w:jc w:val="left"/>
        <w:outlineLvl w:val="2"/>
        <w:rPr>
          <w:rFonts w:ascii="宋体" w:hAnsi="宋体" w:eastAsia="宋体" w:cs="宋体"/>
          <w:b/>
          <w:bCs/>
          <w:sz w:val="21"/>
          <w:szCs w:val="21"/>
        </w:rPr>
      </w:pPr>
      <w:bookmarkStart w:id="416" w:name="_Toc989299"/>
      <w:r>
        <w:rPr>
          <w:rFonts w:ascii="宋体" w:hAnsi="宋体" w:eastAsia="宋体" w:cs="宋体"/>
          <w:b/>
          <w:bCs/>
          <w:sz w:val="21"/>
          <w:szCs w:val="21"/>
        </w:rPr>
        <w:t>61、营业收入和营业成本</w:t>
      </w:r>
      <w:bookmarkEnd w:id="416"/>
    </w:p>
    <w:p w14:paraId="78CC556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4C70DE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12F0CD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EAB35F9">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10B55B2">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0D1FBF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780C41C"/>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8BF2DC6">
            <w:pPr>
              <w:spacing w:before="40" w:after="40" w:line="240" w:lineRule="exact"/>
              <w:jc w:val="center"/>
              <w:rPr>
                <w:rFonts w:ascii="宋体" w:hAnsi="宋体" w:eastAsia="宋体" w:cs="宋体"/>
                <w:sz w:val="18"/>
                <w:szCs w:val="18"/>
              </w:rPr>
            </w:pPr>
            <w:r>
              <w:rPr>
                <w:rFonts w:ascii="宋体" w:hAnsi="宋体" w:eastAsia="宋体" w:cs="宋体"/>
                <w:sz w:val="18"/>
                <w:szCs w:val="18"/>
              </w:rPr>
              <w:t>收入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C6A89E1">
            <w:pPr>
              <w:spacing w:before="40" w:after="40" w:line="240" w:lineRule="exact"/>
              <w:jc w:val="center"/>
              <w:rPr>
                <w:rFonts w:ascii="宋体" w:hAnsi="宋体" w:eastAsia="宋体" w:cs="宋体"/>
                <w:sz w:val="18"/>
                <w:szCs w:val="18"/>
              </w:rPr>
            </w:pPr>
            <w:r>
              <w:rPr>
                <w:rFonts w:ascii="宋体" w:hAnsi="宋体" w:eastAsia="宋体" w:cs="宋体"/>
                <w:sz w:val="18"/>
                <w:szCs w:val="18"/>
              </w:rPr>
              <w:t>成本</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0D28B04">
            <w:pPr>
              <w:spacing w:before="40" w:after="40" w:line="240" w:lineRule="exact"/>
              <w:jc w:val="center"/>
              <w:rPr>
                <w:rFonts w:ascii="宋体" w:hAnsi="宋体" w:eastAsia="宋体" w:cs="宋体"/>
                <w:sz w:val="18"/>
                <w:szCs w:val="18"/>
              </w:rPr>
            </w:pPr>
            <w:r>
              <w:rPr>
                <w:rFonts w:ascii="宋体" w:hAnsi="宋体" w:eastAsia="宋体" w:cs="宋体"/>
                <w:sz w:val="18"/>
                <w:szCs w:val="18"/>
              </w:rPr>
              <w:t>收入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85A91AE">
            <w:pPr>
              <w:spacing w:before="40" w:after="40" w:line="240" w:lineRule="exact"/>
              <w:jc w:val="center"/>
              <w:rPr>
                <w:rFonts w:ascii="宋体" w:hAnsi="宋体" w:eastAsia="宋体" w:cs="宋体"/>
                <w:sz w:val="18"/>
                <w:szCs w:val="18"/>
              </w:rPr>
            </w:pPr>
            <w:r>
              <w:rPr>
                <w:rFonts w:ascii="宋体" w:hAnsi="宋体" w:eastAsia="宋体" w:cs="宋体"/>
                <w:sz w:val="18"/>
                <w:szCs w:val="18"/>
              </w:rPr>
              <w:t>成本</w:t>
            </w:r>
          </w:p>
        </w:tc>
      </w:tr>
      <w:tr w14:paraId="65D6ED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8FF732E">
            <w:pPr>
              <w:spacing w:before="40" w:after="40" w:line="240" w:lineRule="exact"/>
              <w:jc w:val="left"/>
              <w:rPr>
                <w:rFonts w:ascii="宋体" w:hAnsi="宋体" w:eastAsia="宋体" w:cs="宋体"/>
                <w:sz w:val="18"/>
                <w:szCs w:val="18"/>
              </w:rPr>
            </w:pPr>
            <w:r>
              <w:rPr>
                <w:rFonts w:ascii="宋体" w:hAnsi="宋体" w:eastAsia="宋体" w:cs="宋体"/>
                <w:sz w:val="18"/>
                <w:szCs w:val="18"/>
              </w:rPr>
              <w:t>主营业务</w:t>
            </w:r>
          </w:p>
        </w:tc>
        <w:tc>
          <w:tcPr>
            <w:tcW w:w="1928" w:type="dxa"/>
            <w:tcBorders>
              <w:top w:val="single" w:color="auto" w:sz="2" w:space="0"/>
              <w:left w:val="single" w:color="auto" w:sz="2" w:space="0"/>
              <w:bottom w:val="single" w:color="auto" w:sz="2" w:space="0"/>
              <w:right w:val="single" w:color="auto" w:sz="2" w:space="0"/>
            </w:tcBorders>
            <w:vAlign w:val="center"/>
          </w:tcPr>
          <w:p w14:paraId="35E91C01">
            <w:pPr>
              <w:spacing w:before="0" w:after="0" w:line="240" w:lineRule="exact"/>
              <w:jc w:val="right"/>
              <w:rPr>
                <w:rFonts w:ascii="宋体" w:hAnsi="宋体" w:eastAsia="宋体" w:cs="宋体"/>
                <w:sz w:val="18"/>
                <w:szCs w:val="18"/>
              </w:rPr>
            </w:pPr>
            <w:r>
              <w:rPr>
                <w:rFonts w:ascii="宋体" w:hAnsi="宋体" w:eastAsia="宋体" w:cs="宋体"/>
                <w:sz w:val="18"/>
                <w:szCs w:val="18"/>
              </w:rPr>
              <w:t>437,479,836.06</w:t>
            </w:r>
          </w:p>
        </w:tc>
        <w:tc>
          <w:tcPr>
            <w:tcW w:w="1928" w:type="dxa"/>
            <w:tcBorders>
              <w:top w:val="single" w:color="auto" w:sz="2" w:space="0"/>
              <w:left w:val="single" w:color="auto" w:sz="2" w:space="0"/>
              <w:bottom w:val="single" w:color="auto" w:sz="2" w:space="0"/>
              <w:right w:val="single" w:color="auto" w:sz="2" w:space="0"/>
            </w:tcBorders>
            <w:vAlign w:val="center"/>
          </w:tcPr>
          <w:p w14:paraId="037C830A">
            <w:pPr>
              <w:spacing w:before="0" w:after="0" w:line="240" w:lineRule="exact"/>
              <w:jc w:val="right"/>
              <w:rPr>
                <w:rFonts w:ascii="宋体" w:hAnsi="宋体" w:eastAsia="宋体" w:cs="宋体"/>
                <w:sz w:val="18"/>
                <w:szCs w:val="18"/>
              </w:rPr>
            </w:pPr>
            <w:r>
              <w:rPr>
                <w:rFonts w:ascii="宋体" w:hAnsi="宋体" w:eastAsia="宋体" w:cs="宋体"/>
                <w:sz w:val="18"/>
                <w:szCs w:val="18"/>
              </w:rPr>
              <w:t>164,689,967.90</w:t>
            </w:r>
          </w:p>
        </w:tc>
        <w:tc>
          <w:tcPr>
            <w:tcW w:w="1928" w:type="dxa"/>
            <w:tcBorders>
              <w:top w:val="single" w:color="auto" w:sz="2" w:space="0"/>
              <w:left w:val="single" w:color="auto" w:sz="2" w:space="0"/>
              <w:bottom w:val="single" w:color="auto" w:sz="2" w:space="0"/>
              <w:right w:val="single" w:color="auto" w:sz="2" w:space="0"/>
            </w:tcBorders>
            <w:vAlign w:val="center"/>
          </w:tcPr>
          <w:p w14:paraId="4FFE384B">
            <w:pPr>
              <w:spacing w:before="0" w:after="0" w:line="240" w:lineRule="exact"/>
              <w:jc w:val="right"/>
              <w:rPr>
                <w:rFonts w:ascii="宋体" w:hAnsi="宋体" w:eastAsia="宋体" w:cs="宋体"/>
                <w:sz w:val="18"/>
                <w:szCs w:val="18"/>
              </w:rPr>
            </w:pPr>
            <w:r>
              <w:rPr>
                <w:rFonts w:ascii="宋体" w:hAnsi="宋体" w:eastAsia="宋体" w:cs="宋体"/>
                <w:sz w:val="18"/>
                <w:szCs w:val="18"/>
              </w:rPr>
              <w:t>413,317,589.19</w:t>
            </w:r>
          </w:p>
        </w:tc>
        <w:tc>
          <w:tcPr>
            <w:tcW w:w="1928" w:type="dxa"/>
            <w:tcBorders>
              <w:top w:val="single" w:color="auto" w:sz="2" w:space="0"/>
              <w:left w:val="single" w:color="auto" w:sz="2" w:space="0"/>
              <w:bottom w:val="single" w:color="auto" w:sz="2" w:space="0"/>
              <w:right w:val="single" w:color="auto" w:sz="2" w:space="0"/>
            </w:tcBorders>
            <w:vAlign w:val="center"/>
          </w:tcPr>
          <w:p w14:paraId="7C93AB7F">
            <w:pPr>
              <w:spacing w:before="0" w:after="0" w:line="240" w:lineRule="exact"/>
              <w:jc w:val="right"/>
              <w:rPr>
                <w:rFonts w:ascii="宋体" w:hAnsi="宋体" w:eastAsia="宋体" w:cs="宋体"/>
                <w:sz w:val="18"/>
                <w:szCs w:val="18"/>
              </w:rPr>
            </w:pPr>
            <w:r>
              <w:rPr>
                <w:rFonts w:ascii="宋体" w:hAnsi="宋体" w:eastAsia="宋体" w:cs="宋体"/>
                <w:sz w:val="18"/>
                <w:szCs w:val="18"/>
              </w:rPr>
              <w:t>172,242,402.80</w:t>
            </w:r>
          </w:p>
        </w:tc>
      </w:tr>
      <w:tr w14:paraId="035716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2E4E2A1">
            <w:pPr>
              <w:spacing w:before="40" w:after="40" w:line="240" w:lineRule="exact"/>
              <w:jc w:val="left"/>
              <w:rPr>
                <w:rFonts w:ascii="宋体" w:hAnsi="宋体" w:eastAsia="宋体" w:cs="宋体"/>
                <w:sz w:val="18"/>
                <w:szCs w:val="18"/>
              </w:rPr>
            </w:pPr>
            <w:r>
              <w:rPr>
                <w:rFonts w:ascii="宋体" w:hAnsi="宋体" w:eastAsia="宋体" w:cs="宋体"/>
                <w:sz w:val="18"/>
                <w:szCs w:val="18"/>
              </w:rPr>
              <w:t>其他业务</w:t>
            </w:r>
          </w:p>
        </w:tc>
        <w:tc>
          <w:tcPr>
            <w:tcW w:w="1928" w:type="dxa"/>
            <w:tcBorders>
              <w:top w:val="single" w:color="auto" w:sz="2" w:space="0"/>
              <w:left w:val="single" w:color="auto" w:sz="2" w:space="0"/>
              <w:bottom w:val="single" w:color="auto" w:sz="2" w:space="0"/>
              <w:right w:val="single" w:color="auto" w:sz="2" w:space="0"/>
            </w:tcBorders>
            <w:vAlign w:val="center"/>
          </w:tcPr>
          <w:p w14:paraId="6C543595">
            <w:pPr>
              <w:spacing w:before="0" w:after="0" w:line="240" w:lineRule="exact"/>
              <w:jc w:val="right"/>
              <w:rPr>
                <w:rFonts w:ascii="宋体" w:hAnsi="宋体" w:eastAsia="宋体" w:cs="宋体"/>
                <w:sz w:val="18"/>
                <w:szCs w:val="18"/>
              </w:rPr>
            </w:pPr>
            <w:r>
              <w:rPr>
                <w:rFonts w:ascii="宋体" w:hAnsi="宋体" w:eastAsia="宋体" w:cs="宋体"/>
                <w:sz w:val="18"/>
                <w:szCs w:val="18"/>
              </w:rPr>
              <w:t>3,977,837.71</w:t>
            </w:r>
          </w:p>
        </w:tc>
        <w:tc>
          <w:tcPr>
            <w:tcW w:w="1928" w:type="dxa"/>
            <w:tcBorders>
              <w:top w:val="single" w:color="auto" w:sz="2" w:space="0"/>
              <w:left w:val="single" w:color="auto" w:sz="2" w:space="0"/>
              <w:bottom w:val="single" w:color="auto" w:sz="2" w:space="0"/>
              <w:right w:val="single" w:color="auto" w:sz="2" w:space="0"/>
            </w:tcBorders>
            <w:vAlign w:val="center"/>
          </w:tcPr>
          <w:p w14:paraId="24510D8E">
            <w:pPr>
              <w:spacing w:before="0" w:after="0" w:line="240" w:lineRule="exact"/>
              <w:jc w:val="right"/>
              <w:rPr>
                <w:rFonts w:ascii="宋体" w:hAnsi="宋体" w:eastAsia="宋体" w:cs="宋体"/>
                <w:sz w:val="18"/>
                <w:szCs w:val="18"/>
              </w:rPr>
            </w:pPr>
            <w:r>
              <w:rPr>
                <w:rFonts w:ascii="宋体" w:hAnsi="宋体" w:eastAsia="宋体" w:cs="宋体"/>
                <w:sz w:val="18"/>
                <w:szCs w:val="18"/>
              </w:rPr>
              <w:t>2,672,222.07</w:t>
            </w:r>
          </w:p>
        </w:tc>
        <w:tc>
          <w:tcPr>
            <w:tcW w:w="1928" w:type="dxa"/>
            <w:tcBorders>
              <w:top w:val="single" w:color="auto" w:sz="2" w:space="0"/>
              <w:left w:val="single" w:color="auto" w:sz="2" w:space="0"/>
              <w:bottom w:val="single" w:color="auto" w:sz="2" w:space="0"/>
              <w:right w:val="single" w:color="auto" w:sz="2" w:space="0"/>
            </w:tcBorders>
            <w:vAlign w:val="center"/>
          </w:tcPr>
          <w:p w14:paraId="24137D89">
            <w:pPr>
              <w:spacing w:before="0" w:after="0" w:line="240" w:lineRule="exact"/>
              <w:jc w:val="right"/>
              <w:rPr>
                <w:rFonts w:ascii="宋体" w:hAnsi="宋体" w:eastAsia="宋体" w:cs="宋体"/>
                <w:sz w:val="18"/>
                <w:szCs w:val="18"/>
              </w:rPr>
            </w:pPr>
            <w:r>
              <w:rPr>
                <w:rFonts w:ascii="宋体" w:hAnsi="宋体" w:eastAsia="宋体" w:cs="宋体"/>
                <w:sz w:val="18"/>
                <w:szCs w:val="18"/>
              </w:rPr>
              <w:t>9,397,299.91</w:t>
            </w:r>
          </w:p>
        </w:tc>
        <w:tc>
          <w:tcPr>
            <w:tcW w:w="1928" w:type="dxa"/>
            <w:tcBorders>
              <w:top w:val="single" w:color="auto" w:sz="2" w:space="0"/>
              <w:left w:val="single" w:color="auto" w:sz="2" w:space="0"/>
              <w:bottom w:val="single" w:color="auto" w:sz="2" w:space="0"/>
              <w:right w:val="single" w:color="auto" w:sz="2" w:space="0"/>
            </w:tcBorders>
            <w:vAlign w:val="center"/>
          </w:tcPr>
          <w:p w14:paraId="37DD9260">
            <w:pPr>
              <w:spacing w:before="0" w:after="0" w:line="240" w:lineRule="exact"/>
              <w:jc w:val="right"/>
              <w:rPr>
                <w:rFonts w:ascii="宋体" w:hAnsi="宋体" w:eastAsia="宋体" w:cs="宋体"/>
                <w:sz w:val="18"/>
                <w:szCs w:val="18"/>
              </w:rPr>
            </w:pPr>
            <w:r>
              <w:rPr>
                <w:rFonts w:ascii="宋体" w:hAnsi="宋体" w:eastAsia="宋体" w:cs="宋体"/>
                <w:sz w:val="18"/>
                <w:szCs w:val="18"/>
              </w:rPr>
              <w:t>7,806,234.62</w:t>
            </w:r>
          </w:p>
        </w:tc>
      </w:tr>
      <w:tr w14:paraId="772383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EE78B72">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14:paraId="541FE71E">
            <w:pPr>
              <w:spacing w:before="0" w:after="0" w:line="240" w:lineRule="exact"/>
              <w:jc w:val="right"/>
              <w:rPr>
                <w:rFonts w:ascii="宋体" w:hAnsi="宋体" w:eastAsia="宋体" w:cs="宋体"/>
                <w:sz w:val="18"/>
                <w:szCs w:val="18"/>
              </w:rPr>
            </w:pPr>
            <w:r>
              <w:rPr>
                <w:rFonts w:ascii="宋体" w:hAnsi="宋体" w:eastAsia="宋体" w:cs="宋体"/>
                <w:sz w:val="18"/>
                <w:szCs w:val="18"/>
              </w:rPr>
              <w:t>441,457,673.77</w:t>
            </w:r>
          </w:p>
        </w:tc>
        <w:tc>
          <w:tcPr>
            <w:tcW w:w="1928" w:type="dxa"/>
            <w:tcBorders>
              <w:top w:val="single" w:color="auto" w:sz="2" w:space="0"/>
              <w:left w:val="single" w:color="auto" w:sz="2" w:space="0"/>
              <w:bottom w:val="single" w:color="auto" w:sz="2" w:space="0"/>
              <w:right w:val="single" w:color="auto" w:sz="2" w:space="0"/>
            </w:tcBorders>
            <w:vAlign w:val="center"/>
          </w:tcPr>
          <w:p w14:paraId="73E24D28">
            <w:pPr>
              <w:spacing w:before="0" w:after="0" w:line="240" w:lineRule="exact"/>
              <w:jc w:val="right"/>
              <w:rPr>
                <w:rFonts w:ascii="宋体" w:hAnsi="宋体" w:eastAsia="宋体" w:cs="宋体"/>
                <w:sz w:val="18"/>
                <w:szCs w:val="18"/>
              </w:rPr>
            </w:pPr>
            <w:r>
              <w:rPr>
                <w:rFonts w:ascii="宋体" w:hAnsi="宋体" w:eastAsia="宋体" w:cs="宋体"/>
                <w:sz w:val="18"/>
                <w:szCs w:val="18"/>
              </w:rPr>
              <w:t>167,362,189.97</w:t>
            </w:r>
          </w:p>
        </w:tc>
        <w:tc>
          <w:tcPr>
            <w:tcW w:w="1928" w:type="dxa"/>
            <w:tcBorders>
              <w:top w:val="single" w:color="auto" w:sz="2" w:space="0"/>
              <w:left w:val="single" w:color="auto" w:sz="2" w:space="0"/>
              <w:bottom w:val="single" w:color="auto" w:sz="2" w:space="0"/>
              <w:right w:val="single" w:color="auto" w:sz="2" w:space="0"/>
            </w:tcBorders>
            <w:vAlign w:val="center"/>
          </w:tcPr>
          <w:p w14:paraId="065EDA34">
            <w:pPr>
              <w:spacing w:before="0" w:after="0" w:line="240" w:lineRule="exact"/>
              <w:jc w:val="right"/>
              <w:rPr>
                <w:rFonts w:ascii="宋体" w:hAnsi="宋体" w:eastAsia="宋体" w:cs="宋体"/>
                <w:sz w:val="18"/>
                <w:szCs w:val="18"/>
              </w:rPr>
            </w:pPr>
            <w:r>
              <w:rPr>
                <w:rFonts w:ascii="宋体" w:hAnsi="宋体" w:eastAsia="宋体" w:cs="宋体"/>
                <w:sz w:val="18"/>
                <w:szCs w:val="18"/>
              </w:rPr>
              <w:t>422,714,889.10</w:t>
            </w:r>
          </w:p>
        </w:tc>
        <w:tc>
          <w:tcPr>
            <w:tcW w:w="1928" w:type="dxa"/>
            <w:tcBorders>
              <w:top w:val="single" w:color="auto" w:sz="2" w:space="0"/>
              <w:left w:val="single" w:color="auto" w:sz="2" w:space="0"/>
              <w:bottom w:val="single" w:color="auto" w:sz="2" w:space="0"/>
              <w:right w:val="single" w:color="auto" w:sz="2" w:space="0"/>
            </w:tcBorders>
            <w:vAlign w:val="center"/>
          </w:tcPr>
          <w:p w14:paraId="155C62B9">
            <w:pPr>
              <w:spacing w:before="0" w:after="0" w:line="240" w:lineRule="exact"/>
              <w:jc w:val="right"/>
              <w:rPr>
                <w:rFonts w:ascii="宋体" w:hAnsi="宋体" w:eastAsia="宋体" w:cs="宋体"/>
                <w:sz w:val="18"/>
                <w:szCs w:val="18"/>
              </w:rPr>
            </w:pPr>
            <w:r>
              <w:rPr>
                <w:rFonts w:ascii="宋体" w:hAnsi="宋体" w:eastAsia="宋体" w:cs="宋体"/>
                <w:sz w:val="18"/>
                <w:szCs w:val="18"/>
              </w:rPr>
              <w:t>180,048,637.42</w:t>
            </w:r>
          </w:p>
        </w:tc>
      </w:tr>
    </w:tbl>
    <w:p w14:paraId="49206F25">
      <w:pPr>
        <w:spacing w:before="100" w:after="100" w:line="240" w:lineRule="exact"/>
        <w:jc w:val="left"/>
        <w:rPr>
          <w:rFonts w:ascii="宋体" w:hAnsi="宋体" w:eastAsia="宋体" w:cs="宋体"/>
          <w:sz w:val="18"/>
          <w:szCs w:val="18"/>
        </w:rPr>
      </w:pPr>
      <w:r>
        <w:rPr>
          <w:rFonts w:ascii="宋体" w:hAnsi="宋体" w:eastAsia="宋体" w:cs="宋体"/>
          <w:sz w:val="18"/>
          <w:szCs w:val="18"/>
        </w:rPr>
        <w:t>经审计扣除非经常损益前后净利润孰低是否为负值</w:t>
      </w:r>
    </w:p>
    <w:p w14:paraId="339E8769">
      <w:pPr>
        <w:spacing w:before="40" w:after="4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w:t>
      </w:r>
    </w:p>
    <w:p w14:paraId="7C8F674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6AA635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9F409D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48322BD">
            <w:pPr>
              <w:spacing w:before="40" w:after="40" w:line="240" w:lineRule="exact"/>
              <w:jc w:val="center"/>
              <w:rPr>
                <w:rFonts w:ascii="宋体" w:hAnsi="宋体" w:eastAsia="宋体" w:cs="宋体"/>
                <w:sz w:val="18"/>
                <w:szCs w:val="18"/>
              </w:rPr>
            </w:pPr>
            <w:r>
              <w:rPr>
                <w:rFonts w:ascii="宋体" w:hAnsi="宋体" w:eastAsia="宋体" w:cs="宋体"/>
                <w:sz w:val="18"/>
                <w:szCs w:val="18"/>
              </w:rPr>
              <w:t>本年度</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E1C99C4">
            <w:pPr>
              <w:spacing w:before="40" w:after="40" w:line="240" w:lineRule="exact"/>
              <w:jc w:val="center"/>
              <w:rPr>
                <w:rFonts w:ascii="宋体" w:hAnsi="宋体" w:eastAsia="宋体" w:cs="宋体"/>
                <w:sz w:val="18"/>
                <w:szCs w:val="18"/>
              </w:rPr>
            </w:pPr>
            <w:r>
              <w:rPr>
                <w:rFonts w:ascii="宋体" w:hAnsi="宋体" w:eastAsia="宋体" w:cs="宋体"/>
                <w:sz w:val="18"/>
                <w:szCs w:val="18"/>
              </w:rPr>
              <w:t>具体扣除情况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66FBC4C">
            <w:pPr>
              <w:spacing w:before="40" w:after="40" w:line="240" w:lineRule="exact"/>
              <w:jc w:val="center"/>
              <w:rPr>
                <w:rFonts w:ascii="宋体" w:hAnsi="宋体" w:eastAsia="宋体" w:cs="宋体"/>
                <w:sz w:val="18"/>
                <w:szCs w:val="18"/>
              </w:rPr>
            </w:pPr>
            <w:r>
              <w:rPr>
                <w:rFonts w:ascii="宋体" w:hAnsi="宋体" w:eastAsia="宋体" w:cs="宋体"/>
                <w:sz w:val="18"/>
                <w:szCs w:val="18"/>
              </w:rPr>
              <w:t>上年度</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6CA5126">
            <w:pPr>
              <w:spacing w:before="40" w:after="40" w:line="240" w:lineRule="exact"/>
              <w:jc w:val="center"/>
              <w:rPr>
                <w:rFonts w:ascii="宋体" w:hAnsi="宋体" w:eastAsia="宋体" w:cs="宋体"/>
                <w:sz w:val="18"/>
                <w:szCs w:val="18"/>
              </w:rPr>
            </w:pPr>
            <w:r>
              <w:rPr>
                <w:rFonts w:ascii="宋体" w:hAnsi="宋体" w:eastAsia="宋体" w:cs="宋体"/>
                <w:sz w:val="18"/>
                <w:szCs w:val="18"/>
              </w:rPr>
              <w:t>具体扣除情况</w:t>
            </w:r>
          </w:p>
        </w:tc>
      </w:tr>
      <w:tr w14:paraId="7AA793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14747BE">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营业收入金额</w:t>
            </w:r>
          </w:p>
        </w:tc>
        <w:tc>
          <w:tcPr>
            <w:tcW w:w="1928" w:type="dxa"/>
            <w:tcBorders>
              <w:top w:val="single" w:color="auto" w:sz="2" w:space="0"/>
              <w:left w:val="single" w:color="auto" w:sz="2" w:space="0"/>
              <w:bottom w:val="single" w:color="auto" w:sz="2" w:space="0"/>
              <w:right w:val="single" w:color="auto" w:sz="2" w:space="0"/>
            </w:tcBorders>
            <w:vAlign w:val="center"/>
          </w:tcPr>
          <w:p w14:paraId="0ACF9546">
            <w:pPr>
              <w:spacing w:before="0" w:after="0" w:line="240" w:lineRule="exact"/>
              <w:jc w:val="right"/>
              <w:rPr>
                <w:rFonts w:ascii="宋体" w:hAnsi="宋体" w:eastAsia="宋体" w:cs="宋体"/>
                <w:sz w:val="18"/>
                <w:szCs w:val="18"/>
              </w:rPr>
            </w:pPr>
            <w:r>
              <w:rPr>
                <w:rFonts w:ascii="宋体" w:hAnsi="宋体" w:eastAsia="宋体" w:cs="宋体"/>
                <w:sz w:val="18"/>
                <w:szCs w:val="18"/>
              </w:rPr>
              <w:t>441,457,673.77</w:t>
            </w:r>
          </w:p>
        </w:tc>
        <w:tc>
          <w:tcPr>
            <w:tcW w:w="1928" w:type="dxa"/>
            <w:tcBorders>
              <w:top w:val="single" w:color="auto" w:sz="2" w:space="0"/>
              <w:left w:val="single" w:color="auto" w:sz="2" w:space="0"/>
              <w:bottom w:val="single" w:color="auto" w:sz="2" w:space="0"/>
              <w:right w:val="single" w:color="auto" w:sz="2" w:space="0"/>
            </w:tcBorders>
            <w:vAlign w:val="center"/>
          </w:tcPr>
          <w:p w14:paraId="066A5ABF">
            <w:pPr>
              <w:spacing w:before="0" w:after="0" w:line="240" w:lineRule="exact"/>
              <w:jc w:val="left"/>
              <w:rPr>
                <w:rFonts w:ascii="宋体" w:hAnsi="宋体" w:eastAsia="宋体" w:cs="宋体"/>
                <w:sz w:val="18"/>
                <w:szCs w:val="18"/>
              </w:rPr>
            </w:pPr>
            <w:r>
              <w:rPr>
                <w:rFonts w:ascii="宋体" w:hAnsi="宋体" w:eastAsia="宋体" w:cs="宋体"/>
                <w:sz w:val="18"/>
                <w:szCs w:val="18"/>
              </w:rPr>
              <w:t>主营业务收入和其他业务收入</w:t>
            </w:r>
          </w:p>
        </w:tc>
        <w:tc>
          <w:tcPr>
            <w:tcW w:w="1928" w:type="dxa"/>
            <w:tcBorders>
              <w:top w:val="single" w:color="auto" w:sz="2" w:space="0"/>
              <w:left w:val="single" w:color="auto" w:sz="2" w:space="0"/>
              <w:bottom w:val="single" w:color="auto" w:sz="2" w:space="0"/>
              <w:right w:val="single" w:color="auto" w:sz="2" w:space="0"/>
            </w:tcBorders>
            <w:vAlign w:val="center"/>
          </w:tcPr>
          <w:p w14:paraId="0A192FC3">
            <w:pPr>
              <w:spacing w:before="0" w:after="0" w:line="240" w:lineRule="exact"/>
              <w:jc w:val="right"/>
              <w:rPr>
                <w:rFonts w:ascii="宋体" w:hAnsi="宋体" w:eastAsia="宋体" w:cs="宋体"/>
                <w:sz w:val="18"/>
                <w:szCs w:val="18"/>
              </w:rPr>
            </w:pPr>
            <w:r>
              <w:rPr>
                <w:rFonts w:ascii="宋体" w:hAnsi="宋体" w:eastAsia="宋体" w:cs="宋体"/>
                <w:sz w:val="18"/>
                <w:szCs w:val="18"/>
              </w:rPr>
              <w:t>422,714,889.10</w:t>
            </w:r>
          </w:p>
        </w:tc>
        <w:tc>
          <w:tcPr>
            <w:tcW w:w="1928" w:type="dxa"/>
            <w:tcBorders>
              <w:top w:val="single" w:color="auto" w:sz="2" w:space="0"/>
              <w:left w:val="single" w:color="auto" w:sz="2" w:space="0"/>
              <w:bottom w:val="single" w:color="auto" w:sz="2" w:space="0"/>
              <w:right w:val="single" w:color="auto" w:sz="2" w:space="0"/>
            </w:tcBorders>
            <w:vAlign w:val="center"/>
          </w:tcPr>
          <w:p w14:paraId="6F1D19B2">
            <w:pPr>
              <w:spacing w:before="0" w:after="0" w:line="240" w:lineRule="exact"/>
              <w:jc w:val="left"/>
              <w:rPr>
                <w:rFonts w:ascii="宋体" w:hAnsi="宋体" w:eastAsia="宋体" w:cs="宋体"/>
                <w:sz w:val="18"/>
                <w:szCs w:val="18"/>
              </w:rPr>
            </w:pPr>
            <w:r>
              <w:rPr>
                <w:rFonts w:ascii="宋体" w:hAnsi="宋体" w:eastAsia="宋体" w:cs="宋体"/>
                <w:sz w:val="18"/>
                <w:szCs w:val="18"/>
              </w:rPr>
              <w:t>主营业务收入和其他业务收入</w:t>
            </w:r>
          </w:p>
        </w:tc>
      </w:tr>
      <w:tr w14:paraId="6468F0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6AA3CE6">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营业收入扣除项目合计金额</w:t>
            </w:r>
          </w:p>
        </w:tc>
        <w:tc>
          <w:tcPr>
            <w:tcW w:w="1928" w:type="dxa"/>
            <w:tcBorders>
              <w:top w:val="single" w:color="auto" w:sz="2" w:space="0"/>
              <w:left w:val="single" w:color="auto" w:sz="2" w:space="0"/>
              <w:bottom w:val="single" w:color="auto" w:sz="2" w:space="0"/>
              <w:right w:val="single" w:color="auto" w:sz="2" w:space="0"/>
            </w:tcBorders>
            <w:vAlign w:val="center"/>
          </w:tcPr>
          <w:p w14:paraId="5939880A">
            <w:pPr>
              <w:spacing w:before="0" w:after="0" w:line="240" w:lineRule="exact"/>
              <w:jc w:val="right"/>
              <w:rPr>
                <w:rFonts w:ascii="宋体" w:hAnsi="宋体" w:eastAsia="宋体" w:cs="宋体"/>
                <w:sz w:val="18"/>
                <w:szCs w:val="18"/>
              </w:rPr>
            </w:pPr>
            <w:r>
              <w:rPr>
                <w:rFonts w:ascii="宋体" w:hAnsi="宋体" w:eastAsia="宋体" w:cs="宋体"/>
                <w:sz w:val="18"/>
                <w:szCs w:val="18"/>
              </w:rPr>
              <w:t>3,977,837.71</w:t>
            </w:r>
          </w:p>
        </w:tc>
        <w:tc>
          <w:tcPr>
            <w:tcW w:w="1928" w:type="dxa"/>
            <w:tcBorders>
              <w:top w:val="single" w:color="auto" w:sz="2" w:space="0"/>
              <w:left w:val="single" w:color="auto" w:sz="2" w:space="0"/>
              <w:bottom w:val="single" w:color="auto" w:sz="2" w:space="0"/>
              <w:right w:val="single" w:color="auto" w:sz="2" w:space="0"/>
            </w:tcBorders>
            <w:vAlign w:val="center"/>
          </w:tcPr>
          <w:p w14:paraId="41FC10DA">
            <w:pPr>
              <w:spacing w:before="0" w:after="0" w:line="240" w:lineRule="exact"/>
              <w:jc w:val="left"/>
              <w:rPr>
                <w:rFonts w:ascii="宋体" w:hAnsi="宋体" w:eastAsia="宋体" w:cs="宋体"/>
                <w:sz w:val="18"/>
                <w:szCs w:val="18"/>
              </w:rPr>
            </w:pPr>
            <w:r>
              <w:rPr>
                <w:rFonts w:ascii="宋体" w:hAnsi="宋体" w:eastAsia="宋体" w:cs="宋体"/>
                <w:sz w:val="18"/>
                <w:szCs w:val="18"/>
              </w:rPr>
              <w:t>主要为租赁收入</w:t>
            </w:r>
          </w:p>
        </w:tc>
        <w:tc>
          <w:tcPr>
            <w:tcW w:w="1928" w:type="dxa"/>
            <w:tcBorders>
              <w:top w:val="single" w:color="auto" w:sz="2" w:space="0"/>
              <w:left w:val="single" w:color="auto" w:sz="2" w:space="0"/>
              <w:bottom w:val="single" w:color="auto" w:sz="2" w:space="0"/>
              <w:right w:val="single" w:color="auto" w:sz="2" w:space="0"/>
            </w:tcBorders>
            <w:vAlign w:val="center"/>
          </w:tcPr>
          <w:p w14:paraId="6DBB11B0">
            <w:pPr>
              <w:spacing w:before="0" w:after="0" w:line="240" w:lineRule="exact"/>
              <w:jc w:val="right"/>
              <w:rPr>
                <w:rFonts w:ascii="宋体" w:hAnsi="宋体" w:eastAsia="宋体" w:cs="宋体"/>
                <w:sz w:val="18"/>
                <w:szCs w:val="18"/>
              </w:rPr>
            </w:pPr>
            <w:r>
              <w:rPr>
                <w:rFonts w:ascii="宋体" w:hAnsi="宋体" w:eastAsia="宋体" w:cs="宋体"/>
                <w:sz w:val="18"/>
                <w:szCs w:val="18"/>
              </w:rPr>
              <w:t>9,397,299.91</w:t>
            </w:r>
          </w:p>
        </w:tc>
        <w:tc>
          <w:tcPr>
            <w:tcW w:w="1928" w:type="dxa"/>
            <w:tcBorders>
              <w:top w:val="single" w:color="auto" w:sz="2" w:space="0"/>
              <w:left w:val="single" w:color="auto" w:sz="2" w:space="0"/>
              <w:bottom w:val="single" w:color="auto" w:sz="2" w:space="0"/>
              <w:right w:val="single" w:color="auto" w:sz="2" w:space="0"/>
            </w:tcBorders>
            <w:vAlign w:val="center"/>
          </w:tcPr>
          <w:p w14:paraId="308595D5">
            <w:pPr>
              <w:spacing w:before="0" w:after="0" w:line="240" w:lineRule="exact"/>
              <w:jc w:val="left"/>
              <w:rPr>
                <w:rFonts w:ascii="宋体" w:hAnsi="宋体" w:eastAsia="宋体" w:cs="宋体"/>
                <w:sz w:val="18"/>
                <w:szCs w:val="18"/>
              </w:rPr>
            </w:pPr>
            <w:r>
              <w:rPr>
                <w:rFonts w:ascii="宋体" w:hAnsi="宋体" w:eastAsia="宋体" w:cs="宋体"/>
                <w:sz w:val="18"/>
                <w:szCs w:val="18"/>
              </w:rPr>
              <w:t>主要为租赁收入，技术服务收入。</w:t>
            </w:r>
          </w:p>
        </w:tc>
      </w:tr>
      <w:tr w14:paraId="0505F2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BDAE063">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营业收入扣除项目合计金额占营业收入的比重</w:t>
            </w:r>
          </w:p>
        </w:tc>
        <w:tc>
          <w:tcPr>
            <w:tcW w:w="1928" w:type="dxa"/>
            <w:tcBorders>
              <w:top w:val="single" w:color="auto" w:sz="2" w:space="0"/>
              <w:left w:val="single" w:color="auto" w:sz="2" w:space="0"/>
              <w:bottom w:val="single" w:color="auto" w:sz="2" w:space="0"/>
              <w:right w:val="single" w:color="auto" w:sz="2" w:space="0"/>
            </w:tcBorders>
            <w:vAlign w:val="center"/>
          </w:tcPr>
          <w:p w14:paraId="0AE1D0AA">
            <w:pPr>
              <w:spacing w:before="0" w:after="0" w:line="240" w:lineRule="exact"/>
              <w:jc w:val="right"/>
              <w:rPr>
                <w:rFonts w:ascii="宋体" w:hAnsi="宋体" w:eastAsia="宋体" w:cs="宋体"/>
                <w:sz w:val="18"/>
                <w:szCs w:val="18"/>
              </w:rPr>
            </w:pPr>
            <w:r>
              <w:rPr>
                <w:rFonts w:ascii="宋体" w:hAnsi="宋体" w:eastAsia="宋体" w:cs="宋体"/>
                <w:sz w:val="18"/>
                <w:szCs w:val="18"/>
              </w:rPr>
              <w:t>0.90%</w:t>
            </w:r>
          </w:p>
        </w:tc>
        <w:tc>
          <w:tcPr>
            <w:tcW w:w="1928" w:type="dxa"/>
            <w:tcBorders>
              <w:top w:val="single" w:color="auto" w:sz="2" w:space="0"/>
              <w:left w:val="single" w:color="auto" w:sz="2" w:space="0"/>
              <w:bottom w:val="single" w:color="auto" w:sz="2" w:space="0"/>
              <w:right w:val="single" w:color="auto" w:sz="2" w:space="0"/>
            </w:tcBorders>
            <w:vAlign w:val="center"/>
          </w:tcPr>
          <w:p w14:paraId="088D812C">
            <w:pPr>
              <w:spacing w:before="0" w:after="0" w:line="240" w:lineRule="exact"/>
              <w:jc w:val="lef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652CA8E4">
            <w:pPr>
              <w:spacing w:before="0" w:after="0" w:line="240" w:lineRule="exact"/>
              <w:jc w:val="right"/>
              <w:rPr>
                <w:rFonts w:ascii="宋体" w:hAnsi="宋体" w:eastAsia="宋体" w:cs="宋体"/>
                <w:sz w:val="18"/>
                <w:szCs w:val="18"/>
              </w:rPr>
            </w:pPr>
            <w:r>
              <w:rPr>
                <w:rFonts w:ascii="宋体" w:hAnsi="宋体" w:eastAsia="宋体" w:cs="宋体"/>
                <w:sz w:val="18"/>
                <w:szCs w:val="18"/>
              </w:rPr>
              <w:t>2.22%</w:t>
            </w:r>
          </w:p>
        </w:tc>
        <w:tc>
          <w:tcPr>
            <w:tcW w:w="1928" w:type="dxa"/>
            <w:tcBorders>
              <w:top w:val="single" w:color="auto" w:sz="2" w:space="0"/>
              <w:left w:val="single" w:color="auto" w:sz="2" w:space="0"/>
              <w:bottom w:val="single" w:color="auto" w:sz="2" w:space="0"/>
              <w:right w:val="single" w:color="auto" w:sz="2" w:space="0"/>
            </w:tcBorders>
            <w:vAlign w:val="center"/>
          </w:tcPr>
          <w:p w14:paraId="0DE3C494">
            <w:pPr>
              <w:spacing w:before="0" w:after="0" w:line="240" w:lineRule="exact"/>
              <w:jc w:val="left"/>
              <w:rPr>
                <w:rFonts w:ascii="宋体" w:hAnsi="宋体" w:eastAsia="宋体" w:cs="宋体"/>
                <w:sz w:val="18"/>
                <w:szCs w:val="18"/>
              </w:rPr>
            </w:pPr>
          </w:p>
        </w:tc>
      </w:tr>
      <w:tr w14:paraId="2768F8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C72D615">
            <w:pPr>
              <w:spacing w:before="40" w:after="40" w:line="240" w:lineRule="exact"/>
              <w:jc w:val="left"/>
              <w:rPr>
                <w:rFonts w:ascii="宋体" w:hAnsi="宋体" w:eastAsia="宋体" w:cs="宋体"/>
                <w:sz w:val="18"/>
                <w:szCs w:val="18"/>
              </w:rPr>
            </w:pPr>
            <w:r>
              <w:rPr>
                <w:rFonts w:ascii="宋体" w:hAnsi="宋体" w:eastAsia="宋体" w:cs="宋体"/>
                <w:sz w:val="18"/>
                <w:szCs w:val="18"/>
              </w:rPr>
              <w:t>一、与主营业务无关的业务收入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900DB5C"/>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931ECD8"/>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FDA62D3"/>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F6FEBF7"/>
        </w:tc>
      </w:tr>
      <w:tr w14:paraId="5C2D4B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1588051">
            <w:pPr>
              <w:spacing w:before="40" w:after="40" w:line="240" w:lineRule="exact"/>
              <w:jc w:val="left"/>
              <w:rPr>
                <w:rFonts w:ascii="宋体" w:hAnsi="宋体" w:eastAsia="宋体" w:cs="宋体"/>
                <w:sz w:val="18"/>
                <w:szCs w:val="18"/>
              </w:rPr>
            </w:pPr>
            <w:r>
              <w:rPr>
                <w:rFonts w:ascii="宋体" w:hAnsi="宋体" w:eastAsia="宋体" w:cs="宋体"/>
                <w:sz w:val="18"/>
                <w:szCs w:val="18"/>
              </w:rPr>
              <w:t>1．正常经营之外的其他业务收入。如出租固定资产、无形资产、包装物，销售材料，用材料进行非货币性资产交换，经营受托管理业务等实现的收入，以及虽计入主营业务收入，但属于上市公司正常经营之外的收入。</w:t>
            </w:r>
          </w:p>
        </w:tc>
        <w:tc>
          <w:tcPr>
            <w:tcW w:w="1928" w:type="dxa"/>
            <w:tcBorders>
              <w:top w:val="single" w:color="auto" w:sz="2" w:space="0"/>
              <w:left w:val="single" w:color="auto" w:sz="2" w:space="0"/>
              <w:bottom w:val="single" w:color="auto" w:sz="2" w:space="0"/>
              <w:right w:val="single" w:color="auto" w:sz="2" w:space="0"/>
            </w:tcBorders>
            <w:vAlign w:val="center"/>
          </w:tcPr>
          <w:p w14:paraId="53D7F7DD">
            <w:pPr>
              <w:spacing w:before="0" w:after="0" w:line="240" w:lineRule="exact"/>
              <w:jc w:val="right"/>
              <w:rPr>
                <w:rFonts w:ascii="宋体" w:hAnsi="宋体" w:eastAsia="宋体" w:cs="宋体"/>
                <w:sz w:val="18"/>
                <w:szCs w:val="18"/>
              </w:rPr>
            </w:pPr>
            <w:r>
              <w:rPr>
                <w:rFonts w:ascii="宋体" w:hAnsi="宋体" w:eastAsia="宋体" w:cs="宋体"/>
                <w:sz w:val="18"/>
                <w:szCs w:val="18"/>
              </w:rPr>
              <w:t>3,977,837.71</w:t>
            </w:r>
          </w:p>
        </w:tc>
        <w:tc>
          <w:tcPr>
            <w:tcW w:w="1928" w:type="dxa"/>
            <w:tcBorders>
              <w:top w:val="single" w:color="auto" w:sz="2" w:space="0"/>
              <w:left w:val="single" w:color="auto" w:sz="2" w:space="0"/>
              <w:bottom w:val="single" w:color="auto" w:sz="2" w:space="0"/>
              <w:right w:val="single" w:color="auto" w:sz="2" w:space="0"/>
            </w:tcBorders>
            <w:vAlign w:val="center"/>
          </w:tcPr>
          <w:p w14:paraId="36225D20">
            <w:pPr>
              <w:spacing w:before="0" w:after="0" w:line="240" w:lineRule="exact"/>
              <w:jc w:val="left"/>
              <w:rPr>
                <w:rFonts w:ascii="宋体" w:hAnsi="宋体" w:eastAsia="宋体" w:cs="宋体"/>
                <w:sz w:val="18"/>
                <w:szCs w:val="18"/>
              </w:rPr>
            </w:pPr>
            <w:r>
              <w:rPr>
                <w:rFonts w:ascii="宋体" w:hAnsi="宋体" w:eastAsia="宋体" w:cs="宋体"/>
                <w:sz w:val="18"/>
                <w:szCs w:val="18"/>
              </w:rPr>
              <w:t>主要为租赁收 入，本年对外出租</w:t>
            </w:r>
          </w:p>
        </w:tc>
        <w:tc>
          <w:tcPr>
            <w:tcW w:w="1928" w:type="dxa"/>
            <w:tcBorders>
              <w:top w:val="single" w:color="auto" w:sz="2" w:space="0"/>
              <w:left w:val="single" w:color="auto" w:sz="2" w:space="0"/>
              <w:bottom w:val="single" w:color="auto" w:sz="2" w:space="0"/>
              <w:right w:val="single" w:color="auto" w:sz="2" w:space="0"/>
            </w:tcBorders>
            <w:vAlign w:val="center"/>
          </w:tcPr>
          <w:p w14:paraId="49EC1EDB">
            <w:pPr>
              <w:spacing w:before="0" w:after="0" w:line="240" w:lineRule="exact"/>
              <w:jc w:val="right"/>
              <w:rPr>
                <w:rFonts w:ascii="宋体" w:hAnsi="宋体" w:eastAsia="宋体" w:cs="宋体"/>
                <w:sz w:val="18"/>
                <w:szCs w:val="18"/>
              </w:rPr>
            </w:pPr>
            <w:r>
              <w:rPr>
                <w:rFonts w:ascii="宋体" w:hAnsi="宋体" w:eastAsia="宋体" w:cs="宋体"/>
                <w:sz w:val="18"/>
                <w:szCs w:val="18"/>
              </w:rPr>
              <w:t>2,845,130.11</w:t>
            </w:r>
          </w:p>
        </w:tc>
        <w:tc>
          <w:tcPr>
            <w:tcW w:w="1928" w:type="dxa"/>
            <w:tcBorders>
              <w:top w:val="single" w:color="auto" w:sz="2" w:space="0"/>
              <w:left w:val="single" w:color="auto" w:sz="2" w:space="0"/>
              <w:bottom w:val="single" w:color="auto" w:sz="2" w:space="0"/>
              <w:right w:val="single" w:color="auto" w:sz="2" w:space="0"/>
            </w:tcBorders>
            <w:vAlign w:val="center"/>
          </w:tcPr>
          <w:p w14:paraId="31B953C2">
            <w:pPr>
              <w:spacing w:before="0" w:after="0" w:line="240" w:lineRule="exact"/>
              <w:jc w:val="left"/>
              <w:rPr>
                <w:rFonts w:ascii="宋体" w:hAnsi="宋体" w:eastAsia="宋体" w:cs="宋体"/>
                <w:sz w:val="18"/>
                <w:szCs w:val="18"/>
              </w:rPr>
            </w:pPr>
            <w:r>
              <w:rPr>
                <w:rFonts w:ascii="宋体" w:hAnsi="宋体" w:eastAsia="宋体" w:cs="宋体"/>
                <w:sz w:val="18"/>
                <w:szCs w:val="18"/>
              </w:rPr>
              <w:t>主要为租赁收 入，本年对外出租</w:t>
            </w:r>
          </w:p>
        </w:tc>
      </w:tr>
      <w:tr w14:paraId="268041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2C779A1">
            <w:pPr>
              <w:spacing w:before="40" w:after="40" w:line="240" w:lineRule="exact"/>
              <w:jc w:val="left"/>
              <w:rPr>
                <w:rFonts w:ascii="宋体" w:hAnsi="宋体" w:eastAsia="宋体" w:cs="宋体"/>
                <w:sz w:val="18"/>
                <w:szCs w:val="18"/>
              </w:rPr>
            </w:pPr>
            <w:r>
              <w:rPr>
                <w:rFonts w:ascii="宋体" w:hAnsi="宋体" w:eastAsia="宋体" w:cs="宋体"/>
                <w:sz w:val="18"/>
                <w:szCs w:val="18"/>
              </w:rPr>
              <w:t>4.与上市公司现有正常经营业务无关的关联交易产生的收入。</w:t>
            </w:r>
          </w:p>
        </w:tc>
        <w:tc>
          <w:tcPr>
            <w:tcW w:w="1928" w:type="dxa"/>
            <w:tcBorders>
              <w:top w:val="single" w:color="auto" w:sz="2" w:space="0"/>
              <w:left w:val="single" w:color="auto" w:sz="2" w:space="0"/>
              <w:bottom w:val="single" w:color="auto" w:sz="2" w:space="0"/>
              <w:right w:val="single" w:color="auto" w:sz="2" w:space="0"/>
            </w:tcBorders>
            <w:vAlign w:val="center"/>
          </w:tcPr>
          <w:p w14:paraId="043E62C2">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5D9DEB7D">
            <w:pPr>
              <w:spacing w:before="0" w:after="0" w:line="240" w:lineRule="exact"/>
              <w:jc w:val="lef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7047BF18">
            <w:pPr>
              <w:spacing w:before="0" w:after="0" w:line="240" w:lineRule="exact"/>
              <w:jc w:val="right"/>
              <w:rPr>
                <w:rFonts w:ascii="宋体" w:hAnsi="宋体" w:eastAsia="宋体" w:cs="宋体"/>
                <w:sz w:val="18"/>
                <w:szCs w:val="18"/>
              </w:rPr>
            </w:pPr>
            <w:r>
              <w:rPr>
                <w:rFonts w:ascii="宋体" w:hAnsi="宋体" w:eastAsia="宋体" w:cs="宋体"/>
                <w:sz w:val="18"/>
                <w:szCs w:val="18"/>
              </w:rPr>
              <w:t>6,552,169.80</w:t>
            </w:r>
          </w:p>
        </w:tc>
        <w:tc>
          <w:tcPr>
            <w:tcW w:w="1928" w:type="dxa"/>
            <w:tcBorders>
              <w:top w:val="single" w:color="auto" w:sz="2" w:space="0"/>
              <w:left w:val="single" w:color="auto" w:sz="2" w:space="0"/>
              <w:bottom w:val="single" w:color="auto" w:sz="2" w:space="0"/>
              <w:right w:val="single" w:color="auto" w:sz="2" w:space="0"/>
            </w:tcBorders>
            <w:vAlign w:val="center"/>
          </w:tcPr>
          <w:p w14:paraId="5BDDD57B">
            <w:pPr>
              <w:spacing w:before="0" w:after="0" w:line="240" w:lineRule="exact"/>
              <w:jc w:val="left"/>
              <w:rPr>
                <w:rFonts w:ascii="宋体" w:hAnsi="宋体" w:eastAsia="宋体" w:cs="宋体"/>
                <w:sz w:val="18"/>
                <w:szCs w:val="18"/>
              </w:rPr>
            </w:pPr>
            <w:r>
              <w:rPr>
                <w:rFonts w:ascii="宋体" w:hAnsi="宋体" w:eastAsia="宋体" w:cs="宋体"/>
                <w:sz w:val="18"/>
                <w:szCs w:val="18"/>
              </w:rPr>
              <w:t>技术服务收入，</w:t>
            </w:r>
          </w:p>
          <w:p w14:paraId="7ABB0076">
            <w:pPr>
              <w:spacing w:before="0" w:after="0" w:line="240" w:lineRule="exact"/>
              <w:jc w:val="left"/>
              <w:rPr>
                <w:rFonts w:ascii="宋体" w:hAnsi="宋体" w:eastAsia="宋体" w:cs="宋体"/>
                <w:sz w:val="18"/>
                <w:szCs w:val="18"/>
              </w:rPr>
            </w:pPr>
            <w:r>
              <w:rPr>
                <w:rFonts w:ascii="宋体" w:hAnsi="宋体" w:eastAsia="宋体" w:cs="宋体"/>
                <w:sz w:val="18"/>
                <w:szCs w:val="18"/>
              </w:rPr>
              <w:t>与公司正常药品自研生产销售业务无关</w:t>
            </w:r>
          </w:p>
        </w:tc>
      </w:tr>
      <w:tr w14:paraId="47C4C1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B476211">
            <w:pPr>
              <w:spacing w:before="40" w:after="40" w:line="240" w:lineRule="exact"/>
              <w:jc w:val="left"/>
              <w:rPr>
                <w:rFonts w:ascii="宋体" w:hAnsi="宋体" w:eastAsia="宋体" w:cs="宋体"/>
                <w:sz w:val="18"/>
                <w:szCs w:val="18"/>
              </w:rPr>
            </w:pPr>
            <w:r>
              <w:rPr>
                <w:rFonts w:ascii="宋体" w:hAnsi="宋体" w:eastAsia="宋体" w:cs="宋体"/>
                <w:sz w:val="18"/>
                <w:szCs w:val="18"/>
              </w:rPr>
              <w:t>与主营业务无关的业务收入小计</w:t>
            </w:r>
          </w:p>
        </w:tc>
        <w:tc>
          <w:tcPr>
            <w:tcW w:w="1928" w:type="dxa"/>
            <w:tcBorders>
              <w:top w:val="single" w:color="auto" w:sz="2" w:space="0"/>
              <w:left w:val="single" w:color="auto" w:sz="2" w:space="0"/>
              <w:bottom w:val="single" w:color="auto" w:sz="2" w:space="0"/>
              <w:right w:val="single" w:color="auto" w:sz="2" w:space="0"/>
            </w:tcBorders>
            <w:vAlign w:val="center"/>
          </w:tcPr>
          <w:p w14:paraId="31E755F6">
            <w:pPr>
              <w:spacing w:before="0" w:after="0" w:line="240" w:lineRule="exact"/>
              <w:jc w:val="right"/>
              <w:rPr>
                <w:rFonts w:ascii="宋体" w:hAnsi="宋体" w:eastAsia="宋体" w:cs="宋体"/>
                <w:sz w:val="18"/>
                <w:szCs w:val="18"/>
              </w:rPr>
            </w:pPr>
            <w:r>
              <w:rPr>
                <w:rFonts w:ascii="宋体" w:hAnsi="宋体" w:eastAsia="宋体" w:cs="宋体"/>
                <w:sz w:val="18"/>
                <w:szCs w:val="18"/>
              </w:rPr>
              <w:t>3,977,837.71</w:t>
            </w:r>
          </w:p>
        </w:tc>
        <w:tc>
          <w:tcPr>
            <w:tcW w:w="1928" w:type="dxa"/>
            <w:tcBorders>
              <w:top w:val="single" w:color="auto" w:sz="2" w:space="0"/>
              <w:left w:val="single" w:color="auto" w:sz="2" w:space="0"/>
              <w:bottom w:val="single" w:color="auto" w:sz="2" w:space="0"/>
              <w:right w:val="single" w:color="auto" w:sz="2" w:space="0"/>
            </w:tcBorders>
            <w:vAlign w:val="center"/>
          </w:tcPr>
          <w:p w14:paraId="4135EC0A">
            <w:pPr>
              <w:spacing w:before="0" w:after="0" w:line="240" w:lineRule="exact"/>
              <w:jc w:val="left"/>
              <w:rPr>
                <w:rFonts w:ascii="宋体" w:hAnsi="宋体" w:eastAsia="宋体" w:cs="宋体"/>
                <w:sz w:val="18"/>
                <w:szCs w:val="18"/>
              </w:rPr>
            </w:pPr>
            <w:r>
              <w:rPr>
                <w:rFonts w:ascii="宋体" w:hAnsi="宋体" w:eastAsia="宋体" w:cs="宋体"/>
                <w:sz w:val="18"/>
                <w:szCs w:val="18"/>
              </w:rPr>
              <w:t>租赁收 入</w:t>
            </w:r>
          </w:p>
        </w:tc>
        <w:tc>
          <w:tcPr>
            <w:tcW w:w="1928" w:type="dxa"/>
            <w:tcBorders>
              <w:top w:val="single" w:color="auto" w:sz="2" w:space="0"/>
              <w:left w:val="single" w:color="auto" w:sz="2" w:space="0"/>
              <w:bottom w:val="single" w:color="auto" w:sz="2" w:space="0"/>
              <w:right w:val="single" w:color="auto" w:sz="2" w:space="0"/>
            </w:tcBorders>
            <w:vAlign w:val="center"/>
          </w:tcPr>
          <w:p w14:paraId="62EDC97B">
            <w:pPr>
              <w:spacing w:before="0" w:after="0" w:line="240" w:lineRule="exact"/>
              <w:jc w:val="right"/>
              <w:rPr>
                <w:rFonts w:ascii="宋体" w:hAnsi="宋体" w:eastAsia="宋体" w:cs="宋体"/>
                <w:sz w:val="18"/>
                <w:szCs w:val="18"/>
              </w:rPr>
            </w:pPr>
            <w:r>
              <w:rPr>
                <w:rFonts w:ascii="宋体" w:hAnsi="宋体" w:eastAsia="宋体" w:cs="宋体"/>
                <w:sz w:val="18"/>
                <w:szCs w:val="18"/>
              </w:rPr>
              <w:t>9,397,299.91</w:t>
            </w:r>
          </w:p>
        </w:tc>
        <w:tc>
          <w:tcPr>
            <w:tcW w:w="1928" w:type="dxa"/>
            <w:tcBorders>
              <w:top w:val="single" w:color="auto" w:sz="2" w:space="0"/>
              <w:left w:val="single" w:color="auto" w:sz="2" w:space="0"/>
              <w:bottom w:val="single" w:color="auto" w:sz="2" w:space="0"/>
              <w:right w:val="single" w:color="auto" w:sz="2" w:space="0"/>
            </w:tcBorders>
            <w:vAlign w:val="center"/>
          </w:tcPr>
          <w:p w14:paraId="47203176">
            <w:pPr>
              <w:spacing w:before="0" w:after="0" w:line="240" w:lineRule="exact"/>
              <w:jc w:val="left"/>
              <w:rPr>
                <w:rFonts w:ascii="宋体" w:hAnsi="宋体" w:eastAsia="宋体" w:cs="宋体"/>
                <w:sz w:val="18"/>
                <w:szCs w:val="18"/>
              </w:rPr>
            </w:pPr>
            <w:r>
              <w:rPr>
                <w:rFonts w:ascii="宋体" w:hAnsi="宋体" w:eastAsia="宋体" w:cs="宋体"/>
                <w:sz w:val="18"/>
                <w:szCs w:val="18"/>
              </w:rPr>
              <w:t>技术服务收入， 与公司正常药品自研生产销售业务无关</w:t>
            </w:r>
          </w:p>
        </w:tc>
      </w:tr>
      <w:tr w14:paraId="4C713E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CB09707">
            <w:pPr>
              <w:spacing w:before="40" w:after="40" w:line="240" w:lineRule="exact"/>
              <w:jc w:val="left"/>
              <w:rPr>
                <w:rFonts w:ascii="宋体" w:hAnsi="宋体" w:eastAsia="宋体" w:cs="宋体"/>
                <w:sz w:val="18"/>
                <w:szCs w:val="18"/>
              </w:rPr>
            </w:pPr>
            <w:r>
              <w:rPr>
                <w:rFonts w:ascii="宋体" w:hAnsi="宋体" w:eastAsia="宋体" w:cs="宋体"/>
                <w:sz w:val="18"/>
                <w:szCs w:val="18"/>
              </w:rPr>
              <w:t>二、不具备商业实质的收入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B94C5F2"/>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1B9B251"/>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AEA91C7"/>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652CEF8"/>
        </w:tc>
      </w:tr>
      <w:tr w14:paraId="28AB0D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B9721CC">
            <w:pPr>
              <w:spacing w:before="40" w:after="40" w:line="240" w:lineRule="exact"/>
              <w:jc w:val="left"/>
              <w:rPr>
                <w:rFonts w:ascii="宋体" w:hAnsi="宋体" w:eastAsia="宋体" w:cs="宋体"/>
                <w:sz w:val="18"/>
                <w:szCs w:val="18"/>
              </w:rPr>
            </w:pPr>
            <w:r>
              <w:rPr>
                <w:rFonts w:ascii="宋体" w:hAnsi="宋体" w:eastAsia="宋体" w:cs="宋体"/>
                <w:sz w:val="18"/>
                <w:szCs w:val="18"/>
              </w:rPr>
              <w:t>不具备商业实质的收入小计</w:t>
            </w:r>
          </w:p>
        </w:tc>
        <w:tc>
          <w:tcPr>
            <w:tcW w:w="1928" w:type="dxa"/>
            <w:tcBorders>
              <w:top w:val="single" w:color="auto" w:sz="2" w:space="0"/>
              <w:left w:val="single" w:color="auto" w:sz="2" w:space="0"/>
              <w:bottom w:val="single" w:color="auto" w:sz="2" w:space="0"/>
              <w:right w:val="single" w:color="auto" w:sz="2" w:space="0"/>
            </w:tcBorders>
            <w:vAlign w:val="center"/>
          </w:tcPr>
          <w:p w14:paraId="635BC71C">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c>
          <w:tcPr>
            <w:tcW w:w="1928" w:type="dxa"/>
            <w:tcBorders>
              <w:top w:val="single" w:color="auto" w:sz="2" w:space="0"/>
              <w:left w:val="single" w:color="auto" w:sz="2" w:space="0"/>
              <w:bottom w:val="single" w:color="auto" w:sz="2" w:space="0"/>
              <w:right w:val="single" w:color="auto" w:sz="2" w:space="0"/>
            </w:tcBorders>
            <w:vAlign w:val="center"/>
          </w:tcPr>
          <w:p w14:paraId="1A0F375C">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c>
          <w:tcPr>
            <w:tcW w:w="1928" w:type="dxa"/>
            <w:tcBorders>
              <w:top w:val="single" w:color="auto" w:sz="2" w:space="0"/>
              <w:left w:val="single" w:color="auto" w:sz="2" w:space="0"/>
              <w:bottom w:val="single" w:color="auto" w:sz="2" w:space="0"/>
              <w:right w:val="single" w:color="auto" w:sz="2" w:space="0"/>
            </w:tcBorders>
            <w:vAlign w:val="center"/>
          </w:tcPr>
          <w:p w14:paraId="1C93B5C4">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c>
          <w:tcPr>
            <w:tcW w:w="1928" w:type="dxa"/>
            <w:tcBorders>
              <w:top w:val="single" w:color="auto" w:sz="2" w:space="0"/>
              <w:left w:val="single" w:color="auto" w:sz="2" w:space="0"/>
              <w:bottom w:val="single" w:color="auto" w:sz="2" w:space="0"/>
              <w:right w:val="single" w:color="auto" w:sz="2" w:space="0"/>
            </w:tcBorders>
            <w:vAlign w:val="center"/>
          </w:tcPr>
          <w:p w14:paraId="0CC4E8CF">
            <w:pPr>
              <w:spacing w:before="0" w:after="0" w:line="240" w:lineRule="exact"/>
              <w:jc w:val="left"/>
              <w:rPr>
                <w:rFonts w:ascii="宋体" w:hAnsi="宋体" w:eastAsia="宋体" w:cs="宋体"/>
                <w:sz w:val="18"/>
                <w:szCs w:val="18"/>
              </w:rPr>
            </w:pPr>
            <w:r>
              <w:rPr>
                <w:rFonts w:ascii="宋体" w:hAnsi="宋体" w:eastAsia="宋体" w:cs="宋体"/>
                <w:sz w:val="18"/>
                <w:szCs w:val="18"/>
              </w:rPr>
              <w:t>无</w:t>
            </w:r>
          </w:p>
        </w:tc>
      </w:tr>
      <w:tr w14:paraId="3AECBC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40D6C5F">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营业收入扣除后金额</w:t>
            </w:r>
          </w:p>
        </w:tc>
        <w:tc>
          <w:tcPr>
            <w:tcW w:w="1928" w:type="dxa"/>
            <w:tcBorders>
              <w:top w:val="single" w:color="auto" w:sz="2" w:space="0"/>
              <w:left w:val="single" w:color="auto" w:sz="2" w:space="0"/>
              <w:bottom w:val="single" w:color="auto" w:sz="2" w:space="0"/>
              <w:right w:val="single" w:color="auto" w:sz="2" w:space="0"/>
            </w:tcBorders>
            <w:vAlign w:val="center"/>
          </w:tcPr>
          <w:p w14:paraId="2E841D46">
            <w:pPr>
              <w:spacing w:before="0" w:after="0" w:line="240" w:lineRule="exact"/>
              <w:jc w:val="right"/>
              <w:rPr>
                <w:rFonts w:ascii="宋体" w:hAnsi="宋体" w:eastAsia="宋体" w:cs="宋体"/>
                <w:sz w:val="18"/>
                <w:szCs w:val="18"/>
              </w:rPr>
            </w:pPr>
            <w:r>
              <w:rPr>
                <w:rFonts w:ascii="宋体" w:hAnsi="宋体" w:eastAsia="宋体" w:cs="宋体"/>
                <w:sz w:val="18"/>
                <w:szCs w:val="18"/>
              </w:rPr>
              <w:t>437,479,836.06</w:t>
            </w:r>
          </w:p>
        </w:tc>
        <w:tc>
          <w:tcPr>
            <w:tcW w:w="1928" w:type="dxa"/>
            <w:tcBorders>
              <w:top w:val="single" w:color="auto" w:sz="2" w:space="0"/>
              <w:left w:val="single" w:color="auto" w:sz="2" w:space="0"/>
              <w:bottom w:val="single" w:color="auto" w:sz="2" w:space="0"/>
              <w:right w:val="single" w:color="auto" w:sz="2" w:space="0"/>
            </w:tcBorders>
            <w:vAlign w:val="center"/>
          </w:tcPr>
          <w:p w14:paraId="1516DE65">
            <w:pPr>
              <w:spacing w:before="0" w:after="0" w:line="240" w:lineRule="exact"/>
              <w:jc w:val="left"/>
              <w:rPr>
                <w:rFonts w:ascii="宋体" w:hAnsi="宋体" w:eastAsia="宋体" w:cs="宋体"/>
                <w:sz w:val="18"/>
                <w:szCs w:val="18"/>
              </w:rPr>
            </w:pPr>
            <w:r>
              <w:rPr>
                <w:rFonts w:ascii="宋体" w:hAnsi="宋体" w:eastAsia="宋体" w:cs="宋体"/>
                <w:sz w:val="18"/>
                <w:szCs w:val="18"/>
              </w:rPr>
              <w:t>营业收入</w:t>
            </w:r>
          </w:p>
        </w:tc>
        <w:tc>
          <w:tcPr>
            <w:tcW w:w="1928" w:type="dxa"/>
            <w:tcBorders>
              <w:top w:val="single" w:color="auto" w:sz="2" w:space="0"/>
              <w:left w:val="single" w:color="auto" w:sz="2" w:space="0"/>
              <w:bottom w:val="single" w:color="auto" w:sz="2" w:space="0"/>
              <w:right w:val="single" w:color="auto" w:sz="2" w:space="0"/>
            </w:tcBorders>
            <w:vAlign w:val="center"/>
          </w:tcPr>
          <w:p w14:paraId="11D619C7">
            <w:pPr>
              <w:spacing w:before="0" w:after="0" w:line="240" w:lineRule="exact"/>
              <w:jc w:val="right"/>
              <w:rPr>
                <w:rFonts w:ascii="宋体" w:hAnsi="宋体" w:eastAsia="宋体" w:cs="宋体"/>
                <w:sz w:val="18"/>
                <w:szCs w:val="18"/>
              </w:rPr>
            </w:pPr>
            <w:r>
              <w:rPr>
                <w:rFonts w:ascii="宋体" w:hAnsi="宋体" w:eastAsia="宋体" w:cs="宋体"/>
                <w:sz w:val="18"/>
                <w:szCs w:val="18"/>
              </w:rPr>
              <w:t>413,317,589.19</w:t>
            </w:r>
          </w:p>
        </w:tc>
        <w:tc>
          <w:tcPr>
            <w:tcW w:w="1928" w:type="dxa"/>
            <w:tcBorders>
              <w:top w:val="single" w:color="auto" w:sz="2" w:space="0"/>
              <w:left w:val="single" w:color="auto" w:sz="2" w:space="0"/>
              <w:bottom w:val="single" w:color="auto" w:sz="2" w:space="0"/>
              <w:right w:val="single" w:color="auto" w:sz="2" w:space="0"/>
            </w:tcBorders>
            <w:vAlign w:val="center"/>
          </w:tcPr>
          <w:p w14:paraId="12FFF094">
            <w:pPr>
              <w:spacing w:before="0" w:after="0" w:line="240" w:lineRule="exact"/>
              <w:jc w:val="left"/>
              <w:rPr>
                <w:rFonts w:ascii="宋体" w:hAnsi="宋体" w:eastAsia="宋体" w:cs="宋体"/>
                <w:sz w:val="18"/>
                <w:szCs w:val="18"/>
              </w:rPr>
            </w:pPr>
            <w:r>
              <w:rPr>
                <w:rFonts w:ascii="宋体" w:hAnsi="宋体" w:eastAsia="宋体" w:cs="宋体"/>
                <w:sz w:val="18"/>
                <w:szCs w:val="18"/>
              </w:rPr>
              <w:t>营业收入</w:t>
            </w:r>
          </w:p>
        </w:tc>
      </w:tr>
    </w:tbl>
    <w:p w14:paraId="37CA5765">
      <w:pPr>
        <w:spacing w:before="0" w:after="0" w:line="240" w:lineRule="exact"/>
        <w:jc w:val="left"/>
        <w:rPr>
          <w:rFonts w:ascii="宋体" w:hAnsi="宋体" w:eastAsia="宋体" w:cs="宋体"/>
          <w:sz w:val="18"/>
          <w:szCs w:val="18"/>
        </w:rPr>
      </w:pPr>
      <w:r>
        <w:rPr>
          <w:rFonts w:ascii="宋体" w:hAnsi="宋体" w:eastAsia="宋体" w:cs="宋体"/>
          <w:sz w:val="18"/>
          <w:szCs w:val="18"/>
        </w:rPr>
        <w:t>营业收入、营业成本的分解信息：</w:t>
      </w:r>
    </w:p>
    <w:p w14:paraId="5609FA5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17449F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B20497C">
            <w:pPr>
              <w:spacing w:before="40" w:after="40" w:line="240" w:lineRule="exact"/>
              <w:jc w:val="center"/>
              <w:rPr>
                <w:rFonts w:ascii="宋体" w:hAnsi="宋体" w:eastAsia="宋体" w:cs="宋体"/>
                <w:sz w:val="18"/>
                <w:szCs w:val="18"/>
              </w:rPr>
            </w:pPr>
            <w:r>
              <w:rPr>
                <w:rFonts w:ascii="宋体" w:hAnsi="宋体" w:eastAsia="宋体" w:cs="宋体"/>
                <w:sz w:val="18"/>
                <w:szCs w:val="18"/>
              </w:rPr>
              <w:t>合同分类</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7AE24C6">
            <w:pPr>
              <w:spacing w:before="40" w:after="40" w:line="240" w:lineRule="exact"/>
              <w:jc w:val="center"/>
              <w:rPr>
                <w:rFonts w:ascii="宋体" w:hAnsi="宋体" w:eastAsia="宋体" w:cs="宋体"/>
                <w:sz w:val="18"/>
                <w:szCs w:val="18"/>
              </w:rPr>
            </w:pPr>
            <w:r>
              <w:rPr>
                <w:rFonts w:ascii="宋体" w:hAnsi="宋体" w:eastAsia="宋体" w:cs="宋体"/>
                <w:sz w:val="18"/>
                <w:szCs w:val="18"/>
              </w:rPr>
              <w:t>分部1</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3B39EB8B">
            <w:pPr>
              <w:spacing w:before="40" w:after="40" w:line="240" w:lineRule="exact"/>
              <w:jc w:val="center"/>
              <w:rPr>
                <w:rFonts w:ascii="宋体" w:hAnsi="宋体" w:eastAsia="宋体" w:cs="宋体"/>
                <w:sz w:val="18"/>
                <w:szCs w:val="18"/>
              </w:rPr>
            </w:pPr>
            <w:r>
              <w:rPr>
                <w:rFonts w:ascii="宋体" w:hAnsi="宋体" w:eastAsia="宋体" w:cs="宋体"/>
                <w:sz w:val="18"/>
                <w:szCs w:val="18"/>
              </w:rPr>
              <w:t>分部2</w:t>
            </w:r>
          </w:p>
        </w:tc>
        <w:tc>
          <w:tcPr>
            <w:tcW w:w="2142" w:type="dxa"/>
            <w:gridSpan w:val="2"/>
            <w:tcBorders>
              <w:top w:val="single" w:color="auto" w:sz="2" w:space="0"/>
              <w:left w:val="single" w:color="auto" w:sz="2" w:space="0"/>
              <w:bottom w:val="single" w:color="auto" w:sz="2" w:space="0"/>
              <w:right w:val="single" w:color="auto" w:sz="2" w:space="0"/>
            </w:tcBorders>
            <w:vAlign w:val="center"/>
          </w:tcPr>
          <w:p w14:paraId="6A480EA9">
            <w:pPr>
              <w:spacing w:before="0" w:after="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BCBA09F">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0D2BB8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2D4D527"/>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74E5AD9">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9856E62">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1574CC1">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096519F">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E0CC251">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7621F22">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27F67EF">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E7D74E8">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w:t>
            </w:r>
          </w:p>
        </w:tc>
      </w:tr>
      <w:tr w14:paraId="2462F0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64AC203">
            <w:pPr>
              <w:spacing w:before="40" w:after="40" w:line="240" w:lineRule="exact"/>
              <w:jc w:val="left"/>
              <w:rPr>
                <w:rFonts w:ascii="宋体" w:hAnsi="宋体" w:eastAsia="宋体" w:cs="宋体"/>
                <w:sz w:val="18"/>
                <w:szCs w:val="18"/>
              </w:rPr>
            </w:pPr>
            <w:r>
              <w:rPr>
                <w:rFonts w:ascii="宋体" w:hAnsi="宋体" w:eastAsia="宋体" w:cs="宋体"/>
                <w:sz w:val="18"/>
                <w:szCs w:val="18"/>
              </w:rPr>
              <w:t>业务类型</w:t>
            </w:r>
          </w:p>
        </w:tc>
        <w:tc>
          <w:tcPr>
            <w:tcW w:w="1071" w:type="dxa"/>
            <w:tcBorders>
              <w:top w:val="single" w:color="auto" w:sz="2" w:space="0"/>
              <w:left w:val="single" w:color="auto" w:sz="2" w:space="0"/>
              <w:bottom w:val="single" w:color="auto" w:sz="2" w:space="0"/>
              <w:right w:val="single" w:color="auto" w:sz="2" w:space="0"/>
            </w:tcBorders>
            <w:vAlign w:val="center"/>
          </w:tcPr>
          <w:p w14:paraId="2BE2754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8F34A5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19EC4E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53F485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D38EA4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FCEB2D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F16F8A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DAF2B9D">
            <w:pPr>
              <w:spacing w:before="0" w:after="0" w:line="240" w:lineRule="exact"/>
              <w:jc w:val="right"/>
              <w:rPr>
                <w:rFonts w:ascii="宋体" w:hAnsi="宋体" w:eastAsia="宋体" w:cs="宋体"/>
                <w:sz w:val="18"/>
                <w:szCs w:val="18"/>
              </w:rPr>
            </w:pPr>
          </w:p>
        </w:tc>
      </w:tr>
      <w:tr w14:paraId="044AA6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30D59B9">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65AF421"/>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FAB069D"/>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DFD06A3"/>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6BE59EB"/>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D662D14"/>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1FB4663"/>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27B0C4A"/>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24E4FED"/>
        </w:tc>
      </w:tr>
      <w:tr w14:paraId="1490E6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1DBA316D">
            <w:pPr>
              <w:spacing w:before="0" w:after="0" w:line="240" w:lineRule="exact"/>
              <w:jc w:val="left"/>
              <w:rPr>
                <w:rFonts w:ascii="宋体" w:hAnsi="宋体" w:eastAsia="宋体" w:cs="宋体"/>
                <w:sz w:val="18"/>
                <w:szCs w:val="18"/>
              </w:rPr>
            </w:pPr>
            <w:r>
              <w:rPr>
                <w:rFonts w:ascii="宋体" w:hAnsi="宋体" w:eastAsia="宋体" w:cs="宋体"/>
                <w:sz w:val="18"/>
                <w:szCs w:val="18"/>
              </w:rPr>
              <w:t>医药制造</w:t>
            </w:r>
          </w:p>
        </w:tc>
        <w:tc>
          <w:tcPr>
            <w:tcW w:w="1071" w:type="dxa"/>
            <w:tcBorders>
              <w:top w:val="single" w:color="auto" w:sz="2" w:space="0"/>
              <w:left w:val="single" w:color="auto" w:sz="2" w:space="0"/>
              <w:bottom w:val="single" w:color="auto" w:sz="2" w:space="0"/>
              <w:right w:val="single" w:color="auto" w:sz="2" w:space="0"/>
            </w:tcBorders>
            <w:vAlign w:val="center"/>
          </w:tcPr>
          <w:p w14:paraId="19C3E63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C35A02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86E1F8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1B603B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3B3FB8C">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437,081,749.35</w:t>
            </w:r>
          </w:p>
        </w:tc>
        <w:tc>
          <w:tcPr>
            <w:tcW w:w="1071" w:type="dxa"/>
            <w:tcBorders>
              <w:top w:val="single" w:color="auto" w:sz="2" w:space="0"/>
              <w:left w:val="single" w:color="auto" w:sz="2" w:space="0"/>
              <w:bottom w:val="single" w:color="auto" w:sz="2" w:space="0"/>
              <w:right w:val="single" w:color="auto" w:sz="2" w:space="0"/>
            </w:tcBorders>
            <w:vAlign w:val="center"/>
          </w:tcPr>
          <w:p w14:paraId="0F9C0602">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163,552,883.31</w:t>
            </w:r>
          </w:p>
        </w:tc>
        <w:tc>
          <w:tcPr>
            <w:tcW w:w="1071" w:type="dxa"/>
            <w:tcBorders>
              <w:top w:val="single" w:color="auto" w:sz="2" w:space="0"/>
              <w:left w:val="single" w:color="auto" w:sz="2" w:space="0"/>
              <w:bottom w:val="single" w:color="auto" w:sz="2" w:space="0"/>
              <w:right w:val="single" w:color="auto" w:sz="2" w:space="0"/>
            </w:tcBorders>
            <w:vAlign w:val="center"/>
          </w:tcPr>
          <w:p w14:paraId="52AE7B52">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437,081,749.35</w:t>
            </w:r>
          </w:p>
        </w:tc>
        <w:tc>
          <w:tcPr>
            <w:tcW w:w="1071" w:type="dxa"/>
            <w:tcBorders>
              <w:top w:val="single" w:color="auto" w:sz="2" w:space="0"/>
              <w:left w:val="single" w:color="auto" w:sz="2" w:space="0"/>
              <w:bottom w:val="single" w:color="auto" w:sz="2" w:space="0"/>
              <w:right w:val="single" w:color="auto" w:sz="2" w:space="0"/>
            </w:tcBorders>
            <w:vAlign w:val="center"/>
          </w:tcPr>
          <w:p w14:paraId="397B5FD6">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163,552,883.31</w:t>
            </w:r>
          </w:p>
        </w:tc>
      </w:tr>
      <w:tr w14:paraId="02E7A5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47C9FCEB">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1071" w:type="dxa"/>
            <w:tcBorders>
              <w:top w:val="single" w:color="auto" w:sz="2" w:space="0"/>
              <w:left w:val="single" w:color="auto" w:sz="2" w:space="0"/>
              <w:bottom w:val="single" w:color="auto" w:sz="2" w:space="0"/>
              <w:right w:val="single" w:color="auto" w:sz="2" w:space="0"/>
            </w:tcBorders>
            <w:vAlign w:val="center"/>
          </w:tcPr>
          <w:p w14:paraId="06F1FC5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00D1C0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47A940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A5B587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FDE3D1F">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398,086.71</w:t>
            </w:r>
          </w:p>
        </w:tc>
        <w:tc>
          <w:tcPr>
            <w:tcW w:w="1071" w:type="dxa"/>
            <w:tcBorders>
              <w:top w:val="single" w:color="auto" w:sz="2" w:space="0"/>
              <w:left w:val="single" w:color="auto" w:sz="2" w:space="0"/>
              <w:bottom w:val="single" w:color="auto" w:sz="2" w:space="0"/>
              <w:right w:val="single" w:color="auto" w:sz="2" w:space="0"/>
            </w:tcBorders>
            <w:vAlign w:val="center"/>
          </w:tcPr>
          <w:p w14:paraId="16E57234">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1,137,084.</w:t>
            </w:r>
            <w:r>
              <w:rPr>
                <w:rFonts w:hint="eastAsia" w:ascii="宋体" w:hAnsi="宋体" w:cs="宋体"/>
                <w:i w:val="0"/>
                <w:iCs w:val="0"/>
                <w:color w:val="000000"/>
                <w:kern w:val="0"/>
                <w:sz w:val="18"/>
                <w:szCs w:val="18"/>
                <w:u w:val="none"/>
                <w:lang w:val="en-US" w:eastAsia="zh-CN" w:bidi="ar"/>
              </w:rPr>
              <w:t>59</w:t>
            </w:r>
          </w:p>
        </w:tc>
        <w:tc>
          <w:tcPr>
            <w:tcW w:w="1071" w:type="dxa"/>
            <w:tcBorders>
              <w:top w:val="single" w:color="auto" w:sz="2" w:space="0"/>
              <w:left w:val="single" w:color="auto" w:sz="2" w:space="0"/>
              <w:bottom w:val="single" w:color="auto" w:sz="2" w:space="0"/>
              <w:right w:val="single" w:color="auto" w:sz="2" w:space="0"/>
            </w:tcBorders>
            <w:vAlign w:val="center"/>
          </w:tcPr>
          <w:p w14:paraId="6D3BAC58">
            <w:pPr>
              <w:keepNext w:val="0"/>
              <w:keepLines w:val="0"/>
              <w:widowControl/>
              <w:suppressLineNumbers w:val="0"/>
              <w:jc w:val="righ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398,086.71</w:t>
            </w:r>
          </w:p>
        </w:tc>
        <w:tc>
          <w:tcPr>
            <w:tcW w:w="1071" w:type="dxa"/>
            <w:tcBorders>
              <w:top w:val="single" w:color="auto" w:sz="2" w:space="0"/>
              <w:left w:val="single" w:color="auto" w:sz="2" w:space="0"/>
              <w:bottom w:val="single" w:color="auto" w:sz="2" w:space="0"/>
              <w:right w:val="single" w:color="auto" w:sz="2" w:space="0"/>
            </w:tcBorders>
            <w:vAlign w:val="center"/>
          </w:tcPr>
          <w:p w14:paraId="68CBB28F">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1,137,084.</w:t>
            </w:r>
            <w:r>
              <w:rPr>
                <w:rFonts w:hint="eastAsia" w:ascii="宋体" w:hAnsi="宋体" w:cs="宋体"/>
                <w:i w:val="0"/>
                <w:iCs w:val="0"/>
                <w:color w:val="000000"/>
                <w:kern w:val="0"/>
                <w:sz w:val="18"/>
                <w:szCs w:val="18"/>
                <w:u w:val="none"/>
                <w:lang w:val="en-US" w:eastAsia="zh-CN" w:bidi="ar"/>
              </w:rPr>
              <w:t>59</w:t>
            </w:r>
          </w:p>
        </w:tc>
      </w:tr>
      <w:tr w14:paraId="742243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1E42E9A">
            <w:pPr>
              <w:spacing w:before="40" w:after="40" w:line="240" w:lineRule="exact"/>
              <w:jc w:val="left"/>
              <w:rPr>
                <w:rFonts w:ascii="宋体" w:hAnsi="宋体" w:eastAsia="宋体" w:cs="宋体"/>
                <w:sz w:val="18"/>
                <w:szCs w:val="18"/>
              </w:rPr>
            </w:pPr>
            <w:r>
              <w:rPr>
                <w:rFonts w:ascii="宋体" w:hAnsi="宋体" w:eastAsia="宋体" w:cs="宋体"/>
                <w:sz w:val="18"/>
                <w:szCs w:val="18"/>
              </w:rPr>
              <w:t>按经营地区分类</w:t>
            </w:r>
          </w:p>
        </w:tc>
        <w:tc>
          <w:tcPr>
            <w:tcW w:w="1071" w:type="dxa"/>
            <w:tcBorders>
              <w:top w:val="single" w:color="auto" w:sz="2" w:space="0"/>
              <w:left w:val="single" w:color="auto" w:sz="2" w:space="0"/>
              <w:bottom w:val="single" w:color="auto" w:sz="2" w:space="0"/>
              <w:right w:val="single" w:color="auto" w:sz="2" w:space="0"/>
            </w:tcBorders>
            <w:vAlign w:val="center"/>
          </w:tcPr>
          <w:p w14:paraId="048BB9AC">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8C1477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B67109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776548C">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6E7749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B9BE82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EAB0DB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B156BE2">
            <w:pPr>
              <w:spacing w:before="0" w:after="0" w:line="240" w:lineRule="exact"/>
              <w:jc w:val="right"/>
              <w:rPr>
                <w:rFonts w:ascii="宋体" w:hAnsi="宋体" w:eastAsia="宋体" w:cs="宋体"/>
                <w:sz w:val="18"/>
                <w:szCs w:val="18"/>
              </w:rPr>
            </w:pPr>
          </w:p>
        </w:tc>
      </w:tr>
      <w:tr w14:paraId="4E6949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5AFE5DD">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A81649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3A7F4E5"/>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5880122"/>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48DD9B9"/>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16E324F"/>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9E50216"/>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6DC5B5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F52BA4F"/>
        </w:tc>
      </w:tr>
      <w:tr w14:paraId="19E88A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45879288">
            <w:pPr>
              <w:spacing w:before="0" w:after="0" w:line="240" w:lineRule="exact"/>
              <w:jc w:val="left"/>
              <w:rPr>
                <w:rFonts w:ascii="宋体" w:hAnsi="宋体" w:eastAsia="宋体" w:cs="宋体"/>
                <w:sz w:val="18"/>
                <w:szCs w:val="18"/>
              </w:rPr>
            </w:pPr>
            <w:r>
              <w:rPr>
                <w:rFonts w:ascii="宋体" w:hAnsi="宋体" w:eastAsia="宋体" w:cs="宋体"/>
                <w:sz w:val="18"/>
                <w:szCs w:val="18"/>
              </w:rPr>
              <w:t>国内</w:t>
            </w:r>
          </w:p>
        </w:tc>
        <w:tc>
          <w:tcPr>
            <w:tcW w:w="1071" w:type="dxa"/>
            <w:tcBorders>
              <w:top w:val="single" w:color="auto" w:sz="2" w:space="0"/>
              <w:left w:val="single" w:color="auto" w:sz="2" w:space="0"/>
              <w:bottom w:val="single" w:color="auto" w:sz="2" w:space="0"/>
              <w:right w:val="single" w:color="auto" w:sz="2" w:space="0"/>
            </w:tcBorders>
            <w:vAlign w:val="center"/>
          </w:tcPr>
          <w:p w14:paraId="09BCDA2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0829AF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002A8A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770871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56E0748">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437,479,836.06</w:t>
            </w:r>
          </w:p>
        </w:tc>
        <w:tc>
          <w:tcPr>
            <w:tcW w:w="1071" w:type="dxa"/>
            <w:tcBorders>
              <w:top w:val="single" w:color="auto" w:sz="2" w:space="0"/>
              <w:left w:val="single" w:color="auto" w:sz="2" w:space="0"/>
              <w:bottom w:val="single" w:color="auto" w:sz="2" w:space="0"/>
              <w:right w:val="single" w:color="auto" w:sz="2" w:space="0"/>
            </w:tcBorders>
            <w:vAlign w:val="center"/>
          </w:tcPr>
          <w:p w14:paraId="76DC5B99">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164,689,967.9</w:t>
            </w:r>
            <w:r>
              <w:rPr>
                <w:rFonts w:hint="eastAsia" w:ascii="宋体" w:hAnsi="宋体" w:cs="宋体"/>
                <w:i w:val="0"/>
                <w:iCs w:val="0"/>
                <w:color w:val="000000"/>
                <w:kern w:val="0"/>
                <w:sz w:val="18"/>
                <w:szCs w:val="18"/>
                <w:u w:val="none"/>
                <w:lang w:val="en-US" w:eastAsia="zh-CN" w:bidi="ar"/>
              </w:rPr>
              <w:t>0</w:t>
            </w:r>
          </w:p>
        </w:tc>
        <w:tc>
          <w:tcPr>
            <w:tcW w:w="1071" w:type="dxa"/>
            <w:tcBorders>
              <w:top w:val="single" w:color="auto" w:sz="2" w:space="0"/>
              <w:left w:val="single" w:color="auto" w:sz="2" w:space="0"/>
              <w:bottom w:val="single" w:color="auto" w:sz="2" w:space="0"/>
              <w:right w:val="single" w:color="auto" w:sz="2" w:space="0"/>
            </w:tcBorders>
            <w:vAlign w:val="center"/>
          </w:tcPr>
          <w:p w14:paraId="07D7DDF0">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437,479,836.06</w:t>
            </w:r>
          </w:p>
        </w:tc>
        <w:tc>
          <w:tcPr>
            <w:tcW w:w="1071" w:type="dxa"/>
            <w:tcBorders>
              <w:top w:val="single" w:color="auto" w:sz="2" w:space="0"/>
              <w:left w:val="single" w:color="auto" w:sz="2" w:space="0"/>
              <w:bottom w:val="single" w:color="auto" w:sz="2" w:space="0"/>
              <w:right w:val="single" w:color="auto" w:sz="2" w:space="0"/>
            </w:tcBorders>
            <w:vAlign w:val="center"/>
          </w:tcPr>
          <w:p w14:paraId="5222077A">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164,689,967.9</w:t>
            </w:r>
            <w:r>
              <w:rPr>
                <w:rFonts w:hint="eastAsia" w:ascii="宋体" w:hAnsi="宋体" w:cs="宋体"/>
                <w:i w:val="0"/>
                <w:iCs w:val="0"/>
                <w:color w:val="000000"/>
                <w:kern w:val="0"/>
                <w:sz w:val="18"/>
                <w:szCs w:val="18"/>
                <w:u w:val="none"/>
                <w:lang w:val="en-US" w:eastAsia="zh-CN" w:bidi="ar"/>
              </w:rPr>
              <w:t>0</w:t>
            </w:r>
          </w:p>
        </w:tc>
      </w:tr>
      <w:tr w14:paraId="68FCC8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68BAFD6">
            <w:pPr>
              <w:spacing w:before="40" w:after="40" w:line="240" w:lineRule="exact"/>
              <w:jc w:val="left"/>
              <w:rPr>
                <w:rFonts w:ascii="宋体" w:hAnsi="宋体" w:eastAsia="宋体" w:cs="宋体"/>
                <w:sz w:val="18"/>
                <w:szCs w:val="18"/>
              </w:rPr>
            </w:pPr>
            <w:r>
              <w:rPr>
                <w:rFonts w:ascii="宋体" w:hAnsi="宋体" w:eastAsia="宋体" w:cs="宋体"/>
                <w:sz w:val="18"/>
                <w:szCs w:val="18"/>
              </w:rPr>
              <w:t>市场或客户类型</w:t>
            </w:r>
          </w:p>
        </w:tc>
        <w:tc>
          <w:tcPr>
            <w:tcW w:w="1071" w:type="dxa"/>
            <w:tcBorders>
              <w:top w:val="single" w:color="auto" w:sz="2" w:space="0"/>
              <w:left w:val="single" w:color="auto" w:sz="2" w:space="0"/>
              <w:bottom w:val="single" w:color="auto" w:sz="2" w:space="0"/>
              <w:right w:val="single" w:color="auto" w:sz="2" w:space="0"/>
            </w:tcBorders>
            <w:vAlign w:val="center"/>
          </w:tcPr>
          <w:p w14:paraId="235C250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0D4FC5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622B67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C83540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07D242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B0B055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67C1A0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3333B2F">
            <w:pPr>
              <w:spacing w:before="0" w:after="0" w:line="240" w:lineRule="exact"/>
              <w:jc w:val="right"/>
              <w:rPr>
                <w:rFonts w:ascii="宋体" w:hAnsi="宋体" w:eastAsia="宋体" w:cs="宋体"/>
                <w:sz w:val="18"/>
                <w:szCs w:val="18"/>
              </w:rPr>
            </w:pPr>
          </w:p>
        </w:tc>
      </w:tr>
      <w:tr w14:paraId="479718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A174E8A">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D45EB09"/>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4435A37"/>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6E37AD0"/>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2057F12"/>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44EF9B5"/>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7027BBE"/>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68C4F06"/>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0DAC483"/>
        </w:tc>
      </w:tr>
      <w:tr w14:paraId="697DA0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5A973998">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5712A2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6AE407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CC5BE9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AD1852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BB1256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ECC2BB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EB3C90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4CD7E1B">
            <w:pPr>
              <w:spacing w:before="0" w:after="0" w:line="240" w:lineRule="exact"/>
              <w:jc w:val="right"/>
              <w:rPr>
                <w:rFonts w:ascii="宋体" w:hAnsi="宋体" w:eastAsia="宋体" w:cs="宋体"/>
                <w:sz w:val="18"/>
                <w:szCs w:val="18"/>
              </w:rPr>
            </w:pPr>
          </w:p>
        </w:tc>
      </w:tr>
      <w:tr w14:paraId="01EC1E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747C100">
            <w:pPr>
              <w:spacing w:before="40" w:after="40" w:line="240" w:lineRule="exact"/>
              <w:jc w:val="left"/>
              <w:rPr>
                <w:rFonts w:ascii="宋体" w:hAnsi="宋体" w:eastAsia="宋体" w:cs="宋体"/>
                <w:sz w:val="18"/>
                <w:szCs w:val="18"/>
              </w:rPr>
            </w:pPr>
            <w:r>
              <w:rPr>
                <w:rFonts w:ascii="宋体" w:hAnsi="宋体" w:eastAsia="宋体" w:cs="宋体"/>
                <w:sz w:val="18"/>
                <w:szCs w:val="18"/>
              </w:rPr>
              <w:t>合同类型</w:t>
            </w:r>
          </w:p>
        </w:tc>
        <w:tc>
          <w:tcPr>
            <w:tcW w:w="1071" w:type="dxa"/>
            <w:tcBorders>
              <w:top w:val="single" w:color="auto" w:sz="2" w:space="0"/>
              <w:left w:val="single" w:color="auto" w:sz="2" w:space="0"/>
              <w:bottom w:val="single" w:color="auto" w:sz="2" w:space="0"/>
              <w:right w:val="single" w:color="auto" w:sz="2" w:space="0"/>
            </w:tcBorders>
            <w:vAlign w:val="center"/>
          </w:tcPr>
          <w:p w14:paraId="45C3DC4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AB7530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FF71FF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E0A0A0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9F0F7F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1D2E9D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44315C3">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225F753">
            <w:pPr>
              <w:spacing w:before="0" w:after="0" w:line="240" w:lineRule="exact"/>
              <w:jc w:val="right"/>
              <w:rPr>
                <w:rFonts w:ascii="宋体" w:hAnsi="宋体" w:eastAsia="宋体" w:cs="宋体"/>
                <w:sz w:val="18"/>
                <w:szCs w:val="18"/>
              </w:rPr>
            </w:pPr>
          </w:p>
        </w:tc>
      </w:tr>
      <w:tr w14:paraId="5BBB66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4420515">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5B038F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3AC6266"/>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7203C9A"/>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5FD1DC7"/>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EB48688"/>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6C49558"/>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CF40AE3"/>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41EA332"/>
        </w:tc>
      </w:tr>
      <w:tr w14:paraId="44596A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0E46A681">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211B8F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ECF181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D034EA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93B1CB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5CE830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E03556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E3DF85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C205FA2">
            <w:pPr>
              <w:spacing w:before="0" w:after="0" w:line="240" w:lineRule="exact"/>
              <w:jc w:val="right"/>
              <w:rPr>
                <w:rFonts w:ascii="宋体" w:hAnsi="宋体" w:eastAsia="宋体" w:cs="宋体"/>
                <w:sz w:val="18"/>
                <w:szCs w:val="18"/>
              </w:rPr>
            </w:pPr>
          </w:p>
        </w:tc>
      </w:tr>
      <w:tr w14:paraId="4CCCD7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2B8AF6A">
            <w:pPr>
              <w:spacing w:before="40" w:after="40" w:line="240" w:lineRule="exact"/>
              <w:jc w:val="left"/>
              <w:rPr>
                <w:rFonts w:ascii="宋体" w:hAnsi="宋体" w:eastAsia="宋体" w:cs="宋体"/>
                <w:sz w:val="18"/>
                <w:szCs w:val="18"/>
              </w:rPr>
            </w:pPr>
            <w:r>
              <w:rPr>
                <w:rFonts w:ascii="宋体" w:hAnsi="宋体" w:eastAsia="宋体" w:cs="宋体"/>
                <w:sz w:val="18"/>
                <w:szCs w:val="18"/>
              </w:rPr>
              <w:t>按商品转让的时间分类</w:t>
            </w:r>
          </w:p>
        </w:tc>
        <w:tc>
          <w:tcPr>
            <w:tcW w:w="1071" w:type="dxa"/>
            <w:tcBorders>
              <w:top w:val="single" w:color="auto" w:sz="2" w:space="0"/>
              <w:left w:val="single" w:color="auto" w:sz="2" w:space="0"/>
              <w:bottom w:val="single" w:color="auto" w:sz="2" w:space="0"/>
              <w:right w:val="single" w:color="auto" w:sz="2" w:space="0"/>
            </w:tcBorders>
            <w:vAlign w:val="center"/>
          </w:tcPr>
          <w:p w14:paraId="16E55113">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B8C0CB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2AF6B3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29EBD9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034B2E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A9C491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870D8C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D48C0A3">
            <w:pPr>
              <w:spacing w:before="0" w:after="0" w:line="240" w:lineRule="exact"/>
              <w:jc w:val="right"/>
              <w:rPr>
                <w:rFonts w:ascii="宋体" w:hAnsi="宋体" w:eastAsia="宋体" w:cs="宋体"/>
                <w:sz w:val="18"/>
                <w:szCs w:val="18"/>
              </w:rPr>
            </w:pPr>
          </w:p>
        </w:tc>
      </w:tr>
      <w:tr w14:paraId="27DCD5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33E515A">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BC0EA7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3C645FB"/>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AB4DDE5"/>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997DD89"/>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8986CFB"/>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D477F69"/>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380F4B4"/>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127E4FF"/>
        </w:tc>
      </w:tr>
      <w:tr w14:paraId="271FD6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148210A0">
            <w:pPr>
              <w:spacing w:before="0" w:after="0" w:line="240" w:lineRule="exact"/>
              <w:jc w:val="left"/>
              <w:rPr>
                <w:rFonts w:ascii="宋体" w:hAnsi="宋体" w:eastAsia="宋体" w:cs="宋体"/>
                <w:sz w:val="18"/>
                <w:szCs w:val="18"/>
              </w:rPr>
            </w:pPr>
            <w:r>
              <w:rPr>
                <w:rFonts w:ascii="宋体" w:hAnsi="宋体" w:eastAsia="宋体" w:cs="宋体"/>
                <w:sz w:val="18"/>
                <w:szCs w:val="18"/>
              </w:rPr>
              <w:t>在某一时点转让</w:t>
            </w:r>
          </w:p>
        </w:tc>
        <w:tc>
          <w:tcPr>
            <w:tcW w:w="1071" w:type="dxa"/>
            <w:tcBorders>
              <w:top w:val="single" w:color="auto" w:sz="2" w:space="0"/>
              <w:left w:val="single" w:color="auto" w:sz="2" w:space="0"/>
              <w:bottom w:val="single" w:color="auto" w:sz="2" w:space="0"/>
              <w:right w:val="single" w:color="auto" w:sz="2" w:space="0"/>
            </w:tcBorders>
            <w:vAlign w:val="center"/>
          </w:tcPr>
          <w:p w14:paraId="21867B2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C5F565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3256A0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A63F33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16D32DF">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437,479,836.06</w:t>
            </w:r>
          </w:p>
        </w:tc>
        <w:tc>
          <w:tcPr>
            <w:tcW w:w="1071" w:type="dxa"/>
            <w:tcBorders>
              <w:top w:val="single" w:color="auto" w:sz="2" w:space="0"/>
              <w:left w:val="single" w:color="auto" w:sz="2" w:space="0"/>
              <w:bottom w:val="single" w:color="auto" w:sz="2" w:space="0"/>
              <w:right w:val="single" w:color="auto" w:sz="2" w:space="0"/>
            </w:tcBorders>
            <w:vAlign w:val="center"/>
          </w:tcPr>
          <w:p w14:paraId="24EF1C1F">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164,689,967.9</w:t>
            </w:r>
            <w:r>
              <w:rPr>
                <w:rFonts w:hint="eastAsia" w:ascii="宋体" w:hAnsi="宋体" w:cs="宋体"/>
                <w:i w:val="0"/>
                <w:iCs w:val="0"/>
                <w:color w:val="000000"/>
                <w:kern w:val="0"/>
                <w:sz w:val="18"/>
                <w:szCs w:val="18"/>
                <w:u w:val="none"/>
                <w:lang w:val="en-US" w:eastAsia="zh-CN" w:bidi="ar"/>
              </w:rPr>
              <w:t>0</w:t>
            </w:r>
          </w:p>
        </w:tc>
        <w:tc>
          <w:tcPr>
            <w:tcW w:w="1071" w:type="dxa"/>
            <w:tcBorders>
              <w:top w:val="single" w:color="auto" w:sz="2" w:space="0"/>
              <w:left w:val="single" w:color="auto" w:sz="2" w:space="0"/>
              <w:bottom w:val="single" w:color="auto" w:sz="2" w:space="0"/>
              <w:right w:val="single" w:color="auto" w:sz="2" w:space="0"/>
            </w:tcBorders>
            <w:vAlign w:val="center"/>
          </w:tcPr>
          <w:p w14:paraId="7B488D35">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437,479,836.06</w:t>
            </w:r>
          </w:p>
        </w:tc>
        <w:tc>
          <w:tcPr>
            <w:tcW w:w="1071" w:type="dxa"/>
            <w:tcBorders>
              <w:top w:val="single" w:color="auto" w:sz="2" w:space="0"/>
              <w:left w:val="single" w:color="auto" w:sz="2" w:space="0"/>
              <w:bottom w:val="single" w:color="auto" w:sz="2" w:space="0"/>
              <w:right w:val="single" w:color="auto" w:sz="2" w:space="0"/>
            </w:tcBorders>
            <w:vAlign w:val="center"/>
          </w:tcPr>
          <w:p w14:paraId="6345894C">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164,689,967.9</w:t>
            </w:r>
            <w:r>
              <w:rPr>
                <w:rFonts w:hint="eastAsia" w:ascii="宋体" w:hAnsi="宋体" w:cs="宋体"/>
                <w:i w:val="0"/>
                <w:iCs w:val="0"/>
                <w:color w:val="000000"/>
                <w:kern w:val="0"/>
                <w:sz w:val="18"/>
                <w:szCs w:val="18"/>
                <w:u w:val="none"/>
                <w:lang w:val="en-US" w:eastAsia="zh-CN" w:bidi="ar"/>
              </w:rPr>
              <w:t>0</w:t>
            </w:r>
          </w:p>
        </w:tc>
      </w:tr>
      <w:tr w14:paraId="03FB99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89ED309">
            <w:pPr>
              <w:spacing w:before="40" w:after="40" w:line="240" w:lineRule="exact"/>
              <w:jc w:val="left"/>
              <w:rPr>
                <w:rFonts w:ascii="宋体" w:hAnsi="宋体" w:eastAsia="宋体" w:cs="宋体"/>
                <w:sz w:val="18"/>
                <w:szCs w:val="18"/>
              </w:rPr>
            </w:pPr>
            <w:r>
              <w:rPr>
                <w:rFonts w:ascii="宋体" w:hAnsi="宋体" w:eastAsia="宋体" w:cs="宋体"/>
                <w:sz w:val="18"/>
                <w:szCs w:val="18"/>
              </w:rPr>
              <w:t>按合同期限分类</w:t>
            </w:r>
          </w:p>
        </w:tc>
        <w:tc>
          <w:tcPr>
            <w:tcW w:w="1071" w:type="dxa"/>
            <w:tcBorders>
              <w:top w:val="single" w:color="auto" w:sz="2" w:space="0"/>
              <w:left w:val="single" w:color="auto" w:sz="2" w:space="0"/>
              <w:bottom w:val="single" w:color="auto" w:sz="2" w:space="0"/>
              <w:right w:val="single" w:color="auto" w:sz="2" w:space="0"/>
            </w:tcBorders>
            <w:vAlign w:val="center"/>
          </w:tcPr>
          <w:p w14:paraId="1DF8BDF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4309AA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0CD238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97DBC8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D33267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50EF2D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258204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41A118A">
            <w:pPr>
              <w:spacing w:before="0" w:after="0" w:line="240" w:lineRule="exact"/>
              <w:jc w:val="right"/>
              <w:rPr>
                <w:rFonts w:ascii="宋体" w:hAnsi="宋体" w:eastAsia="宋体" w:cs="宋体"/>
                <w:sz w:val="18"/>
                <w:szCs w:val="18"/>
              </w:rPr>
            </w:pPr>
          </w:p>
        </w:tc>
      </w:tr>
      <w:tr w14:paraId="53F43A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6EF1531">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B918DC0"/>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2C4991F"/>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18BA09B"/>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8351318"/>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C367F63"/>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7D1A5B6"/>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DA04157"/>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340CA31"/>
        </w:tc>
      </w:tr>
      <w:tr w14:paraId="43E9A6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35CF0B00">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D2C036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7ADF94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F201B4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AC6259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7DC99D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AB3334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E9516A3">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93A0127">
            <w:pPr>
              <w:spacing w:before="0" w:after="0" w:line="240" w:lineRule="exact"/>
              <w:jc w:val="right"/>
              <w:rPr>
                <w:rFonts w:ascii="宋体" w:hAnsi="宋体" w:eastAsia="宋体" w:cs="宋体"/>
                <w:sz w:val="18"/>
                <w:szCs w:val="18"/>
              </w:rPr>
            </w:pPr>
          </w:p>
        </w:tc>
      </w:tr>
      <w:tr w14:paraId="288428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987F254">
            <w:pPr>
              <w:spacing w:before="40" w:after="40" w:line="240" w:lineRule="exact"/>
              <w:jc w:val="left"/>
              <w:rPr>
                <w:rFonts w:ascii="宋体" w:hAnsi="宋体" w:eastAsia="宋体" w:cs="宋体"/>
                <w:sz w:val="18"/>
                <w:szCs w:val="18"/>
              </w:rPr>
            </w:pPr>
            <w:r>
              <w:rPr>
                <w:rFonts w:ascii="宋体" w:hAnsi="宋体" w:eastAsia="宋体" w:cs="宋体"/>
                <w:sz w:val="18"/>
                <w:szCs w:val="18"/>
              </w:rPr>
              <w:t>按销售渠道分类</w:t>
            </w:r>
          </w:p>
        </w:tc>
        <w:tc>
          <w:tcPr>
            <w:tcW w:w="1071" w:type="dxa"/>
            <w:tcBorders>
              <w:top w:val="single" w:color="auto" w:sz="2" w:space="0"/>
              <w:left w:val="single" w:color="auto" w:sz="2" w:space="0"/>
              <w:bottom w:val="single" w:color="auto" w:sz="2" w:space="0"/>
              <w:right w:val="single" w:color="auto" w:sz="2" w:space="0"/>
            </w:tcBorders>
            <w:vAlign w:val="center"/>
          </w:tcPr>
          <w:p w14:paraId="010BE36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44A88D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4035AB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86E6F5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0FCEA3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5391A8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2978F8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AB8D604">
            <w:pPr>
              <w:spacing w:before="0" w:after="0" w:line="240" w:lineRule="exact"/>
              <w:jc w:val="right"/>
              <w:rPr>
                <w:rFonts w:ascii="宋体" w:hAnsi="宋体" w:eastAsia="宋体" w:cs="宋体"/>
                <w:sz w:val="18"/>
                <w:szCs w:val="18"/>
              </w:rPr>
            </w:pPr>
          </w:p>
        </w:tc>
      </w:tr>
      <w:tr w14:paraId="4B0702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86ABE4E">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6DE70B3"/>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ABDE17D"/>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105E6CA"/>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25B1774"/>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C4BFF5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F19231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AD3348D"/>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DFC3DA3"/>
        </w:tc>
      </w:tr>
      <w:tr w14:paraId="200A08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732FE1D3">
            <w:pPr>
              <w:spacing w:before="0" w:after="0" w:line="240" w:lineRule="exact"/>
              <w:jc w:val="left"/>
              <w:rPr>
                <w:rFonts w:ascii="宋体" w:hAnsi="宋体" w:eastAsia="宋体" w:cs="宋体"/>
                <w:sz w:val="18"/>
                <w:szCs w:val="18"/>
              </w:rPr>
            </w:pPr>
            <w:r>
              <w:rPr>
                <w:rFonts w:ascii="宋体" w:hAnsi="宋体" w:eastAsia="宋体" w:cs="宋体"/>
                <w:sz w:val="18"/>
                <w:szCs w:val="18"/>
              </w:rPr>
              <w:t>直销</w:t>
            </w:r>
          </w:p>
        </w:tc>
        <w:tc>
          <w:tcPr>
            <w:tcW w:w="1071" w:type="dxa"/>
            <w:tcBorders>
              <w:top w:val="single" w:color="auto" w:sz="2" w:space="0"/>
              <w:left w:val="single" w:color="auto" w:sz="2" w:space="0"/>
              <w:bottom w:val="single" w:color="auto" w:sz="2" w:space="0"/>
              <w:right w:val="single" w:color="auto" w:sz="2" w:space="0"/>
            </w:tcBorders>
            <w:vAlign w:val="center"/>
          </w:tcPr>
          <w:p w14:paraId="3A96E17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4E2693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E035BD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4AF2E1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D090D4F">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288,861,159.96</w:t>
            </w:r>
          </w:p>
        </w:tc>
        <w:tc>
          <w:tcPr>
            <w:tcW w:w="1071" w:type="dxa"/>
            <w:tcBorders>
              <w:top w:val="single" w:color="auto" w:sz="2" w:space="0"/>
              <w:left w:val="single" w:color="auto" w:sz="2" w:space="0"/>
              <w:bottom w:val="single" w:color="auto" w:sz="2" w:space="0"/>
              <w:right w:val="single" w:color="auto" w:sz="2" w:space="0"/>
            </w:tcBorders>
            <w:vAlign w:val="center"/>
          </w:tcPr>
          <w:p w14:paraId="49D26826">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61,251,449.98</w:t>
            </w:r>
          </w:p>
        </w:tc>
        <w:tc>
          <w:tcPr>
            <w:tcW w:w="1071" w:type="dxa"/>
            <w:tcBorders>
              <w:top w:val="single" w:color="auto" w:sz="2" w:space="0"/>
              <w:left w:val="single" w:color="auto" w:sz="2" w:space="0"/>
              <w:bottom w:val="single" w:color="auto" w:sz="2" w:space="0"/>
              <w:right w:val="single" w:color="auto" w:sz="2" w:space="0"/>
            </w:tcBorders>
            <w:vAlign w:val="center"/>
          </w:tcPr>
          <w:p w14:paraId="171EB18A">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288,861,159.96</w:t>
            </w:r>
          </w:p>
        </w:tc>
        <w:tc>
          <w:tcPr>
            <w:tcW w:w="1071" w:type="dxa"/>
            <w:tcBorders>
              <w:top w:val="single" w:color="auto" w:sz="2" w:space="0"/>
              <w:left w:val="single" w:color="auto" w:sz="2" w:space="0"/>
              <w:bottom w:val="single" w:color="auto" w:sz="2" w:space="0"/>
              <w:right w:val="single" w:color="auto" w:sz="2" w:space="0"/>
            </w:tcBorders>
            <w:vAlign w:val="center"/>
          </w:tcPr>
          <w:p w14:paraId="2A46C95A">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61,251,449.98</w:t>
            </w:r>
          </w:p>
        </w:tc>
      </w:tr>
      <w:tr w14:paraId="4D1AF3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2292628B">
            <w:pPr>
              <w:spacing w:before="0" w:after="0" w:line="240" w:lineRule="exact"/>
              <w:jc w:val="left"/>
              <w:rPr>
                <w:rFonts w:ascii="宋体" w:hAnsi="宋体" w:eastAsia="宋体" w:cs="宋体"/>
                <w:sz w:val="18"/>
                <w:szCs w:val="18"/>
              </w:rPr>
            </w:pPr>
            <w:r>
              <w:rPr>
                <w:rFonts w:ascii="宋体" w:hAnsi="宋体" w:eastAsia="宋体" w:cs="宋体"/>
                <w:sz w:val="18"/>
                <w:szCs w:val="18"/>
              </w:rPr>
              <w:t>经销</w:t>
            </w:r>
          </w:p>
        </w:tc>
        <w:tc>
          <w:tcPr>
            <w:tcW w:w="1071" w:type="dxa"/>
            <w:tcBorders>
              <w:top w:val="single" w:color="auto" w:sz="2" w:space="0"/>
              <w:left w:val="single" w:color="auto" w:sz="2" w:space="0"/>
              <w:bottom w:val="single" w:color="auto" w:sz="2" w:space="0"/>
              <w:right w:val="single" w:color="auto" w:sz="2" w:space="0"/>
            </w:tcBorders>
            <w:vAlign w:val="center"/>
          </w:tcPr>
          <w:p w14:paraId="46F2290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968727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00FD5F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2536D7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DA3B385">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46,028,220.85</w:t>
            </w:r>
          </w:p>
        </w:tc>
        <w:tc>
          <w:tcPr>
            <w:tcW w:w="1071" w:type="dxa"/>
            <w:tcBorders>
              <w:top w:val="single" w:color="auto" w:sz="2" w:space="0"/>
              <w:left w:val="single" w:color="auto" w:sz="2" w:space="0"/>
              <w:bottom w:val="single" w:color="auto" w:sz="2" w:space="0"/>
              <w:right w:val="single" w:color="auto" w:sz="2" w:space="0"/>
            </w:tcBorders>
            <w:vAlign w:val="center"/>
          </w:tcPr>
          <w:p w14:paraId="362B265A">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37,297,379.11</w:t>
            </w:r>
          </w:p>
        </w:tc>
        <w:tc>
          <w:tcPr>
            <w:tcW w:w="1071" w:type="dxa"/>
            <w:tcBorders>
              <w:top w:val="single" w:color="auto" w:sz="2" w:space="0"/>
              <w:left w:val="single" w:color="auto" w:sz="2" w:space="0"/>
              <w:bottom w:val="single" w:color="auto" w:sz="2" w:space="0"/>
              <w:right w:val="single" w:color="auto" w:sz="2" w:space="0"/>
            </w:tcBorders>
            <w:vAlign w:val="center"/>
          </w:tcPr>
          <w:p w14:paraId="1088C66D">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46,028,220.85</w:t>
            </w:r>
          </w:p>
        </w:tc>
        <w:tc>
          <w:tcPr>
            <w:tcW w:w="1071" w:type="dxa"/>
            <w:tcBorders>
              <w:top w:val="single" w:color="auto" w:sz="2" w:space="0"/>
              <w:left w:val="single" w:color="auto" w:sz="2" w:space="0"/>
              <w:bottom w:val="single" w:color="auto" w:sz="2" w:space="0"/>
              <w:right w:val="single" w:color="auto" w:sz="2" w:space="0"/>
            </w:tcBorders>
            <w:vAlign w:val="center"/>
          </w:tcPr>
          <w:p w14:paraId="63A937EC">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37,297,379.11</w:t>
            </w:r>
          </w:p>
        </w:tc>
      </w:tr>
      <w:tr w14:paraId="083E90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0049A7F9">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1071" w:type="dxa"/>
            <w:tcBorders>
              <w:top w:val="single" w:color="auto" w:sz="2" w:space="0"/>
              <w:left w:val="single" w:color="auto" w:sz="2" w:space="0"/>
              <w:bottom w:val="single" w:color="auto" w:sz="2" w:space="0"/>
              <w:right w:val="single" w:color="auto" w:sz="2" w:space="0"/>
            </w:tcBorders>
            <w:vAlign w:val="center"/>
          </w:tcPr>
          <w:p w14:paraId="212A152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7FC7E3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A5513E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D7CC563">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921C5D7">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398,086.71</w:t>
            </w:r>
          </w:p>
        </w:tc>
        <w:tc>
          <w:tcPr>
            <w:tcW w:w="1071" w:type="dxa"/>
            <w:tcBorders>
              <w:top w:val="single" w:color="auto" w:sz="2" w:space="0"/>
              <w:left w:val="single" w:color="auto" w:sz="2" w:space="0"/>
              <w:bottom w:val="single" w:color="auto" w:sz="2" w:space="0"/>
              <w:right w:val="single" w:color="auto" w:sz="2" w:space="0"/>
            </w:tcBorders>
            <w:vAlign w:val="center"/>
          </w:tcPr>
          <w:p w14:paraId="7E219700">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1,137,084.</w:t>
            </w:r>
            <w:r>
              <w:rPr>
                <w:rFonts w:hint="eastAsia" w:ascii="宋体" w:hAnsi="宋体" w:cs="宋体"/>
                <w:i w:val="0"/>
                <w:iCs w:val="0"/>
                <w:color w:val="000000"/>
                <w:kern w:val="0"/>
                <w:sz w:val="18"/>
                <w:szCs w:val="18"/>
                <w:u w:val="none"/>
                <w:lang w:val="en-US" w:eastAsia="zh-CN" w:bidi="ar"/>
              </w:rPr>
              <w:t>59</w:t>
            </w:r>
          </w:p>
        </w:tc>
        <w:tc>
          <w:tcPr>
            <w:tcW w:w="1071" w:type="dxa"/>
            <w:tcBorders>
              <w:top w:val="single" w:color="auto" w:sz="2" w:space="0"/>
              <w:left w:val="single" w:color="auto" w:sz="2" w:space="0"/>
              <w:bottom w:val="single" w:color="auto" w:sz="2" w:space="0"/>
              <w:right w:val="single" w:color="auto" w:sz="2" w:space="0"/>
            </w:tcBorders>
            <w:vAlign w:val="center"/>
          </w:tcPr>
          <w:p w14:paraId="7E37C5B2">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398,086.71</w:t>
            </w:r>
          </w:p>
        </w:tc>
        <w:tc>
          <w:tcPr>
            <w:tcW w:w="1071" w:type="dxa"/>
            <w:tcBorders>
              <w:top w:val="single" w:color="auto" w:sz="2" w:space="0"/>
              <w:left w:val="single" w:color="auto" w:sz="2" w:space="0"/>
              <w:bottom w:val="single" w:color="auto" w:sz="2" w:space="0"/>
              <w:right w:val="single" w:color="auto" w:sz="2" w:space="0"/>
            </w:tcBorders>
            <w:vAlign w:val="center"/>
          </w:tcPr>
          <w:p w14:paraId="458ECE15">
            <w:pPr>
              <w:keepNext w:val="0"/>
              <w:keepLines w:val="0"/>
              <w:widowControl/>
              <w:suppressLineNumbers w:val="0"/>
              <w:jc w:val="right"/>
              <w:textAlignment w:val="center"/>
              <w:rPr>
                <w:rFonts w:hint="default"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1,137,084.</w:t>
            </w:r>
            <w:r>
              <w:rPr>
                <w:rFonts w:hint="eastAsia" w:ascii="宋体" w:hAnsi="宋体" w:cs="宋体"/>
                <w:i w:val="0"/>
                <w:iCs w:val="0"/>
                <w:color w:val="000000"/>
                <w:kern w:val="0"/>
                <w:sz w:val="18"/>
                <w:szCs w:val="18"/>
                <w:u w:val="none"/>
                <w:lang w:val="en-US" w:eastAsia="zh-CN" w:bidi="ar"/>
              </w:rPr>
              <w:t>59</w:t>
            </w:r>
          </w:p>
        </w:tc>
      </w:tr>
      <w:tr w14:paraId="348F15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6496A576">
            <w:pPr>
              <w:spacing w:before="0" w:after="0" w:line="240" w:lineRule="exact"/>
              <w:jc w:val="left"/>
              <w:rPr>
                <w:rFonts w:ascii="宋体" w:hAnsi="宋体" w:eastAsia="宋体" w:cs="宋体"/>
                <w:sz w:val="18"/>
                <w:szCs w:val="18"/>
              </w:rPr>
            </w:pPr>
            <w:r>
              <w:rPr>
                <w:rFonts w:ascii="宋体" w:hAnsi="宋体" w:eastAsia="宋体" w:cs="宋体"/>
                <w:sz w:val="18"/>
                <w:szCs w:val="18"/>
              </w:rPr>
              <w:t>政府采购</w:t>
            </w:r>
          </w:p>
        </w:tc>
        <w:tc>
          <w:tcPr>
            <w:tcW w:w="1071" w:type="dxa"/>
            <w:tcBorders>
              <w:top w:val="single" w:color="auto" w:sz="2" w:space="0"/>
              <w:left w:val="single" w:color="auto" w:sz="2" w:space="0"/>
              <w:bottom w:val="single" w:color="auto" w:sz="2" w:space="0"/>
              <w:right w:val="single" w:color="auto" w:sz="2" w:space="0"/>
            </w:tcBorders>
            <w:vAlign w:val="center"/>
          </w:tcPr>
          <w:p w14:paraId="7E2E9AD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4649B7C">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AEB506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F75DB4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4BBCC5A">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102,192,368.54</w:t>
            </w:r>
          </w:p>
        </w:tc>
        <w:tc>
          <w:tcPr>
            <w:tcW w:w="1071" w:type="dxa"/>
            <w:tcBorders>
              <w:top w:val="single" w:color="auto" w:sz="2" w:space="0"/>
              <w:left w:val="single" w:color="auto" w:sz="2" w:space="0"/>
              <w:bottom w:val="single" w:color="auto" w:sz="2" w:space="0"/>
              <w:right w:val="single" w:color="auto" w:sz="2" w:space="0"/>
            </w:tcBorders>
            <w:vAlign w:val="center"/>
          </w:tcPr>
          <w:p w14:paraId="3932B7D1">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65,004,054.21</w:t>
            </w:r>
          </w:p>
        </w:tc>
        <w:tc>
          <w:tcPr>
            <w:tcW w:w="1071" w:type="dxa"/>
            <w:tcBorders>
              <w:top w:val="single" w:color="auto" w:sz="2" w:space="0"/>
              <w:left w:val="single" w:color="auto" w:sz="2" w:space="0"/>
              <w:bottom w:val="single" w:color="auto" w:sz="2" w:space="0"/>
              <w:right w:val="single" w:color="auto" w:sz="2" w:space="0"/>
            </w:tcBorders>
            <w:vAlign w:val="center"/>
          </w:tcPr>
          <w:p w14:paraId="0B240460">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102,192,368.54</w:t>
            </w:r>
          </w:p>
        </w:tc>
        <w:tc>
          <w:tcPr>
            <w:tcW w:w="1071" w:type="dxa"/>
            <w:tcBorders>
              <w:top w:val="single" w:color="auto" w:sz="2" w:space="0"/>
              <w:left w:val="single" w:color="auto" w:sz="2" w:space="0"/>
              <w:bottom w:val="single" w:color="auto" w:sz="2" w:space="0"/>
              <w:right w:val="single" w:color="auto" w:sz="2" w:space="0"/>
            </w:tcBorders>
            <w:vAlign w:val="center"/>
          </w:tcPr>
          <w:p w14:paraId="77ED3C76">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65,004,054.21</w:t>
            </w:r>
          </w:p>
        </w:tc>
      </w:tr>
      <w:tr w14:paraId="02FF76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16FC5F9">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071" w:type="dxa"/>
            <w:tcBorders>
              <w:top w:val="single" w:color="auto" w:sz="2" w:space="0"/>
              <w:left w:val="single" w:color="auto" w:sz="2" w:space="0"/>
              <w:bottom w:val="single" w:color="auto" w:sz="2" w:space="0"/>
              <w:right w:val="single" w:color="auto" w:sz="2" w:space="0"/>
            </w:tcBorders>
            <w:vAlign w:val="center"/>
          </w:tcPr>
          <w:p w14:paraId="5CEF7D9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679A98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2BAAFC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B1AB34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CCF89D5">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437,479,836.06</w:t>
            </w:r>
          </w:p>
        </w:tc>
        <w:tc>
          <w:tcPr>
            <w:tcW w:w="1071" w:type="dxa"/>
            <w:tcBorders>
              <w:top w:val="single" w:color="auto" w:sz="2" w:space="0"/>
              <w:left w:val="single" w:color="auto" w:sz="2" w:space="0"/>
              <w:bottom w:val="single" w:color="auto" w:sz="2" w:space="0"/>
              <w:right w:val="single" w:color="auto" w:sz="2" w:space="0"/>
            </w:tcBorders>
            <w:vAlign w:val="center"/>
          </w:tcPr>
          <w:p w14:paraId="12B95FCA">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164,689,967.91</w:t>
            </w:r>
          </w:p>
        </w:tc>
        <w:tc>
          <w:tcPr>
            <w:tcW w:w="1071" w:type="dxa"/>
            <w:tcBorders>
              <w:top w:val="single" w:color="auto" w:sz="2" w:space="0"/>
              <w:left w:val="single" w:color="auto" w:sz="2" w:space="0"/>
              <w:bottom w:val="single" w:color="auto" w:sz="2" w:space="0"/>
              <w:right w:val="single" w:color="auto" w:sz="2" w:space="0"/>
            </w:tcBorders>
            <w:vAlign w:val="center"/>
          </w:tcPr>
          <w:p w14:paraId="67F11707">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437,479,836.06</w:t>
            </w:r>
          </w:p>
        </w:tc>
        <w:tc>
          <w:tcPr>
            <w:tcW w:w="1071" w:type="dxa"/>
            <w:tcBorders>
              <w:top w:val="single" w:color="auto" w:sz="2" w:space="0"/>
              <w:left w:val="single" w:color="auto" w:sz="2" w:space="0"/>
              <w:bottom w:val="single" w:color="auto" w:sz="2" w:space="0"/>
              <w:right w:val="single" w:color="auto" w:sz="2" w:space="0"/>
            </w:tcBorders>
            <w:vAlign w:val="center"/>
          </w:tcPr>
          <w:p w14:paraId="59F2BADC">
            <w:pPr>
              <w:keepNext w:val="0"/>
              <w:keepLines w:val="0"/>
              <w:widowControl/>
              <w:suppressLineNumbers w:val="0"/>
              <w:jc w:val="righ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164,689,967.91</w:t>
            </w:r>
          </w:p>
        </w:tc>
      </w:tr>
    </w:tbl>
    <w:p w14:paraId="28D4692C">
      <w:pPr>
        <w:spacing w:before="100" w:after="100" w:line="240" w:lineRule="exact"/>
        <w:jc w:val="left"/>
        <w:rPr>
          <w:rFonts w:ascii="宋体" w:hAnsi="宋体" w:eastAsia="宋体" w:cs="宋体"/>
          <w:sz w:val="18"/>
          <w:szCs w:val="18"/>
        </w:rPr>
      </w:pPr>
      <w:r>
        <w:rPr>
          <w:rFonts w:ascii="宋体" w:hAnsi="宋体" w:eastAsia="宋体" w:cs="宋体"/>
          <w:sz w:val="18"/>
          <w:szCs w:val="18"/>
        </w:rPr>
        <w:t>与履约义务相关的信息：</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74F91F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2DDFC13">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C04ECC0">
            <w:pPr>
              <w:spacing w:before="40" w:after="40" w:line="240" w:lineRule="exact"/>
              <w:jc w:val="center"/>
              <w:rPr>
                <w:rFonts w:ascii="宋体" w:hAnsi="宋体" w:eastAsia="宋体" w:cs="宋体"/>
                <w:sz w:val="18"/>
                <w:szCs w:val="18"/>
              </w:rPr>
            </w:pPr>
            <w:r>
              <w:rPr>
                <w:rFonts w:ascii="宋体" w:hAnsi="宋体" w:eastAsia="宋体" w:cs="宋体"/>
                <w:sz w:val="18"/>
                <w:szCs w:val="18"/>
              </w:rPr>
              <w:t>履行履约义务的时间</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FBDA20E">
            <w:pPr>
              <w:spacing w:before="40" w:after="40" w:line="240" w:lineRule="exact"/>
              <w:jc w:val="center"/>
              <w:rPr>
                <w:rFonts w:ascii="宋体" w:hAnsi="宋体" w:eastAsia="宋体" w:cs="宋体"/>
                <w:sz w:val="18"/>
                <w:szCs w:val="18"/>
              </w:rPr>
            </w:pPr>
            <w:r>
              <w:rPr>
                <w:rFonts w:ascii="宋体" w:hAnsi="宋体" w:eastAsia="宋体" w:cs="宋体"/>
                <w:sz w:val="18"/>
                <w:szCs w:val="18"/>
              </w:rPr>
              <w:t>重要的支付条款</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275148E">
            <w:pPr>
              <w:spacing w:before="40" w:after="40" w:line="240" w:lineRule="exact"/>
              <w:jc w:val="center"/>
              <w:rPr>
                <w:rFonts w:ascii="宋体" w:hAnsi="宋体" w:eastAsia="宋体" w:cs="宋体"/>
                <w:sz w:val="18"/>
                <w:szCs w:val="18"/>
              </w:rPr>
            </w:pPr>
            <w:r>
              <w:rPr>
                <w:rFonts w:ascii="宋体" w:hAnsi="宋体" w:eastAsia="宋体" w:cs="宋体"/>
                <w:sz w:val="18"/>
                <w:szCs w:val="18"/>
              </w:rPr>
              <w:t>公司承诺转让商品的性质</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F9A973F">
            <w:pPr>
              <w:spacing w:before="40" w:after="40" w:line="240" w:lineRule="exact"/>
              <w:jc w:val="center"/>
              <w:rPr>
                <w:rFonts w:ascii="宋体" w:hAnsi="宋体" w:eastAsia="宋体" w:cs="宋体"/>
                <w:sz w:val="18"/>
                <w:szCs w:val="18"/>
              </w:rPr>
            </w:pPr>
            <w:r>
              <w:rPr>
                <w:rFonts w:ascii="宋体" w:hAnsi="宋体" w:eastAsia="宋体" w:cs="宋体"/>
                <w:sz w:val="18"/>
                <w:szCs w:val="18"/>
              </w:rPr>
              <w:t>是否为主要责任人</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13A283C">
            <w:pPr>
              <w:spacing w:before="40" w:after="40" w:line="240" w:lineRule="exact"/>
              <w:jc w:val="center"/>
              <w:rPr>
                <w:rFonts w:ascii="宋体" w:hAnsi="宋体" w:eastAsia="宋体" w:cs="宋体"/>
                <w:sz w:val="18"/>
                <w:szCs w:val="18"/>
              </w:rPr>
            </w:pPr>
            <w:r>
              <w:rPr>
                <w:rFonts w:ascii="宋体" w:hAnsi="宋体" w:eastAsia="宋体" w:cs="宋体"/>
                <w:sz w:val="18"/>
                <w:szCs w:val="18"/>
              </w:rPr>
              <w:t>公司承担的预期将退还给客户的款项</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00C54EF">
            <w:pPr>
              <w:spacing w:before="40" w:after="40" w:line="240" w:lineRule="exact"/>
              <w:jc w:val="center"/>
              <w:rPr>
                <w:rFonts w:ascii="宋体" w:hAnsi="宋体" w:eastAsia="宋体" w:cs="宋体"/>
                <w:sz w:val="18"/>
                <w:szCs w:val="18"/>
              </w:rPr>
            </w:pPr>
            <w:r>
              <w:rPr>
                <w:rFonts w:ascii="宋体" w:hAnsi="宋体" w:eastAsia="宋体" w:cs="宋体"/>
                <w:sz w:val="18"/>
                <w:szCs w:val="18"/>
              </w:rPr>
              <w:t>公司提供的质量保证类型及相关义务</w:t>
            </w:r>
          </w:p>
        </w:tc>
      </w:tr>
    </w:tbl>
    <w:p w14:paraId="486085B2">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1065CF6">
      <w:pPr>
        <w:spacing w:before="100" w:after="100" w:line="240" w:lineRule="exact"/>
        <w:jc w:val="left"/>
        <w:rPr>
          <w:rFonts w:ascii="宋体" w:hAnsi="宋体" w:eastAsia="宋体" w:cs="宋体"/>
          <w:sz w:val="18"/>
          <w:szCs w:val="18"/>
        </w:rPr>
      </w:pPr>
      <w:r>
        <w:rPr>
          <w:rFonts w:ascii="宋体" w:hAnsi="宋体" w:eastAsia="宋体" w:cs="宋体"/>
          <w:sz w:val="18"/>
          <w:szCs w:val="18"/>
        </w:rPr>
        <w:t>与分摊至剩余履约义务的交易价格相关的信息：</w:t>
      </w:r>
    </w:p>
    <w:p w14:paraId="213FE976">
      <w:pPr>
        <w:spacing w:before="0" w:after="0" w:line="240" w:lineRule="exact"/>
        <w:jc w:val="left"/>
        <w:rPr>
          <w:rFonts w:ascii="宋体" w:hAnsi="宋体" w:eastAsia="宋体" w:cs="宋体"/>
          <w:sz w:val="18"/>
          <w:szCs w:val="18"/>
        </w:rPr>
      </w:pPr>
      <w:r>
        <w:rPr>
          <w:rFonts w:ascii="宋体" w:hAnsi="宋体" w:eastAsia="宋体" w:cs="宋体"/>
          <w:sz w:val="18"/>
          <w:szCs w:val="18"/>
        </w:rPr>
        <w:t>本报告期末已签订合同、但尚未履行或尚未履行完毕的履约义务所对应的收入金额为0.00元，其中，元预计将于年度确认收入，元预计将于年度确认收入，元预计将于年度确认收入。</w:t>
      </w:r>
    </w:p>
    <w:p w14:paraId="0EEA63F3">
      <w:pPr>
        <w:spacing w:before="100" w:after="100" w:line="240" w:lineRule="exact"/>
        <w:jc w:val="left"/>
        <w:rPr>
          <w:rFonts w:ascii="宋体" w:hAnsi="宋体" w:eastAsia="宋体" w:cs="宋体"/>
          <w:sz w:val="18"/>
          <w:szCs w:val="18"/>
        </w:rPr>
      </w:pPr>
      <w:r>
        <w:rPr>
          <w:rFonts w:ascii="宋体" w:hAnsi="宋体" w:eastAsia="宋体" w:cs="宋体"/>
          <w:sz w:val="18"/>
          <w:szCs w:val="18"/>
        </w:rPr>
        <w:t>合同中可变对价相关信息：</w:t>
      </w:r>
    </w:p>
    <w:p w14:paraId="5666CE63">
      <w:pPr>
        <w:spacing w:before="100" w:after="100" w:line="240" w:lineRule="exact"/>
        <w:jc w:val="left"/>
        <w:rPr>
          <w:rFonts w:ascii="宋体" w:hAnsi="宋体" w:eastAsia="宋体" w:cs="宋体"/>
          <w:sz w:val="18"/>
          <w:szCs w:val="18"/>
        </w:rPr>
      </w:pPr>
      <w:r>
        <w:rPr>
          <w:rFonts w:ascii="宋体" w:hAnsi="宋体" w:eastAsia="宋体" w:cs="宋体"/>
          <w:sz w:val="18"/>
          <w:szCs w:val="18"/>
        </w:rPr>
        <w:t>重大合同变更或重大交易价格调整</w:t>
      </w:r>
    </w:p>
    <w:p w14:paraId="62662052">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D0CFF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FC82C33">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C1929C8">
            <w:pPr>
              <w:spacing w:before="40" w:after="40" w:line="240" w:lineRule="exact"/>
              <w:jc w:val="center"/>
              <w:rPr>
                <w:rFonts w:ascii="宋体" w:hAnsi="宋体" w:eastAsia="宋体" w:cs="宋体"/>
                <w:sz w:val="18"/>
                <w:szCs w:val="18"/>
              </w:rPr>
            </w:pPr>
            <w:r>
              <w:rPr>
                <w:rFonts w:ascii="宋体" w:hAnsi="宋体" w:eastAsia="宋体" w:cs="宋体"/>
                <w:sz w:val="18"/>
                <w:szCs w:val="18"/>
              </w:rPr>
              <w:t>会计处理方法</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8D0E949">
            <w:pPr>
              <w:spacing w:before="40" w:after="40" w:line="240" w:lineRule="exact"/>
              <w:jc w:val="center"/>
              <w:rPr>
                <w:rFonts w:ascii="宋体" w:hAnsi="宋体" w:eastAsia="宋体" w:cs="宋体"/>
                <w:sz w:val="18"/>
                <w:szCs w:val="18"/>
              </w:rPr>
            </w:pPr>
            <w:r>
              <w:rPr>
                <w:rFonts w:ascii="宋体" w:hAnsi="宋体" w:eastAsia="宋体" w:cs="宋体"/>
                <w:sz w:val="18"/>
                <w:szCs w:val="18"/>
              </w:rPr>
              <w:t>对收入的影响金额</w:t>
            </w:r>
          </w:p>
        </w:tc>
      </w:tr>
    </w:tbl>
    <w:p w14:paraId="743357B0">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569344C7">
      <w:pPr>
        <w:keepNext/>
        <w:keepLines/>
        <w:spacing w:before="300" w:after="300" w:line="280" w:lineRule="exact"/>
        <w:jc w:val="left"/>
        <w:outlineLvl w:val="2"/>
        <w:rPr>
          <w:rFonts w:ascii="宋体" w:hAnsi="宋体" w:eastAsia="宋体" w:cs="宋体"/>
          <w:b/>
          <w:bCs/>
          <w:sz w:val="21"/>
          <w:szCs w:val="21"/>
        </w:rPr>
      </w:pPr>
      <w:bookmarkStart w:id="417" w:name="_Toc989300"/>
      <w:r>
        <w:rPr>
          <w:rFonts w:ascii="宋体" w:hAnsi="宋体" w:eastAsia="宋体" w:cs="宋体"/>
          <w:b/>
          <w:bCs/>
          <w:sz w:val="21"/>
          <w:szCs w:val="21"/>
        </w:rPr>
        <w:t>62、税金及附加</w:t>
      </w:r>
      <w:bookmarkEnd w:id="417"/>
    </w:p>
    <w:p w14:paraId="5000ABB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9EBCD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1EFE7F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5432296">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FB28C8D">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6134B2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DC710E1">
            <w:pPr>
              <w:spacing w:before="0" w:after="0" w:line="240" w:lineRule="exact"/>
              <w:jc w:val="left"/>
              <w:rPr>
                <w:rFonts w:ascii="宋体" w:hAnsi="宋体" w:eastAsia="宋体" w:cs="宋体"/>
                <w:sz w:val="18"/>
                <w:szCs w:val="18"/>
              </w:rPr>
            </w:pPr>
            <w:r>
              <w:rPr>
                <w:rFonts w:ascii="宋体" w:hAnsi="宋体" w:eastAsia="宋体" w:cs="宋体"/>
                <w:sz w:val="18"/>
                <w:szCs w:val="18"/>
              </w:rPr>
              <w:t>城市维护建设税</w:t>
            </w:r>
          </w:p>
        </w:tc>
        <w:tc>
          <w:tcPr>
            <w:tcW w:w="3213" w:type="dxa"/>
            <w:tcBorders>
              <w:top w:val="single" w:color="auto" w:sz="2" w:space="0"/>
              <w:left w:val="single" w:color="auto" w:sz="2" w:space="0"/>
              <w:bottom w:val="single" w:color="auto" w:sz="2" w:space="0"/>
              <w:right w:val="single" w:color="auto" w:sz="2" w:space="0"/>
            </w:tcBorders>
            <w:vAlign w:val="center"/>
          </w:tcPr>
          <w:p w14:paraId="1262AB25">
            <w:pPr>
              <w:spacing w:before="0" w:after="0" w:line="240" w:lineRule="exact"/>
              <w:jc w:val="right"/>
              <w:rPr>
                <w:rFonts w:ascii="宋体" w:hAnsi="宋体" w:eastAsia="宋体" w:cs="宋体"/>
                <w:sz w:val="18"/>
                <w:szCs w:val="18"/>
              </w:rPr>
            </w:pPr>
            <w:r>
              <w:rPr>
                <w:rFonts w:ascii="宋体" w:hAnsi="宋体" w:eastAsia="宋体" w:cs="宋体"/>
                <w:sz w:val="18"/>
                <w:szCs w:val="18"/>
              </w:rPr>
              <w:t>2,976,657.94</w:t>
            </w:r>
          </w:p>
        </w:tc>
        <w:tc>
          <w:tcPr>
            <w:tcW w:w="3213" w:type="dxa"/>
            <w:tcBorders>
              <w:top w:val="single" w:color="auto" w:sz="2" w:space="0"/>
              <w:left w:val="single" w:color="auto" w:sz="2" w:space="0"/>
              <w:bottom w:val="single" w:color="auto" w:sz="2" w:space="0"/>
              <w:right w:val="single" w:color="auto" w:sz="2" w:space="0"/>
            </w:tcBorders>
            <w:vAlign w:val="center"/>
          </w:tcPr>
          <w:p w14:paraId="1DF02071">
            <w:pPr>
              <w:spacing w:before="0" w:after="0" w:line="240" w:lineRule="exact"/>
              <w:jc w:val="right"/>
              <w:rPr>
                <w:rFonts w:ascii="宋体" w:hAnsi="宋体" w:eastAsia="宋体" w:cs="宋体"/>
                <w:sz w:val="18"/>
                <w:szCs w:val="18"/>
              </w:rPr>
            </w:pPr>
            <w:r>
              <w:rPr>
                <w:rFonts w:ascii="宋体" w:hAnsi="宋体" w:eastAsia="宋体" w:cs="宋体"/>
                <w:sz w:val="18"/>
                <w:szCs w:val="18"/>
              </w:rPr>
              <w:t>1,734,620.33</w:t>
            </w:r>
          </w:p>
        </w:tc>
      </w:tr>
      <w:tr w14:paraId="324517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7E46D83">
            <w:pPr>
              <w:spacing w:before="0" w:after="0" w:line="240" w:lineRule="exact"/>
              <w:jc w:val="left"/>
              <w:rPr>
                <w:rFonts w:ascii="宋体" w:hAnsi="宋体" w:eastAsia="宋体" w:cs="宋体"/>
                <w:sz w:val="18"/>
                <w:szCs w:val="18"/>
              </w:rPr>
            </w:pPr>
            <w:r>
              <w:rPr>
                <w:rFonts w:ascii="宋体" w:hAnsi="宋体" w:eastAsia="宋体" w:cs="宋体"/>
                <w:sz w:val="18"/>
                <w:szCs w:val="18"/>
              </w:rPr>
              <w:t>教育费附加</w:t>
            </w:r>
          </w:p>
        </w:tc>
        <w:tc>
          <w:tcPr>
            <w:tcW w:w="3213" w:type="dxa"/>
            <w:tcBorders>
              <w:top w:val="single" w:color="auto" w:sz="2" w:space="0"/>
              <w:left w:val="single" w:color="auto" w:sz="2" w:space="0"/>
              <w:bottom w:val="single" w:color="auto" w:sz="2" w:space="0"/>
              <w:right w:val="single" w:color="auto" w:sz="2" w:space="0"/>
            </w:tcBorders>
            <w:vAlign w:val="center"/>
          </w:tcPr>
          <w:p w14:paraId="6DF8EA1E">
            <w:pPr>
              <w:spacing w:before="0" w:after="0" w:line="240" w:lineRule="exact"/>
              <w:jc w:val="right"/>
              <w:rPr>
                <w:rFonts w:ascii="宋体" w:hAnsi="宋体" w:eastAsia="宋体" w:cs="宋体"/>
                <w:sz w:val="18"/>
                <w:szCs w:val="18"/>
              </w:rPr>
            </w:pPr>
            <w:r>
              <w:rPr>
                <w:rFonts w:ascii="宋体" w:hAnsi="宋体" w:eastAsia="宋体" w:cs="宋体"/>
                <w:sz w:val="18"/>
                <w:szCs w:val="18"/>
              </w:rPr>
              <w:t>885,748.00</w:t>
            </w:r>
          </w:p>
        </w:tc>
        <w:tc>
          <w:tcPr>
            <w:tcW w:w="3213" w:type="dxa"/>
            <w:tcBorders>
              <w:top w:val="single" w:color="auto" w:sz="2" w:space="0"/>
              <w:left w:val="single" w:color="auto" w:sz="2" w:space="0"/>
              <w:bottom w:val="single" w:color="auto" w:sz="2" w:space="0"/>
              <w:right w:val="single" w:color="auto" w:sz="2" w:space="0"/>
            </w:tcBorders>
            <w:vAlign w:val="center"/>
          </w:tcPr>
          <w:p w14:paraId="604B504C">
            <w:pPr>
              <w:spacing w:before="0" w:after="0" w:line="240" w:lineRule="exact"/>
              <w:jc w:val="right"/>
              <w:rPr>
                <w:rFonts w:ascii="宋体" w:hAnsi="宋体" w:eastAsia="宋体" w:cs="宋体"/>
                <w:sz w:val="18"/>
                <w:szCs w:val="18"/>
              </w:rPr>
            </w:pPr>
            <w:r>
              <w:rPr>
                <w:rFonts w:ascii="宋体" w:hAnsi="宋体" w:eastAsia="宋体" w:cs="宋体"/>
                <w:sz w:val="18"/>
                <w:szCs w:val="18"/>
              </w:rPr>
              <w:t>1,536,086.92</w:t>
            </w:r>
          </w:p>
        </w:tc>
      </w:tr>
      <w:tr w14:paraId="0510AD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36703EB">
            <w:pPr>
              <w:spacing w:before="0" w:after="0" w:line="240" w:lineRule="exact"/>
              <w:jc w:val="left"/>
              <w:rPr>
                <w:rFonts w:ascii="宋体" w:hAnsi="宋体" w:eastAsia="宋体" w:cs="宋体"/>
                <w:sz w:val="18"/>
                <w:szCs w:val="18"/>
              </w:rPr>
            </w:pPr>
            <w:r>
              <w:rPr>
                <w:rFonts w:ascii="宋体" w:hAnsi="宋体" w:eastAsia="宋体" w:cs="宋体"/>
                <w:sz w:val="18"/>
                <w:szCs w:val="18"/>
              </w:rPr>
              <w:t>印花税</w:t>
            </w:r>
          </w:p>
        </w:tc>
        <w:tc>
          <w:tcPr>
            <w:tcW w:w="3213" w:type="dxa"/>
            <w:tcBorders>
              <w:top w:val="single" w:color="auto" w:sz="2" w:space="0"/>
              <w:left w:val="single" w:color="auto" w:sz="2" w:space="0"/>
              <w:bottom w:val="single" w:color="auto" w:sz="2" w:space="0"/>
              <w:right w:val="single" w:color="auto" w:sz="2" w:space="0"/>
            </w:tcBorders>
            <w:vAlign w:val="center"/>
          </w:tcPr>
          <w:p w14:paraId="46CED4AB">
            <w:pPr>
              <w:spacing w:before="0" w:after="0" w:line="240" w:lineRule="exact"/>
              <w:jc w:val="right"/>
              <w:rPr>
                <w:rFonts w:ascii="宋体" w:hAnsi="宋体" w:eastAsia="宋体" w:cs="宋体"/>
                <w:sz w:val="18"/>
                <w:szCs w:val="18"/>
              </w:rPr>
            </w:pPr>
            <w:r>
              <w:rPr>
                <w:rFonts w:ascii="宋体" w:hAnsi="宋体" w:eastAsia="宋体" w:cs="宋体"/>
                <w:sz w:val="18"/>
                <w:szCs w:val="18"/>
              </w:rPr>
              <w:t>320,131.80</w:t>
            </w:r>
          </w:p>
        </w:tc>
        <w:tc>
          <w:tcPr>
            <w:tcW w:w="3213" w:type="dxa"/>
            <w:tcBorders>
              <w:top w:val="single" w:color="auto" w:sz="2" w:space="0"/>
              <w:left w:val="single" w:color="auto" w:sz="2" w:space="0"/>
              <w:bottom w:val="single" w:color="auto" w:sz="2" w:space="0"/>
              <w:right w:val="single" w:color="auto" w:sz="2" w:space="0"/>
            </w:tcBorders>
            <w:vAlign w:val="center"/>
          </w:tcPr>
          <w:p w14:paraId="53998E75">
            <w:pPr>
              <w:spacing w:before="0" w:after="0" w:line="240" w:lineRule="exact"/>
              <w:jc w:val="right"/>
              <w:rPr>
                <w:rFonts w:ascii="宋体" w:hAnsi="宋体" w:eastAsia="宋体" w:cs="宋体"/>
                <w:sz w:val="18"/>
                <w:szCs w:val="18"/>
              </w:rPr>
            </w:pPr>
            <w:r>
              <w:rPr>
                <w:rFonts w:ascii="宋体" w:hAnsi="宋体" w:eastAsia="宋体" w:cs="宋体"/>
                <w:sz w:val="18"/>
                <w:szCs w:val="18"/>
              </w:rPr>
              <w:t>361,915.68</w:t>
            </w:r>
          </w:p>
        </w:tc>
      </w:tr>
      <w:tr w14:paraId="44BFB1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994E7F7">
            <w:pPr>
              <w:spacing w:before="0" w:after="0" w:line="240" w:lineRule="exact"/>
              <w:jc w:val="left"/>
              <w:rPr>
                <w:rFonts w:ascii="宋体" w:hAnsi="宋体" w:eastAsia="宋体" w:cs="宋体"/>
                <w:sz w:val="18"/>
                <w:szCs w:val="18"/>
              </w:rPr>
            </w:pPr>
            <w:r>
              <w:rPr>
                <w:rFonts w:ascii="宋体" w:hAnsi="宋体" w:eastAsia="宋体" w:cs="宋体"/>
                <w:sz w:val="18"/>
                <w:szCs w:val="18"/>
              </w:rPr>
              <w:t>土地使用税</w:t>
            </w:r>
          </w:p>
        </w:tc>
        <w:tc>
          <w:tcPr>
            <w:tcW w:w="3213" w:type="dxa"/>
            <w:tcBorders>
              <w:top w:val="single" w:color="auto" w:sz="2" w:space="0"/>
              <w:left w:val="single" w:color="auto" w:sz="2" w:space="0"/>
              <w:bottom w:val="single" w:color="auto" w:sz="2" w:space="0"/>
              <w:right w:val="single" w:color="auto" w:sz="2" w:space="0"/>
            </w:tcBorders>
            <w:vAlign w:val="center"/>
          </w:tcPr>
          <w:p w14:paraId="032956AB">
            <w:pPr>
              <w:spacing w:before="0" w:after="0" w:line="240" w:lineRule="exact"/>
              <w:jc w:val="right"/>
              <w:rPr>
                <w:rFonts w:ascii="宋体" w:hAnsi="宋体" w:eastAsia="宋体" w:cs="宋体"/>
                <w:sz w:val="18"/>
                <w:szCs w:val="18"/>
              </w:rPr>
            </w:pPr>
            <w:r>
              <w:rPr>
                <w:rFonts w:ascii="宋体" w:hAnsi="宋体" w:eastAsia="宋体" w:cs="宋体"/>
                <w:sz w:val="18"/>
                <w:szCs w:val="18"/>
              </w:rPr>
              <w:t>810,412.03</w:t>
            </w:r>
          </w:p>
        </w:tc>
        <w:tc>
          <w:tcPr>
            <w:tcW w:w="3213" w:type="dxa"/>
            <w:tcBorders>
              <w:top w:val="single" w:color="auto" w:sz="2" w:space="0"/>
              <w:left w:val="single" w:color="auto" w:sz="2" w:space="0"/>
              <w:bottom w:val="single" w:color="auto" w:sz="2" w:space="0"/>
              <w:right w:val="single" w:color="auto" w:sz="2" w:space="0"/>
            </w:tcBorders>
            <w:vAlign w:val="center"/>
          </w:tcPr>
          <w:p w14:paraId="7D00AD6C">
            <w:pPr>
              <w:spacing w:before="0" w:after="0" w:line="240" w:lineRule="exact"/>
              <w:jc w:val="right"/>
              <w:rPr>
                <w:rFonts w:ascii="宋体" w:hAnsi="宋体" w:eastAsia="宋体" w:cs="宋体"/>
                <w:sz w:val="18"/>
                <w:szCs w:val="18"/>
              </w:rPr>
            </w:pPr>
            <w:r>
              <w:rPr>
                <w:rFonts w:ascii="宋体" w:hAnsi="宋体" w:eastAsia="宋体" w:cs="宋体"/>
                <w:sz w:val="18"/>
                <w:szCs w:val="18"/>
              </w:rPr>
              <w:t>810,412.04</w:t>
            </w:r>
          </w:p>
        </w:tc>
      </w:tr>
      <w:tr w14:paraId="1EB81B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9B8312E">
            <w:pPr>
              <w:spacing w:before="0" w:after="0" w:line="240" w:lineRule="exact"/>
              <w:jc w:val="left"/>
              <w:rPr>
                <w:rFonts w:ascii="宋体" w:hAnsi="宋体" w:eastAsia="宋体" w:cs="宋体"/>
                <w:sz w:val="18"/>
                <w:szCs w:val="18"/>
              </w:rPr>
            </w:pPr>
            <w:r>
              <w:rPr>
                <w:rFonts w:ascii="宋体" w:hAnsi="宋体" w:eastAsia="宋体" w:cs="宋体"/>
                <w:sz w:val="18"/>
                <w:szCs w:val="18"/>
              </w:rPr>
              <w:t>房产税</w:t>
            </w:r>
          </w:p>
        </w:tc>
        <w:tc>
          <w:tcPr>
            <w:tcW w:w="3213" w:type="dxa"/>
            <w:tcBorders>
              <w:top w:val="single" w:color="auto" w:sz="2" w:space="0"/>
              <w:left w:val="single" w:color="auto" w:sz="2" w:space="0"/>
              <w:bottom w:val="single" w:color="auto" w:sz="2" w:space="0"/>
              <w:right w:val="single" w:color="auto" w:sz="2" w:space="0"/>
            </w:tcBorders>
            <w:vAlign w:val="center"/>
          </w:tcPr>
          <w:p w14:paraId="26DC6359">
            <w:pPr>
              <w:spacing w:before="0" w:after="0" w:line="240" w:lineRule="exact"/>
              <w:jc w:val="right"/>
              <w:rPr>
                <w:rFonts w:ascii="宋体" w:hAnsi="宋体" w:eastAsia="宋体" w:cs="宋体"/>
                <w:sz w:val="18"/>
                <w:szCs w:val="18"/>
              </w:rPr>
            </w:pPr>
            <w:r>
              <w:rPr>
                <w:rFonts w:ascii="宋体" w:hAnsi="宋体" w:eastAsia="宋体" w:cs="宋体"/>
                <w:sz w:val="18"/>
                <w:szCs w:val="18"/>
              </w:rPr>
              <w:t>4,414,976.57</w:t>
            </w:r>
          </w:p>
        </w:tc>
        <w:tc>
          <w:tcPr>
            <w:tcW w:w="3213" w:type="dxa"/>
            <w:tcBorders>
              <w:top w:val="single" w:color="auto" w:sz="2" w:space="0"/>
              <w:left w:val="single" w:color="auto" w:sz="2" w:space="0"/>
              <w:bottom w:val="single" w:color="auto" w:sz="2" w:space="0"/>
              <w:right w:val="single" w:color="auto" w:sz="2" w:space="0"/>
            </w:tcBorders>
            <w:vAlign w:val="center"/>
          </w:tcPr>
          <w:p w14:paraId="212EEA20">
            <w:pPr>
              <w:spacing w:before="0" w:after="0" w:line="240" w:lineRule="exact"/>
              <w:jc w:val="right"/>
              <w:rPr>
                <w:rFonts w:ascii="宋体" w:hAnsi="宋体" w:eastAsia="宋体" w:cs="宋体"/>
                <w:sz w:val="18"/>
                <w:szCs w:val="18"/>
              </w:rPr>
            </w:pPr>
            <w:r>
              <w:rPr>
                <w:rFonts w:ascii="宋体" w:hAnsi="宋体" w:eastAsia="宋体" w:cs="宋体"/>
                <w:sz w:val="18"/>
                <w:szCs w:val="18"/>
              </w:rPr>
              <w:t>4,331,754.23</w:t>
            </w:r>
          </w:p>
        </w:tc>
      </w:tr>
      <w:tr w14:paraId="3DC52B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B9FBEB5">
            <w:pPr>
              <w:spacing w:before="0" w:after="0" w:line="240" w:lineRule="exact"/>
              <w:jc w:val="left"/>
              <w:rPr>
                <w:rFonts w:ascii="宋体" w:hAnsi="宋体" w:eastAsia="宋体" w:cs="宋体"/>
                <w:sz w:val="18"/>
                <w:szCs w:val="18"/>
              </w:rPr>
            </w:pPr>
            <w:r>
              <w:rPr>
                <w:rFonts w:ascii="宋体" w:hAnsi="宋体" w:eastAsia="宋体" w:cs="宋体"/>
                <w:sz w:val="18"/>
                <w:szCs w:val="18"/>
              </w:rPr>
              <w:t>车船使用税</w:t>
            </w:r>
          </w:p>
        </w:tc>
        <w:tc>
          <w:tcPr>
            <w:tcW w:w="3213" w:type="dxa"/>
            <w:tcBorders>
              <w:top w:val="single" w:color="auto" w:sz="2" w:space="0"/>
              <w:left w:val="single" w:color="auto" w:sz="2" w:space="0"/>
              <w:bottom w:val="single" w:color="auto" w:sz="2" w:space="0"/>
              <w:right w:val="single" w:color="auto" w:sz="2" w:space="0"/>
            </w:tcBorders>
            <w:vAlign w:val="center"/>
          </w:tcPr>
          <w:p w14:paraId="5198A2C0">
            <w:pPr>
              <w:spacing w:before="0" w:after="0" w:line="240" w:lineRule="exact"/>
              <w:jc w:val="right"/>
              <w:rPr>
                <w:rFonts w:ascii="宋体" w:hAnsi="宋体" w:eastAsia="宋体" w:cs="宋体"/>
                <w:sz w:val="18"/>
                <w:szCs w:val="18"/>
              </w:rPr>
            </w:pPr>
            <w:r>
              <w:rPr>
                <w:rFonts w:ascii="宋体" w:hAnsi="宋体" w:eastAsia="宋体" w:cs="宋体"/>
                <w:sz w:val="18"/>
                <w:szCs w:val="18"/>
              </w:rPr>
              <w:t>12,854.28</w:t>
            </w:r>
          </w:p>
        </w:tc>
        <w:tc>
          <w:tcPr>
            <w:tcW w:w="3213" w:type="dxa"/>
            <w:tcBorders>
              <w:top w:val="single" w:color="auto" w:sz="2" w:space="0"/>
              <w:left w:val="single" w:color="auto" w:sz="2" w:space="0"/>
              <w:bottom w:val="single" w:color="auto" w:sz="2" w:space="0"/>
              <w:right w:val="single" w:color="auto" w:sz="2" w:space="0"/>
            </w:tcBorders>
            <w:vAlign w:val="center"/>
          </w:tcPr>
          <w:p w14:paraId="041AC60D">
            <w:pPr>
              <w:spacing w:before="0" w:after="0" w:line="240" w:lineRule="exact"/>
              <w:jc w:val="right"/>
              <w:rPr>
                <w:rFonts w:ascii="宋体" w:hAnsi="宋体" w:eastAsia="宋体" w:cs="宋体"/>
                <w:sz w:val="18"/>
                <w:szCs w:val="18"/>
              </w:rPr>
            </w:pPr>
            <w:r>
              <w:rPr>
                <w:rFonts w:ascii="宋体" w:hAnsi="宋体" w:eastAsia="宋体" w:cs="宋体"/>
                <w:sz w:val="18"/>
                <w:szCs w:val="18"/>
              </w:rPr>
              <w:t>13,694.28</w:t>
            </w:r>
          </w:p>
        </w:tc>
      </w:tr>
      <w:tr w14:paraId="3969AF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50CB563">
            <w:pPr>
              <w:spacing w:before="0" w:after="0" w:line="240" w:lineRule="exact"/>
              <w:jc w:val="left"/>
              <w:rPr>
                <w:rFonts w:ascii="宋体" w:hAnsi="宋体" w:eastAsia="宋体" w:cs="宋体"/>
                <w:sz w:val="18"/>
                <w:szCs w:val="18"/>
              </w:rPr>
            </w:pPr>
            <w:r>
              <w:rPr>
                <w:rFonts w:ascii="宋体" w:hAnsi="宋体" w:eastAsia="宋体" w:cs="宋体"/>
                <w:sz w:val="18"/>
                <w:szCs w:val="18"/>
              </w:rPr>
              <w:t>环境保护税</w:t>
            </w:r>
          </w:p>
        </w:tc>
        <w:tc>
          <w:tcPr>
            <w:tcW w:w="3213" w:type="dxa"/>
            <w:tcBorders>
              <w:top w:val="single" w:color="auto" w:sz="2" w:space="0"/>
              <w:left w:val="single" w:color="auto" w:sz="2" w:space="0"/>
              <w:bottom w:val="single" w:color="auto" w:sz="2" w:space="0"/>
              <w:right w:val="single" w:color="auto" w:sz="2" w:space="0"/>
            </w:tcBorders>
            <w:vAlign w:val="center"/>
          </w:tcPr>
          <w:p w14:paraId="079DB22E">
            <w:pPr>
              <w:spacing w:before="0" w:after="0" w:line="240" w:lineRule="exact"/>
              <w:jc w:val="right"/>
              <w:rPr>
                <w:rFonts w:ascii="宋体" w:hAnsi="宋体" w:eastAsia="宋体" w:cs="宋体"/>
                <w:sz w:val="18"/>
                <w:szCs w:val="18"/>
              </w:rPr>
            </w:pPr>
            <w:r>
              <w:rPr>
                <w:rFonts w:ascii="宋体" w:hAnsi="宋体" w:eastAsia="宋体" w:cs="宋体"/>
                <w:sz w:val="18"/>
                <w:szCs w:val="18"/>
              </w:rPr>
              <w:t>9,948.33</w:t>
            </w:r>
          </w:p>
        </w:tc>
        <w:tc>
          <w:tcPr>
            <w:tcW w:w="3213" w:type="dxa"/>
            <w:tcBorders>
              <w:top w:val="single" w:color="auto" w:sz="2" w:space="0"/>
              <w:left w:val="single" w:color="auto" w:sz="2" w:space="0"/>
              <w:bottom w:val="single" w:color="auto" w:sz="2" w:space="0"/>
              <w:right w:val="single" w:color="auto" w:sz="2" w:space="0"/>
            </w:tcBorders>
            <w:vAlign w:val="center"/>
          </w:tcPr>
          <w:p w14:paraId="0EC61693">
            <w:pPr>
              <w:spacing w:before="0" w:after="0" w:line="240" w:lineRule="exact"/>
              <w:jc w:val="right"/>
              <w:rPr>
                <w:rFonts w:ascii="宋体" w:hAnsi="宋体" w:eastAsia="宋体" w:cs="宋体"/>
                <w:sz w:val="18"/>
                <w:szCs w:val="18"/>
              </w:rPr>
            </w:pPr>
            <w:r>
              <w:rPr>
                <w:rFonts w:ascii="宋体" w:hAnsi="宋体" w:eastAsia="宋体" w:cs="宋体"/>
                <w:sz w:val="18"/>
                <w:szCs w:val="18"/>
              </w:rPr>
              <w:t>15,672.84</w:t>
            </w:r>
          </w:p>
        </w:tc>
      </w:tr>
      <w:tr w14:paraId="19EFEF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148FC70">
            <w:pPr>
              <w:spacing w:before="0" w:after="0" w:line="240" w:lineRule="exact"/>
              <w:jc w:val="left"/>
              <w:rPr>
                <w:rFonts w:ascii="宋体" w:hAnsi="宋体" w:eastAsia="宋体" w:cs="宋体"/>
                <w:sz w:val="18"/>
                <w:szCs w:val="18"/>
              </w:rPr>
            </w:pPr>
            <w:r>
              <w:rPr>
                <w:rFonts w:ascii="宋体" w:hAnsi="宋体" w:eastAsia="宋体" w:cs="宋体"/>
                <w:sz w:val="18"/>
                <w:szCs w:val="18"/>
              </w:rPr>
              <w:t>江海堤防维护费</w:t>
            </w:r>
          </w:p>
        </w:tc>
        <w:tc>
          <w:tcPr>
            <w:tcW w:w="3213" w:type="dxa"/>
            <w:tcBorders>
              <w:top w:val="single" w:color="auto" w:sz="2" w:space="0"/>
              <w:left w:val="single" w:color="auto" w:sz="2" w:space="0"/>
              <w:bottom w:val="single" w:color="auto" w:sz="2" w:space="0"/>
              <w:right w:val="single" w:color="auto" w:sz="2" w:space="0"/>
            </w:tcBorders>
            <w:vAlign w:val="center"/>
          </w:tcPr>
          <w:p w14:paraId="29EE20D8">
            <w:pPr>
              <w:spacing w:before="0" w:after="0" w:line="240" w:lineRule="exact"/>
              <w:jc w:val="right"/>
              <w:rPr>
                <w:rFonts w:ascii="宋体" w:hAnsi="宋体" w:eastAsia="宋体" w:cs="宋体"/>
                <w:sz w:val="18"/>
                <w:szCs w:val="18"/>
              </w:rPr>
            </w:pPr>
            <w:r>
              <w:rPr>
                <w:rFonts w:ascii="宋体" w:hAnsi="宋体" w:eastAsia="宋体" w:cs="宋体"/>
                <w:sz w:val="18"/>
                <w:szCs w:val="18"/>
              </w:rPr>
              <w:t>5,926.09</w:t>
            </w:r>
          </w:p>
        </w:tc>
        <w:tc>
          <w:tcPr>
            <w:tcW w:w="3213" w:type="dxa"/>
            <w:tcBorders>
              <w:top w:val="single" w:color="auto" w:sz="2" w:space="0"/>
              <w:left w:val="single" w:color="auto" w:sz="2" w:space="0"/>
              <w:bottom w:val="single" w:color="auto" w:sz="2" w:space="0"/>
              <w:right w:val="single" w:color="auto" w:sz="2" w:space="0"/>
            </w:tcBorders>
            <w:vAlign w:val="center"/>
          </w:tcPr>
          <w:p w14:paraId="416F2A0A">
            <w:pPr>
              <w:spacing w:before="0" w:after="0" w:line="240" w:lineRule="exact"/>
              <w:jc w:val="right"/>
              <w:rPr>
                <w:rFonts w:ascii="宋体" w:hAnsi="宋体" w:eastAsia="宋体" w:cs="宋体"/>
                <w:sz w:val="18"/>
                <w:szCs w:val="18"/>
              </w:rPr>
            </w:pPr>
          </w:p>
        </w:tc>
      </w:tr>
      <w:tr w14:paraId="51AB88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A3B89A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69711E14">
            <w:pPr>
              <w:spacing w:before="0" w:after="0" w:line="240" w:lineRule="exact"/>
              <w:jc w:val="right"/>
              <w:rPr>
                <w:rFonts w:ascii="宋体" w:hAnsi="宋体" w:eastAsia="宋体" w:cs="宋体"/>
                <w:sz w:val="18"/>
                <w:szCs w:val="18"/>
              </w:rPr>
            </w:pPr>
            <w:r>
              <w:rPr>
                <w:rFonts w:ascii="宋体" w:hAnsi="宋体" w:eastAsia="宋体" w:cs="宋体"/>
                <w:sz w:val="18"/>
                <w:szCs w:val="18"/>
              </w:rPr>
              <w:t>9,436,655.04</w:t>
            </w:r>
          </w:p>
        </w:tc>
        <w:tc>
          <w:tcPr>
            <w:tcW w:w="3213" w:type="dxa"/>
            <w:tcBorders>
              <w:top w:val="single" w:color="auto" w:sz="2" w:space="0"/>
              <w:left w:val="single" w:color="auto" w:sz="2" w:space="0"/>
              <w:bottom w:val="single" w:color="auto" w:sz="2" w:space="0"/>
              <w:right w:val="single" w:color="auto" w:sz="2" w:space="0"/>
            </w:tcBorders>
            <w:vAlign w:val="center"/>
          </w:tcPr>
          <w:p w14:paraId="3259C267">
            <w:pPr>
              <w:spacing w:before="0" w:after="0" w:line="240" w:lineRule="exact"/>
              <w:jc w:val="right"/>
              <w:rPr>
                <w:rFonts w:ascii="宋体" w:hAnsi="宋体" w:eastAsia="宋体" w:cs="宋体"/>
                <w:sz w:val="18"/>
                <w:szCs w:val="18"/>
              </w:rPr>
            </w:pPr>
            <w:r>
              <w:rPr>
                <w:rFonts w:ascii="宋体" w:hAnsi="宋体" w:eastAsia="宋体" w:cs="宋体"/>
                <w:sz w:val="18"/>
                <w:szCs w:val="18"/>
              </w:rPr>
              <w:t>8,804,156.32</w:t>
            </w:r>
          </w:p>
        </w:tc>
      </w:tr>
    </w:tbl>
    <w:p w14:paraId="0BA3D9A5">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272D3B2">
      <w:pPr>
        <w:keepNext/>
        <w:keepLines/>
        <w:spacing w:before="300" w:after="300" w:line="280" w:lineRule="exact"/>
        <w:jc w:val="left"/>
        <w:outlineLvl w:val="2"/>
        <w:rPr>
          <w:rFonts w:ascii="宋体" w:hAnsi="宋体" w:eastAsia="宋体" w:cs="宋体"/>
          <w:b/>
          <w:bCs/>
          <w:sz w:val="21"/>
          <w:szCs w:val="21"/>
        </w:rPr>
      </w:pPr>
      <w:bookmarkStart w:id="418" w:name="_Toc989301"/>
      <w:r>
        <w:rPr>
          <w:rFonts w:ascii="宋体" w:hAnsi="宋体" w:eastAsia="宋体" w:cs="宋体"/>
          <w:b/>
          <w:bCs/>
          <w:sz w:val="21"/>
          <w:szCs w:val="21"/>
        </w:rPr>
        <w:t>63、管理费用</w:t>
      </w:r>
      <w:bookmarkEnd w:id="418"/>
    </w:p>
    <w:p w14:paraId="74D9FD7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13EC48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66AAAD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C8410E5">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DEC6912">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022A82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6405DD9">
            <w:pPr>
              <w:spacing w:before="0" w:after="0" w:line="240" w:lineRule="exact"/>
              <w:jc w:val="left"/>
              <w:rPr>
                <w:rFonts w:ascii="宋体" w:hAnsi="宋体" w:eastAsia="宋体" w:cs="宋体"/>
                <w:sz w:val="18"/>
                <w:szCs w:val="18"/>
              </w:rPr>
            </w:pPr>
            <w:r>
              <w:rPr>
                <w:rFonts w:ascii="宋体" w:hAnsi="宋体" w:eastAsia="宋体" w:cs="宋体"/>
                <w:sz w:val="18"/>
                <w:szCs w:val="18"/>
              </w:rPr>
              <w:t>职工薪酬</w:t>
            </w:r>
          </w:p>
        </w:tc>
        <w:tc>
          <w:tcPr>
            <w:tcW w:w="3213" w:type="dxa"/>
            <w:tcBorders>
              <w:top w:val="single" w:color="auto" w:sz="2" w:space="0"/>
              <w:left w:val="single" w:color="auto" w:sz="2" w:space="0"/>
              <w:bottom w:val="single" w:color="auto" w:sz="2" w:space="0"/>
              <w:right w:val="single" w:color="auto" w:sz="2" w:space="0"/>
            </w:tcBorders>
            <w:vAlign w:val="center"/>
          </w:tcPr>
          <w:p w14:paraId="70B7E2A1">
            <w:pPr>
              <w:spacing w:before="0" w:after="0" w:line="240" w:lineRule="exact"/>
              <w:jc w:val="right"/>
              <w:rPr>
                <w:rFonts w:ascii="宋体" w:hAnsi="宋体" w:eastAsia="宋体" w:cs="宋体"/>
                <w:sz w:val="18"/>
                <w:szCs w:val="18"/>
              </w:rPr>
            </w:pPr>
            <w:r>
              <w:rPr>
                <w:rFonts w:ascii="宋体" w:hAnsi="宋体" w:eastAsia="宋体" w:cs="宋体"/>
                <w:sz w:val="18"/>
                <w:szCs w:val="18"/>
              </w:rPr>
              <w:t>44,966,509.32</w:t>
            </w:r>
          </w:p>
        </w:tc>
        <w:tc>
          <w:tcPr>
            <w:tcW w:w="3213" w:type="dxa"/>
            <w:tcBorders>
              <w:top w:val="single" w:color="auto" w:sz="2" w:space="0"/>
              <w:left w:val="single" w:color="auto" w:sz="2" w:space="0"/>
              <w:bottom w:val="single" w:color="auto" w:sz="2" w:space="0"/>
              <w:right w:val="single" w:color="auto" w:sz="2" w:space="0"/>
            </w:tcBorders>
            <w:vAlign w:val="center"/>
          </w:tcPr>
          <w:p w14:paraId="03A87823">
            <w:pPr>
              <w:spacing w:before="0" w:after="0" w:line="240" w:lineRule="exact"/>
              <w:jc w:val="right"/>
              <w:rPr>
                <w:rFonts w:ascii="宋体" w:hAnsi="宋体" w:eastAsia="宋体" w:cs="宋体"/>
                <w:sz w:val="18"/>
                <w:szCs w:val="18"/>
              </w:rPr>
            </w:pPr>
            <w:r>
              <w:rPr>
                <w:rFonts w:ascii="宋体" w:hAnsi="宋体" w:eastAsia="宋体" w:cs="宋体"/>
                <w:sz w:val="18"/>
                <w:szCs w:val="18"/>
              </w:rPr>
              <w:t>45,127,299.07</w:t>
            </w:r>
          </w:p>
        </w:tc>
      </w:tr>
      <w:tr w14:paraId="4C455B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AB45030">
            <w:pPr>
              <w:spacing w:before="0" w:after="0" w:line="240" w:lineRule="exact"/>
              <w:jc w:val="left"/>
              <w:rPr>
                <w:rFonts w:ascii="宋体" w:hAnsi="宋体" w:eastAsia="宋体" w:cs="宋体"/>
                <w:sz w:val="18"/>
                <w:szCs w:val="18"/>
              </w:rPr>
            </w:pPr>
            <w:r>
              <w:rPr>
                <w:rFonts w:ascii="宋体" w:hAnsi="宋体" w:eastAsia="宋体" w:cs="宋体"/>
                <w:sz w:val="18"/>
                <w:szCs w:val="18"/>
              </w:rPr>
              <w:t>折旧摊销费</w:t>
            </w:r>
          </w:p>
        </w:tc>
        <w:tc>
          <w:tcPr>
            <w:tcW w:w="3213" w:type="dxa"/>
            <w:tcBorders>
              <w:top w:val="single" w:color="auto" w:sz="2" w:space="0"/>
              <w:left w:val="single" w:color="auto" w:sz="2" w:space="0"/>
              <w:bottom w:val="single" w:color="auto" w:sz="2" w:space="0"/>
              <w:right w:val="single" w:color="auto" w:sz="2" w:space="0"/>
            </w:tcBorders>
            <w:vAlign w:val="center"/>
          </w:tcPr>
          <w:p w14:paraId="1F1A1758">
            <w:pPr>
              <w:spacing w:before="0" w:after="0" w:line="240" w:lineRule="exact"/>
              <w:jc w:val="right"/>
              <w:rPr>
                <w:rFonts w:ascii="宋体" w:hAnsi="宋体" w:eastAsia="宋体" w:cs="宋体"/>
                <w:sz w:val="18"/>
                <w:szCs w:val="18"/>
              </w:rPr>
            </w:pPr>
            <w:r>
              <w:rPr>
                <w:rFonts w:ascii="宋体" w:hAnsi="宋体" w:eastAsia="宋体" w:cs="宋体"/>
                <w:sz w:val="18"/>
                <w:szCs w:val="18"/>
              </w:rPr>
              <w:t>37,442,198.42</w:t>
            </w:r>
          </w:p>
        </w:tc>
        <w:tc>
          <w:tcPr>
            <w:tcW w:w="3213" w:type="dxa"/>
            <w:tcBorders>
              <w:top w:val="single" w:color="auto" w:sz="2" w:space="0"/>
              <w:left w:val="single" w:color="auto" w:sz="2" w:space="0"/>
              <w:bottom w:val="single" w:color="auto" w:sz="2" w:space="0"/>
              <w:right w:val="single" w:color="auto" w:sz="2" w:space="0"/>
            </w:tcBorders>
            <w:vAlign w:val="center"/>
          </w:tcPr>
          <w:p w14:paraId="2B78DCCF">
            <w:pPr>
              <w:spacing w:before="0" w:after="0" w:line="240" w:lineRule="exact"/>
              <w:jc w:val="right"/>
              <w:rPr>
                <w:rFonts w:ascii="宋体" w:hAnsi="宋体" w:eastAsia="宋体" w:cs="宋体"/>
                <w:sz w:val="18"/>
                <w:szCs w:val="18"/>
              </w:rPr>
            </w:pPr>
            <w:r>
              <w:rPr>
                <w:rFonts w:ascii="宋体" w:hAnsi="宋体" w:eastAsia="宋体" w:cs="宋体"/>
                <w:sz w:val="18"/>
                <w:szCs w:val="18"/>
              </w:rPr>
              <w:t>32,406,398.24</w:t>
            </w:r>
          </w:p>
        </w:tc>
      </w:tr>
      <w:tr w14:paraId="373D03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E4788A7">
            <w:pPr>
              <w:spacing w:before="0" w:after="0" w:line="240" w:lineRule="exact"/>
              <w:jc w:val="left"/>
              <w:rPr>
                <w:rFonts w:ascii="宋体" w:hAnsi="宋体" w:eastAsia="宋体" w:cs="宋体"/>
                <w:sz w:val="18"/>
                <w:szCs w:val="18"/>
              </w:rPr>
            </w:pPr>
            <w:r>
              <w:rPr>
                <w:rFonts w:ascii="宋体" w:hAnsi="宋体" w:eastAsia="宋体" w:cs="宋体"/>
                <w:sz w:val="18"/>
                <w:szCs w:val="18"/>
              </w:rPr>
              <w:t>中介咨询费</w:t>
            </w:r>
          </w:p>
        </w:tc>
        <w:tc>
          <w:tcPr>
            <w:tcW w:w="3213" w:type="dxa"/>
            <w:tcBorders>
              <w:top w:val="single" w:color="auto" w:sz="2" w:space="0"/>
              <w:left w:val="single" w:color="auto" w:sz="2" w:space="0"/>
              <w:bottom w:val="single" w:color="auto" w:sz="2" w:space="0"/>
              <w:right w:val="single" w:color="auto" w:sz="2" w:space="0"/>
            </w:tcBorders>
            <w:vAlign w:val="center"/>
          </w:tcPr>
          <w:p w14:paraId="13015B7A">
            <w:pPr>
              <w:spacing w:before="0" w:after="0" w:line="240" w:lineRule="exact"/>
              <w:jc w:val="right"/>
              <w:rPr>
                <w:rFonts w:ascii="宋体" w:hAnsi="宋体" w:eastAsia="宋体" w:cs="宋体"/>
                <w:sz w:val="18"/>
                <w:szCs w:val="18"/>
              </w:rPr>
            </w:pPr>
            <w:r>
              <w:rPr>
                <w:rFonts w:ascii="宋体" w:hAnsi="宋体" w:eastAsia="宋体" w:cs="宋体"/>
                <w:sz w:val="18"/>
                <w:szCs w:val="18"/>
              </w:rPr>
              <w:t>7,771,203.37</w:t>
            </w:r>
          </w:p>
        </w:tc>
        <w:tc>
          <w:tcPr>
            <w:tcW w:w="3213" w:type="dxa"/>
            <w:tcBorders>
              <w:top w:val="single" w:color="auto" w:sz="2" w:space="0"/>
              <w:left w:val="single" w:color="auto" w:sz="2" w:space="0"/>
              <w:bottom w:val="single" w:color="auto" w:sz="2" w:space="0"/>
              <w:right w:val="single" w:color="auto" w:sz="2" w:space="0"/>
            </w:tcBorders>
            <w:vAlign w:val="center"/>
          </w:tcPr>
          <w:p w14:paraId="3D86C833">
            <w:pPr>
              <w:spacing w:before="0" w:after="0" w:line="240" w:lineRule="exact"/>
              <w:jc w:val="right"/>
              <w:rPr>
                <w:rFonts w:ascii="宋体" w:hAnsi="宋体" w:eastAsia="宋体" w:cs="宋体"/>
                <w:sz w:val="18"/>
                <w:szCs w:val="18"/>
              </w:rPr>
            </w:pPr>
            <w:r>
              <w:rPr>
                <w:rFonts w:ascii="宋体" w:hAnsi="宋体" w:eastAsia="宋体" w:cs="宋体"/>
                <w:sz w:val="18"/>
                <w:szCs w:val="18"/>
              </w:rPr>
              <w:t>13,104,151.48</w:t>
            </w:r>
          </w:p>
        </w:tc>
      </w:tr>
      <w:tr w14:paraId="207AF9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A75EE96">
            <w:pPr>
              <w:spacing w:before="0" w:after="0" w:line="240" w:lineRule="exact"/>
              <w:jc w:val="left"/>
              <w:rPr>
                <w:rFonts w:ascii="宋体" w:hAnsi="宋体" w:eastAsia="宋体" w:cs="宋体"/>
                <w:sz w:val="18"/>
                <w:szCs w:val="18"/>
              </w:rPr>
            </w:pPr>
            <w:r>
              <w:rPr>
                <w:rFonts w:ascii="宋体" w:hAnsi="宋体" w:eastAsia="宋体" w:cs="宋体"/>
                <w:sz w:val="18"/>
                <w:szCs w:val="18"/>
              </w:rPr>
              <w:t>房租物业费</w:t>
            </w:r>
          </w:p>
        </w:tc>
        <w:tc>
          <w:tcPr>
            <w:tcW w:w="3213" w:type="dxa"/>
            <w:tcBorders>
              <w:top w:val="single" w:color="auto" w:sz="2" w:space="0"/>
              <w:left w:val="single" w:color="auto" w:sz="2" w:space="0"/>
              <w:bottom w:val="single" w:color="auto" w:sz="2" w:space="0"/>
              <w:right w:val="single" w:color="auto" w:sz="2" w:space="0"/>
            </w:tcBorders>
            <w:vAlign w:val="center"/>
          </w:tcPr>
          <w:p w14:paraId="1A4594D5">
            <w:pPr>
              <w:spacing w:before="0" w:after="0" w:line="240" w:lineRule="exact"/>
              <w:jc w:val="right"/>
              <w:rPr>
                <w:rFonts w:ascii="宋体" w:hAnsi="宋体" w:eastAsia="宋体" w:cs="宋体"/>
                <w:sz w:val="18"/>
                <w:szCs w:val="18"/>
              </w:rPr>
            </w:pPr>
            <w:r>
              <w:rPr>
                <w:rFonts w:ascii="宋体" w:hAnsi="宋体" w:eastAsia="宋体" w:cs="宋体"/>
                <w:sz w:val="18"/>
                <w:szCs w:val="18"/>
              </w:rPr>
              <w:t>4,016,241.83</w:t>
            </w:r>
          </w:p>
        </w:tc>
        <w:tc>
          <w:tcPr>
            <w:tcW w:w="3213" w:type="dxa"/>
            <w:tcBorders>
              <w:top w:val="single" w:color="auto" w:sz="2" w:space="0"/>
              <w:left w:val="single" w:color="auto" w:sz="2" w:space="0"/>
              <w:bottom w:val="single" w:color="auto" w:sz="2" w:space="0"/>
              <w:right w:val="single" w:color="auto" w:sz="2" w:space="0"/>
            </w:tcBorders>
            <w:vAlign w:val="center"/>
          </w:tcPr>
          <w:p w14:paraId="57492ADE">
            <w:pPr>
              <w:spacing w:before="0" w:after="0" w:line="240" w:lineRule="exact"/>
              <w:jc w:val="right"/>
              <w:rPr>
                <w:rFonts w:ascii="宋体" w:hAnsi="宋体" w:eastAsia="宋体" w:cs="宋体"/>
                <w:sz w:val="18"/>
                <w:szCs w:val="18"/>
              </w:rPr>
            </w:pPr>
            <w:r>
              <w:rPr>
                <w:rFonts w:ascii="宋体" w:hAnsi="宋体" w:eastAsia="宋体" w:cs="宋体"/>
                <w:sz w:val="18"/>
                <w:szCs w:val="18"/>
              </w:rPr>
              <w:t>3,838,098.93</w:t>
            </w:r>
          </w:p>
        </w:tc>
      </w:tr>
      <w:tr w14:paraId="2C9D1E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975B2C2">
            <w:pPr>
              <w:spacing w:before="0" w:after="0" w:line="240" w:lineRule="exact"/>
              <w:jc w:val="left"/>
              <w:rPr>
                <w:rFonts w:ascii="宋体" w:hAnsi="宋体" w:eastAsia="宋体" w:cs="宋体"/>
                <w:sz w:val="18"/>
                <w:szCs w:val="18"/>
              </w:rPr>
            </w:pPr>
            <w:r>
              <w:rPr>
                <w:rFonts w:ascii="宋体" w:hAnsi="宋体" w:eastAsia="宋体" w:cs="宋体"/>
                <w:sz w:val="18"/>
                <w:szCs w:val="18"/>
              </w:rPr>
              <w:t>业务招待费</w:t>
            </w:r>
          </w:p>
        </w:tc>
        <w:tc>
          <w:tcPr>
            <w:tcW w:w="3213" w:type="dxa"/>
            <w:tcBorders>
              <w:top w:val="single" w:color="auto" w:sz="2" w:space="0"/>
              <w:left w:val="single" w:color="auto" w:sz="2" w:space="0"/>
              <w:bottom w:val="single" w:color="auto" w:sz="2" w:space="0"/>
              <w:right w:val="single" w:color="auto" w:sz="2" w:space="0"/>
            </w:tcBorders>
            <w:vAlign w:val="center"/>
          </w:tcPr>
          <w:p w14:paraId="13AB5160">
            <w:pPr>
              <w:spacing w:before="0" w:after="0" w:line="240" w:lineRule="exact"/>
              <w:jc w:val="right"/>
              <w:rPr>
                <w:rFonts w:ascii="宋体" w:hAnsi="宋体" w:eastAsia="宋体" w:cs="宋体"/>
                <w:sz w:val="18"/>
                <w:szCs w:val="18"/>
              </w:rPr>
            </w:pPr>
            <w:r>
              <w:rPr>
                <w:rFonts w:ascii="宋体" w:hAnsi="宋体" w:eastAsia="宋体" w:cs="宋体"/>
                <w:sz w:val="18"/>
                <w:szCs w:val="18"/>
              </w:rPr>
              <w:t>2,582,609.95</w:t>
            </w:r>
          </w:p>
        </w:tc>
        <w:tc>
          <w:tcPr>
            <w:tcW w:w="3213" w:type="dxa"/>
            <w:tcBorders>
              <w:top w:val="single" w:color="auto" w:sz="2" w:space="0"/>
              <w:left w:val="single" w:color="auto" w:sz="2" w:space="0"/>
              <w:bottom w:val="single" w:color="auto" w:sz="2" w:space="0"/>
              <w:right w:val="single" w:color="auto" w:sz="2" w:space="0"/>
            </w:tcBorders>
            <w:vAlign w:val="center"/>
          </w:tcPr>
          <w:p w14:paraId="779946C9">
            <w:pPr>
              <w:spacing w:before="0" w:after="0" w:line="240" w:lineRule="exact"/>
              <w:jc w:val="right"/>
              <w:rPr>
                <w:rFonts w:ascii="宋体" w:hAnsi="宋体" w:eastAsia="宋体" w:cs="宋体"/>
                <w:sz w:val="18"/>
                <w:szCs w:val="18"/>
              </w:rPr>
            </w:pPr>
            <w:r>
              <w:rPr>
                <w:rFonts w:ascii="宋体" w:hAnsi="宋体" w:eastAsia="宋体" w:cs="宋体"/>
                <w:sz w:val="18"/>
                <w:szCs w:val="18"/>
              </w:rPr>
              <w:t>3,406,078.93</w:t>
            </w:r>
          </w:p>
        </w:tc>
      </w:tr>
      <w:tr w14:paraId="299BC1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735D377">
            <w:pPr>
              <w:spacing w:before="0" w:after="0" w:line="240" w:lineRule="exact"/>
              <w:jc w:val="left"/>
              <w:rPr>
                <w:rFonts w:ascii="宋体" w:hAnsi="宋体" w:eastAsia="宋体" w:cs="宋体"/>
                <w:sz w:val="18"/>
                <w:szCs w:val="18"/>
              </w:rPr>
            </w:pPr>
            <w:r>
              <w:rPr>
                <w:rFonts w:ascii="宋体" w:hAnsi="宋体" w:eastAsia="宋体" w:cs="宋体"/>
                <w:sz w:val="18"/>
                <w:szCs w:val="18"/>
              </w:rPr>
              <w:t>交通差旅费</w:t>
            </w:r>
          </w:p>
        </w:tc>
        <w:tc>
          <w:tcPr>
            <w:tcW w:w="3213" w:type="dxa"/>
            <w:tcBorders>
              <w:top w:val="single" w:color="auto" w:sz="2" w:space="0"/>
              <w:left w:val="single" w:color="auto" w:sz="2" w:space="0"/>
              <w:bottom w:val="single" w:color="auto" w:sz="2" w:space="0"/>
              <w:right w:val="single" w:color="auto" w:sz="2" w:space="0"/>
            </w:tcBorders>
            <w:vAlign w:val="center"/>
          </w:tcPr>
          <w:p w14:paraId="273E329E">
            <w:pPr>
              <w:spacing w:before="0" w:after="0" w:line="240" w:lineRule="exact"/>
              <w:jc w:val="right"/>
              <w:rPr>
                <w:rFonts w:ascii="宋体" w:hAnsi="宋体" w:eastAsia="宋体" w:cs="宋体"/>
                <w:sz w:val="18"/>
                <w:szCs w:val="18"/>
              </w:rPr>
            </w:pPr>
            <w:r>
              <w:rPr>
                <w:rFonts w:ascii="宋体" w:hAnsi="宋体" w:eastAsia="宋体" w:cs="宋体"/>
                <w:sz w:val="18"/>
                <w:szCs w:val="18"/>
              </w:rPr>
              <w:t>2,996,764.23</w:t>
            </w:r>
          </w:p>
        </w:tc>
        <w:tc>
          <w:tcPr>
            <w:tcW w:w="3213" w:type="dxa"/>
            <w:tcBorders>
              <w:top w:val="single" w:color="auto" w:sz="2" w:space="0"/>
              <w:left w:val="single" w:color="auto" w:sz="2" w:space="0"/>
              <w:bottom w:val="single" w:color="auto" w:sz="2" w:space="0"/>
              <w:right w:val="single" w:color="auto" w:sz="2" w:space="0"/>
            </w:tcBorders>
            <w:vAlign w:val="center"/>
          </w:tcPr>
          <w:p w14:paraId="77FFB146">
            <w:pPr>
              <w:spacing w:before="0" w:after="0" w:line="240" w:lineRule="exact"/>
              <w:jc w:val="right"/>
              <w:rPr>
                <w:rFonts w:ascii="宋体" w:hAnsi="宋体" w:eastAsia="宋体" w:cs="宋体"/>
                <w:sz w:val="18"/>
                <w:szCs w:val="18"/>
              </w:rPr>
            </w:pPr>
            <w:r>
              <w:rPr>
                <w:rFonts w:ascii="宋体" w:hAnsi="宋体" w:eastAsia="宋体" w:cs="宋体"/>
                <w:sz w:val="18"/>
                <w:szCs w:val="18"/>
              </w:rPr>
              <w:t>3,247,216.93</w:t>
            </w:r>
          </w:p>
        </w:tc>
      </w:tr>
      <w:tr w14:paraId="4DBC17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D26938B">
            <w:pPr>
              <w:spacing w:before="0" w:after="0" w:line="240" w:lineRule="exact"/>
              <w:jc w:val="left"/>
              <w:rPr>
                <w:rFonts w:ascii="宋体" w:hAnsi="宋体" w:eastAsia="宋体" w:cs="宋体"/>
                <w:sz w:val="18"/>
                <w:szCs w:val="18"/>
              </w:rPr>
            </w:pPr>
            <w:r>
              <w:rPr>
                <w:rFonts w:ascii="宋体" w:hAnsi="宋体" w:eastAsia="宋体" w:cs="宋体"/>
                <w:sz w:val="18"/>
                <w:szCs w:val="18"/>
              </w:rPr>
              <w:t>办公费</w:t>
            </w:r>
          </w:p>
        </w:tc>
        <w:tc>
          <w:tcPr>
            <w:tcW w:w="3213" w:type="dxa"/>
            <w:tcBorders>
              <w:top w:val="single" w:color="auto" w:sz="2" w:space="0"/>
              <w:left w:val="single" w:color="auto" w:sz="2" w:space="0"/>
              <w:bottom w:val="single" w:color="auto" w:sz="2" w:space="0"/>
              <w:right w:val="single" w:color="auto" w:sz="2" w:space="0"/>
            </w:tcBorders>
            <w:vAlign w:val="center"/>
          </w:tcPr>
          <w:p w14:paraId="4A968A0E">
            <w:pPr>
              <w:spacing w:before="0" w:after="0" w:line="240" w:lineRule="exact"/>
              <w:jc w:val="right"/>
              <w:rPr>
                <w:rFonts w:ascii="宋体" w:hAnsi="宋体" w:eastAsia="宋体" w:cs="宋体"/>
                <w:sz w:val="18"/>
                <w:szCs w:val="18"/>
              </w:rPr>
            </w:pPr>
            <w:r>
              <w:rPr>
                <w:rFonts w:ascii="宋体" w:hAnsi="宋体" w:eastAsia="宋体" w:cs="宋体"/>
                <w:sz w:val="18"/>
                <w:szCs w:val="18"/>
              </w:rPr>
              <w:t>2,279,985.45</w:t>
            </w:r>
          </w:p>
        </w:tc>
        <w:tc>
          <w:tcPr>
            <w:tcW w:w="3213" w:type="dxa"/>
            <w:tcBorders>
              <w:top w:val="single" w:color="auto" w:sz="2" w:space="0"/>
              <w:left w:val="single" w:color="auto" w:sz="2" w:space="0"/>
              <w:bottom w:val="single" w:color="auto" w:sz="2" w:space="0"/>
              <w:right w:val="single" w:color="auto" w:sz="2" w:space="0"/>
            </w:tcBorders>
            <w:vAlign w:val="center"/>
          </w:tcPr>
          <w:p w14:paraId="60E6304A">
            <w:pPr>
              <w:spacing w:before="0" w:after="0" w:line="240" w:lineRule="exact"/>
              <w:jc w:val="right"/>
              <w:rPr>
                <w:rFonts w:ascii="宋体" w:hAnsi="宋体" w:eastAsia="宋体" w:cs="宋体"/>
                <w:sz w:val="18"/>
                <w:szCs w:val="18"/>
              </w:rPr>
            </w:pPr>
            <w:r>
              <w:rPr>
                <w:rFonts w:ascii="宋体" w:hAnsi="宋体" w:eastAsia="宋体" w:cs="宋体"/>
                <w:sz w:val="18"/>
                <w:szCs w:val="18"/>
              </w:rPr>
              <w:t>1,785,537.42</w:t>
            </w:r>
          </w:p>
        </w:tc>
      </w:tr>
      <w:tr w14:paraId="5AD1F0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0B94638">
            <w:pPr>
              <w:spacing w:before="0" w:after="0" w:line="240" w:lineRule="exact"/>
              <w:jc w:val="left"/>
              <w:rPr>
                <w:rFonts w:ascii="宋体" w:hAnsi="宋体" w:eastAsia="宋体" w:cs="宋体"/>
                <w:sz w:val="18"/>
                <w:szCs w:val="18"/>
              </w:rPr>
            </w:pPr>
            <w:r>
              <w:rPr>
                <w:rFonts w:ascii="宋体" w:hAnsi="宋体" w:eastAsia="宋体" w:cs="宋体"/>
                <w:sz w:val="18"/>
                <w:szCs w:val="18"/>
              </w:rPr>
              <w:t>物料</w:t>
            </w:r>
          </w:p>
        </w:tc>
        <w:tc>
          <w:tcPr>
            <w:tcW w:w="3213" w:type="dxa"/>
            <w:tcBorders>
              <w:top w:val="single" w:color="auto" w:sz="2" w:space="0"/>
              <w:left w:val="single" w:color="auto" w:sz="2" w:space="0"/>
              <w:bottom w:val="single" w:color="auto" w:sz="2" w:space="0"/>
              <w:right w:val="single" w:color="auto" w:sz="2" w:space="0"/>
            </w:tcBorders>
            <w:vAlign w:val="center"/>
          </w:tcPr>
          <w:p w14:paraId="3F8E36DD">
            <w:pPr>
              <w:spacing w:before="0" w:after="0" w:line="240" w:lineRule="exact"/>
              <w:jc w:val="right"/>
              <w:rPr>
                <w:rFonts w:ascii="宋体" w:hAnsi="宋体" w:eastAsia="宋体" w:cs="宋体"/>
                <w:sz w:val="18"/>
                <w:szCs w:val="18"/>
              </w:rPr>
            </w:pPr>
            <w:r>
              <w:rPr>
                <w:rFonts w:ascii="宋体" w:hAnsi="宋体" w:eastAsia="宋体" w:cs="宋体"/>
                <w:sz w:val="18"/>
                <w:szCs w:val="18"/>
              </w:rPr>
              <w:t>237,431.46</w:t>
            </w:r>
          </w:p>
        </w:tc>
        <w:tc>
          <w:tcPr>
            <w:tcW w:w="3213" w:type="dxa"/>
            <w:tcBorders>
              <w:top w:val="single" w:color="auto" w:sz="2" w:space="0"/>
              <w:left w:val="single" w:color="auto" w:sz="2" w:space="0"/>
              <w:bottom w:val="single" w:color="auto" w:sz="2" w:space="0"/>
              <w:right w:val="single" w:color="auto" w:sz="2" w:space="0"/>
            </w:tcBorders>
            <w:vAlign w:val="center"/>
          </w:tcPr>
          <w:p w14:paraId="5A3D96CF">
            <w:pPr>
              <w:spacing w:before="0" w:after="0" w:line="240" w:lineRule="exact"/>
              <w:jc w:val="right"/>
              <w:rPr>
                <w:rFonts w:ascii="宋体" w:hAnsi="宋体" w:eastAsia="宋体" w:cs="宋体"/>
                <w:sz w:val="18"/>
                <w:szCs w:val="18"/>
              </w:rPr>
            </w:pPr>
            <w:r>
              <w:rPr>
                <w:rFonts w:ascii="宋体" w:hAnsi="宋体" w:eastAsia="宋体" w:cs="宋体"/>
                <w:sz w:val="18"/>
                <w:szCs w:val="18"/>
              </w:rPr>
              <w:t>1,021,198.68</w:t>
            </w:r>
          </w:p>
        </w:tc>
      </w:tr>
      <w:tr w14:paraId="3CFE62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D5A781F">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14:paraId="671CF5A3">
            <w:pPr>
              <w:spacing w:before="0" w:after="0" w:line="240" w:lineRule="exact"/>
              <w:jc w:val="right"/>
              <w:rPr>
                <w:rFonts w:ascii="宋体" w:hAnsi="宋体" w:eastAsia="宋体" w:cs="宋体"/>
                <w:sz w:val="18"/>
                <w:szCs w:val="18"/>
              </w:rPr>
            </w:pPr>
            <w:r>
              <w:rPr>
                <w:rFonts w:ascii="宋体" w:hAnsi="宋体" w:eastAsia="宋体" w:cs="宋体"/>
                <w:sz w:val="18"/>
                <w:szCs w:val="18"/>
              </w:rPr>
              <w:t>10,220,800.56</w:t>
            </w:r>
          </w:p>
        </w:tc>
        <w:tc>
          <w:tcPr>
            <w:tcW w:w="3213" w:type="dxa"/>
            <w:tcBorders>
              <w:top w:val="single" w:color="auto" w:sz="2" w:space="0"/>
              <w:left w:val="single" w:color="auto" w:sz="2" w:space="0"/>
              <w:bottom w:val="single" w:color="auto" w:sz="2" w:space="0"/>
              <w:right w:val="single" w:color="auto" w:sz="2" w:space="0"/>
            </w:tcBorders>
            <w:vAlign w:val="center"/>
          </w:tcPr>
          <w:p w14:paraId="55FE476D">
            <w:pPr>
              <w:spacing w:before="0" w:after="0" w:line="240" w:lineRule="exact"/>
              <w:jc w:val="right"/>
              <w:rPr>
                <w:rFonts w:ascii="宋体" w:hAnsi="宋体" w:eastAsia="宋体" w:cs="宋体"/>
                <w:sz w:val="18"/>
                <w:szCs w:val="18"/>
              </w:rPr>
            </w:pPr>
            <w:r>
              <w:rPr>
                <w:rFonts w:ascii="宋体" w:hAnsi="宋体" w:eastAsia="宋体" w:cs="宋体"/>
                <w:sz w:val="18"/>
                <w:szCs w:val="18"/>
              </w:rPr>
              <w:t>10,985,463.13</w:t>
            </w:r>
          </w:p>
        </w:tc>
      </w:tr>
      <w:tr w14:paraId="525D2C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561BFCF">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0A39C7E5">
            <w:pPr>
              <w:spacing w:before="0" w:after="0" w:line="240" w:lineRule="exact"/>
              <w:jc w:val="right"/>
              <w:rPr>
                <w:rFonts w:ascii="宋体" w:hAnsi="宋体" w:eastAsia="宋体" w:cs="宋体"/>
                <w:sz w:val="18"/>
                <w:szCs w:val="18"/>
              </w:rPr>
            </w:pPr>
            <w:r>
              <w:rPr>
                <w:rFonts w:ascii="宋体" w:hAnsi="宋体" w:eastAsia="宋体" w:cs="宋体"/>
                <w:sz w:val="18"/>
                <w:szCs w:val="18"/>
              </w:rPr>
              <w:t>112,513,744.59</w:t>
            </w:r>
          </w:p>
        </w:tc>
        <w:tc>
          <w:tcPr>
            <w:tcW w:w="3213" w:type="dxa"/>
            <w:tcBorders>
              <w:top w:val="single" w:color="auto" w:sz="2" w:space="0"/>
              <w:left w:val="single" w:color="auto" w:sz="2" w:space="0"/>
              <w:bottom w:val="single" w:color="auto" w:sz="2" w:space="0"/>
              <w:right w:val="single" w:color="auto" w:sz="2" w:space="0"/>
            </w:tcBorders>
            <w:vAlign w:val="center"/>
          </w:tcPr>
          <w:p w14:paraId="591AB97C">
            <w:pPr>
              <w:spacing w:before="0" w:after="0" w:line="240" w:lineRule="exact"/>
              <w:jc w:val="right"/>
              <w:rPr>
                <w:rFonts w:ascii="宋体" w:hAnsi="宋体" w:eastAsia="宋体" w:cs="宋体"/>
                <w:sz w:val="18"/>
                <w:szCs w:val="18"/>
              </w:rPr>
            </w:pPr>
            <w:r>
              <w:rPr>
                <w:rFonts w:ascii="宋体" w:hAnsi="宋体" w:eastAsia="宋体" w:cs="宋体"/>
                <w:sz w:val="18"/>
                <w:szCs w:val="18"/>
              </w:rPr>
              <w:t>114,921,442.81</w:t>
            </w:r>
          </w:p>
        </w:tc>
      </w:tr>
    </w:tbl>
    <w:p w14:paraId="4CDBC061">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F8F5F64">
      <w:pPr>
        <w:keepNext/>
        <w:keepLines/>
        <w:spacing w:before="300" w:after="300" w:line="280" w:lineRule="exact"/>
        <w:jc w:val="left"/>
        <w:outlineLvl w:val="2"/>
        <w:rPr>
          <w:rFonts w:ascii="宋体" w:hAnsi="宋体" w:eastAsia="宋体" w:cs="宋体"/>
          <w:b/>
          <w:bCs/>
          <w:sz w:val="21"/>
          <w:szCs w:val="21"/>
        </w:rPr>
      </w:pPr>
      <w:bookmarkStart w:id="419" w:name="_Toc989302"/>
      <w:r>
        <w:rPr>
          <w:rFonts w:ascii="宋体" w:hAnsi="宋体" w:eastAsia="宋体" w:cs="宋体"/>
          <w:b/>
          <w:bCs/>
          <w:sz w:val="21"/>
          <w:szCs w:val="21"/>
        </w:rPr>
        <w:t>64、销售费用</w:t>
      </w:r>
      <w:bookmarkEnd w:id="419"/>
    </w:p>
    <w:p w14:paraId="76ADB27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738642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6A6FDC0">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0386D85">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0319DDB">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7A2922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FA0E8C3">
            <w:pPr>
              <w:spacing w:before="0" w:after="0" w:line="240" w:lineRule="exact"/>
              <w:jc w:val="left"/>
              <w:rPr>
                <w:rFonts w:ascii="宋体" w:hAnsi="宋体" w:eastAsia="宋体" w:cs="宋体"/>
                <w:sz w:val="18"/>
                <w:szCs w:val="18"/>
              </w:rPr>
            </w:pPr>
            <w:r>
              <w:rPr>
                <w:rFonts w:ascii="宋体" w:hAnsi="宋体" w:eastAsia="宋体" w:cs="宋体"/>
                <w:sz w:val="18"/>
                <w:szCs w:val="18"/>
              </w:rPr>
              <w:t>市场推广费</w:t>
            </w:r>
          </w:p>
        </w:tc>
        <w:tc>
          <w:tcPr>
            <w:tcW w:w="3213" w:type="dxa"/>
            <w:tcBorders>
              <w:top w:val="single" w:color="auto" w:sz="2" w:space="0"/>
              <w:left w:val="single" w:color="auto" w:sz="2" w:space="0"/>
              <w:bottom w:val="single" w:color="auto" w:sz="2" w:space="0"/>
              <w:right w:val="single" w:color="auto" w:sz="2" w:space="0"/>
            </w:tcBorders>
            <w:vAlign w:val="center"/>
          </w:tcPr>
          <w:p w14:paraId="0444BEBD">
            <w:pPr>
              <w:spacing w:before="0" w:after="0" w:line="240" w:lineRule="exact"/>
              <w:jc w:val="right"/>
              <w:rPr>
                <w:rFonts w:ascii="宋体" w:hAnsi="宋体" w:eastAsia="宋体" w:cs="宋体"/>
                <w:sz w:val="18"/>
                <w:szCs w:val="18"/>
              </w:rPr>
            </w:pPr>
            <w:r>
              <w:rPr>
                <w:rFonts w:ascii="宋体" w:hAnsi="宋体" w:eastAsia="宋体" w:cs="宋体"/>
                <w:sz w:val="18"/>
                <w:szCs w:val="18"/>
              </w:rPr>
              <w:t>136,091,120.83</w:t>
            </w:r>
          </w:p>
        </w:tc>
        <w:tc>
          <w:tcPr>
            <w:tcW w:w="3213" w:type="dxa"/>
            <w:tcBorders>
              <w:top w:val="single" w:color="auto" w:sz="2" w:space="0"/>
              <w:left w:val="single" w:color="auto" w:sz="2" w:space="0"/>
              <w:bottom w:val="single" w:color="auto" w:sz="2" w:space="0"/>
              <w:right w:val="single" w:color="auto" w:sz="2" w:space="0"/>
            </w:tcBorders>
            <w:vAlign w:val="center"/>
          </w:tcPr>
          <w:p w14:paraId="244A688C">
            <w:pPr>
              <w:spacing w:before="0" w:after="0" w:line="240" w:lineRule="exact"/>
              <w:jc w:val="right"/>
              <w:rPr>
                <w:rFonts w:ascii="宋体" w:hAnsi="宋体" w:eastAsia="宋体" w:cs="宋体"/>
                <w:sz w:val="18"/>
                <w:szCs w:val="18"/>
              </w:rPr>
            </w:pPr>
            <w:r>
              <w:rPr>
                <w:rFonts w:ascii="宋体" w:hAnsi="宋体" w:eastAsia="宋体" w:cs="宋体"/>
                <w:sz w:val="18"/>
                <w:szCs w:val="18"/>
              </w:rPr>
              <w:t>140,176,751.41</w:t>
            </w:r>
          </w:p>
        </w:tc>
      </w:tr>
      <w:tr w14:paraId="5668A3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099B28B">
            <w:pPr>
              <w:spacing w:before="0" w:after="0" w:line="240" w:lineRule="exact"/>
              <w:jc w:val="left"/>
              <w:rPr>
                <w:rFonts w:ascii="宋体" w:hAnsi="宋体" w:eastAsia="宋体" w:cs="宋体"/>
                <w:sz w:val="18"/>
                <w:szCs w:val="18"/>
              </w:rPr>
            </w:pPr>
            <w:r>
              <w:rPr>
                <w:rFonts w:ascii="宋体" w:hAnsi="宋体" w:eastAsia="宋体" w:cs="宋体"/>
                <w:sz w:val="18"/>
                <w:szCs w:val="18"/>
              </w:rPr>
              <w:t>职工薪酬</w:t>
            </w:r>
          </w:p>
        </w:tc>
        <w:tc>
          <w:tcPr>
            <w:tcW w:w="3213" w:type="dxa"/>
            <w:tcBorders>
              <w:top w:val="single" w:color="auto" w:sz="2" w:space="0"/>
              <w:left w:val="single" w:color="auto" w:sz="2" w:space="0"/>
              <w:bottom w:val="single" w:color="auto" w:sz="2" w:space="0"/>
              <w:right w:val="single" w:color="auto" w:sz="2" w:space="0"/>
            </w:tcBorders>
            <w:vAlign w:val="center"/>
          </w:tcPr>
          <w:p w14:paraId="5A634412">
            <w:pPr>
              <w:spacing w:before="0" w:after="0" w:line="240" w:lineRule="exact"/>
              <w:jc w:val="right"/>
              <w:rPr>
                <w:rFonts w:ascii="宋体" w:hAnsi="宋体" w:eastAsia="宋体" w:cs="宋体"/>
                <w:sz w:val="18"/>
                <w:szCs w:val="18"/>
              </w:rPr>
            </w:pPr>
            <w:r>
              <w:rPr>
                <w:rFonts w:ascii="宋体" w:hAnsi="宋体" w:eastAsia="宋体" w:cs="宋体"/>
                <w:sz w:val="18"/>
                <w:szCs w:val="18"/>
              </w:rPr>
              <w:t>52,487,406.68</w:t>
            </w:r>
          </w:p>
        </w:tc>
        <w:tc>
          <w:tcPr>
            <w:tcW w:w="3213" w:type="dxa"/>
            <w:tcBorders>
              <w:top w:val="single" w:color="auto" w:sz="2" w:space="0"/>
              <w:left w:val="single" w:color="auto" w:sz="2" w:space="0"/>
              <w:bottom w:val="single" w:color="auto" w:sz="2" w:space="0"/>
              <w:right w:val="single" w:color="auto" w:sz="2" w:space="0"/>
            </w:tcBorders>
            <w:vAlign w:val="center"/>
          </w:tcPr>
          <w:p w14:paraId="0EFDAFD4">
            <w:pPr>
              <w:spacing w:before="0" w:after="0" w:line="240" w:lineRule="exact"/>
              <w:jc w:val="right"/>
              <w:rPr>
                <w:rFonts w:ascii="宋体" w:hAnsi="宋体" w:eastAsia="宋体" w:cs="宋体"/>
                <w:sz w:val="18"/>
                <w:szCs w:val="18"/>
              </w:rPr>
            </w:pPr>
            <w:r>
              <w:rPr>
                <w:rFonts w:ascii="宋体" w:hAnsi="宋体" w:eastAsia="宋体" w:cs="宋体"/>
                <w:sz w:val="18"/>
                <w:szCs w:val="18"/>
              </w:rPr>
              <w:t>42,283,260.09</w:t>
            </w:r>
          </w:p>
        </w:tc>
      </w:tr>
      <w:tr w14:paraId="50D565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26753DD">
            <w:pPr>
              <w:spacing w:before="0" w:after="0" w:line="240" w:lineRule="exact"/>
              <w:jc w:val="left"/>
              <w:rPr>
                <w:rFonts w:ascii="宋体" w:hAnsi="宋体" w:eastAsia="宋体" w:cs="宋体"/>
                <w:sz w:val="18"/>
                <w:szCs w:val="18"/>
              </w:rPr>
            </w:pPr>
            <w:r>
              <w:rPr>
                <w:rFonts w:ascii="宋体" w:hAnsi="宋体" w:eastAsia="宋体" w:cs="宋体"/>
                <w:sz w:val="18"/>
                <w:szCs w:val="18"/>
              </w:rPr>
              <w:t>交通差旅费</w:t>
            </w:r>
          </w:p>
        </w:tc>
        <w:tc>
          <w:tcPr>
            <w:tcW w:w="3213" w:type="dxa"/>
            <w:tcBorders>
              <w:top w:val="single" w:color="auto" w:sz="2" w:space="0"/>
              <w:left w:val="single" w:color="auto" w:sz="2" w:space="0"/>
              <w:bottom w:val="single" w:color="auto" w:sz="2" w:space="0"/>
              <w:right w:val="single" w:color="auto" w:sz="2" w:space="0"/>
            </w:tcBorders>
            <w:vAlign w:val="center"/>
          </w:tcPr>
          <w:p w14:paraId="75F98D59">
            <w:pPr>
              <w:spacing w:before="0" w:after="0" w:line="240" w:lineRule="exact"/>
              <w:jc w:val="right"/>
              <w:rPr>
                <w:rFonts w:ascii="宋体" w:hAnsi="宋体" w:eastAsia="宋体" w:cs="宋体"/>
                <w:sz w:val="18"/>
                <w:szCs w:val="18"/>
              </w:rPr>
            </w:pPr>
            <w:r>
              <w:rPr>
                <w:rFonts w:ascii="宋体" w:hAnsi="宋体" w:eastAsia="宋体" w:cs="宋体"/>
                <w:sz w:val="18"/>
                <w:szCs w:val="18"/>
              </w:rPr>
              <w:t>4,819,547.60</w:t>
            </w:r>
          </w:p>
        </w:tc>
        <w:tc>
          <w:tcPr>
            <w:tcW w:w="3213" w:type="dxa"/>
            <w:tcBorders>
              <w:top w:val="single" w:color="auto" w:sz="2" w:space="0"/>
              <w:left w:val="single" w:color="auto" w:sz="2" w:space="0"/>
              <w:bottom w:val="single" w:color="auto" w:sz="2" w:space="0"/>
              <w:right w:val="single" w:color="auto" w:sz="2" w:space="0"/>
            </w:tcBorders>
            <w:vAlign w:val="center"/>
          </w:tcPr>
          <w:p w14:paraId="4AE35D66">
            <w:pPr>
              <w:spacing w:before="0" w:after="0" w:line="240" w:lineRule="exact"/>
              <w:jc w:val="right"/>
              <w:rPr>
                <w:rFonts w:ascii="宋体" w:hAnsi="宋体" w:eastAsia="宋体" w:cs="宋体"/>
                <w:sz w:val="18"/>
                <w:szCs w:val="18"/>
              </w:rPr>
            </w:pPr>
            <w:r>
              <w:rPr>
                <w:rFonts w:ascii="宋体" w:hAnsi="宋体" w:eastAsia="宋体" w:cs="宋体"/>
                <w:sz w:val="18"/>
                <w:szCs w:val="18"/>
              </w:rPr>
              <w:t>3,070,922.66</w:t>
            </w:r>
          </w:p>
        </w:tc>
      </w:tr>
      <w:tr w14:paraId="0F5709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FD173E6">
            <w:pPr>
              <w:spacing w:before="0" w:after="0" w:line="240" w:lineRule="exact"/>
              <w:jc w:val="left"/>
              <w:rPr>
                <w:rFonts w:ascii="宋体" w:hAnsi="宋体" w:eastAsia="宋体" w:cs="宋体"/>
                <w:sz w:val="18"/>
                <w:szCs w:val="18"/>
              </w:rPr>
            </w:pPr>
            <w:r>
              <w:rPr>
                <w:rFonts w:ascii="宋体" w:hAnsi="宋体" w:eastAsia="宋体" w:cs="宋体"/>
                <w:sz w:val="18"/>
                <w:szCs w:val="18"/>
              </w:rPr>
              <w:t>招待费用</w:t>
            </w:r>
          </w:p>
        </w:tc>
        <w:tc>
          <w:tcPr>
            <w:tcW w:w="3213" w:type="dxa"/>
            <w:tcBorders>
              <w:top w:val="single" w:color="auto" w:sz="2" w:space="0"/>
              <w:left w:val="single" w:color="auto" w:sz="2" w:space="0"/>
              <w:bottom w:val="single" w:color="auto" w:sz="2" w:space="0"/>
              <w:right w:val="single" w:color="auto" w:sz="2" w:space="0"/>
            </w:tcBorders>
            <w:vAlign w:val="center"/>
          </w:tcPr>
          <w:p w14:paraId="4DDC268F">
            <w:pPr>
              <w:spacing w:before="0" w:after="0" w:line="240" w:lineRule="exact"/>
              <w:jc w:val="right"/>
              <w:rPr>
                <w:rFonts w:ascii="宋体" w:hAnsi="宋体" w:eastAsia="宋体" w:cs="宋体"/>
                <w:sz w:val="18"/>
                <w:szCs w:val="18"/>
              </w:rPr>
            </w:pPr>
            <w:r>
              <w:rPr>
                <w:rFonts w:ascii="宋体" w:hAnsi="宋体" w:eastAsia="宋体" w:cs="宋体"/>
                <w:sz w:val="18"/>
                <w:szCs w:val="18"/>
              </w:rPr>
              <w:t>3,014,768.35</w:t>
            </w:r>
          </w:p>
        </w:tc>
        <w:tc>
          <w:tcPr>
            <w:tcW w:w="3213" w:type="dxa"/>
            <w:tcBorders>
              <w:top w:val="single" w:color="auto" w:sz="2" w:space="0"/>
              <w:left w:val="single" w:color="auto" w:sz="2" w:space="0"/>
              <w:bottom w:val="single" w:color="auto" w:sz="2" w:space="0"/>
              <w:right w:val="single" w:color="auto" w:sz="2" w:space="0"/>
            </w:tcBorders>
            <w:vAlign w:val="center"/>
          </w:tcPr>
          <w:p w14:paraId="5D816F0D">
            <w:pPr>
              <w:spacing w:before="0" w:after="0" w:line="240" w:lineRule="exact"/>
              <w:jc w:val="right"/>
              <w:rPr>
                <w:rFonts w:ascii="宋体" w:hAnsi="宋体" w:eastAsia="宋体" w:cs="宋体"/>
                <w:sz w:val="18"/>
                <w:szCs w:val="18"/>
              </w:rPr>
            </w:pPr>
            <w:r>
              <w:rPr>
                <w:rFonts w:ascii="宋体" w:hAnsi="宋体" w:eastAsia="宋体" w:cs="宋体"/>
                <w:sz w:val="18"/>
                <w:szCs w:val="18"/>
              </w:rPr>
              <w:t>2,596,809.41</w:t>
            </w:r>
          </w:p>
        </w:tc>
      </w:tr>
      <w:tr w14:paraId="05024B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6710261">
            <w:pPr>
              <w:spacing w:before="0" w:after="0" w:line="240" w:lineRule="exact"/>
              <w:jc w:val="left"/>
              <w:rPr>
                <w:rFonts w:ascii="宋体" w:hAnsi="宋体" w:eastAsia="宋体" w:cs="宋体"/>
                <w:sz w:val="18"/>
                <w:szCs w:val="18"/>
              </w:rPr>
            </w:pPr>
            <w:r>
              <w:rPr>
                <w:rFonts w:ascii="宋体" w:hAnsi="宋体" w:eastAsia="宋体" w:cs="宋体"/>
                <w:sz w:val="18"/>
                <w:szCs w:val="18"/>
              </w:rPr>
              <w:t>办公费</w:t>
            </w:r>
          </w:p>
        </w:tc>
        <w:tc>
          <w:tcPr>
            <w:tcW w:w="3213" w:type="dxa"/>
            <w:tcBorders>
              <w:top w:val="single" w:color="auto" w:sz="2" w:space="0"/>
              <w:left w:val="single" w:color="auto" w:sz="2" w:space="0"/>
              <w:bottom w:val="single" w:color="auto" w:sz="2" w:space="0"/>
              <w:right w:val="single" w:color="auto" w:sz="2" w:space="0"/>
            </w:tcBorders>
            <w:vAlign w:val="center"/>
          </w:tcPr>
          <w:p w14:paraId="03DB6A07">
            <w:pPr>
              <w:spacing w:before="0" w:after="0" w:line="240" w:lineRule="exact"/>
              <w:jc w:val="right"/>
              <w:rPr>
                <w:rFonts w:ascii="宋体" w:hAnsi="宋体" w:eastAsia="宋体" w:cs="宋体"/>
                <w:sz w:val="18"/>
                <w:szCs w:val="18"/>
              </w:rPr>
            </w:pPr>
            <w:r>
              <w:rPr>
                <w:rFonts w:ascii="宋体" w:hAnsi="宋体" w:eastAsia="宋体" w:cs="宋体"/>
                <w:sz w:val="18"/>
                <w:szCs w:val="18"/>
              </w:rPr>
              <w:t>767,041.65</w:t>
            </w:r>
          </w:p>
        </w:tc>
        <w:tc>
          <w:tcPr>
            <w:tcW w:w="3213" w:type="dxa"/>
            <w:tcBorders>
              <w:top w:val="single" w:color="auto" w:sz="2" w:space="0"/>
              <w:left w:val="single" w:color="auto" w:sz="2" w:space="0"/>
              <w:bottom w:val="single" w:color="auto" w:sz="2" w:space="0"/>
              <w:right w:val="single" w:color="auto" w:sz="2" w:space="0"/>
            </w:tcBorders>
            <w:vAlign w:val="center"/>
          </w:tcPr>
          <w:p w14:paraId="47DC7BDD">
            <w:pPr>
              <w:spacing w:before="0" w:after="0" w:line="240" w:lineRule="exact"/>
              <w:jc w:val="right"/>
              <w:rPr>
                <w:rFonts w:ascii="宋体" w:hAnsi="宋体" w:eastAsia="宋体" w:cs="宋体"/>
                <w:sz w:val="18"/>
                <w:szCs w:val="18"/>
              </w:rPr>
            </w:pPr>
            <w:r>
              <w:rPr>
                <w:rFonts w:ascii="宋体" w:hAnsi="宋体" w:eastAsia="宋体" w:cs="宋体"/>
                <w:sz w:val="18"/>
                <w:szCs w:val="18"/>
              </w:rPr>
              <w:t>603,138.13</w:t>
            </w:r>
          </w:p>
        </w:tc>
      </w:tr>
      <w:tr w14:paraId="2E07DB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C7293C5">
            <w:pPr>
              <w:spacing w:before="0" w:after="0" w:line="240" w:lineRule="exact"/>
              <w:jc w:val="left"/>
              <w:rPr>
                <w:rFonts w:ascii="宋体" w:hAnsi="宋体" w:eastAsia="宋体" w:cs="宋体"/>
                <w:sz w:val="18"/>
                <w:szCs w:val="18"/>
              </w:rPr>
            </w:pPr>
            <w:r>
              <w:rPr>
                <w:rFonts w:ascii="宋体" w:hAnsi="宋体" w:eastAsia="宋体" w:cs="宋体"/>
                <w:sz w:val="18"/>
                <w:szCs w:val="18"/>
              </w:rPr>
              <w:t>物业租金</w:t>
            </w:r>
          </w:p>
        </w:tc>
        <w:tc>
          <w:tcPr>
            <w:tcW w:w="3213" w:type="dxa"/>
            <w:tcBorders>
              <w:top w:val="single" w:color="auto" w:sz="2" w:space="0"/>
              <w:left w:val="single" w:color="auto" w:sz="2" w:space="0"/>
              <w:bottom w:val="single" w:color="auto" w:sz="2" w:space="0"/>
              <w:right w:val="single" w:color="auto" w:sz="2" w:space="0"/>
            </w:tcBorders>
            <w:vAlign w:val="center"/>
          </w:tcPr>
          <w:p w14:paraId="3CE031D3">
            <w:pPr>
              <w:spacing w:before="0" w:after="0" w:line="240" w:lineRule="exact"/>
              <w:jc w:val="right"/>
              <w:rPr>
                <w:rFonts w:ascii="宋体" w:hAnsi="宋体" w:eastAsia="宋体" w:cs="宋体"/>
                <w:sz w:val="18"/>
                <w:szCs w:val="18"/>
              </w:rPr>
            </w:pPr>
            <w:r>
              <w:rPr>
                <w:rFonts w:ascii="宋体" w:hAnsi="宋体" w:eastAsia="宋体" w:cs="宋体"/>
                <w:sz w:val="18"/>
                <w:szCs w:val="18"/>
              </w:rPr>
              <w:t>215,439.77</w:t>
            </w:r>
          </w:p>
        </w:tc>
        <w:tc>
          <w:tcPr>
            <w:tcW w:w="3213" w:type="dxa"/>
            <w:tcBorders>
              <w:top w:val="single" w:color="auto" w:sz="2" w:space="0"/>
              <w:left w:val="single" w:color="auto" w:sz="2" w:space="0"/>
              <w:bottom w:val="single" w:color="auto" w:sz="2" w:space="0"/>
              <w:right w:val="single" w:color="auto" w:sz="2" w:space="0"/>
            </w:tcBorders>
            <w:vAlign w:val="center"/>
          </w:tcPr>
          <w:p w14:paraId="1DC2D0B7">
            <w:pPr>
              <w:spacing w:before="0" w:after="0" w:line="240" w:lineRule="exact"/>
              <w:jc w:val="right"/>
              <w:rPr>
                <w:rFonts w:ascii="宋体" w:hAnsi="宋体" w:eastAsia="宋体" w:cs="宋体"/>
                <w:sz w:val="18"/>
                <w:szCs w:val="18"/>
              </w:rPr>
            </w:pPr>
            <w:r>
              <w:rPr>
                <w:rFonts w:ascii="宋体" w:hAnsi="宋体" w:eastAsia="宋体" w:cs="宋体"/>
                <w:sz w:val="18"/>
                <w:szCs w:val="18"/>
              </w:rPr>
              <w:t>89,594.04</w:t>
            </w:r>
          </w:p>
        </w:tc>
      </w:tr>
      <w:tr w14:paraId="1F5062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7CA8E61">
            <w:pPr>
              <w:spacing w:before="0" w:after="0" w:line="240" w:lineRule="exact"/>
              <w:jc w:val="left"/>
              <w:rPr>
                <w:rFonts w:ascii="宋体" w:hAnsi="宋体" w:eastAsia="宋体" w:cs="宋体"/>
                <w:sz w:val="18"/>
                <w:szCs w:val="18"/>
              </w:rPr>
            </w:pPr>
            <w:r>
              <w:rPr>
                <w:rFonts w:ascii="宋体" w:hAnsi="宋体" w:eastAsia="宋体" w:cs="宋体"/>
                <w:sz w:val="18"/>
                <w:szCs w:val="18"/>
              </w:rPr>
              <w:t>折旧摊销费</w:t>
            </w:r>
          </w:p>
        </w:tc>
        <w:tc>
          <w:tcPr>
            <w:tcW w:w="3213" w:type="dxa"/>
            <w:tcBorders>
              <w:top w:val="single" w:color="auto" w:sz="2" w:space="0"/>
              <w:left w:val="single" w:color="auto" w:sz="2" w:space="0"/>
              <w:bottom w:val="single" w:color="auto" w:sz="2" w:space="0"/>
              <w:right w:val="single" w:color="auto" w:sz="2" w:space="0"/>
            </w:tcBorders>
            <w:vAlign w:val="center"/>
          </w:tcPr>
          <w:p w14:paraId="1307ACBA">
            <w:pPr>
              <w:spacing w:before="0" w:after="0" w:line="240" w:lineRule="exact"/>
              <w:jc w:val="right"/>
              <w:rPr>
                <w:rFonts w:ascii="宋体" w:hAnsi="宋体" w:eastAsia="宋体" w:cs="宋体"/>
                <w:sz w:val="18"/>
                <w:szCs w:val="18"/>
              </w:rPr>
            </w:pPr>
            <w:r>
              <w:rPr>
                <w:rFonts w:ascii="宋体" w:hAnsi="宋体" w:eastAsia="宋体" w:cs="宋体"/>
                <w:sz w:val="18"/>
                <w:szCs w:val="18"/>
              </w:rPr>
              <w:t>1,368,388.62</w:t>
            </w:r>
          </w:p>
        </w:tc>
        <w:tc>
          <w:tcPr>
            <w:tcW w:w="3213" w:type="dxa"/>
            <w:tcBorders>
              <w:top w:val="single" w:color="auto" w:sz="2" w:space="0"/>
              <w:left w:val="single" w:color="auto" w:sz="2" w:space="0"/>
              <w:bottom w:val="single" w:color="auto" w:sz="2" w:space="0"/>
              <w:right w:val="single" w:color="auto" w:sz="2" w:space="0"/>
            </w:tcBorders>
            <w:vAlign w:val="center"/>
          </w:tcPr>
          <w:p w14:paraId="3EBD964B">
            <w:pPr>
              <w:spacing w:before="0" w:after="0" w:line="240" w:lineRule="exact"/>
              <w:jc w:val="right"/>
              <w:rPr>
                <w:rFonts w:ascii="宋体" w:hAnsi="宋体" w:eastAsia="宋体" w:cs="宋体"/>
                <w:sz w:val="18"/>
                <w:szCs w:val="18"/>
              </w:rPr>
            </w:pPr>
            <w:r>
              <w:rPr>
                <w:rFonts w:ascii="宋体" w:hAnsi="宋体" w:eastAsia="宋体" w:cs="宋体"/>
                <w:sz w:val="18"/>
                <w:szCs w:val="18"/>
              </w:rPr>
              <w:t>701,132.79</w:t>
            </w:r>
          </w:p>
        </w:tc>
      </w:tr>
      <w:tr w14:paraId="2B3582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F8AC93A">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14:paraId="5E783019">
            <w:pPr>
              <w:spacing w:before="0" w:after="0" w:line="240" w:lineRule="exact"/>
              <w:jc w:val="right"/>
              <w:rPr>
                <w:rFonts w:ascii="宋体" w:hAnsi="宋体" w:eastAsia="宋体" w:cs="宋体"/>
                <w:sz w:val="18"/>
                <w:szCs w:val="18"/>
              </w:rPr>
            </w:pPr>
            <w:r>
              <w:rPr>
                <w:rFonts w:ascii="宋体" w:hAnsi="宋体" w:eastAsia="宋体" w:cs="宋体"/>
                <w:sz w:val="18"/>
                <w:szCs w:val="18"/>
              </w:rPr>
              <w:t>473,875.70</w:t>
            </w:r>
          </w:p>
        </w:tc>
        <w:tc>
          <w:tcPr>
            <w:tcW w:w="3213" w:type="dxa"/>
            <w:tcBorders>
              <w:top w:val="single" w:color="auto" w:sz="2" w:space="0"/>
              <w:left w:val="single" w:color="auto" w:sz="2" w:space="0"/>
              <w:bottom w:val="single" w:color="auto" w:sz="2" w:space="0"/>
              <w:right w:val="single" w:color="auto" w:sz="2" w:space="0"/>
            </w:tcBorders>
            <w:vAlign w:val="center"/>
          </w:tcPr>
          <w:p w14:paraId="125C02B8">
            <w:pPr>
              <w:spacing w:before="0" w:after="0" w:line="240" w:lineRule="exact"/>
              <w:jc w:val="right"/>
              <w:rPr>
                <w:rFonts w:ascii="宋体" w:hAnsi="宋体" w:eastAsia="宋体" w:cs="宋体"/>
                <w:sz w:val="18"/>
                <w:szCs w:val="18"/>
              </w:rPr>
            </w:pPr>
            <w:r>
              <w:rPr>
                <w:rFonts w:ascii="宋体" w:hAnsi="宋体" w:eastAsia="宋体" w:cs="宋体"/>
                <w:sz w:val="18"/>
                <w:szCs w:val="18"/>
              </w:rPr>
              <w:t>271,581.58</w:t>
            </w:r>
          </w:p>
        </w:tc>
      </w:tr>
      <w:tr w14:paraId="3A0CE5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BA4BE32">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5B0E2470">
            <w:pPr>
              <w:spacing w:before="0" w:after="0" w:line="240" w:lineRule="exact"/>
              <w:jc w:val="right"/>
              <w:rPr>
                <w:rFonts w:ascii="宋体" w:hAnsi="宋体" w:eastAsia="宋体" w:cs="宋体"/>
                <w:sz w:val="18"/>
                <w:szCs w:val="18"/>
              </w:rPr>
            </w:pPr>
            <w:r>
              <w:rPr>
                <w:rFonts w:ascii="宋体" w:hAnsi="宋体" w:eastAsia="宋体" w:cs="宋体"/>
                <w:sz w:val="18"/>
                <w:szCs w:val="18"/>
              </w:rPr>
              <w:t>199,237,589.20</w:t>
            </w:r>
          </w:p>
        </w:tc>
        <w:tc>
          <w:tcPr>
            <w:tcW w:w="3213" w:type="dxa"/>
            <w:tcBorders>
              <w:top w:val="single" w:color="auto" w:sz="2" w:space="0"/>
              <w:left w:val="single" w:color="auto" w:sz="2" w:space="0"/>
              <w:bottom w:val="single" w:color="auto" w:sz="2" w:space="0"/>
              <w:right w:val="single" w:color="auto" w:sz="2" w:space="0"/>
            </w:tcBorders>
            <w:vAlign w:val="center"/>
          </w:tcPr>
          <w:p w14:paraId="2F566440">
            <w:pPr>
              <w:spacing w:before="0" w:after="0" w:line="240" w:lineRule="exact"/>
              <w:jc w:val="right"/>
              <w:rPr>
                <w:rFonts w:ascii="宋体" w:hAnsi="宋体" w:eastAsia="宋体" w:cs="宋体"/>
                <w:sz w:val="18"/>
                <w:szCs w:val="18"/>
              </w:rPr>
            </w:pPr>
            <w:r>
              <w:rPr>
                <w:rFonts w:ascii="宋体" w:hAnsi="宋体" w:eastAsia="宋体" w:cs="宋体"/>
                <w:sz w:val="18"/>
                <w:szCs w:val="18"/>
              </w:rPr>
              <w:t>189,793,190.11</w:t>
            </w:r>
          </w:p>
        </w:tc>
      </w:tr>
    </w:tbl>
    <w:p w14:paraId="519FF2D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42BDD781">
      <w:pPr>
        <w:keepNext/>
        <w:keepLines/>
        <w:spacing w:before="300" w:after="300" w:line="280" w:lineRule="exact"/>
        <w:jc w:val="left"/>
        <w:outlineLvl w:val="2"/>
        <w:rPr>
          <w:rFonts w:ascii="宋体" w:hAnsi="宋体" w:eastAsia="宋体" w:cs="宋体"/>
          <w:b/>
          <w:bCs/>
          <w:sz w:val="21"/>
          <w:szCs w:val="21"/>
        </w:rPr>
      </w:pPr>
      <w:bookmarkStart w:id="420" w:name="_Toc989303"/>
      <w:r>
        <w:rPr>
          <w:rFonts w:ascii="宋体" w:hAnsi="宋体" w:eastAsia="宋体" w:cs="宋体"/>
          <w:b/>
          <w:bCs/>
          <w:sz w:val="21"/>
          <w:szCs w:val="21"/>
        </w:rPr>
        <w:t>65、研发费用</w:t>
      </w:r>
      <w:bookmarkEnd w:id="420"/>
    </w:p>
    <w:p w14:paraId="4191329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10C452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A866988">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696A99E">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1D6D954">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684ADE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88065F4">
            <w:pPr>
              <w:spacing w:before="0" w:after="0" w:line="240" w:lineRule="exact"/>
              <w:jc w:val="left"/>
              <w:rPr>
                <w:rFonts w:ascii="宋体" w:hAnsi="宋体" w:eastAsia="宋体" w:cs="宋体"/>
                <w:sz w:val="18"/>
                <w:szCs w:val="18"/>
              </w:rPr>
            </w:pPr>
            <w:r>
              <w:rPr>
                <w:rFonts w:ascii="宋体" w:hAnsi="宋体" w:eastAsia="宋体" w:cs="宋体"/>
                <w:sz w:val="18"/>
                <w:szCs w:val="18"/>
              </w:rPr>
              <w:t>技术服务费</w:t>
            </w:r>
          </w:p>
        </w:tc>
        <w:tc>
          <w:tcPr>
            <w:tcW w:w="3213" w:type="dxa"/>
            <w:tcBorders>
              <w:top w:val="single" w:color="auto" w:sz="2" w:space="0"/>
              <w:left w:val="single" w:color="auto" w:sz="2" w:space="0"/>
              <w:bottom w:val="single" w:color="auto" w:sz="2" w:space="0"/>
              <w:right w:val="single" w:color="auto" w:sz="2" w:space="0"/>
            </w:tcBorders>
            <w:vAlign w:val="center"/>
          </w:tcPr>
          <w:p w14:paraId="30F1CCBD">
            <w:pPr>
              <w:spacing w:before="0" w:after="0" w:line="240" w:lineRule="exact"/>
              <w:jc w:val="right"/>
              <w:rPr>
                <w:rFonts w:ascii="宋体" w:hAnsi="宋体" w:eastAsia="宋体" w:cs="宋体"/>
                <w:sz w:val="18"/>
                <w:szCs w:val="18"/>
              </w:rPr>
            </w:pPr>
            <w:r>
              <w:rPr>
                <w:rFonts w:ascii="宋体" w:hAnsi="宋体" w:eastAsia="宋体" w:cs="宋体"/>
                <w:sz w:val="18"/>
                <w:szCs w:val="18"/>
              </w:rPr>
              <w:t>22,715,354.67</w:t>
            </w:r>
          </w:p>
        </w:tc>
        <w:tc>
          <w:tcPr>
            <w:tcW w:w="3213" w:type="dxa"/>
            <w:tcBorders>
              <w:top w:val="single" w:color="auto" w:sz="2" w:space="0"/>
              <w:left w:val="single" w:color="auto" w:sz="2" w:space="0"/>
              <w:bottom w:val="single" w:color="auto" w:sz="2" w:space="0"/>
              <w:right w:val="single" w:color="auto" w:sz="2" w:space="0"/>
            </w:tcBorders>
            <w:vAlign w:val="center"/>
          </w:tcPr>
          <w:p w14:paraId="72B2792C">
            <w:pPr>
              <w:spacing w:before="0" w:after="0" w:line="240" w:lineRule="exact"/>
              <w:jc w:val="right"/>
              <w:rPr>
                <w:rFonts w:ascii="宋体" w:hAnsi="宋体" w:eastAsia="宋体" w:cs="宋体"/>
                <w:sz w:val="18"/>
                <w:szCs w:val="18"/>
              </w:rPr>
            </w:pPr>
            <w:r>
              <w:rPr>
                <w:rFonts w:ascii="宋体" w:hAnsi="宋体" w:eastAsia="宋体" w:cs="宋体"/>
                <w:sz w:val="18"/>
                <w:szCs w:val="18"/>
              </w:rPr>
              <w:t>97,459,180.08</w:t>
            </w:r>
          </w:p>
        </w:tc>
      </w:tr>
      <w:tr w14:paraId="354F2D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1D2E394">
            <w:pPr>
              <w:spacing w:before="0" w:after="0" w:line="240" w:lineRule="exact"/>
              <w:jc w:val="left"/>
              <w:rPr>
                <w:rFonts w:ascii="宋体" w:hAnsi="宋体" w:eastAsia="宋体" w:cs="宋体"/>
                <w:sz w:val="18"/>
                <w:szCs w:val="18"/>
              </w:rPr>
            </w:pPr>
            <w:r>
              <w:rPr>
                <w:rFonts w:ascii="宋体" w:hAnsi="宋体" w:eastAsia="宋体" w:cs="宋体"/>
                <w:sz w:val="18"/>
                <w:szCs w:val="18"/>
              </w:rPr>
              <w:t>职工薪酬</w:t>
            </w:r>
          </w:p>
        </w:tc>
        <w:tc>
          <w:tcPr>
            <w:tcW w:w="3213" w:type="dxa"/>
            <w:tcBorders>
              <w:top w:val="single" w:color="auto" w:sz="2" w:space="0"/>
              <w:left w:val="single" w:color="auto" w:sz="2" w:space="0"/>
              <w:bottom w:val="single" w:color="auto" w:sz="2" w:space="0"/>
              <w:right w:val="single" w:color="auto" w:sz="2" w:space="0"/>
            </w:tcBorders>
            <w:vAlign w:val="center"/>
          </w:tcPr>
          <w:p w14:paraId="16A2ECCF">
            <w:pPr>
              <w:spacing w:before="0" w:after="0" w:line="240" w:lineRule="exact"/>
              <w:jc w:val="right"/>
              <w:rPr>
                <w:rFonts w:ascii="宋体" w:hAnsi="宋体" w:eastAsia="宋体" w:cs="宋体"/>
                <w:sz w:val="18"/>
                <w:szCs w:val="18"/>
              </w:rPr>
            </w:pPr>
            <w:r>
              <w:rPr>
                <w:rFonts w:ascii="宋体" w:hAnsi="宋体" w:eastAsia="宋体" w:cs="宋体"/>
                <w:sz w:val="18"/>
                <w:szCs w:val="18"/>
              </w:rPr>
              <w:t>13,892,525.54</w:t>
            </w:r>
          </w:p>
        </w:tc>
        <w:tc>
          <w:tcPr>
            <w:tcW w:w="3213" w:type="dxa"/>
            <w:tcBorders>
              <w:top w:val="single" w:color="auto" w:sz="2" w:space="0"/>
              <w:left w:val="single" w:color="auto" w:sz="2" w:space="0"/>
              <w:bottom w:val="single" w:color="auto" w:sz="2" w:space="0"/>
              <w:right w:val="single" w:color="auto" w:sz="2" w:space="0"/>
            </w:tcBorders>
            <w:vAlign w:val="center"/>
          </w:tcPr>
          <w:p w14:paraId="1979928D">
            <w:pPr>
              <w:spacing w:before="0" w:after="0" w:line="240" w:lineRule="exact"/>
              <w:jc w:val="right"/>
              <w:rPr>
                <w:rFonts w:ascii="宋体" w:hAnsi="宋体" w:eastAsia="宋体" w:cs="宋体"/>
                <w:sz w:val="18"/>
                <w:szCs w:val="18"/>
              </w:rPr>
            </w:pPr>
            <w:r>
              <w:rPr>
                <w:rFonts w:ascii="宋体" w:hAnsi="宋体" w:eastAsia="宋体" w:cs="宋体"/>
                <w:sz w:val="18"/>
                <w:szCs w:val="18"/>
              </w:rPr>
              <w:t>15,198,114.20</w:t>
            </w:r>
          </w:p>
        </w:tc>
      </w:tr>
      <w:tr w14:paraId="11D73E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F832329">
            <w:pPr>
              <w:spacing w:before="0" w:after="0" w:line="240" w:lineRule="exact"/>
              <w:jc w:val="left"/>
              <w:rPr>
                <w:rFonts w:ascii="宋体" w:hAnsi="宋体" w:eastAsia="宋体" w:cs="宋体"/>
                <w:sz w:val="18"/>
                <w:szCs w:val="18"/>
              </w:rPr>
            </w:pPr>
            <w:r>
              <w:rPr>
                <w:rFonts w:ascii="宋体" w:hAnsi="宋体" w:eastAsia="宋体" w:cs="宋体"/>
                <w:sz w:val="18"/>
                <w:szCs w:val="18"/>
              </w:rPr>
              <w:t>研发领用原料及低值易耗品</w:t>
            </w:r>
          </w:p>
        </w:tc>
        <w:tc>
          <w:tcPr>
            <w:tcW w:w="3213" w:type="dxa"/>
            <w:tcBorders>
              <w:top w:val="single" w:color="auto" w:sz="2" w:space="0"/>
              <w:left w:val="single" w:color="auto" w:sz="2" w:space="0"/>
              <w:bottom w:val="single" w:color="auto" w:sz="2" w:space="0"/>
              <w:right w:val="single" w:color="auto" w:sz="2" w:space="0"/>
            </w:tcBorders>
            <w:vAlign w:val="center"/>
          </w:tcPr>
          <w:p w14:paraId="24EE6FB5">
            <w:pPr>
              <w:spacing w:before="0" w:after="0" w:line="240" w:lineRule="exact"/>
              <w:jc w:val="right"/>
              <w:rPr>
                <w:rFonts w:ascii="宋体" w:hAnsi="宋体" w:eastAsia="宋体" w:cs="宋体"/>
                <w:sz w:val="18"/>
                <w:szCs w:val="18"/>
              </w:rPr>
            </w:pPr>
            <w:r>
              <w:rPr>
                <w:rFonts w:ascii="宋体" w:hAnsi="宋体" w:eastAsia="宋体" w:cs="宋体"/>
                <w:sz w:val="18"/>
                <w:szCs w:val="18"/>
              </w:rPr>
              <w:t>1,132,042.64</w:t>
            </w:r>
          </w:p>
        </w:tc>
        <w:tc>
          <w:tcPr>
            <w:tcW w:w="3213" w:type="dxa"/>
            <w:tcBorders>
              <w:top w:val="single" w:color="auto" w:sz="2" w:space="0"/>
              <w:left w:val="single" w:color="auto" w:sz="2" w:space="0"/>
              <w:bottom w:val="single" w:color="auto" w:sz="2" w:space="0"/>
              <w:right w:val="single" w:color="auto" w:sz="2" w:space="0"/>
            </w:tcBorders>
            <w:vAlign w:val="center"/>
          </w:tcPr>
          <w:p w14:paraId="04EEC00D">
            <w:pPr>
              <w:spacing w:before="0" w:after="0" w:line="240" w:lineRule="exact"/>
              <w:jc w:val="right"/>
              <w:rPr>
                <w:rFonts w:ascii="宋体" w:hAnsi="宋体" w:eastAsia="宋体" w:cs="宋体"/>
                <w:sz w:val="18"/>
                <w:szCs w:val="18"/>
              </w:rPr>
            </w:pPr>
            <w:r>
              <w:rPr>
                <w:rFonts w:ascii="宋体" w:hAnsi="宋体" w:eastAsia="宋体" w:cs="宋体"/>
                <w:sz w:val="18"/>
                <w:szCs w:val="18"/>
              </w:rPr>
              <w:t>7,889,670.18</w:t>
            </w:r>
          </w:p>
        </w:tc>
      </w:tr>
      <w:tr w14:paraId="6C3F1D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C0E76F9">
            <w:pPr>
              <w:spacing w:before="0" w:after="0" w:line="240" w:lineRule="exact"/>
              <w:jc w:val="left"/>
              <w:rPr>
                <w:rFonts w:ascii="宋体" w:hAnsi="宋体" w:eastAsia="宋体" w:cs="宋体"/>
                <w:sz w:val="18"/>
                <w:szCs w:val="18"/>
              </w:rPr>
            </w:pPr>
            <w:r>
              <w:rPr>
                <w:rFonts w:ascii="宋体" w:hAnsi="宋体" w:eastAsia="宋体" w:cs="宋体"/>
                <w:sz w:val="18"/>
                <w:szCs w:val="18"/>
              </w:rPr>
              <w:t>专利申请费</w:t>
            </w:r>
          </w:p>
        </w:tc>
        <w:tc>
          <w:tcPr>
            <w:tcW w:w="3213" w:type="dxa"/>
            <w:tcBorders>
              <w:top w:val="single" w:color="auto" w:sz="2" w:space="0"/>
              <w:left w:val="single" w:color="auto" w:sz="2" w:space="0"/>
              <w:bottom w:val="single" w:color="auto" w:sz="2" w:space="0"/>
              <w:right w:val="single" w:color="auto" w:sz="2" w:space="0"/>
            </w:tcBorders>
            <w:vAlign w:val="center"/>
          </w:tcPr>
          <w:p w14:paraId="4CFC90B7">
            <w:pPr>
              <w:spacing w:before="0" w:after="0" w:line="240" w:lineRule="exact"/>
              <w:jc w:val="right"/>
              <w:rPr>
                <w:rFonts w:ascii="宋体" w:hAnsi="宋体" w:eastAsia="宋体" w:cs="宋体"/>
                <w:sz w:val="18"/>
                <w:szCs w:val="18"/>
              </w:rPr>
            </w:pPr>
            <w:r>
              <w:rPr>
                <w:rFonts w:ascii="宋体" w:hAnsi="宋体" w:eastAsia="宋体" w:cs="宋体"/>
                <w:sz w:val="18"/>
                <w:szCs w:val="18"/>
              </w:rPr>
              <w:t>2,057,437.36</w:t>
            </w:r>
          </w:p>
        </w:tc>
        <w:tc>
          <w:tcPr>
            <w:tcW w:w="3213" w:type="dxa"/>
            <w:tcBorders>
              <w:top w:val="single" w:color="auto" w:sz="2" w:space="0"/>
              <w:left w:val="single" w:color="auto" w:sz="2" w:space="0"/>
              <w:bottom w:val="single" w:color="auto" w:sz="2" w:space="0"/>
              <w:right w:val="single" w:color="auto" w:sz="2" w:space="0"/>
            </w:tcBorders>
            <w:vAlign w:val="center"/>
          </w:tcPr>
          <w:p w14:paraId="1E8C59E4">
            <w:pPr>
              <w:spacing w:before="0" w:after="0" w:line="240" w:lineRule="exact"/>
              <w:jc w:val="right"/>
              <w:rPr>
                <w:rFonts w:ascii="宋体" w:hAnsi="宋体" w:eastAsia="宋体" w:cs="宋体"/>
                <w:sz w:val="18"/>
                <w:szCs w:val="18"/>
              </w:rPr>
            </w:pPr>
            <w:r>
              <w:rPr>
                <w:rFonts w:ascii="宋体" w:hAnsi="宋体" w:eastAsia="宋体" w:cs="宋体"/>
                <w:sz w:val="18"/>
                <w:szCs w:val="18"/>
              </w:rPr>
              <w:t>3,078,482.00</w:t>
            </w:r>
          </w:p>
        </w:tc>
      </w:tr>
      <w:tr w14:paraId="7E06BF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48F8607">
            <w:pPr>
              <w:spacing w:before="0" w:after="0" w:line="240" w:lineRule="exact"/>
              <w:jc w:val="left"/>
              <w:rPr>
                <w:rFonts w:ascii="宋体" w:hAnsi="宋体" w:eastAsia="宋体" w:cs="宋体"/>
                <w:sz w:val="18"/>
                <w:szCs w:val="18"/>
              </w:rPr>
            </w:pPr>
            <w:r>
              <w:rPr>
                <w:rFonts w:ascii="宋体" w:hAnsi="宋体" w:eastAsia="宋体" w:cs="宋体"/>
                <w:sz w:val="18"/>
                <w:szCs w:val="18"/>
              </w:rPr>
              <w:t>折旧摊销费</w:t>
            </w:r>
          </w:p>
        </w:tc>
        <w:tc>
          <w:tcPr>
            <w:tcW w:w="3213" w:type="dxa"/>
            <w:tcBorders>
              <w:top w:val="single" w:color="auto" w:sz="2" w:space="0"/>
              <w:left w:val="single" w:color="auto" w:sz="2" w:space="0"/>
              <w:bottom w:val="single" w:color="auto" w:sz="2" w:space="0"/>
              <w:right w:val="single" w:color="auto" w:sz="2" w:space="0"/>
            </w:tcBorders>
            <w:vAlign w:val="center"/>
          </w:tcPr>
          <w:p w14:paraId="294C38DF">
            <w:pPr>
              <w:spacing w:before="0" w:after="0" w:line="240" w:lineRule="exact"/>
              <w:jc w:val="right"/>
              <w:rPr>
                <w:rFonts w:ascii="宋体" w:hAnsi="宋体" w:eastAsia="宋体" w:cs="宋体"/>
                <w:sz w:val="18"/>
                <w:szCs w:val="18"/>
              </w:rPr>
            </w:pPr>
            <w:r>
              <w:rPr>
                <w:rFonts w:ascii="宋体" w:hAnsi="宋体" w:eastAsia="宋体" w:cs="宋体"/>
                <w:sz w:val="18"/>
                <w:szCs w:val="18"/>
              </w:rPr>
              <w:t>2,207,786.31</w:t>
            </w:r>
          </w:p>
        </w:tc>
        <w:tc>
          <w:tcPr>
            <w:tcW w:w="3213" w:type="dxa"/>
            <w:tcBorders>
              <w:top w:val="single" w:color="auto" w:sz="2" w:space="0"/>
              <w:left w:val="single" w:color="auto" w:sz="2" w:space="0"/>
              <w:bottom w:val="single" w:color="auto" w:sz="2" w:space="0"/>
              <w:right w:val="single" w:color="auto" w:sz="2" w:space="0"/>
            </w:tcBorders>
            <w:vAlign w:val="center"/>
          </w:tcPr>
          <w:p w14:paraId="5A5AB64E">
            <w:pPr>
              <w:spacing w:before="0" w:after="0" w:line="240" w:lineRule="exact"/>
              <w:jc w:val="right"/>
              <w:rPr>
                <w:rFonts w:ascii="宋体" w:hAnsi="宋体" w:eastAsia="宋体" w:cs="宋体"/>
                <w:sz w:val="18"/>
                <w:szCs w:val="18"/>
              </w:rPr>
            </w:pPr>
            <w:r>
              <w:rPr>
                <w:rFonts w:ascii="宋体" w:hAnsi="宋体" w:eastAsia="宋体" w:cs="宋体"/>
                <w:sz w:val="18"/>
                <w:szCs w:val="18"/>
              </w:rPr>
              <w:t>1,597,285.29</w:t>
            </w:r>
          </w:p>
        </w:tc>
      </w:tr>
      <w:tr w14:paraId="440992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DC73EF1">
            <w:pPr>
              <w:spacing w:before="0" w:after="0" w:line="240" w:lineRule="exact"/>
              <w:jc w:val="left"/>
              <w:rPr>
                <w:rFonts w:ascii="宋体" w:hAnsi="宋体" w:eastAsia="宋体" w:cs="宋体"/>
                <w:sz w:val="18"/>
                <w:szCs w:val="18"/>
              </w:rPr>
            </w:pPr>
            <w:r>
              <w:rPr>
                <w:rFonts w:ascii="宋体" w:hAnsi="宋体" w:eastAsia="宋体" w:cs="宋体"/>
                <w:sz w:val="18"/>
                <w:szCs w:val="18"/>
              </w:rPr>
              <w:t>交通差旅费</w:t>
            </w:r>
          </w:p>
        </w:tc>
        <w:tc>
          <w:tcPr>
            <w:tcW w:w="3213" w:type="dxa"/>
            <w:tcBorders>
              <w:top w:val="single" w:color="auto" w:sz="2" w:space="0"/>
              <w:left w:val="single" w:color="auto" w:sz="2" w:space="0"/>
              <w:bottom w:val="single" w:color="auto" w:sz="2" w:space="0"/>
              <w:right w:val="single" w:color="auto" w:sz="2" w:space="0"/>
            </w:tcBorders>
            <w:vAlign w:val="center"/>
          </w:tcPr>
          <w:p w14:paraId="46E5397D">
            <w:pPr>
              <w:spacing w:before="0" w:after="0" w:line="240" w:lineRule="exact"/>
              <w:jc w:val="right"/>
              <w:rPr>
                <w:rFonts w:ascii="宋体" w:hAnsi="宋体" w:eastAsia="宋体" w:cs="宋体"/>
                <w:sz w:val="18"/>
                <w:szCs w:val="18"/>
              </w:rPr>
            </w:pPr>
            <w:r>
              <w:rPr>
                <w:rFonts w:ascii="宋体" w:hAnsi="宋体" w:eastAsia="宋体" w:cs="宋体"/>
                <w:sz w:val="18"/>
                <w:szCs w:val="18"/>
              </w:rPr>
              <w:t>356,429.13</w:t>
            </w:r>
          </w:p>
        </w:tc>
        <w:tc>
          <w:tcPr>
            <w:tcW w:w="3213" w:type="dxa"/>
            <w:tcBorders>
              <w:top w:val="single" w:color="auto" w:sz="2" w:space="0"/>
              <w:left w:val="single" w:color="auto" w:sz="2" w:space="0"/>
              <w:bottom w:val="single" w:color="auto" w:sz="2" w:space="0"/>
              <w:right w:val="single" w:color="auto" w:sz="2" w:space="0"/>
            </w:tcBorders>
            <w:vAlign w:val="center"/>
          </w:tcPr>
          <w:p w14:paraId="0FF9DF6D">
            <w:pPr>
              <w:spacing w:before="0" w:after="0" w:line="240" w:lineRule="exact"/>
              <w:jc w:val="right"/>
              <w:rPr>
                <w:rFonts w:ascii="宋体" w:hAnsi="宋体" w:eastAsia="宋体" w:cs="宋体"/>
                <w:sz w:val="18"/>
                <w:szCs w:val="18"/>
              </w:rPr>
            </w:pPr>
            <w:r>
              <w:rPr>
                <w:rFonts w:ascii="宋体" w:hAnsi="宋体" w:eastAsia="宋体" w:cs="宋体"/>
                <w:sz w:val="18"/>
                <w:szCs w:val="18"/>
              </w:rPr>
              <w:t>775,586.74</w:t>
            </w:r>
          </w:p>
        </w:tc>
      </w:tr>
      <w:tr w14:paraId="2A100E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970BE33">
            <w:pPr>
              <w:spacing w:before="0" w:after="0" w:line="240" w:lineRule="exact"/>
              <w:jc w:val="left"/>
              <w:rPr>
                <w:rFonts w:ascii="宋体" w:hAnsi="宋体" w:eastAsia="宋体" w:cs="宋体"/>
                <w:sz w:val="18"/>
                <w:szCs w:val="18"/>
              </w:rPr>
            </w:pPr>
            <w:r>
              <w:rPr>
                <w:rFonts w:ascii="宋体" w:hAnsi="宋体" w:eastAsia="宋体" w:cs="宋体"/>
                <w:sz w:val="18"/>
                <w:szCs w:val="18"/>
              </w:rPr>
              <w:t>房租物业费</w:t>
            </w:r>
          </w:p>
        </w:tc>
        <w:tc>
          <w:tcPr>
            <w:tcW w:w="3213" w:type="dxa"/>
            <w:tcBorders>
              <w:top w:val="single" w:color="auto" w:sz="2" w:space="0"/>
              <w:left w:val="single" w:color="auto" w:sz="2" w:space="0"/>
              <w:bottom w:val="single" w:color="auto" w:sz="2" w:space="0"/>
              <w:right w:val="single" w:color="auto" w:sz="2" w:space="0"/>
            </w:tcBorders>
            <w:vAlign w:val="center"/>
          </w:tcPr>
          <w:p w14:paraId="46C6DA8F">
            <w:pPr>
              <w:spacing w:before="0" w:after="0" w:line="240" w:lineRule="exact"/>
              <w:jc w:val="right"/>
              <w:rPr>
                <w:rFonts w:ascii="宋体" w:hAnsi="宋体" w:eastAsia="宋体" w:cs="宋体"/>
                <w:sz w:val="18"/>
                <w:szCs w:val="18"/>
              </w:rPr>
            </w:pPr>
            <w:r>
              <w:rPr>
                <w:rFonts w:ascii="宋体" w:hAnsi="宋体" w:eastAsia="宋体" w:cs="宋体"/>
                <w:sz w:val="18"/>
                <w:szCs w:val="18"/>
              </w:rPr>
              <w:t>147,418.13</w:t>
            </w:r>
          </w:p>
        </w:tc>
        <w:tc>
          <w:tcPr>
            <w:tcW w:w="3213" w:type="dxa"/>
            <w:tcBorders>
              <w:top w:val="single" w:color="auto" w:sz="2" w:space="0"/>
              <w:left w:val="single" w:color="auto" w:sz="2" w:space="0"/>
              <w:bottom w:val="single" w:color="auto" w:sz="2" w:space="0"/>
              <w:right w:val="single" w:color="auto" w:sz="2" w:space="0"/>
            </w:tcBorders>
            <w:vAlign w:val="center"/>
          </w:tcPr>
          <w:p w14:paraId="60723EBD">
            <w:pPr>
              <w:spacing w:before="0" w:after="0" w:line="240" w:lineRule="exact"/>
              <w:jc w:val="right"/>
              <w:rPr>
                <w:rFonts w:ascii="宋体" w:hAnsi="宋体" w:eastAsia="宋体" w:cs="宋体"/>
                <w:sz w:val="18"/>
                <w:szCs w:val="18"/>
              </w:rPr>
            </w:pPr>
            <w:r>
              <w:rPr>
                <w:rFonts w:ascii="宋体" w:hAnsi="宋体" w:eastAsia="宋体" w:cs="宋体"/>
                <w:sz w:val="18"/>
                <w:szCs w:val="18"/>
              </w:rPr>
              <w:t>145,351.15</w:t>
            </w:r>
          </w:p>
        </w:tc>
      </w:tr>
      <w:tr w14:paraId="4E6938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7FAC3F3">
            <w:pPr>
              <w:spacing w:before="0" w:after="0" w:line="240" w:lineRule="exact"/>
              <w:jc w:val="left"/>
              <w:rPr>
                <w:rFonts w:ascii="宋体" w:hAnsi="宋体" w:eastAsia="宋体" w:cs="宋体"/>
                <w:sz w:val="18"/>
                <w:szCs w:val="18"/>
              </w:rPr>
            </w:pPr>
            <w:r>
              <w:rPr>
                <w:rFonts w:ascii="宋体" w:hAnsi="宋体" w:eastAsia="宋体" w:cs="宋体"/>
                <w:sz w:val="18"/>
                <w:szCs w:val="18"/>
              </w:rPr>
              <w:t>办公费</w:t>
            </w:r>
          </w:p>
        </w:tc>
        <w:tc>
          <w:tcPr>
            <w:tcW w:w="3213" w:type="dxa"/>
            <w:tcBorders>
              <w:top w:val="single" w:color="auto" w:sz="2" w:space="0"/>
              <w:left w:val="single" w:color="auto" w:sz="2" w:space="0"/>
              <w:bottom w:val="single" w:color="auto" w:sz="2" w:space="0"/>
              <w:right w:val="single" w:color="auto" w:sz="2" w:space="0"/>
            </w:tcBorders>
            <w:vAlign w:val="center"/>
          </w:tcPr>
          <w:p w14:paraId="642DDEBB">
            <w:pPr>
              <w:spacing w:before="0" w:after="0" w:line="240" w:lineRule="exact"/>
              <w:jc w:val="right"/>
              <w:rPr>
                <w:rFonts w:ascii="宋体" w:hAnsi="宋体" w:eastAsia="宋体" w:cs="宋体"/>
                <w:sz w:val="18"/>
                <w:szCs w:val="18"/>
              </w:rPr>
            </w:pPr>
            <w:r>
              <w:rPr>
                <w:rFonts w:ascii="宋体" w:hAnsi="宋体" w:eastAsia="宋体" w:cs="宋体"/>
                <w:sz w:val="18"/>
                <w:szCs w:val="18"/>
              </w:rPr>
              <w:t>552,526.72</w:t>
            </w:r>
          </w:p>
        </w:tc>
        <w:tc>
          <w:tcPr>
            <w:tcW w:w="3213" w:type="dxa"/>
            <w:tcBorders>
              <w:top w:val="single" w:color="auto" w:sz="2" w:space="0"/>
              <w:left w:val="single" w:color="auto" w:sz="2" w:space="0"/>
              <w:bottom w:val="single" w:color="auto" w:sz="2" w:space="0"/>
              <w:right w:val="single" w:color="auto" w:sz="2" w:space="0"/>
            </w:tcBorders>
            <w:vAlign w:val="center"/>
          </w:tcPr>
          <w:p w14:paraId="10E83862">
            <w:pPr>
              <w:spacing w:before="0" w:after="0" w:line="240" w:lineRule="exact"/>
              <w:jc w:val="right"/>
              <w:rPr>
                <w:rFonts w:ascii="宋体" w:hAnsi="宋体" w:eastAsia="宋体" w:cs="宋体"/>
                <w:sz w:val="18"/>
                <w:szCs w:val="18"/>
              </w:rPr>
            </w:pPr>
            <w:r>
              <w:rPr>
                <w:rFonts w:ascii="宋体" w:hAnsi="宋体" w:eastAsia="宋体" w:cs="宋体"/>
                <w:sz w:val="18"/>
                <w:szCs w:val="18"/>
              </w:rPr>
              <w:t>702,491.10</w:t>
            </w:r>
          </w:p>
        </w:tc>
      </w:tr>
      <w:tr w14:paraId="22C33B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FA21C75">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14:paraId="14677460">
            <w:pPr>
              <w:spacing w:before="0" w:after="0" w:line="240" w:lineRule="exact"/>
              <w:jc w:val="right"/>
              <w:rPr>
                <w:rFonts w:ascii="宋体" w:hAnsi="宋体" w:eastAsia="宋体" w:cs="宋体"/>
                <w:sz w:val="18"/>
                <w:szCs w:val="18"/>
              </w:rPr>
            </w:pPr>
            <w:r>
              <w:rPr>
                <w:rFonts w:ascii="宋体" w:hAnsi="宋体" w:eastAsia="宋体" w:cs="宋体"/>
                <w:sz w:val="18"/>
                <w:szCs w:val="18"/>
              </w:rPr>
              <w:t>990,786.58</w:t>
            </w:r>
          </w:p>
        </w:tc>
        <w:tc>
          <w:tcPr>
            <w:tcW w:w="3213" w:type="dxa"/>
            <w:tcBorders>
              <w:top w:val="single" w:color="auto" w:sz="2" w:space="0"/>
              <w:left w:val="single" w:color="auto" w:sz="2" w:space="0"/>
              <w:bottom w:val="single" w:color="auto" w:sz="2" w:space="0"/>
              <w:right w:val="single" w:color="auto" w:sz="2" w:space="0"/>
            </w:tcBorders>
            <w:vAlign w:val="center"/>
          </w:tcPr>
          <w:p w14:paraId="7FDBA807">
            <w:pPr>
              <w:spacing w:before="0" w:after="0" w:line="240" w:lineRule="exact"/>
              <w:jc w:val="right"/>
              <w:rPr>
                <w:rFonts w:ascii="宋体" w:hAnsi="宋体" w:eastAsia="宋体" w:cs="宋体"/>
                <w:sz w:val="18"/>
                <w:szCs w:val="18"/>
              </w:rPr>
            </w:pPr>
            <w:r>
              <w:rPr>
                <w:rFonts w:ascii="宋体" w:hAnsi="宋体" w:eastAsia="宋体" w:cs="宋体"/>
                <w:sz w:val="18"/>
                <w:szCs w:val="18"/>
              </w:rPr>
              <w:t>6,110,841.64</w:t>
            </w:r>
          </w:p>
        </w:tc>
      </w:tr>
      <w:tr w14:paraId="1561D5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A94D3F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5A3AA03A">
            <w:pPr>
              <w:spacing w:before="0" w:after="0" w:line="240" w:lineRule="exact"/>
              <w:jc w:val="right"/>
              <w:rPr>
                <w:rFonts w:ascii="宋体" w:hAnsi="宋体" w:eastAsia="宋体" w:cs="宋体"/>
                <w:sz w:val="18"/>
                <w:szCs w:val="18"/>
              </w:rPr>
            </w:pPr>
            <w:r>
              <w:rPr>
                <w:rFonts w:ascii="宋体" w:hAnsi="宋体" w:eastAsia="宋体" w:cs="宋体"/>
                <w:sz w:val="18"/>
                <w:szCs w:val="18"/>
              </w:rPr>
              <w:t>44,052,307.08</w:t>
            </w:r>
          </w:p>
        </w:tc>
        <w:tc>
          <w:tcPr>
            <w:tcW w:w="3213" w:type="dxa"/>
            <w:tcBorders>
              <w:top w:val="single" w:color="auto" w:sz="2" w:space="0"/>
              <w:left w:val="single" w:color="auto" w:sz="2" w:space="0"/>
              <w:bottom w:val="single" w:color="auto" w:sz="2" w:space="0"/>
              <w:right w:val="single" w:color="auto" w:sz="2" w:space="0"/>
            </w:tcBorders>
            <w:vAlign w:val="center"/>
          </w:tcPr>
          <w:p w14:paraId="425DED37">
            <w:pPr>
              <w:spacing w:before="0" w:after="0" w:line="240" w:lineRule="exact"/>
              <w:jc w:val="right"/>
              <w:rPr>
                <w:rFonts w:ascii="宋体" w:hAnsi="宋体" w:eastAsia="宋体" w:cs="宋体"/>
                <w:sz w:val="18"/>
                <w:szCs w:val="18"/>
              </w:rPr>
            </w:pPr>
            <w:r>
              <w:rPr>
                <w:rFonts w:ascii="宋体" w:hAnsi="宋体" w:eastAsia="宋体" w:cs="宋体"/>
                <w:sz w:val="18"/>
                <w:szCs w:val="18"/>
              </w:rPr>
              <w:t>132,957,002.38</w:t>
            </w:r>
          </w:p>
        </w:tc>
      </w:tr>
    </w:tbl>
    <w:p w14:paraId="46A0AB12">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567EC8AB">
      <w:pPr>
        <w:keepNext/>
        <w:keepLines/>
        <w:spacing w:before="300" w:after="300" w:line="280" w:lineRule="exact"/>
        <w:jc w:val="left"/>
        <w:outlineLvl w:val="2"/>
        <w:rPr>
          <w:rFonts w:ascii="宋体" w:hAnsi="宋体" w:eastAsia="宋体" w:cs="宋体"/>
          <w:b/>
          <w:bCs/>
          <w:sz w:val="21"/>
          <w:szCs w:val="21"/>
        </w:rPr>
      </w:pPr>
      <w:bookmarkStart w:id="421" w:name="_Toc989304"/>
      <w:r>
        <w:rPr>
          <w:rFonts w:ascii="宋体" w:hAnsi="宋体" w:eastAsia="宋体" w:cs="宋体"/>
          <w:b/>
          <w:bCs/>
          <w:sz w:val="21"/>
          <w:szCs w:val="21"/>
        </w:rPr>
        <w:t>66、财务费用</w:t>
      </w:r>
      <w:bookmarkEnd w:id="421"/>
    </w:p>
    <w:p w14:paraId="5ECD5E8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9B86A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3EBC4F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F77BA72">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1376D18">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507E15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909FD09">
            <w:pPr>
              <w:spacing w:before="0" w:after="0" w:line="240" w:lineRule="exact"/>
              <w:jc w:val="left"/>
              <w:rPr>
                <w:rFonts w:ascii="宋体" w:hAnsi="宋体" w:eastAsia="宋体" w:cs="宋体"/>
                <w:sz w:val="18"/>
                <w:szCs w:val="18"/>
              </w:rPr>
            </w:pPr>
            <w:r>
              <w:rPr>
                <w:rFonts w:ascii="宋体" w:hAnsi="宋体" w:eastAsia="宋体" w:cs="宋体"/>
                <w:sz w:val="18"/>
                <w:szCs w:val="18"/>
              </w:rPr>
              <w:t>利息支出</w:t>
            </w:r>
          </w:p>
        </w:tc>
        <w:tc>
          <w:tcPr>
            <w:tcW w:w="3213" w:type="dxa"/>
            <w:tcBorders>
              <w:top w:val="single" w:color="auto" w:sz="2" w:space="0"/>
              <w:left w:val="single" w:color="auto" w:sz="2" w:space="0"/>
              <w:bottom w:val="single" w:color="auto" w:sz="2" w:space="0"/>
              <w:right w:val="single" w:color="auto" w:sz="2" w:space="0"/>
            </w:tcBorders>
            <w:vAlign w:val="center"/>
          </w:tcPr>
          <w:p w14:paraId="1321A2CB">
            <w:pPr>
              <w:spacing w:before="0" w:after="0" w:line="240" w:lineRule="exact"/>
              <w:jc w:val="right"/>
              <w:rPr>
                <w:rFonts w:ascii="宋体" w:hAnsi="宋体" w:eastAsia="宋体" w:cs="宋体"/>
                <w:sz w:val="18"/>
                <w:szCs w:val="18"/>
              </w:rPr>
            </w:pPr>
            <w:r>
              <w:rPr>
                <w:rFonts w:ascii="宋体" w:hAnsi="宋体" w:eastAsia="宋体" w:cs="宋体"/>
                <w:sz w:val="18"/>
                <w:szCs w:val="18"/>
              </w:rPr>
              <w:t>35,547,005.46</w:t>
            </w:r>
          </w:p>
        </w:tc>
        <w:tc>
          <w:tcPr>
            <w:tcW w:w="3213" w:type="dxa"/>
            <w:tcBorders>
              <w:top w:val="single" w:color="auto" w:sz="2" w:space="0"/>
              <w:left w:val="single" w:color="auto" w:sz="2" w:space="0"/>
              <w:bottom w:val="single" w:color="auto" w:sz="2" w:space="0"/>
              <w:right w:val="single" w:color="auto" w:sz="2" w:space="0"/>
            </w:tcBorders>
            <w:vAlign w:val="center"/>
          </w:tcPr>
          <w:p w14:paraId="310FD4FF">
            <w:pPr>
              <w:spacing w:before="0" w:after="0" w:line="240" w:lineRule="exact"/>
              <w:jc w:val="right"/>
              <w:rPr>
                <w:rFonts w:ascii="宋体" w:hAnsi="宋体" w:eastAsia="宋体" w:cs="宋体"/>
                <w:sz w:val="18"/>
                <w:szCs w:val="18"/>
              </w:rPr>
            </w:pPr>
            <w:r>
              <w:rPr>
                <w:rFonts w:ascii="宋体" w:hAnsi="宋体" w:eastAsia="宋体" w:cs="宋体"/>
                <w:sz w:val="18"/>
                <w:szCs w:val="18"/>
              </w:rPr>
              <w:t>35,025,391.22</w:t>
            </w:r>
          </w:p>
        </w:tc>
      </w:tr>
      <w:tr w14:paraId="7CE042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3B33931">
            <w:pPr>
              <w:spacing w:before="0" w:after="0" w:line="240" w:lineRule="exact"/>
              <w:jc w:val="left"/>
              <w:rPr>
                <w:rFonts w:ascii="宋体" w:hAnsi="宋体" w:eastAsia="宋体" w:cs="宋体"/>
                <w:sz w:val="18"/>
                <w:szCs w:val="18"/>
              </w:rPr>
            </w:pPr>
            <w:r>
              <w:rPr>
                <w:rFonts w:ascii="宋体" w:hAnsi="宋体" w:eastAsia="宋体" w:cs="宋体"/>
                <w:sz w:val="18"/>
                <w:szCs w:val="18"/>
              </w:rPr>
              <w:t>减：利息收入</w:t>
            </w:r>
          </w:p>
        </w:tc>
        <w:tc>
          <w:tcPr>
            <w:tcW w:w="3213" w:type="dxa"/>
            <w:tcBorders>
              <w:top w:val="single" w:color="auto" w:sz="2" w:space="0"/>
              <w:left w:val="single" w:color="auto" w:sz="2" w:space="0"/>
              <w:bottom w:val="single" w:color="auto" w:sz="2" w:space="0"/>
              <w:right w:val="single" w:color="auto" w:sz="2" w:space="0"/>
            </w:tcBorders>
            <w:vAlign w:val="center"/>
          </w:tcPr>
          <w:p w14:paraId="130E2AB5">
            <w:pPr>
              <w:spacing w:before="0" w:after="0" w:line="240" w:lineRule="exact"/>
              <w:jc w:val="right"/>
              <w:rPr>
                <w:rFonts w:ascii="宋体" w:hAnsi="宋体" w:eastAsia="宋体" w:cs="宋体"/>
                <w:sz w:val="18"/>
                <w:szCs w:val="18"/>
              </w:rPr>
            </w:pPr>
            <w:r>
              <w:rPr>
                <w:rFonts w:ascii="宋体" w:hAnsi="宋体" w:eastAsia="宋体" w:cs="宋体"/>
                <w:sz w:val="18"/>
                <w:szCs w:val="18"/>
              </w:rPr>
              <w:t>1,412,154.32</w:t>
            </w:r>
          </w:p>
        </w:tc>
        <w:tc>
          <w:tcPr>
            <w:tcW w:w="3213" w:type="dxa"/>
            <w:tcBorders>
              <w:top w:val="single" w:color="auto" w:sz="2" w:space="0"/>
              <w:left w:val="single" w:color="auto" w:sz="2" w:space="0"/>
              <w:bottom w:val="single" w:color="auto" w:sz="2" w:space="0"/>
              <w:right w:val="single" w:color="auto" w:sz="2" w:space="0"/>
            </w:tcBorders>
            <w:vAlign w:val="center"/>
          </w:tcPr>
          <w:p w14:paraId="37481C1A">
            <w:pPr>
              <w:spacing w:before="0" w:after="0" w:line="240" w:lineRule="exact"/>
              <w:jc w:val="right"/>
              <w:rPr>
                <w:rFonts w:ascii="宋体" w:hAnsi="宋体" w:eastAsia="宋体" w:cs="宋体"/>
                <w:sz w:val="18"/>
                <w:szCs w:val="18"/>
              </w:rPr>
            </w:pPr>
            <w:r>
              <w:rPr>
                <w:rFonts w:ascii="宋体" w:hAnsi="宋体" w:eastAsia="宋体" w:cs="宋体"/>
                <w:sz w:val="18"/>
                <w:szCs w:val="18"/>
              </w:rPr>
              <w:t>4,497,793.00</w:t>
            </w:r>
          </w:p>
        </w:tc>
      </w:tr>
      <w:tr w14:paraId="52E05B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1033F79">
            <w:pPr>
              <w:spacing w:before="0" w:after="0" w:line="240" w:lineRule="exact"/>
              <w:jc w:val="left"/>
              <w:rPr>
                <w:rFonts w:ascii="宋体" w:hAnsi="宋体" w:eastAsia="宋体" w:cs="宋体"/>
                <w:sz w:val="18"/>
                <w:szCs w:val="18"/>
              </w:rPr>
            </w:pPr>
            <w:r>
              <w:rPr>
                <w:rFonts w:ascii="宋体" w:hAnsi="宋体" w:eastAsia="宋体" w:cs="宋体"/>
                <w:sz w:val="18"/>
                <w:szCs w:val="18"/>
              </w:rPr>
              <w:t>汇兑损益</w:t>
            </w:r>
          </w:p>
        </w:tc>
        <w:tc>
          <w:tcPr>
            <w:tcW w:w="3213" w:type="dxa"/>
            <w:tcBorders>
              <w:top w:val="single" w:color="auto" w:sz="2" w:space="0"/>
              <w:left w:val="single" w:color="auto" w:sz="2" w:space="0"/>
              <w:bottom w:val="single" w:color="auto" w:sz="2" w:space="0"/>
              <w:right w:val="single" w:color="auto" w:sz="2" w:space="0"/>
            </w:tcBorders>
            <w:vAlign w:val="center"/>
          </w:tcPr>
          <w:p w14:paraId="5B3C5965">
            <w:pPr>
              <w:spacing w:before="0" w:after="0" w:line="240" w:lineRule="exact"/>
              <w:jc w:val="right"/>
              <w:rPr>
                <w:rFonts w:ascii="宋体" w:hAnsi="宋体" w:eastAsia="宋体" w:cs="宋体"/>
                <w:sz w:val="18"/>
                <w:szCs w:val="18"/>
              </w:rPr>
            </w:pPr>
            <w:r>
              <w:rPr>
                <w:rFonts w:ascii="宋体" w:hAnsi="宋体" w:eastAsia="宋体" w:cs="宋体"/>
                <w:sz w:val="18"/>
                <w:szCs w:val="18"/>
              </w:rPr>
              <w:t>-330.13</w:t>
            </w:r>
          </w:p>
        </w:tc>
        <w:tc>
          <w:tcPr>
            <w:tcW w:w="3213" w:type="dxa"/>
            <w:tcBorders>
              <w:top w:val="single" w:color="auto" w:sz="2" w:space="0"/>
              <w:left w:val="single" w:color="auto" w:sz="2" w:space="0"/>
              <w:bottom w:val="single" w:color="auto" w:sz="2" w:space="0"/>
              <w:right w:val="single" w:color="auto" w:sz="2" w:space="0"/>
            </w:tcBorders>
            <w:vAlign w:val="center"/>
          </w:tcPr>
          <w:p w14:paraId="5E798801">
            <w:pPr>
              <w:spacing w:before="0" w:after="0" w:line="240" w:lineRule="exact"/>
              <w:jc w:val="right"/>
              <w:rPr>
                <w:rFonts w:ascii="宋体" w:hAnsi="宋体" w:eastAsia="宋体" w:cs="宋体"/>
                <w:sz w:val="18"/>
                <w:szCs w:val="18"/>
              </w:rPr>
            </w:pPr>
            <w:r>
              <w:rPr>
                <w:rFonts w:ascii="宋体" w:hAnsi="宋体" w:eastAsia="宋体" w:cs="宋体"/>
                <w:sz w:val="18"/>
                <w:szCs w:val="18"/>
              </w:rPr>
              <w:t>-3,160.47</w:t>
            </w:r>
          </w:p>
        </w:tc>
      </w:tr>
      <w:tr w14:paraId="62DBE6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8F8A621">
            <w:pPr>
              <w:spacing w:before="0" w:after="0" w:line="240" w:lineRule="exact"/>
              <w:jc w:val="left"/>
              <w:rPr>
                <w:rFonts w:ascii="宋体" w:hAnsi="宋体" w:eastAsia="宋体" w:cs="宋体"/>
                <w:sz w:val="18"/>
                <w:szCs w:val="18"/>
              </w:rPr>
            </w:pPr>
            <w:r>
              <w:rPr>
                <w:rFonts w:ascii="宋体" w:hAnsi="宋体" w:eastAsia="宋体" w:cs="宋体"/>
                <w:sz w:val="18"/>
                <w:szCs w:val="18"/>
              </w:rPr>
              <w:t>银行手续费及其他</w:t>
            </w:r>
          </w:p>
        </w:tc>
        <w:tc>
          <w:tcPr>
            <w:tcW w:w="3213" w:type="dxa"/>
            <w:tcBorders>
              <w:top w:val="single" w:color="auto" w:sz="2" w:space="0"/>
              <w:left w:val="single" w:color="auto" w:sz="2" w:space="0"/>
              <w:bottom w:val="single" w:color="auto" w:sz="2" w:space="0"/>
              <w:right w:val="single" w:color="auto" w:sz="2" w:space="0"/>
            </w:tcBorders>
            <w:vAlign w:val="center"/>
          </w:tcPr>
          <w:p w14:paraId="6DB936B0">
            <w:pPr>
              <w:spacing w:before="0" w:after="0" w:line="240" w:lineRule="exact"/>
              <w:jc w:val="right"/>
              <w:rPr>
                <w:rFonts w:ascii="宋体" w:hAnsi="宋体" w:eastAsia="宋体" w:cs="宋体"/>
                <w:sz w:val="18"/>
                <w:szCs w:val="18"/>
              </w:rPr>
            </w:pPr>
            <w:r>
              <w:rPr>
                <w:rFonts w:ascii="宋体" w:hAnsi="宋体" w:eastAsia="宋体" w:cs="宋体"/>
                <w:sz w:val="18"/>
                <w:szCs w:val="18"/>
              </w:rPr>
              <w:t>54,989.35</w:t>
            </w:r>
          </w:p>
        </w:tc>
        <w:tc>
          <w:tcPr>
            <w:tcW w:w="3213" w:type="dxa"/>
            <w:tcBorders>
              <w:top w:val="single" w:color="auto" w:sz="2" w:space="0"/>
              <w:left w:val="single" w:color="auto" w:sz="2" w:space="0"/>
              <w:bottom w:val="single" w:color="auto" w:sz="2" w:space="0"/>
              <w:right w:val="single" w:color="auto" w:sz="2" w:space="0"/>
            </w:tcBorders>
            <w:vAlign w:val="center"/>
          </w:tcPr>
          <w:p w14:paraId="4BD75A4B">
            <w:pPr>
              <w:spacing w:before="0" w:after="0" w:line="240" w:lineRule="exact"/>
              <w:jc w:val="right"/>
              <w:rPr>
                <w:rFonts w:ascii="宋体" w:hAnsi="宋体" w:eastAsia="宋体" w:cs="宋体"/>
                <w:sz w:val="18"/>
                <w:szCs w:val="18"/>
              </w:rPr>
            </w:pPr>
            <w:r>
              <w:rPr>
                <w:rFonts w:ascii="宋体" w:hAnsi="宋体" w:eastAsia="宋体" w:cs="宋体"/>
                <w:sz w:val="18"/>
                <w:szCs w:val="18"/>
              </w:rPr>
              <w:t>227,752.88</w:t>
            </w:r>
          </w:p>
        </w:tc>
      </w:tr>
      <w:tr w14:paraId="308B0B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304316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7A188740">
            <w:pPr>
              <w:spacing w:before="0" w:after="0" w:line="240" w:lineRule="exact"/>
              <w:jc w:val="right"/>
              <w:rPr>
                <w:rFonts w:ascii="宋体" w:hAnsi="宋体" w:eastAsia="宋体" w:cs="宋体"/>
                <w:sz w:val="18"/>
                <w:szCs w:val="18"/>
              </w:rPr>
            </w:pPr>
            <w:r>
              <w:rPr>
                <w:rFonts w:ascii="宋体" w:hAnsi="宋体" w:eastAsia="宋体" w:cs="宋体"/>
                <w:sz w:val="18"/>
                <w:szCs w:val="18"/>
              </w:rPr>
              <w:t>34,189,510.36</w:t>
            </w:r>
          </w:p>
        </w:tc>
        <w:tc>
          <w:tcPr>
            <w:tcW w:w="3213" w:type="dxa"/>
            <w:tcBorders>
              <w:top w:val="single" w:color="auto" w:sz="2" w:space="0"/>
              <w:left w:val="single" w:color="auto" w:sz="2" w:space="0"/>
              <w:bottom w:val="single" w:color="auto" w:sz="2" w:space="0"/>
              <w:right w:val="single" w:color="auto" w:sz="2" w:space="0"/>
            </w:tcBorders>
            <w:vAlign w:val="center"/>
          </w:tcPr>
          <w:p w14:paraId="32724957">
            <w:pPr>
              <w:spacing w:before="0" w:after="0" w:line="240" w:lineRule="exact"/>
              <w:jc w:val="right"/>
              <w:rPr>
                <w:rFonts w:ascii="宋体" w:hAnsi="宋体" w:eastAsia="宋体" w:cs="宋体"/>
                <w:sz w:val="18"/>
                <w:szCs w:val="18"/>
              </w:rPr>
            </w:pPr>
            <w:r>
              <w:rPr>
                <w:rFonts w:ascii="宋体" w:hAnsi="宋体" w:eastAsia="宋体" w:cs="宋体"/>
                <w:sz w:val="18"/>
                <w:szCs w:val="18"/>
              </w:rPr>
              <w:t>30,752,190.63</w:t>
            </w:r>
          </w:p>
        </w:tc>
      </w:tr>
    </w:tbl>
    <w:p w14:paraId="3765CEAC">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7A95130">
      <w:pPr>
        <w:keepNext/>
        <w:keepLines/>
        <w:spacing w:before="300" w:after="300" w:line="280" w:lineRule="exact"/>
        <w:jc w:val="left"/>
        <w:outlineLvl w:val="2"/>
        <w:rPr>
          <w:rFonts w:ascii="宋体" w:hAnsi="宋体" w:eastAsia="宋体" w:cs="宋体"/>
          <w:b/>
          <w:bCs/>
          <w:sz w:val="21"/>
          <w:szCs w:val="21"/>
        </w:rPr>
      </w:pPr>
      <w:bookmarkStart w:id="422" w:name="_Toc989305"/>
      <w:r>
        <w:rPr>
          <w:rFonts w:ascii="宋体" w:hAnsi="宋体" w:eastAsia="宋体" w:cs="宋体"/>
          <w:b/>
          <w:bCs/>
          <w:sz w:val="21"/>
          <w:szCs w:val="21"/>
        </w:rPr>
        <w:t>67、其他收益</w:t>
      </w:r>
      <w:bookmarkEnd w:id="422"/>
    </w:p>
    <w:p w14:paraId="7B4E934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70538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F8FC1DA">
            <w:pPr>
              <w:spacing w:before="40" w:after="40" w:line="240" w:lineRule="exact"/>
              <w:jc w:val="center"/>
              <w:rPr>
                <w:rFonts w:ascii="宋体" w:hAnsi="宋体" w:eastAsia="宋体" w:cs="宋体"/>
                <w:sz w:val="18"/>
                <w:szCs w:val="18"/>
              </w:rPr>
            </w:pPr>
            <w:r>
              <w:rPr>
                <w:rFonts w:ascii="宋体" w:hAnsi="宋体" w:eastAsia="宋体" w:cs="宋体"/>
                <w:sz w:val="18"/>
                <w:szCs w:val="18"/>
              </w:rPr>
              <w:t>产生其他收益的来源</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7D670DC">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D9102B0">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4FB64C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E46211D">
            <w:pPr>
              <w:spacing w:before="0" w:after="0" w:line="240" w:lineRule="exact"/>
              <w:jc w:val="left"/>
              <w:rPr>
                <w:rFonts w:ascii="宋体" w:hAnsi="宋体" w:eastAsia="宋体" w:cs="宋体"/>
                <w:sz w:val="18"/>
                <w:szCs w:val="18"/>
              </w:rPr>
            </w:pPr>
            <w:r>
              <w:rPr>
                <w:rFonts w:ascii="宋体" w:hAnsi="宋体" w:eastAsia="宋体" w:cs="宋体"/>
                <w:sz w:val="18"/>
                <w:szCs w:val="18"/>
              </w:rPr>
              <w:t>政府补助</w:t>
            </w:r>
          </w:p>
        </w:tc>
        <w:tc>
          <w:tcPr>
            <w:tcW w:w="3213" w:type="dxa"/>
            <w:tcBorders>
              <w:top w:val="single" w:color="auto" w:sz="2" w:space="0"/>
              <w:left w:val="single" w:color="auto" w:sz="2" w:space="0"/>
              <w:bottom w:val="single" w:color="auto" w:sz="2" w:space="0"/>
              <w:right w:val="single" w:color="auto" w:sz="2" w:space="0"/>
            </w:tcBorders>
            <w:vAlign w:val="center"/>
          </w:tcPr>
          <w:p w14:paraId="43BB2AED">
            <w:pPr>
              <w:spacing w:before="0" w:after="0" w:line="240" w:lineRule="exact"/>
              <w:jc w:val="right"/>
              <w:rPr>
                <w:rFonts w:ascii="宋体" w:hAnsi="宋体" w:eastAsia="宋体" w:cs="宋体"/>
                <w:sz w:val="18"/>
                <w:szCs w:val="18"/>
              </w:rPr>
            </w:pPr>
            <w:r>
              <w:rPr>
                <w:rFonts w:ascii="宋体" w:hAnsi="宋体" w:eastAsia="宋体" w:cs="宋体"/>
                <w:sz w:val="18"/>
                <w:szCs w:val="18"/>
              </w:rPr>
              <w:t>45,114,872.01</w:t>
            </w:r>
          </w:p>
        </w:tc>
        <w:tc>
          <w:tcPr>
            <w:tcW w:w="3213" w:type="dxa"/>
            <w:tcBorders>
              <w:top w:val="single" w:color="auto" w:sz="2" w:space="0"/>
              <w:left w:val="single" w:color="auto" w:sz="2" w:space="0"/>
              <w:bottom w:val="single" w:color="auto" w:sz="2" w:space="0"/>
              <w:right w:val="single" w:color="auto" w:sz="2" w:space="0"/>
            </w:tcBorders>
            <w:vAlign w:val="center"/>
          </w:tcPr>
          <w:p w14:paraId="3E63BAE6">
            <w:pPr>
              <w:spacing w:before="0" w:after="0" w:line="240" w:lineRule="exact"/>
              <w:jc w:val="right"/>
              <w:rPr>
                <w:rFonts w:ascii="宋体" w:hAnsi="宋体" w:eastAsia="宋体" w:cs="宋体"/>
                <w:sz w:val="18"/>
                <w:szCs w:val="18"/>
              </w:rPr>
            </w:pPr>
            <w:r>
              <w:rPr>
                <w:rFonts w:ascii="宋体" w:hAnsi="宋体" w:eastAsia="宋体" w:cs="宋体"/>
                <w:sz w:val="18"/>
                <w:szCs w:val="18"/>
              </w:rPr>
              <w:t>9,117,724.29</w:t>
            </w:r>
          </w:p>
        </w:tc>
      </w:tr>
      <w:tr w14:paraId="33EA49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6333147">
            <w:pPr>
              <w:spacing w:before="0" w:after="0" w:line="240" w:lineRule="exact"/>
              <w:jc w:val="left"/>
              <w:rPr>
                <w:rFonts w:ascii="宋体" w:hAnsi="宋体" w:eastAsia="宋体" w:cs="宋体"/>
                <w:sz w:val="18"/>
                <w:szCs w:val="18"/>
              </w:rPr>
            </w:pPr>
            <w:r>
              <w:rPr>
                <w:rFonts w:ascii="宋体" w:hAnsi="宋体" w:eastAsia="宋体" w:cs="宋体"/>
                <w:sz w:val="18"/>
                <w:szCs w:val="18"/>
              </w:rPr>
              <w:t>代扣个人所得税手续费返还</w:t>
            </w:r>
          </w:p>
        </w:tc>
        <w:tc>
          <w:tcPr>
            <w:tcW w:w="3213" w:type="dxa"/>
            <w:tcBorders>
              <w:top w:val="single" w:color="auto" w:sz="2" w:space="0"/>
              <w:left w:val="single" w:color="auto" w:sz="2" w:space="0"/>
              <w:bottom w:val="single" w:color="auto" w:sz="2" w:space="0"/>
              <w:right w:val="single" w:color="auto" w:sz="2" w:space="0"/>
            </w:tcBorders>
            <w:vAlign w:val="center"/>
          </w:tcPr>
          <w:p w14:paraId="470FF3F7">
            <w:pPr>
              <w:spacing w:before="0" w:after="0" w:line="240" w:lineRule="exact"/>
              <w:jc w:val="right"/>
              <w:rPr>
                <w:rFonts w:ascii="宋体" w:hAnsi="宋体" w:eastAsia="宋体" w:cs="宋体"/>
                <w:sz w:val="18"/>
                <w:szCs w:val="18"/>
              </w:rPr>
            </w:pPr>
            <w:r>
              <w:rPr>
                <w:rFonts w:ascii="宋体" w:hAnsi="宋体" w:eastAsia="宋体" w:cs="宋体"/>
                <w:sz w:val="18"/>
                <w:szCs w:val="18"/>
              </w:rPr>
              <w:t>154,241.19</w:t>
            </w:r>
          </w:p>
        </w:tc>
        <w:tc>
          <w:tcPr>
            <w:tcW w:w="3213" w:type="dxa"/>
            <w:tcBorders>
              <w:top w:val="single" w:color="auto" w:sz="2" w:space="0"/>
              <w:left w:val="single" w:color="auto" w:sz="2" w:space="0"/>
              <w:bottom w:val="single" w:color="auto" w:sz="2" w:space="0"/>
              <w:right w:val="single" w:color="auto" w:sz="2" w:space="0"/>
            </w:tcBorders>
            <w:vAlign w:val="center"/>
          </w:tcPr>
          <w:p w14:paraId="02274460">
            <w:pPr>
              <w:spacing w:before="0" w:after="0" w:line="240" w:lineRule="exact"/>
              <w:jc w:val="right"/>
              <w:rPr>
                <w:rFonts w:ascii="宋体" w:hAnsi="宋体" w:eastAsia="宋体" w:cs="宋体"/>
                <w:sz w:val="18"/>
                <w:szCs w:val="18"/>
              </w:rPr>
            </w:pPr>
            <w:r>
              <w:rPr>
                <w:rFonts w:ascii="宋体" w:hAnsi="宋体" w:eastAsia="宋体" w:cs="宋体"/>
                <w:sz w:val="18"/>
                <w:szCs w:val="18"/>
              </w:rPr>
              <w:t>139,538.11</w:t>
            </w:r>
          </w:p>
        </w:tc>
      </w:tr>
      <w:tr w14:paraId="4A87F6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E427AEE">
            <w:pPr>
              <w:spacing w:before="0" w:after="0" w:line="240" w:lineRule="exact"/>
              <w:jc w:val="left"/>
              <w:rPr>
                <w:rFonts w:ascii="宋体" w:hAnsi="宋体" w:eastAsia="宋体" w:cs="宋体"/>
                <w:sz w:val="18"/>
                <w:szCs w:val="18"/>
              </w:rPr>
            </w:pPr>
            <w:r>
              <w:rPr>
                <w:rFonts w:ascii="宋体" w:hAnsi="宋体" w:eastAsia="宋体" w:cs="宋体"/>
                <w:sz w:val="18"/>
                <w:szCs w:val="18"/>
              </w:rPr>
              <w:t>增值税免征及加计抵减优惠</w:t>
            </w:r>
          </w:p>
        </w:tc>
        <w:tc>
          <w:tcPr>
            <w:tcW w:w="3213" w:type="dxa"/>
            <w:tcBorders>
              <w:top w:val="single" w:color="auto" w:sz="2" w:space="0"/>
              <w:left w:val="single" w:color="auto" w:sz="2" w:space="0"/>
              <w:bottom w:val="single" w:color="auto" w:sz="2" w:space="0"/>
              <w:right w:val="single" w:color="auto" w:sz="2" w:space="0"/>
            </w:tcBorders>
            <w:vAlign w:val="center"/>
          </w:tcPr>
          <w:p w14:paraId="3039E647">
            <w:pPr>
              <w:spacing w:before="0" w:after="0" w:line="240" w:lineRule="exact"/>
              <w:jc w:val="right"/>
              <w:rPr>
                <w:rFonts w:ascii="宋体" w:hAnsi="宋体" w:eastAsia="宋体" w:cs="宋体"/>
                <w:sz w:val="18"/>
                <w:szCs w:val="18"/>
              </w:rPr>
            </w:pPr>
            <w:r>
              <w:rPr>
                <w:rFonts w:ascii="宋体" w:hAnsi="宋体" w:eastAsia="宋体" w:cs="宋体"/>
                <w:sz w:val="18"/>
                <w:szCs w:val="18"/>
              </w:rPr>
              <w:t>1,635,499.58</w:t>
            </w:r>
          </w:p>
        </w:tc>
        <w:tc>
          <w:tcPr>
            <w:tcW w:w="3213" w:type="dxa"/>
            <w:tcBorders>
              <w:top w:val="single" w:color="auto" w:sz="2" w:space="0"/>
              <w:left w:val="single" w:color="auto" w:sz="2" w:space="0"/>
              <w:bottom w:val="single" w:color="auto" w:sz="2" w:space="0"/>
              <w:right w:val="single" w:color="auto" w:sz="2" w:space="0"/>
            </w:tcBorders>
            <w:vAlign w:val="center"/>
          </w:tcPr>
          <w:p w14:paraId="131A73DB">
            <w:pPr>
              <w:spacing w:before="0" w:after="0" w:line="240" w:lineRule="exact"/>
              <w:jc w:val="right"/>
              <w:rPr>
                <w:rFonts w:ascii="宋体" w:hAnsi="宋体" w:eastAsia="宋体" w:cs="宋体"/>
                <w:sz w:val="18"/>
                <w:szCs w:val="18"/>
              </w:rPr>
            </w:pPr>
          </w:p>
        </w:tc>
      </w:tr>
      <w:tr w14:paraId="0CF6D9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EC6BF05">
            <w:pPr>
              <w:spacing w:before="0" w:after="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45E6B1CF">
            <w:pPr>
              <w:spacing w:before="0" w:after="0" w:line="240" w:lineRule="exact"/>
              <w:jc w:val="right"/>
              <w:rPr>
                <w:rFonts w:ascii="宋体" w:hAnsi="宋体" w:eastAsia="宋体" w:cs="宋体"/>
                <w:sz w:val="18"/>
                <w:szCs w:val="18"/>
              </w:rPr>
            </w:pPr>
            <w:r>
              <w:rPr>
                <w:rFonts w:ascii="宋体" w:hAnsi="宋体" w:eastAsia="宋体" w:cs="宋体"/>
                <w:sz w:val="18"/>
                <w:szCs w:val="18"/>
              </w:rPr>
              <w:t>46,904,612.78</w:t>
            </w:r>
          </w:p>
        </w:tc>
        <w:tc>
          <w:tcPr>
            <w:tcW w:w="3213" w:type="dxa"/>
            <w:tcBorders>
              <w:top w:val="single" w:color="auto" w:sz="2" w:space="0"/>
              <w:left w:val="single" w:color="auto" w:sz="2" w:space="0"/>
              <w:bottom w:val="single" w:color="auto" w:sz="2" w:space="0"/>
              <w:right w:val="single" w:color="auto" w:sz="2" w:space="0"/>
            </w:tcBorders>
            <w:vAlign w:val="center"/>
          </w:tcPr>
          <w:p w14:paraId="546EA11F">
            <w:pPr>
              <w:spacing w:before="0" w:after="0" w:line="240" w:lineRule="exact"/>
              <w:jc w:val="right"/>
              <w:rPr>
                <w:rFonts w:ascii="宋体" w:hAnsi="宋体" w:eastAsia="宋体" w:cs="宋体"/>
                <w:sz w:val="18"/>
                <w:szCs w:val="18"/>
              </w:rPr>
            </w:pPr>
            <w:r>
              <w:rPr>
                <w:rFonts w:ascii="宋体" w:hAnsi="宋体" w:eastAsia="宋体" w:cs="宋体"/>
                <w:sz w:val="18"/>
                <w:szCs w:val="18"/>
              </w:rPr>
              <w:t>9,257,262.40</w:t>
            </w:r>
          </w:p>
        </w:tc>
      </w:tr>
    </w:tbl>
    <w:p w14:paraId="72D363A1">
      <w:pPr>
        <w:keepNext/>
        <w:keepLines/>
        <w:spacing w:before="300" w:after="300" w:line="280" w:lineRule="exact"/>
        <w:jc w:val="left"/>
        <w:outlineLvl w:val="2"/>
        <w:rPr>
          <w:rFonts w:ascii="宋体" w:hAnsi="宋体" w:eastAsia="宋体" w:cs="宋体"/>
          <w:b/>
          <w:bCs/>
          <w:sz w:val="21"/>
          <w:szCs w:val="21"/>
        </w:rPr>
      </w:pPr>
      <w:bookmarkStart w:id="423" w:name="_Toc989306"/>
      <w:r>
        <w:rPr>
          <w:rFonts w:ascii="宋体" w:hAnsi="宋体" w:eastAsia="宋体" w:cs="宋体"/>
          <w:b/>
          <w:bCs/>
          <w:sz w:val="21"/>
          <w:szCs w:val="21"/>
        </w:rPr>
        <w:t>68、净敞口套期收益</w:t>
      </w:r>
      <w:bookmarkEnd w:id="423"/>
    </w:p>
    <w:p w14:paraId="106AA92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7ACDE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23FC23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E84356A">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62E1FF0">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bl>
    <w:p w14:paraId="4179FD9B">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1BA60558">
      <w:pPr>
        <w:keepNext/>
        <w:keepLines/>
        <w:spacing w:before="300" w:after="300" w:line="280" w:lineRule="exact"/>
        <w:jc w:val="left"/>
        <w:outlineLvl w:val="2"/>
        <w:rPr>
          <w:rFonts w:ascii="宋体" w:hAnsi="宋体" w:eastAsia="宋体" w:cs="宋体"/>
          <w:b/>
          <w:bCs/>
          <w:sz w:val="21"/>
          <w:szCs w:val="21"/>
        </w:rPr>
      </w:pPr>
      <w:bookmarkStart w:id="424" w:name="_Toc989307"/>
      <w:r>
        <w:rPr>
          <w:rFonts w:ascii="宋体" w:hAnsi="宋体" w:eastAsia="宋体" w:cs="宋体"/>
          <w:b/>
          <w:bCs/>
          <w:sz w:val="21"/>
          <w:szCs w:val="21"/>
        </w:rPr>
        <w:t>69、公允价值变动收益</w:t>
      </w:r>
      <w:bookmarkEnd w:id="424"/>
    </w:p>
    <w:p w14:paraId="78FBC43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3F66E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888757F">
            <w:pPr>
              <w:spacing w:before="40" w:after="40" w:line="240" w:lineRule="exact"/>
              <w:jc w:val="center"/>
              <w:rPr>
                <w:rFonts w:ascii="宋体" w:hAnsi="宋体" w:eastAsia="宋体" w:cs="宋体"/>
                <w:sz w:val="18"/>
                <w:szCs w:val="18"/>
              </w:rPr>
            </w:pPr>
            <w:r>
              <w:rPr>
                <w:rFonts w:ascii="宋体" w:hAnsi="宋体" w:eastAsia="宋体" w:cs="宋体"/>
                <w:sz w:val="18"/>
                <w:szCs w:val="18"/>
              </w:rPr>
              <w:t>产生公允价值变动收益的来源</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5D564F7">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822269C">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bl>
    <w:p w14:paraId="31027796">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07D6C92">
      <w:pPr>
        <w:keepNext/>
        <w:keepLines/>
        <w:spacing w:before="300" w:after="300" w:line="280" w:lineRule="exact"/>
        <w:jc w:val="left"/>
        <w:outlineLvl w:val="2"/>
        <w:rPr>
          <w:rFonts w:ascii="宋体" w:hAnsi="宋体" w:eastAsia="宋体" w:cs="宋体"/>
          <w:b/>
          <w:bCs/>
          <w:sz w:val="21"/>
          <w:szCs w:val="21"/>
        </w:rPr>
      </w:pPr>
      <w:bookmarkStart w:id="425" w:name="_Toc989308"/>
      <w:r>
        <w:rPr>
          <w:rFonts w:ascii="宋体" w:hAnsi="宋体" w:eastAsia="宋体" w:cs="宋体"/>
          <w:b/>
          <w:bCs/>
          <w:sz w:val="21"/>
          <w:szCs w:val="21"/>
        </w:rPr>
        <w:t>70、投资收益</w:t>
      </w:r>
      <w:bookmarkEnd w:id="425"/>
    </w:p>
    <w:p w14:paraId="70B001A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36E6AF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18AF30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346FFB7">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8454ED7">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0DB149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8A6DEC8">
            <w:pPr>
              <w:spacing w:before="40" w:after="40" w:line="240" w:lineRule="exact"/>
              <w:jc w:val="left"/>
              <w:rPr>
                <w:rFonts w:ascii="宋体" w:hAnsi="宋体" w:eastAsia="宋体" w:cs="宋体"/>
                <w:sz w:val="18"/>
                <w:szCs w:val="18"/>
              </w:rPr>
            </w:pPr>
            <w:r>
              <w:rPr>
                <w:rFonts w:ascii="宋体" w:hAnsi="宋体" w:eastAsia="宋体" w:cs="宋体"/>
                <w:sz w:val="18"/>
                <w:szCs w:val="18"/>
              </w:rPr>
              <w:t>权益法核算的长期股权投资收益</w:t>
            </w:r>
          </w:p>
        </w:tc>
        <w:tc>
          <w:tcPr>
            <w:tcW w:w="3213" w:type="dxa"/>
            <w:tcBorders>
              <w:top w:val="single" w:color="auto" w:sz="2" w:space="0"/>
              <w:left w:val="single" w:color="auto" w:sz="2" w:space="0"/>
              <w:bottom w:val="single" w:color="auto" w:sz="2" w:space="0"/>
              <w:right w:val="single" w:color="auto" w:sz="2" w:space="0"/>
            </w:tcBorders>
            <w:vAlign w:val="center"/>
          </w:tcPr>
          <w:p w14:paraId="14A79D16">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3213" w:type="dxa"/>
            <w:tcBorders>
              <w:top w:val="single" w:color="auto" w:sz="2" w:space="0"/>
              <w:left w:val="single" w:color="auto" w:sz="2" w:space="0"/>
              <w:bottom w:val="single" w:color="auto" w:sz="2" w:space="0"/>
              <w:right w:val="single" w:color="auto" w:sz="2" w:space="0"/>
            </w:tcBorders>
            <w:vAlign w:val="center"/>
          </w:tcPr>
          <w:p w14:paraId="6D95D735">
            <w:pPr>
              <w:spacing w:before="0" w:after="0" w:line="240" w:lineRule="exact"/>
              <w:jc w:val="right"/>
              <w:rPr>
                <w:rFonts w:ascii="宋体" w:hAnsi="宋体" w:eastAsia="宋体" w:cs="宋体"/>
                <w:sz w:val="18"/>
                <w:szCs w:val="18"/>
              </w:rPr>
            </w:pPr>
            <w:r>
              <w:rPr>
                <w:rFonts w:ascii="宋体" w:hAnsi="宋体" w:eastAsia="宋体" w:cs="宋体"/>
                <w:sz w:val="18"/>
                <w:szCs w:val="18"/>
              </w:rPr>
              <w:t>-61,931,371.88</w:t>
            </w:r>
          </w:p>
        </w:tc>
      </w:tr>
      <w:tr w14:paraId="00D62E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FDE5C3C">
            <w:pPr>
              <w:spacing w:before="40" w:after="40" w:line="240" w:lineRule="exact"/>
              <w:jc w:val="left"/>
              <w:rPr>
                <w:rFonts w:ascii="宋体" w:hAnsi="宋体" w:eastAsia="宋体" w:cs="宋体"/>
                <w:sz w:val="18"/>
                <w:szCs w:val="18"/>
              </w:rPr>
            </w:pPr>
            <w:r>
              <w:rPr>
                <w:rFonts w:ascii="宋体" w:hAnsi="宋体" w:eastAsia="宋体" w:cs="宋体"/>
                <w:sz w:val="18"/>
                <w:szCs w:val="18"/>
              </w:rPr>
              <w:t>交易性金融资产在持有期间的投资收益</w:t>
            </w:r>
          </w:p>
        </w:tc>
        <w:tc>
          <w:tcPr>
            <w:tcW w:w="3213" w:type="dxa"/>
            <w:tcBorders>
              <w:top w:val="single" w:color="auto" w:sz="2" w:space="0"/>
              <w:left w:val="single" w:color="auto" w:sz="2" w:space="0"/>
              <w:bottom w:val="single" w:color="auto" w:sz="2" w:space="0"/>
              <w:right w:val="single" w:color="auto" w:sz="2" w:space="0"/>
            </w:tcBorders>
            <w:vAlign w:val="center"/>
          </w:tcPr>
          <w:p w14:paraId="47699613">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F0E7E79">
            <w:pPr>
              <w:spacing w:before="0" w:after="0" w:line="240" w:lineRule="exact"/>
              <w:jc w:val="right"/>
              <w:rPr>
                <w:rFonts w:ascii="宋体" w:hAnsi="宋体" w:eastAsia="宋体" w:cs="宋体"/>
                <w:sz w:val="18"/>
                <w:szCs w:val="18"/>
              </w:rPr>
            </w:pPr>
            <w:r>
              <w:rPr>
                <w:rFonts w:ascii="宋体" w:hAnsi="宋体" w:eastAsia="宋体" w:cs="宋体"/>
                <w:sz w:val="18"/>
                <w:szCs w:val="18"/>
              </w:rPr>
              <w:t>89,851.66</w:t>
            </w:r>
          </w:p>
        </w:tc>
      </w:tr>
      <w:tr w14:paraId="7C2948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1974EAC">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5FA18849">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3213" w:type="dxa"/>
            <w:tcBorders>
              <w:top w:val="single" w:color="auto" w:sz="2" w:space="0"/>
              <w:left w:val="single" w:color="auto" w:sz="2" w:space="0"/>
              <w:bottom w:val="single" w:color="auto" w:sz="2" w:space="0"/>
              <w:right w:val="single" w:color="auto" w:sz="2" w:space="0"/>
            </w:tcBorders>
            <w:vAlign w:val="center"/>
          </w:tcPr>
          <w:p w14:paraId="5D24A7C9">
            <w:pPr>
              <w:spacing w:before="0" w:after="0" w:line="240" w:lineRule="exact"/>
              <w:jc w:val="right"/>
              <w:rPr>
                <w:rFonts w:ascii="宋体" w:hAnsi="宋体" w:eastAsia="宋体" w:cs="宋体"/>
                <w:sz w:val="18"/>
                <w:szCs w:val="18"/>
              </w:rPr>
            </w:pPr>
            <w:r>
              <w:rPr>
                <w:rFonts w:ascii="宋体" w:hAnsi="宋体" w:eastAsia="宋体" w:cs="宋体"/>
                <w:sz w:val="18"/>
                <w:szCs w:val="18"/>
              </w:rPr>
              <w:t>-61,841,520.22</w:t>
            </w:r>
          </w:p>
        </w:tc>
      </w:tr>
    </w:tbl>
    <w:p w14:paraId="5EEB234E">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1FCF84B0">
      <w:pPr>
        <w:keepNext/>
        <w:keepLines/>
        <w:spacing w:before="300" w:after="300" w:line="280" w:lineRule="exact"/>
        <w:jc w:val="left"/>
        <w:outlineLvl w:val="2"/>
        <w:rPr>
          <w:rFonts w:ascii="宋体" w:hAnsi="宋体" w:eastAsia="宋体" w:cs="宋体"/>
          <w:b/>
          <w:bCs/>
          <w:sz w:val="21"/>
          <w:szCs w:val="21"/>
        </w:rPr>
      </w:pPr>
      <w:bookmarkStart w:id="426" w:name="_Toc989309"/>
      <w:r>
        <w:rPr>
          <w:rFonts w:ascii="宋体" w:hAnsi="宋体" w:eastAsia="宋体" w:cs="宋体"/>
          <w:b/>
          <w:bCs/>
          <w:sz w:val="21"/>
          <w:szCs w:val="21"/>
        </w:rPr>
        <w:t>71、信用减值损失</w:t>
      </w:r>
      <w:bookmarkEnd w:id="426"/>
    </w:p>
    <w:p w14:paraId="1E67D86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E0BDC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F422608">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56642AC">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6EB2042">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740A4A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54CA59C">
            <w:pPr>
              <w:spacing w:before="0" w:after="0" w:line="240" w:lineRule="exact"/>
              <w:jc w:val="left"/>
              <w:rPr>
                <w:rFonts w:ascii="宋体" w:hAnsi="宋体" w:eastAsia="宋体" w:cs="宋体"/>
                <w:sz w:val="18"/>
                <w:szCs w:val="18"/>
              </w:rPr>
            </w:pPr>
            <w:r>
              <w:rPr>
                <w:rFonts w:ascii="宋体" w:hAnsi="宋体" w:eastAsia="宋体" w:cs="宋体"/>
                <w:sz w:val="18"/>
                <w:szCs w:val="18"/>
              </w:rPr>
              <w:t>坏账损失</w:t>
            </w:r>
          </w:p>
        </w:tc>
        <w:tc>
          <w:tcPr>
            <w:tcW w:w="3213" w:type="dxa"/>
            <w:tcBorders>
              <w:top w:val="single" w:color="auto" w:sz="2" w:space="0"/>
              <w:left w:val="single" w:color="auto" w:sz="2" w:space="0"/>
              <w:bottom w:val="single" w:color="auto" w:sz="2" w:space="0"/>
              <w:right w:val="single" w:color="auto" w:sz="2" w:space="0"/>
            </w:tcBorders>
            <w:vAlign w:val="center"/>
          </w:tcPr>
          <w:p w14:paraId="6C5BCEE6">
            <w:pPr>
              <w:spacing w:before="0" w:after="0" w:line="240" w:lineRule="exact"/>
              <w:jc w:val="right"/>
              <w:rPr>
                <w:rFonts w:ascii="宋体" w:hAnsi="宋体" w:eastAsia="宋体" w:cs="宋体"/>
                <w:sz w:val="18"/>
                <w:szCs w:val="18"/>
              </w:rPr>
            </w:pPr>
            <w:r>
              <w:rPr>
                <w:rFonts w:ascii="宋体" w:hAnsi="宋体" w:eastAsia="宋体" w:cs="宋体"/>
                <w:sz w:val="18"/>
                <w:szCs w:val="18"/>
              </w:rPr>
              <w:t>-552,973.81</w:t>
            </w:r>
          </w:p>
        </w:tc>
        <w:tc>
          <w:tcPr>
            <w:tcW w:w="3213" w:type="dxa"/>
            <w:tcBorders>
              <w:top w:val="single" w:color="auto" w:sz="2" w:space="0"/>
              <w:left w:val="single" w:color="auto" w:sz="2" w:space="0"/>
              <w:bottom w:val="single" w:color="auto" w:sz="2" w:space="0"/>
              <w:right w:val="single" w:color="auto" w:sz="2" w:space="0"/>
            </w:tcBorders>
            <w:vAlign w:val="center"/>
          </w:tcPr>
          <w:p w14:paraId="697502F5">
            <w:pPr>
              <w:spacing w:before="0" w:after="0" w:line="240" w:lineRule="exact"/>
              <w:jc w:val="right"/>
              <w:rPr>
                <w:rFonts w:ascii="宋体" w:hAnsi="宋体" w:eastAsia="宋体" w:cs="宋体"/>
                <w:sz w:val="18"/>
                <w:szCs w:val="18"/>
              </w:rPr>
            </w:pPr>
            <w:r>
              <w:rPr>
                <w:rFonts w:ascii="宋体" w:hAnsi="宋体" w:eastAsia="宋体" w:cs="宋体"/>
                <w:sz w:val="18"/>
                <w:szCs w:val="18"/>
              </w:rPr>
              <w:t>-1,767,460.49</w:t>
            </w:r>
          </w:p>
        </w:tc>
      </w:tr>
      <w:tr w14:paraId="5771B6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904AF88">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1A7966FF">
            <w:pPr>
              <w:spacing w:before="0" w:after="0" w:line="240" w:lineRule="exact"/>
              <w:jc w:val="right"/>
              <w:rPr>
                <w:rFonts w:ascii="宋体" w:hAnsi="宋体" w:eastAsia="宋体" w:cs="宋体"/>
                <w:sz w:val="18"/>
                <w:szCs w:val="18"/>
              </w:rPr>
            </w:pPr>
            <w:r>
              <w:rPr>
                <w:rFonts w:ascii="宋体" w:hAnsi="宋体" w:eastAsia="宋体" w:cs="宋体"/>
                <w:sz w:val="18"/>
                <w:szCs w:val="18"/>
              </w:rPr>
              <w:t>-552,973.81</w:t>
            </w:r>
          </w:p>
        </w:tc>
        <w:tc>
          <w:tcPr>
            <w:tcW w:w="3213" w:type="dxa"/>
            <w:tcBorders>
              <w:top w:val="single" w:color="auto" w:sz="2" w:space="0"/>
              <w:left w:val="single" w:color="auto" w:sz="2" w:space="0"/>
              <w:bottom w:val="single" w:color="auto" w:sz="2" w:space="0"/>
              <w:right w:val="single" w:color="auto" w:sz="2" w:space="0"/>
            </w:tcBorders>
            <w:vAlign w:val="center"/>
          </w:tcPr>
          <w:p w14:paraId="537CAE96">
            <w:pPr>
              <w:spacing w:before="0" w:after="0" w:line="240" w:lineRule="exact"/>
              <w:jc w:val="right"/>
              <w:rPr>
                <w:rFonts w:ascii="宋体" w:hAnsi="宋体" w:eastAsia="宋体" w:cs="宋体"/>
                <w:sz w:val="18"/>
                <w:szCs w:val="18"/>
              </w:rPr>
            </w:pPr>
            <w:r>
              <w:rPr>
                <w:rFonts w:ascii="宋体" w:hAnsi="宋体" w:eastAsia="宋体" w:cs="宋体"/>
                <w:sz w:val="18"/>
                <w:szCs w:val="18"/>
              </w:rPr>
              <w:t>-1,767,460.49</w:t>
            </w:r>
          </w:p>
        </w:tc>
      </w:tr>
    </w:tbl>
    <w:p w14:paraId="2B381172">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CA2122C">
      <w:pPr>
        <w:keepNext/>
        <w:keepLines/>
        <w:spacing w:before="300" w:after="300" w:line="280" w:lineRule="exact"/>
        <w:jc w:val="left"/>
        <w:outlineLvl w:val="2"/>
        <w:rPr>
          <w:rFonts w:ascii="宋体" w:hAnsi="宋体" w:eastAsia="宋体" w:cs="宋体"/>
          <w:b/>
          <w:bCs/>
          <w:sz w:val="21"/>
          <w:szCs w:val="21"/>
        </w:rPr>
      </w:pPr>
      <w:bookmarkStart w:id="427" w:name="_Toc989310"/>
      <w:r>
        <w:rPr>
          <w:rFonts w:ascii="宋体" w:hAnsi="宋体" w:eastAsia="宋体" w:cs="宋体"/>
          <w:b/>
          <w:bCs/>
          <w:sz w:val="21"/>
          <w:szCs w:val="21"/>
        </w:rPr>
        <w:t>72、资产减值损失</w:t>
      </w:r>
      <w:bookmarkEnd w:id="427"/>
    </w:p>
    <w:p w14:paraId="56027B6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3D525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F9FF8F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BF832C1">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52378E0">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4B1E75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9B83423">
            <w:pPr>
              <w:spacing w:before="40" w:after="40" w:line="240" w:lineRule="exact"/>
              <w:jc w:val="left"/>
              <w:rPr>
                <w:rFonts w:ascii="宋体" w:hAnsi="宋体" w:eastAsia="宋体" w:cs="宋体"/>
                <w:sz w:val="18"/>
                <w:szCs w:val="18"/>
              </w:rPr>
            </w:pPr>
            <w:r>
              <w:rPr>
                <w:rFonts w:ascii="宋体" w:hAnsi="宋体" w:eastAsia="宋体" w:cs="宋体"/>
                <w:sz w:val="18"/>
                <w:szCs w:val="18"/>
              </w:rPr>
              <w:t>一、存货跌价损失及合同履约成本减值损失</w:t>
            </w:r>
          </w:p>
        </w:tc>
        <w:tc>
          <w:tcPr>
            <w:tcW w:w="3213" w:type="dxa"/>
            <w:tcBorders>
              <w:top w:val="single" w:color="auto" w:sz="2" w:space="0"/>
              <w:left w:val="single" w:color="auto" w:sz="2" w:space="0"/>
              <w:bottom w:val="single" w:color="auto" w:sz="2" w:space="0"/>
              <w:right w:val="single" w:color="auto" w:sz="2" w:space="0"/>
            </w:tcBorders>
            <w:vAlign w:val="center"/>
          </w:tcPr>
          <w:p w14:paraId="569EC375">
            <w:pPr>
              <w:spacing w:before="0" w:after="0" w:line="240" w:lineRule="exact"/>
              <w:jc w:val="right"/>
              <w:rPr>
                <w:rFonts w:ascii="宋体" w:hAnsi="宋体" w:eastAsia="宋体" w:cs="宋体"/>
                <w:sz w:val="18"/>
                <w:szCs w:val="18"/>
              </w:rPr>
            </w:pPr>
            <w:r>
              <w:rPr>
                <w:rFonts w:ascii="宋体" w:hAnsi="宋体" w:eastAsia="宋体" w:cs="宋体"/>
                <w:sz w:val="18"/>
                <w:szCs w:val="18"/>
              </w:rPr>
              <w:t>-34,828,860.46</w:t>
            </w:r>
          </w:p>
        </w:tc>
        <w:tc>
          <w:tcPr>
            <w:tcW w:w="3213" w:type="dxa"/>
            <w:tcBorders>
              <w:top w:val="single" w:color="auto" w:sz="2" w:space="0"/>
              <w:left w:val="single" w:color="auto" w:sz="2" w:space="0"/>
              <w:bottom w:val="single" w:color="auto" w:sz="2" w:space="0"/>
              <w:right w:val="single" w:color="auto" w:sz="2" w:space="0"/>
            </w:tcBorders>
            <w:vAlign w:val="center"/>
          </w:tcPr>
          <w:p w14:paraId="1895696D">
            <w:pPr>
              <w:spacing w:before="0" w:after="0" w:line="240" w:lineRule="exact"/>
              <w:jc w:val="right"/>
              <w:rPr>
                <w:rFonts w:ascii="宋体" w:hAnsi="宋体" w:eastAsia="宋体" w:cs="宋体"/>
                <w:sz w:val="18"/>
                <w:szCs w:val="18"/>
              </w:rPr>
            </w:pPr>
            <w:r>
              <w:rPr>
                <w:rFonts w:ascii="宋体" w:hAnsi="宋体" w:eastAsia="宋体" w:cs="宋体"/>
                <w:sz w:val="18"/>
                <w:szCs w:val="18"/>
              </w:rPr>
              <w:t>-6,489,114.15</w:t>
            </w:r>
          </w:p>
        </w:tc>
      </w:tr>
      <w:tr w14:paraId="392B4D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EEAB73B">
            <w:pPr>
              <w:spacing w:before="40" w:after="40" w:line="240" w:lineRule="exact"/>
              <w:jc w:val="left"/>
              <w:rPr>
                <w:rFonts w:ascii="宋体" w:hAnsi="宋体" w:eastAsia="宋体" w:cs="宋体"/>
                <w:sz w:val="18"/>
                <w:szCs w:val="18"/>
              </w:rPr>
            </w:pPr>
            <w:r>
              <w:rPr>
                <w:rFonts w:ascii="宋体" w:hAnsi="宋体" w:eastAsia="宋体" w:cs="宋体"/>
                <w:sz w:val="18"/>
                <w:szCs w:val="18"/>
              </w:rPr>
              <w:t>四、固定资产减值损失</w:t>
            </w:r>
          </w:p>
        </w:tc>
        <w:tc>
          <w:tcPr>
            <w:tcW w:w="3213" w:type="dxa"/>
            <w:tcBorders>
              <w:top w:val="single" w:color="auto" w:sz="2" w:space="0"/>
              <w:left w:val="single" w:color="auto" w:sz="2" w:space="0"/>
              <w:bottom w:val="single" w:color="auto" w:sz="2" w:space="0"/>
              <w:right w:val="single" w:color="auto" w:sz="2" w:space="0"/>
            </w:tcBorders>
            <w:vAlign w:val="center"/>
          </w:tcPr>
          <w:p w14:paraId="5654007D">
            <w:pPr>
              <w:spacing w:before="0" w:after="0" w:line="240" w:lineRule="exact"/>
              <w:jc w:val="right"/>
              <w:rPr>
                <w:rFonts w:ascii="宋体" w:hAnsi="宋体" w:eastAsia="宋体" w:cs="宋体"/>
                <w:sz w:val="18"/>
                <w:szCs w:val="18"/>
              </w:rPr>
            </w:pPr>
            <w:r>
              <w:rPr>
                <w:rFonts w:ascii="宋体" w:hAnsi="宋体" w:eastAsia="宋体" w:cs="宋体"/>
                <w:sz w:val="18"/>
                <w:szCs w:val="18"/>
              </w:rPr>
              <w:t>-3,952,391.31</w:t>
            </w:r>
          </w:p>
        </w:tc>
        <w:tc>
          <w:tcPr>
            <w:tcW w:w="3213" w:type="dxa"/>
            <w:tcBorders>
              <w:top w:val="single" w:color="auto" w:sz="2" w:space="0"/>
              <w:left w:val="single" w:color="auto" w:sz="2" w:space="0"/>
              <w:bottom w:val="single" w:color="auto" w:sz="2" w:space="0"/>
              <w:right w:val="single" w:color="auto" w:sz="2" w:space="0"/>
            </w:tcBorders>
            <w:vAlign w:val="center"/>
          </w:tcPr>
          <w:p w14:paraId="5D2C55D0">
            <w:pPr>
              <w:spacing w:before="0" w:after="0" w:line="240" w:lineRule="exact"/>
              <w:jc w:val="right"/>
              <w:rPr>
                <w:rFonts w:ascii="宋体" w:hAnsi="宋体" w:eastAsia="宋体" w:cs="宋体"/>
                <w:sz w:val="18"/>
                <w:szCs w:val="18"/>
              </w:rPr>
            </w:pPr>
            <w:r>
              <w:rPr>
                <w:rFonts w:ascii="宋体" w:hAnsi="宋体" w:eastAsia="宋体" w:cs="宋体"/>
                <w:sz w:val="18"/>
                <w:szCs w:val="18"/>
              </w:rPr>
              <w:t>-71,520.59</w:t>
            </w:r>
          </w:p>
        </w:tc>
      </w:tr>
      <w:tr w14:paraId="1F7AD5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D1B533A">
            <w:pPr>
              <w:spacing w:before="40" w:after="40" w:line="240" w:lineRule="exact"/>
              <w:jc w:val="left"/>
              <w:rPr>
                <w:rFonts w:ascii="宋体" w:hAnsi="宋体" w:eastAsia="宋体" w:cs="宋体"/>
                <w:sz w:val="18"/>
                <w:szCs w:val="18"/>
              </w:rPr>
            </w:pPr>
            <w:r>
              <w:rPr>
                <w:rFonts w:ascii="宋体" w:hAnsi="宋体" w:eastAsia="宋体" w:cs="宋体"/>
                <w:sz w:val="18"/>
                <w:szCs w:val="18"/>
              </w:rPr>
              <w:t>九、无形资产减值损失</w:t>
            </w:r>
          </w:p>
        </w:tc>
        <w:tc>
          <w:tcPr>
            <w:tcW w:w="3213" w:type="dxa"/>
            <w:tcBorders>
              <w:top w:val="single" w:color="auto" w:sz="2" w:space="0"/>
              <w:left w:val="single" w:color="auto" w:sz="2" w:space="0"/>
              <w:bottom w:val="single" w:color="auto" w:sz="2" w:space="0"/>
              <w:right w:val="single" w:color="auto" w:sz="2" w:space="0"/>
            </w:tcBorders>
            <w:vAlign w:val="center"/>
          </w:tcPr>
          <w:p w14:paraId="36148F51">
            <w:pPr>
              <w:spacing w:before="0" w:after="0" w:line="240" w:lineRule="exact"/>
              <w:jc w:val="right"/>
              <w:rPr>
                <w:rFonts w:ascii="宋体" w:hAnsi="宋体" w:eastAsia="宋体" w:cs="宋体"/>
                <w:sz w:val="18"/>
                <w:szCs w:val="18"/>
              </w:rPr>
            </w:pPr>
            <w:r>
              <w:rPr>
                <w:rFonts w:ascii="宋体" w:hAnsi="宋体" w:eastAsia="宋体" w:cs="宋体"/>
                <w:sz w:val="18"/>
                <w:szCs w:val="18"/>
              </w:rPr>
              <w:t>-13,260,901.06</w:t>
            </w:r>
          </w:p>
        </w:tc>
        <w:tc>
          <w:tcPr>
            <w:tcW w:w="3213" w:type="dxa"/>
            <w:tcBorders>
              <w:top w:val="single" w:color="auto" w:sz="2" w:space="0"/>
              <w:left w:val="single" w:color="auto" w:sz="2" w:space="0"/>
              <w:bottom w:val="single" w:color="auto" w:sz="2" w:space="0"/>
              <w:right w:val="single" w:color="auto" w:sz="2" w:space="0"/>
            </w:tcBorders>
            <w:vAlign w:val="center"/>
          </w:tcPr>
          <w:p w14:paraId="615B3D74">
            <w:pPr>
              <w:spacing w:before="0" w:after="0" w:line="240" w:lineRule="exact"/>
              <w:jc w:val="right"/>
              <w:rPr>
                <w:rFonts w:ascii="宋体" w:hAnsi="宋体" w:eastAsia="宋体" w:cs="宋体"/>
                <w:sz w:val="18"/>
                <w:szCs w:val="18"/>
              </w:rPr>
            </w:pPr>
          </w:p>
        </w:tc>
      </w:tr>
      <w:tr w14:paraId="2B886D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B818565">
            <w:pPr>
              <w:spacing w:before="40" w:after="40" w:line="240" w:lineRule="exact"/>
              <w:jc w:val="left"/>
              <w:rPr>
                <w:rFonts w:ascii="宋体" w:hAnsi="宋体" w:eastAsia="宋体" w:cs="宋体"/>
                <w:sz w:val="18"/>
                <w:szCs w:val="18"/>
              </w:rPr>
            </w:pPr>
            <w:r>
              <w:rPr>
                <w:rFonts w:ascii="宋体" w:hAnsi="宋体" w:eastAsia="宋体" w:cs="宋体"/>
                <w:sz w:val="18"/>
                <w:szCs w:val="18"/>
              </w:rPr>
              <w:t>十二、其他</w:t>
            </w:r>
          </w:p>
        </w:tc>
        <w:tc>
          <w:tcPr>
            <w:tcW w:w="3213" w:type="dxa"/>
            <w:tcBorders>
              <w:top w:val="single" w:color="auto" w:sz="2" w:space="0"/>
              <w:left w:val="single" w:color="auto" w:sz="2" w:space="0"/>
              <w:bottom w:val="single" w:color="auto" w:sz="2" w:space="0"/>
              <w:right w:val="single" w:color="auto" w:sz="2" w:space="0"/>
            </w:tcBorders>
            <w:vAlign w:val="center"/>
          </w:tcPr>
          <w:p w14:paraId="3989F36D">
            <w:pPr>
              <w:spacing w:before="0" w:after="0" w:line="240" w:lineRule="exact"/>
              <w:jc w:val="right"/>
              <w:rPr>
                <w:rFonts w:ascii="宋体" w:hAnsi="宋体" w:eastAsia="宋体" w:cs="宋体"/>
                <w:sz w:val="18"/>
                <w:szCs w:val="18"/>
              </w:rPr>
            </w:pPr>
            <w:r>
              <w:rPr>
                <w:rFonts w:ascii="宋体" w:hAnsi="宋体" w:eastAsia="宋体" w:cs="宋体"/>
                <w:sz w:val="18"/>
                <w:szCs w:val="18"/>
              </w:rPr>
              <w:t>-22,499,732.11</w:t>
            </w:r>
          </w:p>
        </w:tc>
        <w:tc>
          <w:tcPr>
            <w:tcW w:w="3213" w:type="dxa"/>
            <w:tcBorders>
              <w:top w:val="single" w:color="auto" w:sz="2" w:space="0"/>
              <w:left w:val="single" w:color="auto" w:sz="2" w:space="0"/>
              <w:bottom w:val="single" w:color="auto" w:sz="2" w:space="0"/>
              <w:right w:val="single" w:color="auto" w:sz="2" w:space="0"/>
            </w:tcBorders>
            <w:vAlign w:val="center"/>
          </w:tcPr>
          <w:p w14:paraId="7BC6C90C">
            <w:pPr>
              <w:spacing w:before="0" w:after="0" w:line="240" w:lineRule="exact"/>
              <w:jc w:val="right"/>
              <w:rPr>
                <w:rFonts w:ascii="宋体" w:hAnsi="宋体" w:eastAsia="宋体" w:cs="宋体"/>
                <w:sz w:val="18"/>
                <w:szCs w:val="18"/>
              </w:rPr>
            </w:pPr>
          </w:p>
        </w:tc>
      </w:tr>
      <w:tr w14:paraId="0E3973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3148BBE">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403E8E1C">
            <w:pPr>
              <w:spacing w:before="0" w:after="0" w:line="240" w:lineRule="exact"/>
              <w:jc w:val="right"/>
              <w:rPr>
                <w:rFonts w:ascii="宋体" w:hAnsi="宋体" w:eastAsia="宋体" w:cs="宋体"/>
                <w:sz w:val="18"/>
                <w:szCs w:val="18"/>
              </w:rPr>
            </w:pPr>
            <w:r>
              <w:rPr>
                <w:rFonts w:ascii="宋体" w:hAnsi="宋体" w:eastAsia="宋体" w:cs="宋体"/>
                <w:sz w:val="18"/>
                <w:szCs w:val="18"/>
              </w:rPr>
              <w:t>-74,541,884.94</w:t>
            </w:r>
          </w:p>
        </w:tc>
        <w:tc>
          <w:tcPr>
            <w:tcW w:w="3213" w:type="dxa"/>
            <w:tcBorders>
              <w:top w:val="single" w:color="auto" w:sz="2" w:space="0"/>
              <w:left w:val="single" w:color="auto" w:sz="2" w:space="0"/>
              <w:bottom w:val="single" w:color="auto" w:sz="2" w:space="0"/>
              <w:right w:val="single" w:color="auto" w:sz="2" w:space="0"/>
            </w:tcBorders>
            <w:vAlign w:val="center"/>
          </w:tcPr>
          <w:p w14:paraId="653A0609">
            <w:pPr>
              <w:spacing w:before="0" w:after="0" w:line="240" w:lineRule="exact"/>
              <w:jc w:val="right"/>
              <w:rPr>
                <w:rFonts w:ascii="宋体" w:hAnsi="宋体" w:eastAsia="宋体" w:cs="宋体"/>
                <w:sz w:val="18"/>
                <w:szCs w:val="18"/>
              </w:rPr>
            </w:pPr>
            <w:r>
              <w:rPr>
                <w:rFonts w:ascii="宋体" w:hAnsi="宋体" w:eastAsia="宋体" w:cs="宋体"/>
                <w:sz w:val="18"/>
                <w:szCs w:val="18"/>
              </w:rPr>
              <w:t>-6,560,634.74</w:t>
            </w:r>
          </w:p>
        </w:tc>
      </w:tr>
    </w:tbl>
    <w:p w14:paraId="2B6AEB46">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EEB4013">
      <w:pPr>
        <w:keepNext/>
        <w:keepLines/>
        <w:spacing w:before="300" w:after="300" w:line="280" w:lineRule="exact"/>
        <w:jc w:val="left"/>
        <w:outlineLvl w:val="2"/>
        <w:rPr>
          <w:rFonts w:ascii="宋体" w:hAnsi="宋体" w:eastAsia="宋体" w:cs="宋体"/>
          <w:b/>
          <w:bCs/>
          <w:sz w:val="21"/>
          <w:szCs w:val="21"/>
        </w:rPr>
      </w:pPr>
      <w:bookmarkStart w:id="428" w:name="_Toc989311"/>
      <w:r>
        <w:rPr>
          <w:rFonts w:ascii="宋体" w:hAnsi="宋体" w:eastAsia="宋体" w:cs="宋体"/>
          <w:b/>
          <w:bCs/>
          <w:sz w:val="21"/>
          <w:szCs w:val="21"/>
        </w:rPr>
        <w:t>73、资产处置收益</w:t>
      </w:r>
      <w:bookmarkEnd w:id="428"/>
    </w:p>
    <w:p w14:paraId="1109E65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1BEB07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2FB4E35">
            <w:pPr>
              <w:spacing w:before="40" w:after="40" w:line="240" w:lineRule="exact"/>
              <w:jc w:val="center"/>
              <w:rPr>
                <w:rFonts w:ascii="宋体" w:hAnsi="宋体" w:eastAsia="宋体" w:cs="宋体"/>
                <w:sz w:val="18"/>
                <w:szCs w:val="18"/>
              </w:rPr>
            </w:pPr>
            <w:r>
              <w:rPr>
                <w:rFonts w:ascii="宋体" w:hAnsi="宋体" w:eastAsia="宋体" w:cs="宋体"/>
                <w:sz w:val="18"/>
                <w:szCs w:val="18"/>
              </w:rPr>
              <w:t>资产处置收益的来源</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256A7D0">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85688C3">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5AF78A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AE4DB24">
            <w:pPr>
              <w:spacing w:before="0" w:after="0" w:line="240" w:lineRule="exact"/>
              <w:jc w:val="left"/>
              <w:rPr>
                <w:rFonts w:ascii="宋体" w:hAnsi="宋体" w:eastAsia="宋体" w:cs="宋体"/>
                <w:sz w:val="18"/>
                <w:szCs w:val="18"/>
              </w:rPr>
            </w:pPr>
            <w:r>
              <w:rPr>
                <w:rFonts w:ascii="宋体" w:hAnsi="宋体" w:eastAsia="宋体" w:cs="宋体"/>
                <w:sz w:val="18"/>
                <w:szCs w:val="18"/>
              </w:rPr>
              <w:t>固定资产处置利得或损失</w:t>
            </w:r>
          </w:p>
        </w:tc>
        <w:tc>
          <w:tcPr>
            <w:tcW w:w="3213" w:type="dxa"/>
            <w:tcBorders>
              <w:top w:val="single" w:color="auto" w:sz="2" w:space="0"/>
              <w:left w:val="single" w:color="auto" w:sz="2" w:space="0"/>
              <w:bottom w:val="single" w:color="auto" w:sz="2" w:space="0"/>
              <w:right w:val="single" w:color="auto" w:sz="2" w:space="0"/>
            </w:tcBorders>
            <w:vAlign w:val="center"/>
          </w:tcPr>
          <w:p w14:paraId="20B5A42C">
            <w:pPr>
              <w:spacing w:before="0" w:after="0" w:line="240" w:lineRule="exact"/>
              <w:jc w:val="right"/>
              <w:rPr>
                <w:rFonts w:ascii="宋体" w:hAnsi="宋体" w:eastAsia="宋体" w:cs="宋体"/>
                <w:sz w:val="18"/>
                <w:szCs w:val="18"/>
              </w:rPr>
            </w:pPr>
            <w:r>
              <w:rPr>
                <w:rFonts w:ascii="宋体" w:hAnsi="宋体" w:eastAsia="宋体" w:cs="宋体"/>
                <w:sz w:val="18"/>
                <w:szCs w:val="18"/>
              </w:rPr>
              <w:t>12,812.64</w:t>
            </w:r>
          </w:p>
        </w:tc>
        <w:tc>
          <w:tcPr>
            <w:tcW w:w="3213" w:type="dxa"/>
            <w:tcBorders>
              <w:top w:val="single" w:color="auto" w:sz="2" w:space="0"/>
              <w:left w:val="single" w:color="auto" w:sz="2" w:space="0"/>
              <w:bottom w:val="single" w:color="auto" w:sz="2" w:space="0"/>
              <w:right w:val="single" w:color="auto" w:sz="2" w:space="0"/>
            </w:tcBorders>
            <w:vAlign w:val="center"/>
          </w:tcPr>
          <w:p w14:paraId="288E2A7E">
            <w:pPr>
              <w:spacing w:before="0" w:after="0" w:line="240" w:lineRule="exact"/>
              <w:jc w:val="right"/>
              <w:rPr>
                <w:rFonts w:ascii="宋体" w:hAnsi="宋体" w:eastAsia="宋体" w:cs="宋体"/>
                <w:sz w:val="18"/>
                <w:szCs w:val="18"/>
              </w:rPr>
            </w:pPr>
            <w:r>
              <w:rPr>
                <w:rFonts w:ascii="宋体" w:hAnsi="宋体" w:eastAsia="宋体" w:cs="宋体"/>
                <w:sz w:val="18"/>
                <w:szCs w:val="18"/>
              </w:rPr>
              <w:t>1,145.25</w:t>
            </w:r>
          </w:p>
        </w:tc>
      </w:tr>
      <w:tr w14:paraId="1A8EFD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C444650">
            <w:pPr>
              <w:spacing w:before="0" w:after="0" w:line="240" w:lineRule="exact"/>
              <w:jc w:val="left"/>
              <w:rPr>
                <w:rFonts w:ascii="宋体" w:hAnsi="宋体" w:eastAsia="宋体" w:cs="宋体"/>
                <w:sz w:val="18"/>
                <w:szCs w:val="18"/>
              </w:rPr>
            </w:pPr>
            <w:r>
              <w:rPr>
                <w:rFonts w:ascii="宋体" w:hAnsi="宋体" w:eastAsia="宋体" w:cs="宋体"/>
                <w:sz w:val="18"/>
                <w:szCs w:val="18"/>
              </w:rPr>
              <w:t>使用权资产处置利得或损失</w:t>
            </w:r>
          </w:p>
        </w:tc>
        <w:tc>
          <w:tcPr>
            <w:tcW w:w="3213" w:type="dxa"/>
            <w:tcBorders>
              <w:top w:val="single" w:color="auto" w:sz="2" w:space="0"/>
              <w:left w:val="single" w:color="auto" w:sz="2" w:space="0"/>
              <w:bottom w:val="single" w:color="auto" w:sz="2" w:space="0"/>
              <w:right w:val="single" w:color="auto" w:sz="2" w:space="0"/>
            </w:tcBorders>
            <w:vAlign w:val="center"/>
          </w:tcPr>
          <w:p w14:paraId="72378AE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2A20C65">
            <w:pPr>
              <w:spacing w:before="0" w:after="0" w:line="240" w:lineRule="exact"/>
              <w:jc w:val="right"/>
              <w:rPr>
                <w:rFonts w:ascii="宋体" w:hAnsi="宋体" w:eastAsia="宋体" w:cs="宋体"/>
                <w:sz w:val="18"/>
                <w:szCs w:val="18"/>
              </w:rPr>
            </w:pPr>
            <w:r>
              <w:rPr>
                <w:rFonts w:ascii="宋体" w:hAnsi="宋体" w:eastAsia="宋体" w:cs="宋体"/>
                <w:sz w:val="18"/>
                <w:szCs w:val="18"/>
              </w:rPr>
              <w:t>-20,197.73</w:t>
            </w:r>
          </w:p>
        </w:tc>
      </w:tr>
      <w:tr w14:paraId="534432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2FEA639">
            <w:pPr>
              <w:spacing w:before="0" w:after="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19A4C8CC">
            <w:pPr>
              <w:spacing w:before="0" w:after="0" w:line="240" w:lineRule="exact"/>
              <w:jc w:val="right"/>
              <w:rPr>
                <w:rFonts w:ascii="宋体" w:hAnsi="宋体" w:eastAsia="宋体" w:cs="宋体"/>
                <w:sz w:val="18"/>
                <w:szCs w:val="18"/>
              </w:rPr>
            </w:pPr>
            <w:r>
              <w:rPr>
                <w:rFonts w:ascii="宋体" w:hAnsi="宋体" w:eastAsia="宋体" w:cs="宋体"/>
                <w:sz w:val="18"/>
                <w:szCs w:val="18"/>
              </w:rPr>
              <w:t>12,812.64</w:t>
            </w:r>
          </w:p>
        </w:tc>
        <w:tc>
          <w:tcPr>
            <w:tcW w:w="3213" w:type="dxa"/>
            <w:tcBorders>
              <w:top w:val="single" w:color="auto" w:sz="2" w:space="0"/>
              <w:left w:val="single" w:color="auto" w:sz="2" w:space="0"/>
              <w:bottom w:val="single" w:color="auto" w:sz="2" w:space="0"/>
              <w:right w:val="single" w:color="auto" w:sz="2" w:space="0"/>
            </w:tcBorders>
            <w:vAlign w:val="center"/>
          </w:tcPr>
          <w:p w14:paraId="3AB47517">
            <w:pPr>
              <w:spacing w:before="0" w:after="0" w:line="240" w:lineRule="exact"/>
              <w:jc w:val="right"/>
              <w:rPr>
                <w:rFonts w:ascii="宋体" w:hAnsi="宋体" w:eastAsia="宋体" w:cs="宋体"/>
                <w:sz w:val="18"/>
                <w:szCs w:val="18"/>
              </w:rPr>
            </w:pPr>
            <w:r>
              <w:rPr>
                <w:rFonts w:ascii="宋体" w:hAnsi="宋体" w:eastAsia="宋体" w:cs="宋体"/>
                <w:sz w:val="18"/>
                <w:szCs w:val="18"/>
              </w:rPr>
              <w:t>-19,052.48</w:t>
            </w:r>
          </w:p>
        </w:tc>
      </w:tr>
    </w:tbl>
    <w:p w14:paraId="45601755">
      <w:pPr>
        <w:keepNext/>
        <w:keepLines/>
        <w:spacing w:before="300" w:after="300" w:line="280" w:lineRule="exact"/>
        <w:jc w:val="left"/>
        <w:outlineLvl w:val="2"/>
        <w:rPr>
          <w:rFonts w:ascii="宋体" w:hAnsi="宋体" w:eastAsia="宋体" w:cs="宋体"/>
          <w:b/>
          <w:bCs/>
          <w:sz w:val="21"/>
          <w:szCs w:val="21"/>
        </w:rPr>
      </w:pPr>
      <w:bookmarkStart w:id="429" w:name="_Toc989312"/>
      <w:r>
        <w:rPr>
          <w:rFonts w:ascii="宋体" w:hAnsi="宋体" w:eastAsia="宋体" w:cs="宋体"/>
          <w:b/>
          <w:bCs/>
          <w:sz w:val="21"/>
          <w:szCs w:val="21"/>
        </w:rPr>
        <w:t>74、营业外收入</w:t>
      </w:r>
      <w:bookmarkEnd w:id="429"/>
    </w:p>
    <w:p w14:paraId="2DE710E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73F823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3F2C89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BBC03BA">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17EA7D5">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8F0F9D7">
            <w:pPr>
              <w:spacing w:before="40" w:after="40" w:line="240" w:lineRule="exact"/>
              <w:jc w:val="center"/>
              <w:rPr>
                <w:rFonts w:ascii="宋体" w:hAnsi="宋体" w:eastAsia="宋体" w:cs="宋体"/>
                <w:sz w:val="18"/>
                <w:szCs w:val="18"/>
              </w:rPr>
            </w:pPr>
            <w:r>
              <w:rPr>
                <w:rFonts w:ascii="宋体" w:hAnsi="宋体" w:eastAsia="宋体" w:cs="宋体"/>
                <w:sz w:val="18"/>
                <w:szCs w:val="18"/>
              </w:rPr>
              <w:t>计入当期非经常性损益的金额</w:t>
            </w:r>
          </w:p>
        </w:tc>
      </w:tr>
      <w:tr w14:paraId="427901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F887F45">
            <w:pPr>
              <w:spacing w:before="0" w:after="0" w:line="240" w:lineRule="exact"/>
              <w:jc w:val="left"/>
              <w:rPr>
                <w:rFonts w:ascii="宋体" w:hAnsi="宋体" w:eastAsia="宋体" w:cs="宋体"/>
                <w:sz w:val="18"/>
                <w:szCs w:val="18"/>
              </w:rPr>
            </w:pPr>
            <w:r>
              <w:rPr>
                <w:rFonts w:ascii="宋体" w:hAnsi="宋体" w:eastAsia="宋体" w:cs="宋体"/>
                <w:sz w:val="18"/>
                <w:szCs w:val="18"/>
              </w:rPr>
              <w:t>窜货罚款收入</w:t>
            </w:r>
          </w:p>
        </w:tc>
        <w:tc>
          <w:tcPr>
            <w:tcW w:w="2410" w:type="dxa"/>
            <w:tcBorders>
              <w:top w:val="single" w:color="auto" w:sz="2" w:space="0"/>
              <w:left w:val="single" w:color="auto" w:sz="2" w:space="0"/>
              <w:bottom w:val="single" w:color="auto" w:sz="2" w:space="0"/>
              <w:right w:val="single" w:color="auto" w:sz="2" w:space="0"/>
            </w:tcBorders>
            <w:vAlign w:val="center"/>
          </w:tcPr>
          <w:p w14:paraId="36CF794A">
            <w:pPr>
              <w:spacing w:before="0" w:after="0" w:line="240" w:lineRule="exact"/>
              <w:jc w:val="right"/>
              <w:rPr>
                <w:rFonts w:ascii="宋体" w:hAnsi="宋体" w:eastAsia="宋体" w:cs="宋体"/>
                <w:sz w:val="18"/>
                <w:szCs w:val="18"/>
              </w:rPr>
            </w:pPr>
            <w:r>
              <w:rPr>
                <w:rFonts w:ascii="宋体" w:hAnsi="宋体" w:eastAsia="宋体" w:cs="宋体"/>
                <w:sz w:val="18"/>
                <w:szCs w:val="18"/>
              </w:rPr>
              <w:t>139,106.14</w:t>
            </w:r>
          </w:p>
        </w:tc>
        <w:tc>
          <w:tcPr>
            <w:tcW w:w="2410" w:type="dxa"/>
            <w:tcBorders>
              <w:top w:val="single" w:color="auto" w:sz="2" w:space="0"/>
              <w:left w:val="single" w:color="auto" w:sz="2" w:space="0"/>
              <w:bottom w:val="single" w:color="auto" w:sz="2" w:space="0"/>
              <w:right w:val="single" w:color="auto" w:sz="2" w:space="0"/>
            </w:tcBorders>
            <w:vAlign w:val="center"/>
          </w:tcPr>
          <w:p w14:paraId="7D782261">
            <w:pPr>
              <w:spacing w:before="0" w:after="0" w:line="240" w:lineRule="exact"/>
              <w:jc w:val="right"/>
              <w:rPr>
                <w:rFonts w:ascii="宋体" w:hAnsi="宋体" w:eastAsia="宋体" w:cs="宋体"/>
                <w:sz w:val="18"/>
                <w:szCs w:val="18"/>
              </w:rPr>
            </w:pPr>
            <w:r>
              <w:rPr>
                <w:rFonts w:ascii="宋体" w:hAnsi="宋体" w:eastAsia="宋体" w:cs="宋体"/>
                <w:sz w:val="18"/>
                <w:szCs w:val="18"/>
              </w:rPr>
              <w:t>154,697.31</w:t>
            </w:r>
          </w:p>
        </w:tc>
        <w:tc>
          <w:tcPr>
            <w:tcW w:w="2410" w:type="dxa"/>
            <w:tcBorders>
              <w:top w:val="single" w:color="auto" w:sz="2" w:space="0"/>
              <w:left w:val="single" w:color="auto" w:sz="2" w:space="0"/>
              <w:bottom w:val="single" w:color="auto" w:sz="2" w:space="0"/>
              <w:right w:val="single" w:color="auto" w:sz="2" w:space="0"/>
            </w:tcBorders>
            <w:vAlign w:val="center"/>
          </w:tcPr>
          <w:p w14:paraId="27645AED">
            <w:pPr>
              <w:spacing w:before="0" w:after="0" w:line="240" w:lineRule="exact"/>
              <w:jc w:val="right"/>
              <w:rPr>
                <w:rFonts w:ascii="宋体" w:hAnsi="宋体" w:eastAsia="宋体" w:cs="宋体"/>
                <w:sz w:val="18"/>
                <w:szCs w:val="18"/>
              </w:rPr>
            </w:pPr>
            <w:r>
              <w:rPr>
                <w:rFonts w:ascii="宋体" w:hAnsi="宋体" w:eastAsia="宋体" w:cs="宋体"/>
                <w:sz w:val="18"/>
                <w:szCs w:val="18"/>
              </w:rPr>
              <w:t>139,106.14</w:t>
            </w:r>
          </w:p>
        </w:tc>
      </w:tr>
      <w:tr w14:paraId="7C5B5C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6DD6BF79">
            <w:pPr>
              <w:spacing w:before="0" w:after="0" w:line="240" w:lineRule="exact"/>
              <w:jc w:val="left"/>
              <w:rPr>
                <w:rFonts w:ascii="宋体" w:hAnsi="宋体" w:eastAsia="宋体" w:cs="宋体"/>
                <w:sz w:val="18"/>
                <w:szCs w:val="18"/>
              </w:rPr>
            </w:pPr>
            <w:r>
              <w:rPr>
                <w:rFonts w:ascii="宋体" w:hAnsi="宋体" w:eastAsia="宋体" w:cs="宋体"/>
                <w:sz w:val="18"/>
                <w:szCs w:val="18"/>
              </w:rPr>
              <w:t>违约赔偿收入</w:t>
            </w:r>
          </w:p>
        </w:tc>
        <w:tc>
          <w:tcPr>
            <w:tcW w:w="2410" w:type="dxa"/>
            <w:tcBorders>
              <w:top w:val="single" w:color="auto" w:sz="2" w:space="0"/>
              <w:left w:val="single" w:color="auto" w:sz="2" w:space="0"/>
              <w:bottom w:val="single" w:color="auto" w:sz="2" w:space="0"/>
              <w:right w:val="single" w:color="auto" w:sz="2" w:space="0"/>
            </w:tcBorders>
            <w:vAlign w:val="center"/>
          </w:tcPr>
          <w:p w14:paraId="1B5AE183">
            <w:pPr>
              <w:spacing w:before="0" w:after="0" w:line="240" w:lineRule="exact"/>
              <w:jc w:val="right"/>
              <w:rPr>
                <w:rFonts w:ascii="宋体" w:hAnsi="宋体" w:eastAsia="宋体" w:cs="宋体"/>
                <w:sz w:val="18"/>
                <w:szCs w:val="18"/>
              </w:rPr>
            </w:pPr>
            <w:r>
              <w:rPr>
                <w:rFonts w:ascii="宋体" w:hAnsi="宋体" w:eastAsia="宋体" w:cs="宋体"/>
                <w:sz w:val="18"/>
                <w:szCs w:val="18"/>
              </w:rPr>
              <w:t>2,903,965.21</w:t>
            </w:r>
          </w:p>
        </w:tc>
        <w:tc>
          <w:tcPr>
            <w:tcW w:w="2410" w:type="dxa"/>
            <w:tcBorders>
              <w:top w:val="single" w:color="auto" w:sz="2" w:space="0"/>
              <w:left w:val="single" w:color="auto" w:sz="2" w:space="0"/>
              <w:bottom w:val="single" w:color="auto" w:sz="2" w:space="0"/>
              <w:right w:val="single" w:color="auto" w:sz="2" w:space="0"/>
            </w:tcBorders>
            <w:vAlign w:val="center"/>
          </w:tcPr>
          <w:p w14:paraId="41AE36BF">
            <w:pPr>
              <w:spacing w:before="0" w:after="0" w:line="240" w:lineRule="exact"/>
              <w:jc w:val="right"/>
              <w:rPr>
                <w:rFonts w:ascii="宋体" w:hAnsi="宋体" w:eastAsia="宋体" w:cs="宋体"/>
                <w:sz w:val="18"/>
                <w:szCs w:val="18"/>
              </w:rPr>
            </w:pPr>
            <w:r>
              <w:rPr>
                <w:rFonts w:ascii="宋体" w:hAnsi="宋体" w:eastAsia="宋体" w:cs="宋体"/>
                <w:sz w:val="18"/>
                <w:szCs w:val="18"/>
              </w:rPr>
              <w:t>53,953.70</w:t>
            </w:r>
          </w:p>
        </w:tc>
        <w:tc>
          <w:tcPr>
            <w:tcW w:w="2410" w:type="dxa"/>
            <w:tcBorders>
              <w:top w:val="single" w:color="auto" w:sz="2" w:space="0"/>
              <w:left w:val="single" w:color="auto" w:sz="2" w:space="0"/>
              <w:bottom w:val="single" w:color="auto" w:sz="2" w:space="0"/>
              <w:right w:val="single" w:color="auto" w:sz="2" w:space="0"/>
            </w:tcBorders>
            <w:vAlign w:val="center"/>
          </w:tcPr>
          <w:p w14:paraId="0E6C629B">
            <w:pPr>
              <w:spacing w:before="0" w:after="0" w:line="240" w:lineRule="exact"/>
              <w:jc w:val="right"/>
              <w:rPr>
                <w:rFonts w:ascii="宋体" w:hAnsi="宋体" w:eastAsia="宋体" w:cs="宋体"/>
                <w:sz w:val="18"/>
                <w:szCs w:val="18"/>
              </w:rPr>
            </w:pPr>
            <w:r>
              <w:rPr>
                <w:rFonts w:ascii="宋体" w:hAnsi="宋体" w:eastAsia="宋体" w:cs="宋体"/>
                <w:sz w:val="18"/>
                <w:szCs w:val="18"/>
              </w:rPr>
              <w:t>2,903,965.21</w:t>
            </w:r>
          </w:p>
        </w:tc>
      </w:tr>
      <w:tr w14:paraId="1DC88F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85B6E7E">
            <w:pPr>
              <w:spacing w:before="0" w:after="0" w:line="240" w:lineRule="exact"/>
              <w:jc w:val="left"/>
              <w:rPr>
                <w:rFonts w:ascii="宋体" w:hAnsi="宋体" w:eastAsia="宋体" w:cs="宋体"/>
                <w:sz w:val="18"/>
                <w:szCs w:val="18"/>
              </w:rPr>
            </w:pPr>
            <w:r>
              <w:rPr>
                <w:rFonts w:ascii="宋体" w:hAnsi="宋体" w:eastAsia="宋体" w:cs="宋体"/>
                <w:sz w:val="18"/>
                <w:szCs w:val="18"/>
              </w:rPr>
              <w:t>不用履行的负债</w:t>
            </w:r>
          </w:p>
        </w:tc>
        <w:tc>
          <w:tcPr>
            <w:tcW w:w="2410" w:type="dxa"/>
            <w:tcBorders>
              <w:top w:val="single" w:color="auto" w:sz="2" w:space="0"/>
              <w:left w:val="single" w:color="auto" w:sz="2" w:space="0"/>
              <w:bottom w:val="single" w:color="auto" w:sz="2" w:space="0"/>
              <w:right w:val="single" w:color="auto" w:sz="2" w:space="0"/>
            </w:tcBorders>
            <w:vAlign w:val="center"/>
          </w:tcPr>
          <w:p w14:paraId="433F378D">
            <w:pPr>
              <w:spacing w:before="0" w:after="0" w:line="240" w:lineRule="exact"/>
              <w:jc w:val="right"/>
              <w:rPr>
                <w:rFonts w:ascii="宋体" w:hAnsi="宋体" w:eastAsia="宋体" w:cs="宋体"/>
                <w:sz w:val="18"/>
                <w:szCs w:val="18"/>
              </w:rPr>
            </w:pPr>
            <w:r>
              <w:rPr>
                <w:rFonts w:ascii="宋体" w:hAnsi="宋体" w:eastAsia="宋体" w:cs="宋体"/>
                <w:sz w:val="18"/>
                <w:szCs w:val="18"/>
              </w:rPr>
              <w:t>90,000.00</w:t>
            </w:r>
          </w:p>
        </w:tc>
        <w:tc>
          <w:tcPr>
            <w:tcW w:w="2410" w:type="dxa"/>
            <w:tcBorders>
              <w:top w:val="single" w:color="auto" w:sz="2" w:space="0"/>
              <w:left w:val="single" w:color="auto" w:sz="2" w:space="0"/>
              <w:bottom w:val="single" w:color="auto" w:sz="2" w:space="0"/>
              <w:right w:val="single" w:color="auto" w:sz="2" w:space="0"/>
            </w:tcBorders>
            <w:vAlign w:val="center"/>
          </w:tcPr>
          <w:p w14:paraId="4AEB141F">
            <w:pPr>
              <w:spacing w:before="0" w:after="0" w:line="240" w:lineRule="exact"/>
              <w:jc w:val="right"/>
              <w:rPr>
                <w:rFonts w:ascii="宋体" w:hAnsi="宋体" w:eastAsia="宋体" w:cs="宋体"/>
                <w:sz w:val="18"/>
                <w:szCs w:val="18"/>
              </w:rPr>
            </w:pPr>
            <w:r>
              <w:rPr>
                <w:rFonts w:ascii="宋体" w:hAnsi="宋体" w:eastAsia="宋体" w:cs="宋体"/>
                <w:sz w:val="18"/>
                <w:szCs w:val="18"/>
              </w:rPr>
              <w:t>746,399.68</w:t>
            </w:r>
          </w:p>
        </w:tc>
        <w:tc>
          <w:tcPr>
            <w:tcW w:w="2410" w:type="dxa"/>
            <w:tcBorders>
              <w:top w:val="single" w:color="auto" w:sz="2" w:space="0"/>
              <w:left w:val="single" w:color="auto" w:sz="2" w:space="0"/>
              <w:bottom w:val="single" w:color="auto" w:sz="2" w:space="0"/>
              <w:right w:val="single" w:color="auto" w:sz="2" w:space="0"/>
            </w:tcBorders>
            <w:vAlign w:val="center"/>
          </w:tcPr>
          <w:p w14:paraId="4F24D0BE">
            <w:pPr>
              <w:spacing w:before="0" w:after="0" w:line="240" w:lineRule="exact"/>
              <w:jc w:val="right"/>
              <w:rPr>
                <w:rFonts w:ascii="宋体" w:hAnsi="宋体" w:eastAsia="宋体" w:cs="宋体"/>
                <w:sz w:val="18"/>
                <w:szCs w:val="18"/>
              </w:rPr>
            </w:pPr>
            <w:r>
              <w:rPr>
                <w:rFonts w:ascii="宋体" w:hAnsi="宋体" w:eastAsia="宋体" w:cs="宋体"/>
                <w:sz w:val="18"/>
                <w:szCs w:val="18"/>
              </w:rPr>
              <w:t>90,000.00</w:t>
            </w:r>
          </w:p>
        </w:tc>
      </w:tr>
      <w:tr w14:paraId="5FF013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A1B13F4">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2410" w:type="dxa"/>
            <w:tcBorders>
              <w:top w:val="single" w:color="auto" w:sz="2" w:space="0"/>
              <w:left w:val="single" w:color="auto" w:sz="2" w:space="0"/>
              <w:bottom w:val="single" w:color="auto" w:sz="2" w:space="0"/>
              <w:right w:val="single" w:color="auto" w:sz="2" w:space="0"/>
            </w:tcBorders>
            <w:vAlign w:val="center"/>
          </w:tcPr>
          <w:p w14:paraId="5DF317B7">
            <w:pPr>
              <w:spacing w:before="0" w:after="0" w:line="240" w:lineRule="exact"/>
              <w:jc w:val="right"/>
              <w:rPr>
                <w:rFonts w:ascii="宋体" w:hAnsi="宋体" w:eastAsia="宋体" w:cs="宋体"/>
                <w:sz w:val="18"/>
                <w:szCs w:val="18"/>
              </w:rPr>
            </w:pPr>
            <w:r>
              <w:rPr>
                <w:rFonts w:ascii="宋体" w:hAnsi="宋体" w:eastAsia="宋体" w:cs="宋体"/>
                <w:sz w:val="18"/>
                <w:szCs w:val="18"/>
              </w:rPr>
              <w:t>45,217.06</w:t>
            </w:r>
          </w:p>
        </w:tc>
        <w:tc>
          <w:tcPr>
            <w:tcW w:w="2410" w:type="dxa"/>
            <w:tcBorders>
              <w:top w:val="single" w:color="auto" w:sz="2" w:space="0"/>
              <w:left w:val="single" w:color="auto" w:sz="2" w:space="0"/>
              <w:bottom w:val="single" w:color="auto" w:sz="2" w:space="0"/>
              <w:right w:val="single" w:color="auto" w:sz="2" w:space="0"/>
            </w:tcBorders>
            <w:vAlign w:val="center"/>
          </w:tcPr>
          <w:p w14:paraId="4AED1AA1">
            <w:pPr>
              <w:spacing w:before="0" w:after="0" w:line="240" w:lineRule="exact"/>
              <w:jc w:val="right"/>
              <w:rPr>
                <w:rFonts w:ascii="宋体" w:hAnsi="宋体" w:eastAsia="宋体" w:cs="宋体"/>
                <w:sz w:val="18"/>
                <w:szCs w:val="18"/>
              </w:rPr>
            </w:pPr>
            <w:r>
              <w:rPr>
                <w:rFonts w:ascii="宋体" w:hAnsi="宋体" w:eastAsia="宋体" w:cs="宋体"/>
                <w:sz w:val="18"/>
                <w:szCs w:val="18"/>
              </w:rPr>
              <w:t>20,293.17</w:t>
            </w:r>
          </w:p>
        </w:tc>
        <w:tc>
          <w:tcPr>
            <w:tcW w:w="2410" w:type="dxa"/>
            <w:tcBorders>
              <w:top w:val="single" w:color="auto" w:sz="2" w:space="0"/>
              <w:left w:val="single" w:color="auto" w:sz="2" w:space="0"/>
              <w:bottom w:val="single" w:color="auto" w:sz="2" w:space="0"/>
              <w:right w:val="single" w:color="auto" w:sz="2" w:space="0"/>
            </w:tcBorders>
            <w:vAlign w:val="center"/>
          </w:tcPr>
          <w:p w14:paraId="23EFD8E0">
            <w:pPr>
              <w:spacing w:before="0" w:after="0" w:line="240" w:lineRule="exact"/>
              <w:jc w:val="right"/>
              <w:rPr>
                <w:rFonts w:ascii="宋体" w:hAnsi="宋体" w:eastAsia="宋体" w:cs="宋体"/>
                <w:sz w:val="18"/>
                <w:szCs w:val="18"/>
              </w:rPr>
            </w:pPr>
            <w:r>
              <w:rPr>
                <w:rFonts w:ascii="宋体" w:hAnsi="宋体" w:eastAsia="宋体" w:cs="宋体"/>
                <w:sz w:val="18"/>
                <w:szCs w:val="18"/>
              </w:rPr>
              <w:t>45,217.06</w:t>
            </w:r>
          </w:p>
        </w:tc>
      </w:tr>
      <w:tr w14:paraId="40F29B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1FDD795">
            <w:pPr>
              <w:spacing w:before="0" w:after="0" w:line="240" w:lineRule="exact"/>
              <w:jc w:val="left"/>
              <w:rPr>
                <w:rFonts w:ascii="宋体" w:hAnsi="宋体" w:eastAsia="宋体" w:cs="宋体"/>
                <w:sz w:val="18"/>
                <w:szCs w:val="18"/>
              </w:rPr>
            </w:pPr>
            <w:r>
              <w:rPr>
                <w:rFonts w:ascii="宋体" w:hAnsi="宋体" w:eastAsia="宋体" w:cs="宋体"/>
                <w:sz w:val="18"/>
                <w:szCs w:val="18"/>
              </w:rPr>
              <w:t>非流动资产报废利得</w:t>
            </w:r>
          </w:p>
        </w:tc>
        <w:tc>
          <w:tcPr>
            <w:tcW w:w="2410" w:type="dxa"/>
            <w:tcBorders>
              <w:top w:val="single" w:color="auto" w:sz="2" w:space="0"/>
              <w:left w:val="single" w:color="auto" w:sz="2" w:space="0"/>
              <w:bottom w:val="single" w:color="auto" w:sz="2" w:space="0"/>
              <w:right w:val="single" w:color="auto" w:sz="2" w:space="0"/>
            </w:tcBorders>
            <w:vAlign w:val="center"/>
          </w:tcPr>
          <w:p w14:paraId="335327FA">
            <w:pPr>
              <w:spacing w:before="0" w:after="0" w:line="240" w:lineRule="exact"/>
              <w:jc w:val="right"/>
              <w:rPr>
                <w:rFonts w:ascii="宋体" w:hAnsi="宋体" w:eastAsia="宋体" w:cs="宋体"/>
                <w:sz w:val="18"/>
                <w:szCs w:val="18"/>
              </w:rPr>
            </w:pPr>
            <w:r>
              <w:rPr>
                <w:rFonts w:ascii="宋体" w:hAnsi="宋体" w:eastAsia="宋体" w:cs="宋体"/>
                <w:sz w:val="18"/>
                <w:szCs w:val="18"/>
              </w:rPr>
              <w:t>2,900.00</w:t>
            </w:r>
          </w:p>
        </w:tc>
        <w:tc>
          <w:tcPr>
            <w:tcW w:w="2410" w:type="dxa"/>
            <w:tcBorders>
              <w:top w:val="single" w:color="auto" w:sz="2" w:space="0"/>
              <w:left w:val="single" w:color="auto" w:sz="2" w:space="0"/>
              <w:bottom w:val="single" w:color="auto" w:sz="2" w:space="0"/>
              <w:right w:val="single" w:color="auto" w:sz="2" w:space="0"/>
            </w:tcBorders>
            <w:vAlign w:val="center"/>
          </w:tcPr>
          <w:p w14:paraId="07F57955">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35EC043">
            <w:pPr>
              <w:spacing w:before="0" w:after="0" w:line="240" w:lineRule="exact"/>
              <w:jc w:val="right"/>
              <w:rPr>
                <w:rFonts w:ascii="宋体" w:hAnsi="宋体" w:eastAsia="宋体" w:cs="宋体"/>
                <w:sz w:val="18"/>
                <w:szCs w:val="18"/>
              </w:rPr>
            </w:pPr>
            <w:r>
              <w:rPr>
                <w:rFonts w:ascii="宋体" w:hAnsi="宋体" w:eastAsia="宋体" w:cs="宋体"/>
                <w:sz w:val="18"/>
                <w:szCs w:val="18"/>
              </w:rPr>
              <w:t>2,900.00</w:t>
            </w:r>
          </w:p>
        </w:tc>
      </w:tr>
      <w:tr w14:paraId="05CC88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6E47401">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0D04E1AC">
            <w:pPr>
              <w:spacing w:before="0" w:after="0" w:line="240" w:lineRule="exact"/>
              <w:jc w:val="right"/>
              <w:rPr>
                <w:rFonts w:ascii="宋体" w:hAnsi="宋体" w:eastAsia="宋体" w:cs="宋体"/>
                <w:sz w:val="18"/>
                <w:szCs w:val="18"/>
              </w:rPr>
            </w:pPr>
            <w:r>
              <w:rPr>
                <w:rFonts w:ascii="宋体" w:hAnsi="宋体" w:eastAsia="宋体" w:cs="宋体"/>
                <w:sz w:val="18"/>
                <w:szCs w:val="18"/>
              </w:rPr>
              <w:t>3,181,188.41</w:t>
            </w:r>
          </w:p>
        </w:tc>
        <w:tc>
          <w:tcPr>
            <w:tcW w:w="2410" w:type="dxa"/>
            <w:tcBorders>
              <w:top w:val="single" w:color="auto" w:sz="2" w:space="0"/>
              <w:left w:val="single" w:color="auto" w:sz="2" w:space="0"/>
              <w:bottom w:val="single" w:color="auto" w:sz="2" w:space="0"/>
              <w:right w:val="single" w:color="auto" w:sz="2" w:space="0"/>
            </w:tcBorders>
            <w:vAlign w:val="center"/>
          </w:tcPr>
          <w:p w14:paraId="3A891971">
            <w:pPr>
              <w:spacing w:before="0" w:after="0" w:line="240" w:lineRule="exact"/>
              <w:jc w:val="right"/>
              <w:rPr>
                <w:rFonts w:ascii="宋体" w:hAnsi="宋体" w:eastAsia="宋体" w:cs="宋体"/>
                <w:sz w:val="18"/>
                <w:szCs w:val="18"/>
              </w:rPr>
            </w:pPr>
            <w:r>
              <w:rPr>
                <w:rFonts w:ascii="宋体" w:hAnsi="宋体" w:eastAsia="宋体" w:cs="宋体"/>
                <w:sz w:val="18"/>
                <w:szCs w:val="18"/>
              </w:rPr>
              <w:t>975,343.86</w:t>
            </w:r>
          </w:p>
        </w:tc>
        <w:tc>
          <w:tcPr>
            <w:tcW w:w="2410" w:type="dxa"/>
            <w:tcBorders>
              <w:top w:val="single" w:color="auto" w:sz="2" w:space="0"/>
              <w:left w:val="single" w:color="auto" w:sz="2" w:space="0"/>
              <w:bottom w:val="single" w:color="auto" w:sz="2" w:space="0"/>
              <w:right w:val="single" w:color="auto" w:sz="2" w:space="0"/>
            </w:tcBorders>
            <w:vAlign w:val="center"/>
          </w:tcPr>
          <w:p w14:paraId="758E5C01">
            <w:pPr>
              <w:spacing w:before="0" w:after="0" w:line="240" w:lineRule="exact"/>
              <w:jc w:val="right"/>
              <w:rPr>
                <w:rFonts w:ascii="宋体" w:hAnsi="宋体" w:eastAsia="宋体" w:cs="宋体"/>
                <w:sz w:val="18"/>
                <w:szCs w:val="18"/>
              </w:rPr>
            </w:pPr>
            <w:r>
              <w:rPr>
                <w:rFonts w:ascii="宋体" w:hAnsi="宋体" w:eastAsia="宋体" w:cs="宋体"/>
                <w:sz w:val="18"/>
                <w:szCs w:val="18"/>
              </w:rPr>
              <w:t>3,181,188.41</w:t>
            </w:r>
          </w:p>
        </w:tc>
      </w:tr>
    </w:tbl>
    <w:p w14:paraId="12A29D4A">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A5327AA">
      <w:pPr>
        <w:keepNext/>
        <w:keepLines/>
        <w:spacing w:before="300" w:after="300" w:line="280" w:lineRule="exact"/>
        <w:jc w:val="left"/>
        <w:outlineLvl w:val="2"/>
        <w:rPr>
          <w:rFonts w:ascii="宋体" w:hAnsi="宋体" w:eastAsia="宋体" w:cs="宋体"/>
          <w:b/>
          <w:bCs/>
          <w:sz w:val="21"/>
          <w:szCs w:val="21"/>
        </w:rPr>
      </w:pPr>
      <w:bookmarkStart w:id="430" w:name="_Toc989313"/>
      <w:r>
        <w:rPr>
          <w:rFonts w:ascii="宋体" w:hAnsi="宋体" w:eastAsia="宋体" w:cs="宋体"/>
          <w:b/>
          <w:bCs/>
          <w:sz w:val="21"/>
          <w:szCs w:val="21"/>
        </w:rPr>
        <w:t>75、营业外支出</w:t>
      </w:r>
      <w:bookmarkEnd w:id="430"/>
    </w:p>
    <w:p w14:paraId="66A3858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25F8BD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6439896">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6ABA930">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C3D35A4">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99EFCF0">
            <w:pPr>
              <w:spacing w:before="40" w:after="40" w:line="240" w:lineRule="exact"/>
              <w:jc w:val="center"/>
              <w:rPr>
                <w:rFonts w:ascii="宋体" w:hAnsi="宋体" w:eastAsia="宋体" w:cs="宋体"/>
                <w:sz w:val="18"/>
                <w:szCs w:val="18"/>
              </w:rPr>
            </w:pPr>
            <w:r>
              <w:rPr>
                <w:rFonts w:ascii="宋体" w:hAnsi="宋体" w:eastAsia="宋体" w:cs="宋体"/>
                <w:sz w:val="18"/>
                <w:szCs w:val="18"/>
              </w:rPr>
              <w:t>计入当期非经常性损益的金额</w:t>
            </w:r>
          </w:p>
        </w:tc>
      </w:tr>
      <w:tr w14:paraId="550F1F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4099FF00">
            <w:pPr>
              <w:spacing w:before="0" w:after="0" w:line="240" w:lineRule="exact"/>
              <w:jc w:val="left"/>
              <w:rPr>
                <w:rFonts w:ascii="宋体" w:hAnsi="宋体" w:eastAsia="宋体" w:cs="宋体"/>
                <w:sz w:val="18"/>
                <w:szCs w:val="18"/>
              </w:rPr>
            </w:pPr>
            <w:r>
              <w:rPr>
                <w:rFonts w:ascii="宋体" w:hAnsi="宋体" w:eastAsia="宋体" w:cs="宋体"/>
                <w:sz w:val="18"/>
                <w:szCs w:val="18"/>
              </w:rPr>
              <w:t>对外捐赠</w:t>
            </w:r>
          </w:p>
        </w:tc>
        <w:tc>
          <w:tcPr>
            <w:tcW w:w="2410" w:type="dxa"/>
            <w:tcBorders>
              <w:top w:val="single" w:color="auto" w:sz="2" w:space="0"/>
              <w:left w:val="single" w:color="auto" w:sz="2" w:space="0"/>
              <w:bottom w:val="single" w:color="auto" w:sz="2" w:space="0"/>
              <w:right w:val="single" w:color="auto" w:sz="2" w:space="0"/>
            </w:tcBorders>
            <w:vAlign w:val="center"/>
          </w:tcPr>
          <w:p w14:paraId="56307D92">
            <w:pPr>
              <w:spacing w:before="0" w:after="0" w:line="240" w:lineRule="exact"/>
              <w:jc w:val="right"/>
              <w:rPr>
                <w:rFonts w:ascii="宋体" w:hAnsi="宋体" w:eastAsia="宋体" w:cs="宋体"/>
                <w:sz w:val="18"/>
                <w:szCs w:val="18"/>
              </w:rPr>
            </w:pPr>
            <w:r>
              <w:rPr>
                <w:rFonts w:ascii="宋体" w:hAnsi="宋体" w:eastAsia="宋体" w:cs="宋体"/>
                <w:sz w:val="18"/>
                <w:szCs w:val="18"/>
              </w:rPr>
              <w:t>2,790,716.35</w:t>
            </w:r>
          </w:p>
        </w:tc>
        <w:tc>
          <w:tcPr>
            <w:tcW w:w="2410" w:type="dxa"/>
            <w:tcBorders>
              <w:top w:val="single" w:color="auto" w:sz="2" w:space="0"/>
              <w:left w:val="single" w:color="auto" w:sz="2" w:space="0"/>
              <w:bottom w:val="single" w:color="auto" w:sz="2" w:space="0"/>
              <w:right w:val="single" w:color="auto" w:sz="2" w:space="0"/>
            </w:tcBorders>
            <w:vAlign w:val="center"/>
          </w:tcPr>
          <w:p w14:paraId="65751FE8">
            <w:pPr>
              <w:spacing w:before="0" w:after="0" w:line="240" w:lineRule="exact"/>
              <w:jc w:val="right"/>
              <w:rPr>
                <w:rFonts w:ascii="宋体" w:hAnsi="宋体" w:eastAsia="宋体" w:cs="宋体"/>
                <w:sz w:val="18"/>
                <w:szCs w:val="18"/>
              </w:rPr>
            </w:pPr>
            <w:r>
              <w:rPr>
                <w:rFonts w:ascii="宋体" w:hAnsi="宋体" w:eastAsia="宋体" w:cs="宋体"/>
                <w:sz w:val="18"/>
                <w:szCs w:val="18"/>
              </w:rPr>
              <w:t>2,220,737.43</w:t>
            </w:r>
          </w:p>
        </w:tc>
        <w:tc>
          <w:tcPr>
            <w:tcW w:w="2410" w:type="dxa"/>
            <w:tcBorders>
              <w:top w:val="single" w:color="auto" w:sz="2" w:space="0"/>
              <w:left w:val="single" w:color="auto" w:sz="2" w:space="0"/>
              <w:bottom w:val="single" w:color="auto" w:sz="2" w:space="0"/>
              <w:right w:val="single" w:color="auto" w:sz="2" w:space="0"/>
            </w:tcBorders>
            <w:vAlign w:val="center"/>
          </w:tcPr>
          <w:p w14:paraId="7BF224FB">
            <w:pPr>
              <w:spacing w:before="0" w:after="0" w:line="240" w:lineRule="exact"/>
              <w:jc w:val="right"/>
              <w:rPr>
                <w:rFonts w:ascii="宋体" w:hAnsi="宋体" w:eastAsia="宋体" w:cs="宋体"/>
                <w:sz w:val="18"/>
                <w:szCs w:val="18"/>
              </w:rPr>
            </w:pPr>
            <w:r>
              <w:rPr>
                <w:rFonts w:ascii="宋体" w:hAnsi="宋体" w:eastAsia="宋体" w:cs="宋体"/>
                <w:sz w:val="18"/>
                <w:szCs w:val="18"/>
              </w:rPr>
              <w:t>2,790,716.35</w:t>
            </w:r>
          </w:p>
        </w:tc>
      </w:tr>
      <w:tr w14:paraId="18312B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91E5AE5">
            <w:pPr>
              <w:spacing w:before="0" w:after="0" w:line="240" w:lineRule="exact"/>
              <w:jc w:val="left"/>
              <w:rPr>
                <w:rFonts w:ascii="宋体" w:hAnsi="宋体" w:eastAsia="宋体" w:cs="宋体"/>
                <w:sz w:val="18"/>
                <w:szCs w:val="18"/>
              </w:rPr>
            </w:pPr>
            <w:r>
              <w:rPr>
                <w:rFonts w:ascii="宋体" w:hAnsi="宋体" w:eastAsia="宋体" w:cs="宋体"/>
                <w:sz w:val="18"/>
                <w:szCs w:val="18"/>
              </w:rPr>
              <w:t>非流动资产毁损报废损失</w:t>
            </w:r>
          </w:p>
        </w:tc>
        <w:tc>
          <w:tcPr>
            <w:tcW w:w="2410" w:type="dxa"/>
            <w:tcBorders>
              <w:top w:val="single" w:color="auto" w:sz="2" w:space="0"/>
              <w:left w:val="single" w:color="auto" w:sz="2" w:space="0"/>
              <w:bottom w:val="single" w:color="auto" w:sz="2" w:space="0"/>
              <w:right w:val="single" w:color="auto" w:sz="2" w:space="0"/>
            </w:tcBorders>
            <w:vAlign w:val="center"/>
          </w:tcPr>
          <w:p w14:paraId="1CB6DD7C">
            <w:pPr>
              <w:spacing w:before="0" w:after="0" w:line="240" w:lineRule="exact"/>
              <w:jc w:val="right"/>
              <w:rPr>
                <w:rFonts w:ascii="宋体" w:hAnsi="宋体" w:eastAsia="宋体" w:cs="宋体"/>
                <w:sz w:val="18"/>
                <w:szCs w:val="18"/>
              </w:rPr>
            </w:pPr>
            <w:r>
              <w:rPr>
                <w:rFonts w:ascii="宋体" w:hAnsi="宋体" w:eastAsia="宋体" w:cs="宋体"/>
                <w:sz w:val="18"/>
                <w:szCs w:val="18"/>
              </w:rPr>
              <w:t>58,205.76</w:t>
            </w:r>
          </w:p>
        </w:tc>
        <w:tc>
          <w:tcPr>
            <w:tcW w:w="2410" w:type="dxa"/>
            <w:tcBorders>
              <w:top w:val="single" w:color="auto" w:sz="2" w:space="0"/>
              <w:left w:val="single" w:color="auto" w:sz="2" w:space="0"/>
              <w:bottom w:val="single" w:color="auto" w:sz="2" w:space="0"/>
              <w:right w:val="single" w:color="auto" w:sz="2" w:space="0"/>
            </w:tcBorders>
            <w:vAlign w:val="center"/>
          </w:tcPr>
          <w:p w14:paraId="5850C32A">
            <w:pPr>
              <w:spacing w:before="0" w:after="0" w:line="240" w:lineRule="exact"/>
              <w:jc w:val="right"/>
              <w:rPr>
                <w:rFonts w:ascii="宋体" w:hAnsi="宋体" w:eastAsia="宋体" w:cs="宋体"/>
                <w:sz w:val="18"/>
                <w:szCs w:val="18"/>
              </w:rPr>
            </w:pPr>
            <w:r>
              <w:rPr>
                <w:rFonts w:ascii="宋体" w:hAnsi="宋体" w:eastAsia="宋体" w:cs="宋体"/>
                <w:sz w:val="18"/>
                <w:szCs w:val="18"/>
              </w:rPr>
              <w:t>143,989.80</w:t>
            </w:r>
          </w:p>
        </w:tc>
        <w:tc>
          <w:tcPr>
            <w:tcW w:w="2410" w:type="dxa"/>
            <w:tcBorders>
              <w:top w:val="single" w:color="auto" w:sz="2" w:space="0"/>
              <w:left w:val="single" w:color="auto" w:sz="2" w:space="0"/>
              <w:bottom w:val="single" w:color="auto" w:sz="2" w:space="0"/>
              <w:right w:val="single" w:color="auto" w:sz="2" w:space="0"/>
            </w:tcBorders>
            <w:vAlign w:val="center"/>
          </w:tcPr>
          <w:p w14:paraId="125C5780">
            <w:pPr>
              <w:spacing w:before="0" w:after="0" w:line="240" w:lineRule="exact"/>
              <w:jc w:val="right"/>
              <w:rPr>
                <w:rFonts w:ascii="宋体" w:hAnsi="宋体" w:eastAsia="宋体" w:cs="宋体"/>
                <w:sz w:val="18"/>
                <w:szCs w:val="18"/>
              </w:rPr>
            </w:pPr>
            <w:r>
              <w:rPr>
                <w:rFonts w:ascii="宋体" w:hAnsi="宋体" w:eastAsia="宋体" w:cs="宋体"/>
                <w:sz w:val="18"/>
                <w:szCs w:val="18"/>
              </w:rPr>
              <w:t>58,205.76</w:t>
            </w:r>
          </w:p>
        </w:tc>
      </w:tr>
      <w:tr w14:paraId="3A675D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EB43FD2">
            <w:pPr>
              <w:spacing w:before="0" w:after="0" w:line="240" w:lineRule="exact"/>
              <w:jc w:val="left"/>
              <w:rPr>
                <w:rFonts w:ascii="宋体" w:hAnsi="宋体" w:eastAsia="宋体" w:cs="宋体"/>
                <w:sz w:val="18"/>
                <w:szCs w:val="18"/>
              </w:rPr>
            </w:pPr>
            <w:r>
              <w:rPr>
                <w:rFonts w:ascii="宋体" w:hAnsi="宋体" w:eastAsia="宋体" w:cs="宋体"/>
                <w:sz w:val="18"/>
                <w:szCs w:val="18"/>
              </w:rPr>
              <w:t>罚金滞纳金</w:t>
            </w:r>
          </w:p>
        </w:tc>
        <w:tc>
          <w:tcPr>
            <w:tcW w:w="2410" w:type="dxa"/>
            <w:tcBorders>
              <w:top w:val="single" w:color="auto" w:sz="2" w:space="0"/>
              <w:left w:val="single" w:color="auto" w:sz="2" w:space="0"/>
              <w:bottom w:val="single" w:color="auto" w:sz="2" w:space="0"/>
              <w:right w:val="single" w:color="auto" w:sz="2" w:space="0"/>
            </w:tcBorders>
            <w:vAlign w:val="center"/>
          </w:tcPr>
          <w:p w14:paraId="73923EC6">
            <w:pPr>
              <w:spacing w:before="0" w:after="0" w:line="240" w:lineRule="exact"/>
              <w:jc w:val="right"/>
              <w:rPr>
                <w:rFonts w:ascii="宋体" w:hAnsi="宋体" w:eastAsia="宋体" w:cs="宋体"/>
                <w:sz w:val="18"/>
                <w:szCs w:val="18"/>
              </w:rPr>
            </w:pPr>
            <w:r>
              <w:rPr>
                <w:rFonts w:ascii="宋体" w:hAnsi="宋体" w:eastAsia="宋体" w:cs="宋体"/>
                <w:sz w:val="18"/>
                <w:szCs w:val="18"/>
              </w:rPr>
              <w:t>163.57</w:t>
            </w:r>
          </w:p>
        </w:tc>
        <w:tc>
          <w:tcPr>
            <w:tcW w:w="2410" w:type="dxa"/>
            <w:tcBorders>
              <w:top w:val="single" w:color="auto" w:sz="2" w:space="0"/>
              <w:left w:val="single" w:color="auto" w:sz="2" w:space="0"/>
              <w:bottom w:val="single" w:color="auto" w:sz="2" w:space="0"/>
              <w:right w:val="single" w:color="auto" w:sz="2" w:space="0"/>
            </w:tcBorders>
            <w:vAlign w:val="center"/>
          </w:tcPr>
          <w:p w14:paraId="38BC6EA4">
            <w:pPr>
              <w:spacing w:before="0" w:after="0" w:line="240" w:lineRule="exact"/>
              <w:jc w:val="right"/>
              <w:rPr>
                <w:rFonts w:ascii="宋体" w:hAnsi="宋体" w:eastAsia="宋体" w:cs="宋体"/>
                <w:sz w:val="18"/>
                <w:szCs w:val="18"/>
              </w:rPr>
            </w:pPr>
            <w:r>
              <w:rPr>
                <w:rFonts w:ascii="宋体" w:hAnsi="宋体" w:eastAsia="宋体" w:cs="宋体"/>
                <w:sz w:val="18"/>
                <w:szCs w:val="18"/>
              </w:rPr>
              <w:t>506,727.83</w:t>
            </w:r>
          </w:p>
        </w:tc>
        <w:tc>
          <w:tcPr>
            <w:tcW w:w="2410" w:type="dxa"/>
            <w:tcBorders>
              <w:top w:val="single" w:color="auto" w:sz="2" w:space="0"/>
              <w:left w:val="single" w:color="auto" w:sz="2" w:space="0"/>
              <w:bottom w:val="single" w:color="auto" w:sz="2" w:space="0"/>
              <w:right w:val="single" w:color="auto" w:sz="2" w:space="0"/>
            </w:tcBorders>
            <w:vAlign w:val="center"/>
          </w:tcPr>
          <w:p w14:paraId="681608FE">
            <w:pPr>
              <w:spacing w:before="0" w:after="0" w:line="240" w:lineRule="exact"/>
              <w:jc w:val="right"/>
              <w:rPr>
                <w:rFonts w:ascii="宋体" w:hAnsi="宋体" w:eastAsia="宋体" w:cs="宋体"/>
                <w:sz w:val="18"/>
                <w:szCs w:val="18"/>
              </w:rPr>
            </w:pPr>
            <w:r>
              <w:rPr>
                <w:rFonts w:ascii="宋体" w:hAnsi="宋体" w:eastAsia="宋体" w:cs="宋体"/>
                <w:sz w:val="18"/>
                <w:szCs w:val="18"/>
              </w:rPr>
              <w:t>163.57</w:t>
            </w:r>
          </w:p>
        </w:tc>
      </w:tr>
      <w:tr w14:paraId="46E06C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487126D">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2410" w:type="dxa"/>
            <w:tcBorders>
              <w:top w:val="single" w:color="auto" w:sz="2" w:space="0"/>
              <w:left w:val="single" w:color="auto" w:sz="2" w:space="0"/>
              <w:bottom w:val="single" w:color="auto" w:sz="2" w:space="0"/>
              <w:right w:val="single" w:color="auto" w:sz="2" w:space="0"/>
            </w:tcBorders>
            <w:vAlign w:val="center"/>
          </w:tcPr>
          <w:p w14:paraId="640FC486">
            <w:pPr>
              <w:spacing w:before="0" w:after="0" w:line="240" w:lineRule="exact"/>
              <w:jc w:val="right"/>
              <w:rPr>
                <w:rFonts w:ascii="宋体" w:hAnsi="宋体" w:eastAsia="宋体" w:cs="宋体"/>
                <w:sz w:val="18"/>
                <w:szCs w:val="18"/>
              </w:rPr>
            </w:pPr>
            <w:r>
              <w:rPr>
                <w:rFonts w:ascii="宋体" w:hAnsi="宋体" w:eastAsia="宋体" w:cs="宋体"/>
                <w:sz w:val="18"/>
                <w:szCs w:val="18"/>
              </w:rPr>
              <w:t>230,606.23</w:t>
            </w:r>
          </w:p>
        </w:tc>
        <w:tc>
          <w:tcPr>
            <w:tcW w:w="2410" w:type="dxa"/>
            <w:tcBorders>
              <w:top w:val="single" w:color="auto" w:sz="2" w:space="0"/>
              <w:left w:val="single" w:color="auto" w:sz="2" w:space="0"/>
              <w:bottom w:val="single" w:color="auto" w:sz="2" w:space="0"/>
              <w:right w:val="single" w:color="auto" w:sz="2" w:space="0"/>
            </w:tcBorders>
            <w:vAlign w:val="center"/>
          </w:tcPr>
          <w:p w14:paraId="310C26B7">
            <w:pPr>
              <w:spacing w:before="0" w:after="0" w:line="240" w:lineRule="exact"/>
              <w:jc w:val="right"/>
              <w:rPr>
                <w:rFonts w:ascii="宋体" w:hAnsi="宋体" w:eastAsia="宋体" w:cs="宋体"/>
                <w:sz w:val="18"/>
                <w:szCs w:val="18"/>
              </w:rPr>
            </w:pPr>
            <w:r>
              <w:rPr>
                <w:rFonts w:ascii="宋体" w:hAnsi="宋体" w:eastAsia="宋体" w:cs="宋体"/>
                <w:sz w:val="18"/>
                <w:szCs w:val="18"/>
              </w:rPr>
              <w:t>639,807.60</w:t>
            </w:r>
          </w:p>
        </w:tc>
        <w:tc>
          <w:tcPr>
            <w:tcW w:w="2410" w:type="dxa"/>
            <w:tcBorders>
              <w:top w:val="single" w:color="auto" w:sz="2" w:space="0"/>
              <w:left w:val="single" w:color="auto" w:sz="2" w:space="0"/>
              <w:bottom w:val="single" w:color="auto" w:sz="2" w:space="0"/>
              <w:right w:val="single" w:color="auto" w:sz="2" w:space="0"/>
            </w:tcBorders>
            <w:vAlign w:val="center"/>
          </w:tcPr>
          <w:p w14:paraId="160CB61C">
            <w:pPr>
              <w:spacing w:before="0" w:after="0" w:line="240" w:lineRule="exact"/>
              <w:jc w:val="right"/>
              <w:rPr>
                <w:rFonts w:ascii="宋体" w:hAnsi="宋体" w:eastAsia="宋体" w:cs="宋体"/>
                <w:sz w:val="18"/>
                <w:szCs w:val="18"/>
              </w:rPr>
            </w:pPr>
            <w:r>
              <w:rPr>
                <w:rFonts w:ascii="宋体" w:hAnsi="宋体" w:eastAsia="宋体" w:cs="宋体"/>
                <w:sz w:val="18"/>
                <w:szCs w:val="18"/>
              </w:rPr>
              <w:t>230,606.23</w:t>
            </w:r>
          </w:p>
        </w:tc>
      </w:tr>
      <w:tr w14:paraId="3B67E3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E9C9586">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22A273E6">
            <w:pPr>
              <w:spacing w:before="0" w:after="0" w:line="240" w:lineRule="exact"/>
              <w:jc w:val="right"/>
              <w:rPr>
                <w:rFonts w:ascii="宋体" w:hAnsi="宋体" w:eastAsia="宋体" w:cs="宋体"/>
                <w:sz w:val="18"/>
                <w:szCs w:val="18"/>
              </w:rPr>
            </w:pPr>
            <w:r>
              <w:rPr>
                <w:rFonts w:ascii="宋体" w:hAnsi="宋体" w:eastAsia="宋体" w:cs="宋体"/>
                <w:sz w:val="18"/>
                <w:szCs w:val="18"/>
              </w:rPr>
              <w:t>3,079,691.91</w:t>
            </w:r>
          </w:p>
        </w:tc>
        <w:tc>
          <w:tcPr>
            <w:tcW w:w="2410" w:type="dxa"/>
            <w:tcBorders>
              <w:top w:val="single" w:color="auto" w:sz="2" w:space="0"/>
              <w:left w:val="single" w:color="auto" w:sz="2" w:space="0"/>
              <w:bottom w:val="single" w:color="auto" w:sz="2" w:space="0"/>
              <w:right w:val="single" w:color="auto" w:sz="2" w:space="0"/>
            </w:tcBorders>
            <w:vAlign w:val="center"/>
          </w:tcPr>
          <w:p w14:paraId="501AAE75">
            <w:pPr>
              <w:spacing w:before="0" w:after="0" w:line="240" w:lineRule="exact"/>
              <w:jc w:val="right"/>
              <w:rPr>
                <w:rFonts w:ascii="宋体" w:hAnsi="宋体" w:eastAsia="宋体" w:cs="宋体"/>
                <w:sz w:val="18"/>
                <w:szCs w:val="18"/>
              </w:rPr>
            </w:pPr>
            <w:r>
              <w:rPr>
                <w:rFonts w:ascii="宋体" w:hAnsi="宋体" w:eastAsia="宋体" w:cs="宋体"/>
                <w:sz w:val="18"/>
                <w:szCs w:val="18"/>
              </w:rPr>
              <w:t>3,511,262.66</w:t>
            </w:r>
          </w:p>
        </w:tc>
        <w:tc>
          <w:tcPr>
            <w:tcW w:w="2410" w:type="dxa"/>
            <w:tcBorders>
              <w:top w:val="single" w:color="auto" w:sz="2" w:space="0"/>
              <w:left w:val="single" w:color="auto" w:sz="2" w:space="0"/>
              <w:bottom w:val="single" w:color="auto" w:sz="2" w:space="0"/>
              <w:right w:val="single" w:color="auto" w:sz="2" w:space="0"/>
            </w:tcBorders>
            <w:vAlign w:val="center"/>
          </w:tcPr>
          <w:p w14:paraId="09DFE33A">
            <w:pPr>
              <w:spacing w:before="0" w:after="0" w:line="240" w:lineRule="exact"/>
              <w:jc w:val="right"/>
              <w:rPr>
                <w:rFonts w:ascii="宋体" w:hAnsi="宋体" w:eastAsia="宋体" w:cs="宋体"/>
                <w:sz w:val="18"/>
                <w:szCs w:val="18"/>
              </w:rPr>
            </w:pPr>
            <w:r>
              <w:rPr>
                <w:rFonts w:ascii="宋体" w:hAnsi="宋体" w:eastAsia="宋体" w:cs="宋体"/>
                <w:sz w:val="18"/>
                <w:szCs w:val="18"/>
              </w:rPr>
              <w:t>3,079,691.91</w:t>
            </w:r>
          </w:p>
        </w:tc>
      </w:tr>
    </w:tbl>
    <w:p w14:paraId="73A612A1">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4360F891">
      <w:pPr>
        <w:keepNext/>
        <w:keepLines/>
        <w:spacing w:before="300" w:after="300" w:line="280" w:lineRule="exact"/>
        <w:jc w:val="left"/>
        <w:outlineLvl w:val="2"/>
        <w:rPr>
          <w:rFonts w:ascii="宋体" w:hAnsi="宋体" w:eastAsia="宋体" w:cs="宋体"/>
          <w:b/>
          <w:bCs/>
          <w:sz w:val="21"/>
          <w:szCs w:val="21"/>
        </w:rPr>
      </w:pPr>
      <w:bookmarkStart w:id="431" w:name="_Toc989314"/>
      <w:r>
        <w:rPr>
          <w:rFonts w:ascii="宋体" w:hAnsi="宋体" w:eastAsia="宋体" w:cs="宋体"/>
          <w:b/>
          <w:bCs/>
          <w:sz w:val="21"/>
          <w:szCs w:val="21"/>
        </w:rPr>
        <w:t>76、所得税费用</w:t>
      </w:r>
      <w:bookmarkEnd w:id="431"/>
    </w:p>
    <w:p w14:paraId="1A826052">
      <w:pPr>
        <w:keepNext/>
        <w:keepLines/>
        <w:spacing w:before="300" w:after="300" w:line="280" w:lineRule="exact"/>
        <w:jc w:val="left"/>
        <w:outlineLvl w:val="3"/>
        <w:rPr>
          <w:rFonts w:ascii="宋体" w:hAnsi="宋体" w:eastAsia="宋体" w:cs="宋体"/>
          <w:b/>
          <w:bCs/>
          <w:sz w:val="21"/>
          <w:szCs w:val="21"/>
        </w:rPr>
      </w:pPr>
      <w:bookmarkStart w:id="432" w:name="_Toc989315"/>
      <w:r>
        <w:rPr>
          <w:rFonts w:ascii="宋体" w:hAnsi="宋体" w:eastAsia="宋体" w:cs="宋体"/>
          <w:b/>
          <w:bCs/>
          <w:sz w:val="21"/>
          <w:szCs w:val="21"/>
        </w:rPr>
        <w:t>（1） 所得税费用表</w:t>
      </w:r>
      <w:bookmarkEnd w:id="432"/>
    </w:p>
    <w:p w14:paraId="47A2127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F3B0B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A21227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6420DCC">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3EAD26D">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68083F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99FCE2C">
            <w:pPr>
              <w:spacing w:before="40" w:after="40" w:line="240" w:lineRule="exact"/>
              <w:jc w:val="left"/>
              <w:rPr>
                <w:rFonts w:ascii="宋体" w:hAnsi="宋体" w:eastAsia="宋体" w:cs="宋体"/>
                <w:sz w:val="18"/>
                <w:szCs w:val="18"/>
              </w:rPr>
            </w:pPr>
            <w:r>
              <w:rPr>
                <w:rFonts w:ascii="宋体" w:hAnsi="宋体" w:eastAsia="宋体" w:cs="宋体"/>
                <w:sz w:val="18"/>
                <w:szCs w:val="18"/>
              </w:rPr>
              <w:t>当期所得税费用</w:t>
            </w:r>
          </w:p>
        </w:tc>
        <w:tc>
          <w:tcPr>
            <w:tcW w:w="3213" w:type="dxa"/>
            <w:tcBorders>
              <w:top w:val="single" w:color="auto" w:sz="2" w:space="0"/>
              <w:left w:val="single" w:color="auto" w:sz="2" w:space="0"/>
              <w:bottom w:val="single" w:color="auto" w:sz="2" w:space="0"/>
              <w:right w:val="single" w:color="auto" w:sz="2" w:space="0"/>
            </w:tcBorders>
            <w:vAlign w:val="center"/>
          </w:tcPr>
          <w:p w14:paraId="09D506E1">
            <w:pPr>
              <w:spacing w:before="0" w:after="0" w:line="240" w:lineRule="exact"/>
              <w:jc w:val="right"/>
              <w:rPr>
                <w:rFonts w:ascii="宋体" w:hAnsi="宋体" w:eastAsia="宋体" w:cs="宋体"/>
                <w:sz w:val="18"/>
                <w:szCs w:val="18"/>
              </w:rPr>
            </w:pPr>
            <w:r>
              <w:rPr>
                <w:rFonts w:ascii="宋体" w:hAnsi="宋体" w:eastAsia="宋体" w:cs="宋体"/>
                <w:sz w:val="18"/>
                <w:szCs w:val="18"/>
              </w:rPr>
              <w:t>8,094,088.31</w:t>
            </w:r>
          </w:p>
        </w:tc>
        <w:tc>
          <w:tcPr>
            <w:tcW w:w="3213" w:type="dxa"/>
            <w:tcBorders>
              <w:top w:val="single" w:color="auto" w:sz="2" w:space="0"/>
              <w:left w:val="single" w:color="auto" w:sz="2" w:space="0"/>
              <w:bottom w:val="single" w:color="auto" w:sz="2" w:space="0"/>
              <w:right w:val="single" w:color="auto" w:sz="2" w:space="0"/>
            </w:tcBorders>
            <w:vAlign w:val="center"/>
          </w:tcPr>
          <w:p w14:paraId="64821F59">
            <w:pPr>
              <w:spacing w:before="0" w:after="0" w:line="240" w:lineRule="exact"/>
              <w:jc w:val="right"/>
              <w:rPr>
                <w:rFonts w:ascii="宋体" w:hAnsi="宋体" w:eastAsia="宋体" w:cs="宋体"/>
                <w:sz w:val="18"/>
                <w:szCs w:val="18"/>
              </w:rPr>
            </w:pPr>
            <w:r>
              <w:rPr>
                <w:rFonts w:ascii="宋体" w:hAnsi="宋体" w:eastAsia="宋体" w:cs="宋体"/>
                <w:sz w:val="18"/>
                <w:szCs w:val="18"/>
              </w:rPr>
              <w:t>6,991,115.16</w:t>
            </w:r>
          </w:p>
        </w:tc>
      </w:tr>
      <w:tr w14:paraId="58AF28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A6F077E">
            <w:pPr>
              <w:spacing w:before="40" w:after="40" w:line="240" w:lineRule="exact"/>
              <w:jc w:val="left"/>
              <w:rPr>
                <w:rFonts w:ascii="宋体" w:hAnsi="宋体" w:eastAsia="宋体" w:cs="宋体"/>
                <w:sz w:val="18"/>
                <w:szCs w:val="18"/>
              </w:rPr>
            </w:pPr>
            <w:r>
              <w:rPr>
                <w:rFonts w:ascii="宋体" w:hAnsi="宋体" w:eastAsia="宋体" w:cs="宋体"/>
                <w:sz w:val="18"/>
                <w:szCs w:val="18"/>
              </w:rPr>
              <w:t>递延所得税费用</w:t>
            </w:r>
          </w:p>
        </w:tc>
        <w:tc>
          <w:tcPr>
            <w:tcW w:w="3213" w:type="dxa"/>
            <w:tcBorders>
              <w:top w:val="single" w:color="auto" w:sz="2" w:space="0"/>
              <w:left w:val="single" w:color="auto" w:sz="2" w:space="0"/>
              <w:bottom w:val="single" w:color="auto" w:sz="2" w:space="0"/>
              <w:right w:val="single" w:color="auto" w:sz="2" w:space="0"/>
            </w:tcBorders>
            <w:vAlign w:val="center"/>
          </w:tcPr>
          <w:p w14:paraId="45991D6B">
            <w:pPr>
              <w:spacing w:before="0" w:after="0" w:line="240" w:lineRule="exact"/>
              <w:jc w:val="right"/>
              <w:rPr>
                <w:rFonts w:ascii="宋体" w:hAnsi="宋体" w:eastAsia="宋体" w:cs="宋体"/>
                <w:sz w:val="18"/>
                <w:szCs w:val="18"/>
              </w:rPr>
            </w:pPr>
            <w:r>
              <w:rPr>
                <w:rFonts w:ascii="宋体" w:hAnsi="宋体" w:eastAsia="宋体" w:cs="宋体"/>
                <w:sz w:val="18"/>
                <w:szCs w:val="18"/>
              </w:rPr>
              <w:t>-32,556.95</w:t>
            </w:r>
          </w:p>
        </w:tc>
        <w:tc>
          <w:tcPr>
            <w:tcW w:w="3213" w:type="dxa"/>
            <w:tcBorders>
              <w:top w:val="single" w:color="auto" w:sz="2" w:space="0"/>
              <w:left w:val="single" w:color="auto" w:sz="2" w:space="0"/>
              <w:bottom w:val="single" w:color="auto" w:sz="2" w:space="0"/>
              <w:right w:val="single" w:color="auto" w:sz="2" w:space="0"/>
            </w:tcBorders>
            <w:vAlign w:val="center"/>
          </w:tcPr>
          <w:p w14:paraId="544FAECD">
            <w:pPr>
              <w:spacing w:before="0" w:after="0" w:line="240" w:lineRule="exact"/>
              <w:jc w:val="right"/>
              <w:rPr>
                <w:rFonts w:ascii="宋体" w:hAnsi="宋体" w:eastAsia="宋体" w:cs="宋体"/>
                <w:sz w:val="18"/>
                <w:szCs w:val="18"/>
              </w:rPr>
            </w:pPr>
            <w:r>
              <w:rPr>
                <w:rFonts w:ascii="宋体" w:hAnsi="宋体" w:eastAsia="宋体" w:cs="宋体"/>
                <w:sz w:val="18"/>
                <w:szCs w:val="18"/>
              </w:rPr>
              <w:t>69,883,294.85</w:t>
            </w:r>
          </w:p>
        </w:tc>
      </w:tr>
      <w:tr w14:paraId="278FDF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A7FD779">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0A0E0B84">
            <w:pPr>
              <w:spacing w:before="0" w:after="0" w:line="240" w:lineRule="exact"/>
              <w:jc w:val="right"/>
              <w:rPr>
                <w:rFonts w:ascii="宋体" w:hAnsi="宋体" w:eastAsia="宋体" w:cs="宋体"/>
                <w:sz w:val="18"/>
                <w:szCs w:val="18"/>
              </w:rPr>
            </w:pPr>
            <w:r>
              <w:rPr>
                <w:rFonts w:ascii="宋体" w:hAnsi="宋体" w:eastAsia="宋体" w:cs="宋体"/>
                <w:sz w:val="18"/>
                <w:szCs w:val="18"/>
              </w:rPr>
              <w:t>8,061,531.36</w:t>
            </w:r>
          </w:p>
        </w:tc>
        <w:tc>
          <w:tcPr>
            <w:tcW w:w="3213" w:type="dxa"/>
            <w:tcBorders>
              <w:top w:val="single" w:color="auto" w:sz="2" w:space="0"/>
              <w:left w:val="single" w:color="auto" w:sz="2" w:space="0"/>
              <w:bottom w:val="single" w:color="auto" w:sz="2" w:space="0"/>
              <w:right w:val="single" w:color="auto" w:sz="2" w:space="0"/>
            </w:tcBorders>
            <w:vAlign w:val="center"/>
          </w:tcPr>
          <w:p w14:paraId="1A004E5E">
            <w:pPr>
              <w:spacing w:before="0" w:after="0" w:line="240" w:lineRule="exact"/>
              <w:jc w:val="right"/>
              <w:rPr>
                <w:rFonts w:ascii="宋体" w:hAnsi="宋体" w:eastAsia="宋体" w:cs="宋体"/>
                <w:sz w:val="18"/>
                <w:szCs w:val="18"/>
              </w:rPr>
            </w:pPr>
            <w:r>
              <w:rPr>
                <w:rFonts w:ascii="宋体" w:hAnsi="宋体" w:eastAsia="宋体" w:cs="宋体"/>
                <w:sz w:val="18"/>
                <w:szCs w:val="18"/>
              </w:rPr>
              <w:t>76,874,410.01</w:t>
            </w:r>
          </w:p>
        </w:tc>
      </w:tr>
    </w:tbl>
    <w:p w14:paraId="78647995">
      <w:pPr>
        <w:keepNext/>
        <w:keepLines/>
        <w:spacing w:before="300" w:after="300" w:line="280" w:lineRule="exact"/>
        <w:jc w:val="left"/>
        <w:outlineLvl w:val="3"/>
        <w:rPr>
          <w:rFonts w:ascii="宋体" w:hAnsi="宋体" w:eastAsia="宋体" w:cs="宋体"/>
          <w:b/>
          <w:bCs/>
          <w:sz w:val="21"/>
          <w:szCs w:val="21"/>
        </w:rPr>
      </w:pPr>
      <w:bookmarkStart w:id="433" w:name="_Toc989316"/>
      <w:r>
        <w:rPr>
          <w:rFonts w:ascii="宋体" w:hAnsi="宋体" w:eastAsia="宋体" w:cs="宋体"/>
          <w:b/>
          <w:bCs/>
          <w:sz w:val="21"/>
          <w:szCs w:val="21"/>
        </w:rPr>
        <w:t>（2） 会计利润与所得税费用调整过程</w:t>
      </w:r>
      <w:bookmarkEnd w:id="433"/>
    </w:p>
    <w:p w14:paraId="1823A6D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451F18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1A6EF6C">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34FA09D">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r>
      <w:tr w14:paraId="3F6EDB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D71DC77">
            <w:pPr>
              <w:spacing w:before="40" w:after="40" w:line="240" w:lineRule="exact"/>
              <w:jc w:val="left"/>
              <w:rPr>
                <w:rFonts w:ascii="宋体" w:hAnsi="宋体" w:eastAsia="宋体" w:cs="宋体"/>
                <w:sz w:val="18"/>
                <w:szCs w:val="18"/>
              </w:rPr>
            </w:pPr>
            <w:r>
              <w:rPr>
                <w:rFonts w:ascii="宋体" w:hAnsi="宋体" w:eastAsia="宋体" w:cs="宋体"/>
                <w:sz w:val="18"/>
                <w:szCs w:val="18"/>
              </w:rPr>
              <w:t>利润总额</w:t>
            </w:r>
          </w:p>
        </w:tc>
        <w:tc>
          <w:tcPr>
            <w:tcW w:w="4820" w:type="dxa"/>
            <w:tcBorders>
              <w:top w:val="single" w:color="auto" w:sz="2" w:space="0"/>
              <w:left w:val="single" w:color="auto" w:sz="2" w:space="0"/>
              <w:bottom w:val="single" w:color="auto" w:sz="2" w:space="0"/>
              <w:right w:val="single" w:color="auto" w:sz="2" w:space="0"/>
            </w:tcBorders>
            <w:vAlign w:val="center"/>
          </w:tcPr>
          <w:p w14:paraId="5B92C0D6">
            <w:pPr>
              <w:spacing w:before="0" w:after="0" w:line="240" w:lineRule="exact"/>
              <w:jc w:val="right"/>
              <w:rPr>
                <w:rFonts w:ascii="宋体" w:hAnsi="宋体" w:eastAsia="宋体" w:cs="宋体"/>
                <w:sz w:val="18"/>
                <w:szCs w:val="18"/>
              </w:rPr>
            </w:pPr>
            <w:r>
              <w:rPr>
                <w:rFonts w:ascii="宋体" w:hAnsi="宋体" w:eastAsia="宋体" w:cs="宋体"/>
                <w:sz w:val="18"/>
                <w:szCs w:val="18"/>
              </w:rPr>
              <w:t>-164,405,506.54</w:t>
            </w:r>
          </w:p>
        </w:tc>
      </w:tr>
      <w:tr w14:paraId="68828A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1290BFA">
            <w:pPr>
              <w:spacing w:before="40" w:after="40" w:line="240" w:lineRule="exact"/>
              <w:jc w:val="left"/>
              <w:rPr>
                <w:rFonts w:ascii="宋体" w:hAnsi="宋体" w:eastAsia="宋体" w:cs="宋体"/>
                <w:sz w:val="18"/>
                <w:szCs w:val="18"/>
              </w:rPr>
            </w:pPr>
            <w:r>
              <w:rPr>
                <w:rFonts w:ascii="宋体" w:hAnsi="宋体" w:eastAsia="宋体" w:cs="宋体"/>
                <w:sz w:val="18"/>
                <w:szCs w:val="18"/>
              </w:rPr>
              <w:t>按法定/适用税率计算的所得税费用</w:t>
            </w:r>
          </w:p>
        </w:tc>
        <w:tc>
          <w:tcPr>
            <w:tcW w:w="4820" w:type="dxa"/>
            <w:tcBorders>
              <w:top w:val="single" w:color="auto" w:sz="2" w:space="0"/>
              <w:left w:val="single" w:color="auto" w:sz="2" w:space="0"/>
              <w:bottom w:val="single" w:color="auto" w:sz="2" w:space="0"/>
              <w:right w:val="single" w:color="auto" w:sz="2" w:space="0"/>
            </w:tcBorders>
            <w:vAlign w:val="center"/>
          </w:tcPr>
          <w:p w14:paraId="1B548A13">
            <w:pPr>
              <w:spacing w:before="0" w:after="0" w:line="240" w:lineRule="exact"/>
              <w:jc w:val="right"/>
              <w:rPr>
                <w:rFonts w:ascii="宋体" w:hAnsi="宋体" w:eastAsia="宋体" w:cs="宋体"/>
                <w:sz w:val="18"/>
                <w:szCs w:val="18"/>
              </w:rPr>
            </w:pPr>
            <w:r>
              <w:rPr>
                <w:rFonts w:ascii="宋体" w:hAnsi="宋体" w:eastAsia="宋体" w:cs="宋体"/>
                <w:sz w:val="18"/>
                <w:szCs w:val="18"/>
              </w:rPr>
              <w:t>-24,660,825.98</w:t>
            </w:r>
          </w:p>
        </w:tc>
      </w:tr>
      <w:tr w14:paraId="7EDC60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06DF9C8">
            <w:pPr>
              <w:spacing w:before="40" w:after="40" w:line="240" w:lineRule="exact"/>
              <w:jc w:val="left"/>
              <w:rPr>
                <w:rFonts w:ascii="宋体" w:hAnsi="宋体" w:eastAsia="宋体" w:cs="宋体"/>
                <w:sz w:val="18"/>
                <w:szCs w:val="18"/>
              </w:rPr>
            </w:pPr>
            <w:r>
              <w:rPr>
                <w:rFonts w:ascii="宋体" w:hAnsi="宋体" w:eastAsia="宋体" w:cs="宋体"/>
                <w:sz w:val="18"/>
                <w:szCs w:val="18"/>
              </w:rPr>
              <w:t>子公司适用不同税率的影响</w:t>
            </w:r>
          </w:p>
        </w:tc>
        <w:tc>
          <w:tcPr>
            <w:tcW w:w="4820" w:type="dxa"/>
            <w:tcBorders>
              <w:top w:val="single" w:color="auto" w:sz="2" w:space="0"/>
              <w:left w:val="single" w:color="auto" w:sz="2" w:space="0"/>
              <w:bottom w:val="single" w:color="auto" w:sz="2" w:space="0"/>
              <w:right w:val="single" w:color="auto" w:sz="2" w:space="0"/>
            </w:tcBorders>
            <w:vAlign w:val="center"/>
          </w:tcPr>
          <w:p w14:paraId="19A701D5">
            <w:pPr>
              <w:spacing w:before="0" w:after="0" w:line="240" w:lineRule="exact"/>
              <w:jc w:val="right"/>
              <w:rPr>
                <w:rFonts w:ascii="宋体" w:hAnsi="宋体" w:eastAsia="宋体" w:cs="宋体"/>
                <w:sz w:val="18"/>
                <w:szCs w:val="18"/>
              </w:rPr>
            </w:pPr>
            <w:r>
              <w:rPr>
                <w:rFonts w:ascii="宋体" w:hAnsi="宋体" w:eastAsia="宋体" w:cs="宋体"/>
                <w:sz w:val="18"/>
                <w:szCs w:val="18"/>
              </w:rPr>
              <w:t>-6,067,682.52</w:t>
            </w:r>
          </w:p>
        </w:tc>
      </w:tr>
      <w:tr w14:paraId="6F1A27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AD434D2">
            <w:pPr>
              <w:spacing w:before="40" w:after="40" w:line="240" w:lineRule="exact"/>
              <w:jc w:val="left"/>
              <w:rPr>
                <w:rFonts w:ascii="宋体" w:hAnsi="宋体" w:eastAsia="宋体" w:cs="宋体"/>
                <w:sz w:val="18"/>
                <w:szCs w:val="18"/>
              </w:rPr>
            </w:pPr>
            <w:r>
              <w:rPr>
                <w:rFonts w:ascii="宋体" w:hAnsi="宋体" w:eastAsia="宋体" w:cs="宋体"/>
                <w:sz w:val="18"/>
                <w:szCs w:val="18"/>
              </w:rPr>
              <w:t>调整以前期间所得税的影响</w:t>
            </w:r>
          </w:p>
        </w:tc>
        <w:tc>
          <w:tcPr>
            <w:tcW w:w="4820" w:type="dxa"/>
            <w:tcBorders>
              <w:top w:val="single" w:color="auto" w:sz="2" w:space="0"/>
              <w:left w:val="single" w:color="auto" w:sz="2" w:space="0"/>
              <w:bottom w:val="single" w:color="auto" w:sz="2" w:space="0"/>
              <w:right w:val="single" w:color="auto" w:sz="2" w:space="0"/>
            </w:tcBorders>
            <w:vAlign w:val="center"/>
          </w:tcPr>
          <w:p w14:paraId="734CE92E">
            <w:pPr>
              <w:spacing w:before="0" w:after="0" w:line="240" w:lineRule="exact"/>
              <w:jc w:val="right"/>
              <w:rPr>
                <w:rFonts w:ascii="宋体" w:hAnsi="宋体" w:eastAsia="宋体" w:cs="宋体"/>
                <w:sz w:val="18"/>
                <w:szCs w:val="18"/>
              </w:rPr>
            </w:pPr>
            <w:r>
              <w:rPr>
                <w:rFonts w:ascii="宋体" w:hAnsi="宋体" w:eastAsia="宋体" w:cs="宋体"/>
                <w:sz w:val="18"/>
                <w:szCs w:val="18"/>
              </w:rPr>
              <w:t>616,012.23</w:t>
            </w:r>
          </w:p>
        </w:tc>
      </w:tr>
      <w:tr w14:paraId="65E438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E933568">
            <w:pPr>
              <w:spacing w:before="40" w:after="40" w:line="240" w:lineRule="exact"/>
              <w:jc w:val="left"/>
              <w:rPr>
                <w:rFonts w:ascii="宋体" w:hAnsi="宋体" w:eastAsia="宋体" w:cs="宋体"/>
                <w:sz w:val="18"/>
                <w:szCs w:val="18"/>
              </w:rPr>
            </w:pPr>
            <w:r>
              <w:rPr>
                <w:rFonts w:ascii="宋体" w:hAnsi="宋体" w:eastAsia="宋体" w:cs="宋体"/>
                <w:sz w:val="18"/>
                <w:szCs w:val="18"/>
              </w:rPr>
              <w:t>非应税收入的影响</w:t>
            </w:r>
          </w:p>
        </w:tc>
        <w:tc>
          <w:tcPr>
            <w:tcW w:w="4820" w:type="dxa"/>
            <w:tcBorders>
              <w:top w:val="single" w:color="auto" w:sz="2" w:space="0"/>
              <w:left w:val="single" w:color="auto" w:sz="2" w:space="0"/>
              <w:bottom w:val="single" w:color="auto" w:sz="2" w:space="0"/>
              <w:right w:val="single" w:color="auto" w:sz="2" w:space="0"/>
            </w:tcBorders>
            <w:vAlign w:val="center"/>
          </w:tcPr>
          <w:p w14:paraId="29BEAA4B">
            <w:pPr>
              <w:spacing w:before="0" w:after="0" w:line="240" w:lineRule="exact"/>
              <w:jc w:val="right"/>
              <w:rPr>
                <w:rFonts w:ascii="宋体" w:hAnsi="宋体" w:eastAsia="宋体" w:cs="宋体"/>
                <w:sz w:val="18"/>
                <w:szCs w:val="18"/>
              </w:rPr>
            </w:pPr>
            <w:r>
              <w:rPr>
                <w:rFonts w:ascii="宋体" w:hAnsi="宋体" w:eastAsia="宋体" w:cs="宋体"/>
                <w:sz w:val="18"/>
                <w:szCs w:val="18"/>
              </w:rPr>
              <w:t>1,649,287.09</w:t>
            </w:r>
          </w:p>
        </w:tc>
      </w:tr>
      <w:tr w14:paraId="7D590E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C81D72B">
            <w:pPr>
              <w:spacing w:before="40" w:after="40" w:line="240" w:lineRule="exact"/>
              <w:jc w:val="left"/>
              <w:rPr>
                <w:rFonts w:ascii="宋体" w:hAnsi="宋体" w:eastAsia="宋体" w:cs="宋体"/>
                <w:sz w:val="18"/>
                <w:szCs w:val="18"/>
              </w:rPr>
            </w:pPr>
            <w:r>
              <w:rPr>
                <w:rFonts w:ascii="宋体" w:hAnsi="宋体" w:eastAsia="宋体" w:cs="宋体"/>
                <w:sz w:val="18"/>
                <w:szCs w:val="18"/>
              </w:rPr>
              <w:t>不可抵扣的成本、费用和损失的影响</w:t>
            </w:r>
          </w:p>
        </w:tc>
        <w:tc>
          <w:tcPr>
            <w:tcW w:w="4820" w:type="dxa"/>
            <w:tcBorders>
              <w:top w:val="single" w:color="auto" w:sz="2" w:space="0"/>
              <w:left w:val="single" w:color="auto" w:sz="2" w:space="0"/>
              <w:bottom w:val="single" w:color="auto" w:sz="2" w:space="0"/>
              <w:right w:val="single" w:color="auto" w:sz="2" w:space="0"/>
            </w:tcBorders>
            <w:vAlign w:val="center"/>
          </w:tcPr>
          <w:p w14:paraId="1A07280E">
            <w:pPr>
              <w:spacing w:before="0" w:after="0" w:line="240" w:lineRule="exact"/>
              <w:jc w:val="right"/>
              <w:rPr>
                <w:rFonts w:ascii="宋体" w:hAnsi="宋体" w:eastAsia="宋体" w:cs="宋体"/>
                <w:sz w:val="18"/>
                <w:szCs w:val="18"/>
              </w:rPr>
            </w:pPr>
            <w:r>
              <w:rPr>
                <w:rFonts w:ascii="宋体" w:hAnsi="宋体" w:eastAsia="宋体" w:cs="宋体"/>
                <w:sz w:val="18"/>
                <w:szCs w:val="18"/>
              </w:rPr>
              <w:t>2,101,471.13</w:t>
            </w:r>
          </w:p>
        </w:tc>
      </w:tr>
      <w:tr w14:paraId="511EE9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AC47314">
            <w:pPr>
              <w:spacing w:before="40" w:after="40" w:line="240" w:lineRule="exact"/>
              <w:jc w:val="left"/>
              <w:rPr>
                <w:rFonts w:ascii="宋体" w:hAnsi="宋体" w:eastAsia="宋体" w:cs="宋体"/>
                <w:sz w:val="18"/>
                <w:szCs w:val="18"/>
              </w:rPr>
            </w:pPr>
            <w:r>
              <w:rPr>
                <w:rFonts w:ascii="宋体" w:hAnsi="宋体" w:eastAsia="宋体" w:cs="宋体"/>
                <w:sz w:val="18"/>
                <w:szCs w:val="18"/>
              </w:rPr>
              <w:t>使用前期未确认递延所得税资产的可抵扣亏损的影响</w:t>
            </w:r>
          </w:p>
        </w:tc>
        <w:tc>
          <w:tcPr>
            <w:tcW w:w="4820" w:type="dxa"/>
            <w:tcBorders>
              <w:top w:val="single" w:color="auto" w:sz="2" w:space="0"/>
              <w:left w:val="single" w:color="auto" w:sz="2" w:space="0"/>
              <w:bottom w:val="single" w:color="auto" w:sz="2" w:space="0"/>
              <w:right w:val="single" w:color="auto" w:sz="2" w:space="0"/>
            </w:tcBorders>
            <w:vAlign w:val="center"/>
          </w:tcPr>
          <w:p w14:paraId="4BFDB0BA">
            <w:pPr>
              <w:spacing w:before="0" w:after="0" w:line="240" w:lineRule="exact"/>
              <w:jc w:val="right"/>
              <w:rPr>
                <w:rFonts w:ascii="宋体" w:hAnsi="宋体" w:eastAsia="宋体" w:cs="宋体"/>
                <w:sz w:val="18"/>
                <w:szCs w:val="18"/>
              </w:rPr>
            </w:pPr>
            <w:r>
              <w:rPr>
                <w:rFonts w:ascii="宋体" w:hAnsi="宋体" w:eastAsia="宋体" w:cs="宋体"/>
                <w:sz w:val="18"/>
                <w:szCs w:val="18"/>
              </w:rPr>
              <w:t>-311.98</w:t>
            </w:r>
          </w:p>
        </w:tc>
      </w:tr>
      <w:tr w14:paraId="62B32A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37A3EB2A">
            <w:pPr>
              <w:spacing w:before="40" w:after="40" w:line="240" w:lineRule="exact"/>
              <w:jc w:val="left"/>
              <w:rPr>
                <w:rFonts w:ascii="宋体" w:hAnsi="宋体" w:eastAsia="宋体" w:cs="宋体"/>
                <w:sz w:val="18"/>
                <w:szCs w:val="18"/>
              </w:rPr>
            </w:pPr>
            <w:r>
              <w:rPr>
                <w:rFonts w:ascii="宋体" w:hAnsi="宋体" w:eastAsia="宋体" w:cs="宋体"/>
                <w:sz w:val="18"/>
                <w:szCs w:val="18"/>
              </w:rPr>
              <w:t>本期未确认递延所得税资产的可抵扣暂时性差异或可抵扣亏损的影响</w:t>
            </w:r>
          </w:p>
        </w:tc>
        <w:tc>
          <w:tcPr>
            <w:tcW w:w="4820" w:type="dxa"/>
            <w:tcBorders>
              <w:top w:val="single" w:color="auto" w:sz="2" w:space="0"/>
              <w:left w:val="single" w:color="auto" w:sz="2" w:space="0"/>
              <w:bottom w:val="single" w:color="auto" w:sz="2" w:space="0"/>
              <w:right w:val="single" w:color="auto" w:sz="2" w:space="0"/>
            </w:tcBorders>
            <w:vAlign w:val="center"/>
          </w:tcPr>
          <w:p w14:paraId="1605FE76">
            <w:pPr>
              <w:spacing w:before="0" w:after="0" w:line="240" w:lineRule="exact"/>
              <w:jc w:val="right"/>
              <w:rPr>
                <w:rFonts w:ascii="宋体" w:hAnsi="宋体" w:eastAsia="宋体" w:cs="宋体"/>
                <w:sz w:val="18"/>
                <w:szCs w:val="18"/>
              </w:rPr>
            </w:pPr>
            <w:r>
              <w:rPr>
                <w:rFonts w:ascii="宋体" w:hAnsi="宋体" w:eastAsia="宋体" w:cs="宋体"/>
                <w:sz w:val="18"/>
                <w:szCs w:val="18"/>
              </w:rPr>
              <w:t>50,076,003.62</w:t>
            </w:r>
          </w:p>
        </w:tc>
      </w:tr>
      <w:tr w14:paraId="3A86D5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615C993C">
            <w:pPr>
              <w:spacing w:before="0" w:after="0" w:line="240" w:lineRule="exact"/>
              <w:jc w:val="left"/>
              <w:rPr>
                <w:rFonts w:ascii="宋体" w:hAnsi="宋体" w:eastAsia="宋体" w:cs="宋体"/>
                <w:sz w:val="18"/>
                <w:szCs w:val="18"/>
              </w:rPr>
            </w:pPr>
            <w:r>
              <w:rPr>
                <w:rFonts w:ascii="宋体" w:hAnsi="宋体" w:eastAsia="宋体" w:cs="宋体"/>
                <w:sz w:val="18"/>
                <w:szCs w:val="18"/>
              </w:rPr>
              <w:t>研发加计扣除的影响</w:t>
            </w:r>
          </w:p>
        </w:tc>
        <w:tc>
          <w:tcPr>
            <w:tcW w:w="4820" w:type="dxa"/>
            <w:tcBorders>
              <w:top w:val="single" w:color="auto" w:sz="2" w:space="0"/>
              <w:left w:val="single" w:color="auto" w:sz="2" w:space="0"/>
              <w:bottom w:val="single" w:color="auto" w:sz="2" w:space="0"/>
              <w:right w:val="single" w:color="auto" w:sz="2" w:space="0"/>
            </w:tcBorders>
            <w:vAlign w:val="center"/>
          </w:tcPr>
          <w:p w14:paraId="23954D48">
            <w:pPr>
              <w:spacing w:before="0" w:after="0" w:line="240" w:lineRule="exact"/>
              <w:jc w:val="right"/>
              <w:rPr>
                <w:rFonts w:ascii="宋体" w:hAnsi="宋体" w:eastAsia="宋体" w:cs="宋体"/>
                <w:sz w:val="18"/>
                <w:szCs w:val="18"/>
              </w:rPr>
            </w:pPr>
            <w:r>
              <w:rPr>
                <w:rFonts w:ascii="宋体" w:hAnsi="宋体" w:eastAsia="宋体" w:cs="宋体"/>
                <w:sz w:val="18"/>
                <w:szCs w:val="18"/>
              </w:rPr>
              <w:t>-15,549,002.32</w:t>
            </w:r>
          </w:p>
        </w:tc>
      </w:tr>
      <w:tr w14:paraId="6779B0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6B256C10">
            <w:pPr>
              <w:spacing w:before="0" w:after="0" w:line="240" w:lineRule="exact"/>
              <w:jc w:val="left"/>
              <w:rPr>
                <w:rFonts w:ascii="宋体" w:hAnsi="宋体" w:eastAsia="宋体" w:cs="宋体"/>
                <w:sz w:val="18"/>
                <w:szCs w:val="18"/>
              </w:rPr>
            </w:pPr>
            <w:r>
              <w:rPr>
                <w:rFonts w:ascii="宋体" w:hAnsi="宋体" w:eastAsia="宋体" w:cs="宋体"/>
                <w:sz w:val="18"/>
                <w:szCs w:val="18"/>
              </w:rPr>
              <w:t>合并层面未实现毛利抵消的影响</w:t>
            </w:r>
          </w:p>
        </w:tc>
        <w:tc>
          <w:tcPr>
            <w:tcW w:w="4820" w:type="dxa"/>
            <w:tcBorders>
              <w:top w:val="single" w:color="auto" w:sz="2" w:space="0"/>
              <w:left w:val="single" w:color="auto" w:sz="2" w:space="0"/>
              <w:bottom w:val="single" w:color="auto" w:sz="2" w:space="0"/>
              <w:right w:val="single" w:color="auto" w:sz="2" w:space="0"/>
            </w:tcBorders>
            <w:vAlign w:val="center"/>
          </w:tcPr>
          <w:p w14:paraId="424836D7">
            <w:pPr>
              <w:spacing w:before="0" w:after="0" w:line="240" w:lineRule="exact"/>
              <w:jc w:val="right"/>
              <w:rPr>
                <w:rFonts w:ascii="宋体" w:hAnsi="宋体" w:eastAsia="宋体" w:cs="宋体"/>
                <w:sz w:val="18"/>
                <w:szCs w:val="18"/>
              </w:rPr>
            </w:pPr>
            <w:r>
              <w:rPr>
                <w:rFonts w:ascii="宋体" w:hAnsi="宋体" w:eastAsia="宋体" w:cs="宋体"/>
                <w:sz w:val="18"/>
                <w:szCs w:val="18"/>
              </w:rPr>
              <w:t>-41,758.36</w:t>
            </w:r>
          </w:p>
        </w:tc>
      </w:tr>
      <w:tr w14:paraId="734452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607055F5">
            <w:pPr>
              <w:spacing w:before="0" w:after="0" w:line="240" w:lineRule="exact"/>
              <w:jc w:val="left"/>
              <w:rPr>
                <w:rFonts w:ascii="宋体" w:hAnsi="宋体" w:eastAsia="宋体" w:cs="宋体"/>
                <w:sz w:val="18"/>
                <w:szCs w:val="18"/>
              </w:rPr>
            </w:pPr>
            <w:r>
              <w:rPr>
                <w:rFonts w:ascii="宋体" w:hAnsi="宋体" w:eastAsia="宋体" w:cs="宋体"/>
                <w:sz w:val="18"/>
                <w:szCs w:val="18"/>
              </w:rPr>
              <w:t>残疾人工资加计扣除的影响</w:t>
            </w:r>
          </w:p>
        </w:tc>
        <w:tc>
          <w:tcPr>
            <w:tcW w:w="4820" w:type="dxa"/>
            <w:tcBorders>
              <w:top w:val="single" w:color="auto" w:sz="2" w:space="0"/>
              <w:left w:val="single" w:color="auto" w:sz="2" w:space="0"/>
              <w:bottom w:val="single" w:color="auto" w:sz="2" w:space="0"/>
              <w:right w:val="single" w:color="auto" w:sz="2" w:space="0"/>
            </w:tcBorders>
            <w:vAlign w:val="center"/>
          </w:tcPr>
          <w:p w14:paraId="4E977712">
            <w:pPr>
              <w:spacing w:before="0" w:after="0" w:line="240" w:lineRule="exact"/>
              <w:jc w:val="right"/>
              <w:rPr>
                <w:rFonts w:ascii="宋体" w:hAnsi="宋体" w:eastAsia="宋体" w:cs="宋体"/>
                <w:sz w:val="18"/>
                <w:szCs w:val="18"/>
              </w:rPr>
            </w:pPr>
            <w:r>
              <w:rPr>
                <w:rFonts w:ascii="宋体" w:hAnsi="宋体" w:eastAsia="宋体" w:cs="宋体"/>
                <w:sz w:val="18"/>
                <w:szCs w:val="18"/>
              </w:rPr>
              <w:t>-61,661.55</w:t>
            </w:r>
          </w:p>
        </w:tc>
      </w:tr>
      <w:tr w14:paraId="402A3D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FB68FC5">
            <w:pPr>
              <w:spacing w:before="40" w:after="40" w:line="240" w:lineRule="exact"/>
              <w:jc w:val="left"/>
              <w:rPr>
                <w:rFonts w:ascii="宋体" w:hAnsi="宋体" w:eastAsia="宋体" w:cs="宋体"/>
                <w:sz w:val="18"/>
                <w:szCs w:val="18"/>
              </w:rPr>
            </w:pPr>
            <w:r>
              <w:rPr>
                <w:rFonts w:ascii="宋体" w:hAnsi="宋体" w:eastAsia="宋体" w:cs="宋体"/>
                <w:sz w:val="18"/>
                <w:szCs w:val="18"/>
              </w:rPr>
              <w:t>所得税费用</w:t>
            </w:r>
          </w:p>
        </w:tc>
        <w:tc>
          <w:tcPr>
            <w:tcW w:w="4820" w:type="dxa"/>
            <w:tcBorders>
              <w:top w:val="single" w:color="auto" w:sz="2" w:space="0"/>
              <w:left w:val="single" w:color="auto" w:sz="2" w:space="0"/>
              <w:bottom w:val="single" w:color="auto" w:sz="2" w:space="0"/>
              <w:right w:val="single" w:color="auto" w:sz="2" w:space="0"/>
            </w:tcBorders>
            <w:vAlign w:val="center"/>
          </w:tcPr>
          <w:p w14:paraId="3DB86DDE">
            <w:pPr>
              <w:spacing w:before="0" w:after="0" w:line="240" w:lineRule="exact"/>
              <w:jc w:val="right"/>
              <w:rPr>
                <w:rFonts w:ascii="宋体" w:hAnsi="宋体" w:eastAsia="宋体" w:cs="宋体"/>
                <w:sz w:val="18"/>
                <w:szCs w:val="18"/>
              </w:rPr>
            </w:pPr>
            <w:r>
              <w:rPr>
                <w:rFonts w:ascii="宋体" w:hAnsi="宋体" w:eastAsia="宋体" w:cs="宋体"/>
                <w:sz w:val="18"/>
                <w:szCs w:val="18"/>
              </w:rPr>
              <w:t>8,061,531.36</w:t>
            </w:r>
          </w:p>
        </w:tc>
      </w:tr>
    </w:tbl>
    <w:p w14:paraId="2F6D78C1">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0970DD2">
      <w:pPr>
        <w:keepNext/>
        <w:keepLines/>
        <w:spacing w:before="300" w:after="300" w:line="280" w:lineRule="exact"/>
        <w:jc w:val="left"/>
        <w:outlineLvl w:val="2"/>
        <w:rPr>
          <w:rFonts w:ascii="宋体" w:hAnsi="宋体" w:eastAsia="宋体" w:cs="宋体"/>
          <w:b/>
          <w:bCs/>
          <w:sz w:val="21"/>
          <w:szCs w:val="21"/>
        </w:rPr>
      </w:pPr>
      <w:bookmarkStart w:id="434" w:name="_Toc989317"/>
      <w:r>
        <w:rPr>
          <w:rFonts w:ascii="宋体" w:hAnsi="宋体" w:eastAsia="宋体" w:cs="宋体"/>
          <w:b/>
          <w:bCs/>
          <w:sz w:val="21"/>
          <w:szCs w:val="21"/>
        </w:rPr>
        <w:t>77、其他综合收益</w:t>
      </w:r>
      <w:bookmarkEnd w:id="434"/>
    </w:p>
    <w:p w14:paraId="506FF45D">
      <w:pPr>
        <w:spacing w:before="40" w:after="40" w:line="240" w:lineRule="exact"/>
        <w:jc w:val="left"/>
        <w:rPr>
          <w:rFonts w:ascii="宋体" w:hAnsi="宋体" w:eastAsia="宋体" w:cs="宋体"/>
          <w:sz w:val="18"/>
          <w:szCs w:val="18"/>
        </w:rPr>
      </w:pPr>
      <w:r>
        <w:rPr>
          <w:rFonts w:ascii="宋体" w:hAnsi="宋体" w:eastAsia="宋体" w:cs="宋体"/>
          <w:sz w:val="18"/>
          <w:szCs w:val="18"/>
        </w:rPr>
        <w:t>详见附注。</w:t>
      </w:r>
    </w:p>
    <w:p w14:paraId="75290118">
      <w:pPr>
        <w:keepNext/>
        <w:keepLines/>
        <w:spacing w:before="300" w:after="300" w:line="280" w:lineRule="exact"/>
        <w:jc w:val="left"/>
        <w:outlineLvl w:val="2"/>
        <w:rPr>
          <w:rFonts w:ascii="宋体" w:hAnsi="宋体" w:eastAsia="宋体" w:cs="宋体"/>
          <w:b/>
          <w:bCs/>
          <w:sz w:val="21"/>
          <w:szCs w:val="21"/>
        </w:rPr>
      </w:pPr>
      <w:bookmarkStart w:id="435" w:name="_Toc989318"/>
      <w:r>
        <w:rPr>
          <w:rFonts w:ascii="宋体" w:hAnsi="宋体" w:eastAsia="宋体" w:cs="宋体"/>
          <w:b/>
          <w:bCs/>
          <w:sz w:val="21"/>
          <w:szCs w:val="21"/>
        </w:rPr>
        <w:t>78、现金流量表项目</w:t>
      </w:r>
      <w:bookmarkEnd w:id="435"/>
    </w:p>
    <w:p w14:paraId="4E2A5D2C">
      <w:pPr>
        <w:keepNext/>
        <w:keepLines/>
        <w:spacing w:before="300" w:after="300" w:line="280" w:lineRule="exact"/>
        <w:jc w:val="left"/>
        <w:outlineLvl w:val="3"/>
        <w:rPr>
          <w:rFonts w:ascii="宋体" w:hAnsi="宋体" w:eastAsia="宋体" w:cs="宋体"/>
          <w:b/>
          <w:bCs/>
          <w:sz w:val="21"/>
          <w:szCs w:val="21"/>
        </w:rPr>
      </w:pPr>
      <w:bookmarkStart w:id="436" w:name="_Toc989319"/>
      <w:r>
        <w:rPr>
          <w:rFonts w:ascii="宋体" w:hAnsi="宋体" w:eastAsia="宋体" w:cs="宋体"/>
          <w:b/>
          <w:bCs/>
          <w:sz w:val="21"/>
          <w:szCs w:val="21"/>
        </w:rPr>
        <w:t>（1） 与经营活动有关的现金</w:t>
      </w:r>
      <w:bookmarkEnd w:id="436"/>
    </w:p>
    <w:p w14:paraId="209CF04E">
      <w:pPr>
        <w:spacing w:before="100" w:after="100" w:line="240" w:lineRule="exact"/>
        <w:jc w:val="left"/>
        <w:rPr>
          <w:rFonts w:ascii="宋体" w:hAnsi="宋体" w:eastAsia="宋体" w:cs="宋体"/>
          <w:sz w:val="18"/>
          <w:szCs w:val="18"/>
        </w:rPr>
      </w:pPr>
      <w:r>
        <w:rPr>
          <w:rFonts w:ascii="宋体" w:hAnsi="宋体" w:eastAsia="宋体" w:cs="宋体"/>
          <w:sz w:val="18"/>
          <w:szCs w:val="18"/>
        </w:rPr>
        <w:t>收到的其他与经营活动有关的现金</w:t>
      </w:r>
    </w:p>
    <w:p w14:paraId="5C6D7AC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37B65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9D420E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26F3FF1">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879C4DA">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164594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2E66228">
            <w:pPr>
              <w:spacing w:before="0" w:after="0" w:line="240" w:lineRule="exact"/>
              <w:jc w:val="left"/>
              <w:rPr>
                <w:rFonts w:ascii="宋体" w:hAnsi="宋体" w:eastAsia="宋体" w:cs="宋体"/>
                <w:sz w:val="18"/>
                <w:szCs w:val="18"/>
              </w:rPr>
            </w:pPr>
            <w:r>
              <w:rPr>
                <w:rFonts w:ascii="宋体" w:hAnsi="宋体" w:eastAsia="宋体" w:cs="宋体"/>
                <w:sz w:val="18"/>
                <w:szCs w:val="18"/>
              </w:rPr>
              <w:t>客户保证金</w:t>
            </w:r>
          </w:p>
        </w:tc>
        <w:tc>
          <w:tcPr>
            <w:tcW w:w="3213" w:type="dxa"/>
            <w:tcBorders>
              <w:top w:val="single" w:color="auto" w:sz="2" w:space="0"/>
              <w:left w:val="single" w:color="auto" w:sz="2" w:space="0"/>
              <w:bottom w:val="single" w:color="auto" w:sz="2" w:space="0"/>
              <w:right w:val="single" w:color="auto" w:sz="2" w:space="0"/>
            </w:tcBorders>
            <w:vAlign w:val="center"/>
          </w:tcPr>
          <w:p w14:paraId="562685F6">
            <w:pPr>
              <w:spacing w:before="0" w:after="0" w:line="240" w:lineRule="exact"/>
              <w:jc w:val="right"/>
              <w:rPr>
                <w:rFonts w:ascii="宋体" w:hAnsi="宋体" w:eastAsia="宋体" w:cs="宋体"/>
                <w:sz w:val="18"/>
                <w:szCs w:val="18"/>
              </w:rPr>
            </w:pPr>
            <w:r>
              <w:rPr>
                <w:rFonts w:ascii="宋体" w:hAnsi="宋体" w:eastAsia="宋体" w:cs="宋体"/>
                <w:sz w:val="18"/>
                <w:szCs w:val="18"/>
              </w:rPr>
              <w:t>10,984,951.68</w:t>
            </w:r>
          </w:p>
        </w:tc>
        <w:tc>
          <w:tcPr>
            <w:tcW w:w="3213" w:type="dxa"/>
            <w:tcBorders>
              <w:top w:val="single" w:color="auto" w:sz="2" w:space="0"/>
              <w:left w:val="single" w:color="auto" w:sz="2" w:space="0"/>
              <w:bottom w:val="single" w:color="auto" w:sz="2" w:space="0"/>
              <w:right w:val="single" w:color="auto" w:sz="2" w:space="0"/>
            </w:tcBorders>
            <w:vAlign w:val="center"/>
          </w:tcPr>
          <w:p w14:paraId="42621CFB">
            <w:pPr>
              <w:spacing w:before="0" w:after="0" w:line="240" w:lineRule="exact"/>
              <w:jc w:val="right"/>
              <w:rPr>
                <w:rFonts w:ascii="宋体" w:hAnsi="宋体" w:eastAsia="宋体" w:cs="宋体"/>
                <w:sz w:val="18"/>
                <w:szCs w:val="18"/>
              </w:rPr>
            </w:pPr>
            <w:r>
              <w:rPr>
                <w:rFonts w:ascii="宋体" w:hAnsi="宋体" w:eastAsia="宋体" w:cs="宋体"/>
                <w:sz w:val="18"/>
                <w:szCs w:val="18"/>
              </w:rPr>
              <w:t>5,157,737.96</w:t>
            </w:r>
          </w:p>
        </w:tc>
      </w:tr>
      <w:tr w14:paraId="60D9A9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72E4097">
            <w:pPr>
              <w:spacing w:before="0" w:after="0" w:line="240" w:lineRule="exact"/>
              <w:jc w:val="left"/>
              <w:rPr>
                <w:rFonts w:ascii="宋体" w:hAnsi="宋体" w:eastAsia="宋体" w:cs="宋体"/>
                <w:sz w:val="18"/>
                <w:szCs w:val="18"/>
              </w:rPr>
            </w:pPr>
            <w:r>
              <w:rPr>
                <w:rFonts w:ascii="宋体" w:hAnsi="宋体" w:eastAsia="宋体" w:cs="宋体"/>
                <w:sz w:val="18"/>
                <w:szCs w:val="18"/>
              </w:rPr>
              <w:t>往来款</w:t>
            </w:r>
          </w:p>
        </w:tc>
        <w:tc>
          <w:tcPr>
            <w:tcW w:w="3213" w:type="dxa"/>
            <w:tcBorders>
              <w:top w:val="single" w:color="auto" w:sz="2" w:space="0"/>
              <w:left w:val="single" w:color="auto" w:sz="2" w:space="0"/>
              <w:bottom w:val="single" w:color="auto" w:sz="2" w:space="0"/>
              <w:right w:val="single" w:color="auto" w:sz="2" w:space="0"/>
            </w:tcBorders>
            <w:vAlign w:val="center"/>
          </w:tcPr>
          <w:p w14:paraId="2B1CED2C">
            <w:pPr>
              <w:spacing w:before="0" w:after="0" w:line="240" w:lineRule="exact"/>
              <w:jc w:val="right"/>
              <w:rPr>
                <w:rFonts w:ascii="宋体" w:hAnsi="宋体" w:eastAsia="宋体" w:cs="宋体"/>
                <w:sz w:val="18"/>
                <w:szCs w:val="18"/>
              </w:rPr>
            </w:pPr>
            <w:r>
              <w:rPr>
                <w:rFonts w:ascii="宋体" w:hAnsi="宋体" w:eastAsia="宋体" w:cs="宋体"/>
                <w:sz w:val="18"/>
                <w:szCs w:val="18"/>
              </w:rPr>
              <w:t>794,700.03</w:t>
            </w:r>
          </w:p>
        </w:tc>
        <w:tc>
          <w:tcPr>
            <w:tcW w:w="3213" w:type="dxa"/>
            <w:tcBorders>
              <w:top w:val="single" w:color="auto" w:sz="2" w:space="0"/>
              <w:left w:val="single" w:color="auto" w:sz="2" w:space="0"/>
              <w:bottom w:val="single" w:color="auto" w:sz="2" w:space="0"/>
              <w:right w:val="single" w:color="auto" w:sz="2" w:space="0"/>
            </w:tcBorders>
            <w:vAlign w:val="center"/>
          </w:tcPr>
          <w:p w14:paraId="61C24199">
            <w:pPr>
              <w:spacing w:before="0" w:after="0" w:line="240" w:lineRule="exact"/>
              <w:jc w:val="right"/>
              <w:rPr>
                <w:rFonts w:ascii="宋体" w:hAnsi="宋体" w:eastAsia="宋体" w:cs="宋体"/>
                <w:sz w:val="18"/>
                <w:szCs w:val="18"/>
              </w:rPr>
            </w:pPr>
            <w:r>
              <w:rPr>
                <w:rFonts w:ascii="宋体" w:hAnsi="宋体" w:eastAsia="宋体" w:cs="宋体"/>
                <w:sz w:val="18"/>
                <w:szCs w:val="18"/>
              </w:rPr>
              <w:t>158,140.34</w:t>
            </w:r>
          </w:p>
        </w:tc>
      </w:tr>
      <w:tr w14:paraId="73507C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35484EF">
            <w:pPr>
              <w:spacing w:before="0" w:after="0" w:line="240" w:lineRule="exact"/>
              <w:jc w:val="left"/>
              <w:rPr>
                <w:rFonts w:ascii="宋体" w:hAnsi="宋体" w:eastAsia="宋体" w:cs="宋体"/>
                <w:sz w:val="18"/>
                <w:szCs w:val="18"/>
              </w:rPr>
            </w:pPr>
            <w:r>
              <w:rPr>
                <w:rFonts w:ascii="宋体" w:hAnsi="宋体" w:eastAsia="宋体" w:cs="宋体"/>
                <w:sz w:val="18"/>
                <w:szCs w:val="18"/>
              </w:rPr>
              <w:t>政府补助</w:t>
            </w:r>
          </w:p>
        </w:tc>
        <w:tc>
          <w:tcPr>
            <w:tcW w:w="3213" w:type="dxa"/>
            <w:tcBorders>
              <w:top w:val="single" w:color="auto" w:sz="2" w:space="0"/>
              <w:left w:val="single" w:color="auto" w:sz="2" w:space="0"/>
              <w:bottom w:val="single" w:color="auto" w:sz="2" w:space="0"/>
              <w:right w:val="single" w:color="auto" w:sz="2" w:space="0"/>
            </w:tcBorders>
            <w:vAlign w:val="center"/>
          </w:tcPr>
          <w:p w14:paraId="58D93252">
            <w:pPr>
              <w:spacing w:before="0" w:after="0" w:line="240" w:lineRule="exact"/>
              <w:jc w:val="right"/>
              <w:rPr>
                <w:rFonts w:ascii="宋体" w:hAnsi="宋体" w:eastAsia="宋体" w:cs="宋体"/>
                <w:sz w:val="18"/>
                <w:szCs w:val="18"/>
              </w:rPr>
            </w:pPr>
            <w:r>
              <w:rPr>
                <w:rFonts w:ascii="宋体" w:hAnsi="宋体" w:eastAsia="宋体" w:cs="宋体"/>
                <w:sz w:val="18"/>
                <w:szCs w:val="18"/>
              </w:rPr>
              <w:t>71,111,728.28</w:t>
            </w:r>
          </w:p>
        </w:tc>
        <w:tc>
          <w:tcPr>
            <w:tcW w:w="3213" w:type="dxa"/>
            <w:tcBorders>
              <w:top w:val="single" w:color="auto" w:sz="2" w:space="0"/>
              <w:left w:val="single" w:color="auto" w:sz="2" w:space="0"/>
              <w:bottom w:val="single" w:color="auto" w:sz="2" w:space="0"/>
              <w:right w:val="single" w:color="auto" w:sz="2" w:space="0"/>
            </w:tcBorders>
            <w:vAlign w:val="center"/>
          </w:tcPr>
          <w:p w14:paraId="36D58BAB">
            <w:pPr>
              <w:spacing w:before="0" w:after="0" w:line="240" w:lineRule="exact"/>
              <w:jc w:val="right"/>
              <w:rPr>
                <w:rFonts w:ascii="宋体" w:hAnsi="宋体" w:eastAsia="宋体" w:cs="宋体"/>
                <w:sz w:val="18"/>
                <w:szCs w:val="18"/>
              </w:rPr>
            </w:pPr>
            <w:r>
              <w:rPr>
                <w:rFonts w:ascii="宋体" w:hAnsi="宋体" w:eastAsia="宋体" w:cs="宋体"/>
                <w:sz w:val="18"/>
                <w:szCs w:val="18"/>
              </w:rPr>
              <w:t>6,919,897.42</w:t>
            </w:r>
          </w:p>
        </w:tc>
      </w:tr>
      <w:tr w14:paraId="45FA83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C52ADC5">
            <w:pPr>
              <w:spacing w:before="0" w:after="0" w:line="240" w:lineRule="exact"/>
              <w:jc w:val="left"/>
              <w:rPr>
                <w:rFonts w:ascii="宋体" w:hAnsi="宋体" w:eastAsia="宋体" w:cs="宋体"/>
                <w:sz w:val="18"/>
                <w:szCs w:val="18"/>
              </w:rPr>
            </w:pPr>
            <w:r>
              <w:rPr>
                <w:rFonts w:ascii="宋体" w:hAnsi="宋体" w:eastAsia="宋体" w:cs="宋体"/>
                <w:sz w:val="18"/>
                <w:szCs w:val="18"/>
              </w:rPr>
              <w:t>存款利息</w:t>
            </w:r>
          </w:p>
        </w:tc>
        <w:tc>
          <w:tcPr>
            <w:tcW w:w="3213" w:type="dxa"/>
            <w:tcBorders>
              <w:top w:val="single" w:color="auto" w:sz="2" w:space="0"/>
              <w:left w:val="single" w:color="auto" w:sz="2" w:space="0"/>
              <w:bottom w:val="single" w:color="auto" w:sz="2" w:space="0"/>
              <w:right w:val="single" w:color="auto" w:sz="2" w:space="0"/>
            </w:tcBorders>
            <w:vAlign w:val="center"/>
          </w:tcPr>
          <w:p w14:paraId="38D69BFA">
            <w:pPr>
              <w:spacing w:before="0" w:after="0" w:line="240" w:lineRule="exact"/>
              <w:jc w:val="right"/>
              <w:rPr>
                <w:rFonts w:ascii="宋体" w:hAnsi="宋体" w:eastAsia="宋体" w:cs="宋体"/>
                <w:sz w:val="18"/>
                <w:szCs w:val="18"/>
              </w:rPr>
            </w:pPr>
            <w:r>
              <w:rPr>
                <w:rFonts w:ascii="宋体" w:hAnsi="宋体" w:eastAsia="宋体" w:cs="宋体"/>
                <w:sz w:val="18"/>
                <w:szCs w:val="18"/>
              </w:rPr>
              <w:t>1,364,615.44</w:t>
            </w:r>
          </w:p>
        </w:tc>
        <w:tc>
          <w:tcPr>
            <w:tcW w:w="3213" w:type="dxa"/>
            <w:tcBorders>
              <w:top w:val="single" w:color="auto" w:sz="2" w:space="0"/>
              <w:left w:val="single" w:color="auto" w:sz="2" w:space="0"/>
              <w:bottom w:val="single" w:color="auto" w:sz="2" w:space="0"/>
              <w:right w:val="single" w:color="auto" w:sz="2" w:space="0"/>
            </w:tcBorders>
            <w:vAlign w:val="center"/>
          </w:tcPr>
          <w:p w14:paraId="13043461">
            <w:pPr>
              <w:spacing w:before="0" w:after="0" w:line="240" w:lineRule="exact"/>
              <w:jc w:val="right"/>
              <w:rPr>
                <w:rFonts w:ascii="宋体" w:hAnsi="宋体" w:eastAsia="宋体" w:cs="宋体"/>
                <w:sz w:val="18"/>
                <w:szCs w:val="18"/>
              </w:rPr>
            </w:pPr>
            <w:r>
              <w:rPr>
                <w:rFonts w:ascii="宋体" w:hAnsi="宋体" w:eastAsia="宋体" w:cs="宋体"/>
                <w:sz w:val="18"/>
                <w:szCs w:val="18"/>
              </w:rPr>
              <w:t>4,436,959.67</w:t>
            </w:r>
          </w:p>
        </w:tc>
      </w:tr>
      <w:tr w14:paraId="065239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347F8F7">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14:paraId="3873C579">
            <w:pPr>
              <w:spacing w:before="0" w:after="0" w:line="240" w:lineRule="exact"/>
              <w:jc w:val="right"/>
              <w:rPr>
                <w:rFonts w:ascii="宋体" w:hAnsi="宋体" w:eastAsia="宋体" w:cs="宋体"/>
                <w:sz w:val="18"/>
                <w:szCs w:val="18"/>
              </w:rPr>
            </w:pPr>
            <w:r>
              <w:rPr>
                <w:rFonts w:ascii="宋体" w:hAnsi="宋体" w:eastAsia="宋体" w:cs="宋体"/>
                <w:sz w:val="18"/>
                <w:szCs w:val="18"/>
              </w:rPr>
              <w:t>441,901.56</w:t>
            </w:r>
          </w:p>
        </w:tc>
        <w:tc>
          <w:tcPr>
            <w:tcW w:w="3213" w:type="dxa"/>
            <w:tcBorders>
              <w:top w:val="single" w:color="auto" w:sz="2" w:space="0"/>
              <w:left w:val="single" w:color="auto" w:sz="2" w:space="0"/>
              <w:bottom w:val="single" w:color="auto" w:sz="2" w:space="0"/>
              <w:right w:val="single" w:color="auto" w:sz="2" w:space="0"/>
            </w:tcBorders>
            <w:vAlign w:val="center"/>
          </w:tcPr>
          <w:p w14:paraId="0EB0D1D4">
            <w:pPr>
              <w:spacing w:before="0" w:after="0" w:line="240" w:lineRule="exact"/>
              <w:jc w:val="right"/>
              <w:rPr>
                <w:rFonts w:ascii="宋体" w:hAnsi="宋体" w:eastAsia="宋体" w:cs="宋体"/>
                <w:sz w:val="18"/>
                <w:szCs w:val="18"/>
              </w:rPr>
            </w:pPr>
            <w:r>
              <w:rPr>
                <w:rFonts w:ascii="宋体" w:hAnsi="宋体" w:eastAsia="宋体" w:cs="宋体"/>
                <w:sz w:val="18"/>
                <w:szCs w:val="18"/>
              </w:rPr>
              <w:t>47,647.29</w:t>
            </w:r>
          </w:p>
        </w:tc>
      </w:tr>
      <w:tr w14:paraId="2874F7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73C302B">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5467D353">
            <w:pPr>
              <w:spacing w:before="0" w:after="0" w:line="240" w:lineRule="exact"/>
              <w:jc w:val="right"/>
              <w:rPr>
                <w:rFonts w:ascii="宋体" w:hAnsi="宋体" w:eastAsia="宋体" w:cs="宋体"/>
                <w:sz w:val="18"/>
                <w:szCs w:val="18"/>
              </w:rPr>
            </w:pPr>
            <w:r>
              <w:rPr>
                <w:rFonts w:ascii="宋体" w:hAnsi="宋体" w:eastAsia="宋体" w:cs="宋体"/>
                <w:sz w:val="18"/>
                <w:szCs w:val="18"/>
              </w:rPr>
              <w:t>84,697,896.99</w:t>
            </w:r>
          </w:p>
        </w:tc>
        <w:tc>
          <w:tcPr>
            <w:tcW w:w="3213" w:type="dxa"/>
            <w:tcBorders>
              <w:top w:val="single" w:color="auto" w:sz="2" w:space="0"/>
              <w:left w:val="single" w:color="auto" w:sz="2" w:space="0"/>
              <w:bottom w:val="single" w:color="auto" w:sz="2" w:space="0"/>
              <w:right w:val="single" w:color="auto" w:sz="2" w:space="0"/>
            </w:tcBorders>
            <w:vAlign w:val="center"/>
          </w:tcPr>
          <w:p w14:paraId="58F3C460">
            <w:pPr>
              <w:spacing w:before="0" w:after="0" w:line="240" w:lineRule="exact"/>
              <w:jc w:val="right"/>
              <w:rPr>
                <w:rFonts w:ascii="宋体" w:hAnsi="宋体" w:eastAsia="宋体" w:cs="宋体"/>
                <w:sz w:val="18"/>
                <w:szCs w:val="18"/>
              </w:rPr>
            </w:pPr>
            <w:r>
              <w:rPr>
                <w:rFonts w:ascii="宋体" w:hAnsi="宋体" w:eastAsia="宋体" w:cs="宋体"/>
                <w:sz w:val="18"/>
                <w:szCs w:val="18"/>
              </w:rPr>
              <w:t>16,720,382.68</w:t>
            </w:r>
          </w:p>
        </w:tc>
      </w:tr>
    </w:tbl>
    <w:p w14:paraId="64A5EF12">
      <w:pPr>
        <w:spacing w:before="100" w:after="100" w:line="240" w:lineRule="exact"/>
        <w:jc w:val="left"/>
        <w:rPr>
          <w:rFonts w:ascii="宋体" w:hAnsi="宋体" w:eastAsia="宋体" w:cs="宋体"/>
          <w:sz w:val="18"/>
          <w:szCs w:val="18"/>
        </w:rPr>
      </w:pPr>
      <w:r>
        <w:rPr>
          <w:rFonts w:ascii="宋体" w:hAnsi="宋体" w:eastAsia="宋体" w:cs="宋体"/>
          <w:sz w:val="18"/>
          <w:szCs w:val="18"/>
        </w:rPr>
        <w:t>收到的其他与经营活动有关的现金说明：</w:t>
      </w:r>
    </w:p>
    <w:p w14:paraId="6C5BFC30">
      <w:pPr>
        <w:spacing w:before="100" w:after="100" w:line="240" w:lineRule="exact"/>
        <w:jc w:val="left"/>
        <w:rPr>
          <w:rFonts w:ascii="宋体" w:hAnsi="宋体" w:eastAsia="宋体" w:cs="宋体"/>
          <w:sz w:val="18"/>
          <w:szCs w:val="18"/>
        </w:rPr>
      </w:pPr>
      <w:r>
        <w:rPr>
          <w:rFonts w:ascii="宋体" w:hAnsi="宋体" w:eastAsia="宋体" w:cs="宋体"/>
          <w:sz w:val="18"/>
          <w:szCs w:val="18"/>
        </w:rPr>
        <w:t>支付的其他与经营活动有关的现金</w:t>
      </w:r>
    </w:p>
    <w:p w14:paraId="021084A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7B612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BC169E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8C9D786">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44762E">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4C6693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93F6672">
            <w:pPr>
              <w:spacing w:before="0" w:after="0" w:line="240" w:lineRule="exact"/>
              <w:jc w:val="left"/>
              <w:rPr>
                <w:rFonts w:ascii="宋体" w:hAnsi="宋体" w:eastAsia="宋体" w:cs="宋体"/>
                <w:sz w:val="18"/>
                <w:szCs w:val="18"/>
              </w:rPr>
            </w:pPr>
            <w:r>
              <w:rPr>
                <w:rFonts w:ascii="宋体" w:hAnsi="宋体" w:eastAsia="宋体" w:cs="宋体"/>
                <w:sz w:val="18"/>
                <w:szCs w:val="18"/>
              </w:rPr>
              <w:t>费用支出</w:t>
            </w:r>
          </w:p>
        </w:tc>
        <w:tc>
          <w:tcPr>
            <w:tcW w:w="3213" w:type="dxa"/>
            <w:tcBorders>
              <w:top w:val="single" w:color="auto" w:sz="2" w:space="0"/>
              <w:left w:val="single" w:color="auto" w:sz="2" w:space="0"/>
              <w:bottom w:val="single" w:color="auto" w:sz="2" w:space="0"/>
              <w:right w:val="single" w:color="auto" w:sz="2" w:space="0"/>
            </w:tcBorders>
            <w:vAlign w:val="center"/>
          </w:tcPr>
          <w:p w14:paraId="0CD2387A">
            <w:pPr>
              <w:spacing w:before="0" w:after="0" w:line="240" w:lineRule="exact"/>
              <w:jc w:val="right"/>
              <w:rPr>
                <w:rFonts w:ascii="宋体" w:hAnsi="宋体" w:eastAsia="宋体" w:cs="宋体"/>
                <w:sz w:val="18"/>
                <w:szCs w:val="18"/>
              </w:rPr>
            </w:pPr>
            <w:r>
              <w:rPr>
                <w:rFonts w:ascii="宋体" w:hAnsi="宋体" w:eastAsia="宋体" w:cs="宋体"/>
                <w:sz w:val="18"/>
                <w:szCs w:val="18"/>
              </w:rPr>
              <w:t>178,168,912.58</w:t>
            </w:r>
          </w:p>
        </w:tc>
        <w:tc>
          <w:tcPr>
            <w:tcW w:w="3213" w:type="dxa"/>
            <w:tcBorders>
              <w:top w:val="single" w:color="auto" w:sz="2" w:space="0"/>
              <w:left w:val="single" w:color="auto" w:sz="2" w:space="0"/>
              <w:bottom w:val="single" w:color="auto" w:sz="2" w:space="0"/>
              <w:right w:val="single" w:color="auto" w:sz="2" w:space="0"/>
            </w:tcBorders>
            <w:vAlign w:val="center"/>
          </w:tcPr>
          <w:p w14:paraId="77A607EC">
            <w:pPr>
              <w:spacing w:before="0" w:after="0" w:line="240" w:lineRule="exact"/>
              <w:jc w:val="right"/>
              <w:rPr>
                <w:rFonts w:ascii="宋体" w:hAnsi="宋体" w:eastAsia="宋体" w:cs="宋体"/>
                <w:sz w:val="18"/>
                <w:szCs w:val="18"/>
              </w:rPr>
            </w:pPr>
            <w:r>
              <w:rPr>
                <w:rFonts w:ascii="宋体" w:hAnsi="宋体" w:eastAsia="宋体" w:cs="宋体"/>
                <w:sz w:val="18"/>
                <w:szCs w:val="18"/>
              </w:rPr>
              <w:t>254,217,551.11</w:t>
            </w:r>
          </w:p>
        </w:tc>
      </w:tr>
      <w:tr w14:paraId="3DCB6D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E4B8062">
            <w:pPr>
              <w:spacing w:before="0" w:after="0" w:line="240" w:lineRule="exact"/>
              <w:jc w:val="left"/>
              <w:rPr>
                <w:rFonts w:ascii="宋体" w:hAnsi="宋体" w:eastAsia="宋体" w:cs="宋体"/>
                <w:sz w:val="18"/>
                <w:szCs w:val="18"/>
              </w:rPr>
            </w:pPr>
            <w:r>
              <w:rPr>
                <w:rFonts w:ascii="宋体" w:hAnsi="宋体" w:eastAsia="宋体" w:cs="宋体"/>
                <w:sz w:val="18"/>
                <w:szCs w:val="18"/>
              </w:rPr>
              <w:t>往来款</w:t>
            </w:r>
          </w:p>
        </w:tc>
        <w:tc>
          <w:tcPr>
            <w:tcW w:w="3213" w:type="dxa"/>
            <w:tcBorders>
              <w:top w:val="single" w:color="auto" w:sz="2" w:space="0"/>
              <w:left w:val="single" w:color="auto" w:sz="2" w:space="0"/>
              <w:bottom w:val="single" w:color="auto" w:sz="2" w:space="0"/>
              <w:right w:val="single" w:color="auto" w:sz="2" w:space="0"/>
            </w:tcBorders>
            <w:vAlign w:val="center"/>
          </w:tcPr>
          <w:p w14:paraId="539C14DF">
            <w:pPr>
              <w:spacing w:before="0" w:after="0" w:line="240" w:lineRule="exact"/>
              <w:jc w:val="right"/>
              <w:rPr>
                <w:rFonts w:ascii="宋体" w:hAnsi="宋体" w:eastAsia="宋体" w:cs="宋体"/>
                <w:sz w:val="18"/>
                <w:szCs w:val="18"/>
              </w:rPr>
            </w:pPr>
            <w:r>
              <w:rPr>
                <w:rFonts w:ascii="宋体" w:hAnsi="宋体" w:eastAsia="宋体" w:cs="宋体"/>
                <w:sz w:val="18"/>
                <w:szCs w:val="18"/>
              </w:rPr>
              <w:t>3,486,882.26</w:t>
            </w:r>
          </w:p>
        </w:tc>
        <w:tc>
          <w:tcPr>
            <w:tcW w:w="3213" w:type="dxa"/>
            <w:tcBorders>
              <w:top w:val="single" w:color="auto" w:sz="2" w:space="0"/>
              <w:left w:val="single" w:color="auto" w:sz="2" w:space="0"/>
              <w:bottom w:val="single" w:color="auto" w:sz="2" w:space="0"/>
              <w:right w:val="single" w:color="auto" w:sz="2" w:space="0"/>
            </w:tcBorders>
            <w:vAlign w:val="center"/>
          </w:tcPr>
          <w:p w14:paraId="56911EB9">
            <w:pPr>
              <w:spacing w:before="0" w:after="0" w:line="240" w:lineRule="exact"/>
              <w:jc w:val="right"/>
              <w:rPr>
                <w:rFonts w:ascii="宋体" w:hAnsi="宋体" w:eastAsia="宋体" w:cs="宋体"/>
                <w:sz w:val="18"/>
                <w:szCs w:val="18"/>
              </w:rPr>
            </w:pPr>
            <w:r>
              <w:rPr>
                <w:rFonts w:ascii="宋体" w:hAnsi="宋体" w:eastAsia="宋体" w:cs="宋体"/>
                <w:sz w:val="18"/>
                <w:szCs w:val="18"/>
              </w:rPr>
              <w:t>16,736,946.39</w:t>
            </w:r>
          </w:p>
        </w:tc>
      </w:tr>
      <w:tr w14:paraId="34F76E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74EB43F">
            <w:pPr>
              <w:spacing w:before="0" w:after="0" w:line="240" w:lineRule="exact"/>
              <w:jc w:val="left"/>
              <w:rPr>
                <w:rFonts w:ascii="宋体" w:hAnsi="宋体" w:eastAsia="宋体" w:cs="宋体"/>
                <w:sz w:val="18"/>
                <w:szCs w:val="18"/>
              </w:rPr>
            </w:pPr>
            <w:r>
              <w:rPr>
                <w:rFonts w:ascii="宋体" w:hAnsi="宋体" w:eastAsia="宋体" w:cs="宋体"/>
                <w:sz w:val="18"/>
                <w:szCs w:val="18"/>
              </w:rPr>
              <w:t>保证金</w:t>
            </w:r>
          </w:p>
        </w:tc>
        <w:tc>
          <w:tcPr>
            <w:tcW w:w="3213" w:type="dxa"/>
            <w:tcBorders>
              <w:top w:val="single" w:color="auto" w:sz="2" w:space="0"/>
              <w:left w:val="single" w:color="auto" w:sz="2" w:space="0"/>
              <w:bottom w:val="single" w:color="auto" w:sz="2" w:space="0"/>
              <w:right w:val="single" w:color="auto" w:sz="2" w:space="0"/>
            </w:tcBorders>
            <w:vAlign w:val="center"/>
          </w:tcPr>
          <w:p w14:paraId="31C6203E">
            <w:pPr>
              <w:spacing w:before="0" w:after="0" w:line="240" w:lineRule="exact"/>
              <w:jc w:val="right"/>
              <w:rPr>
                <w:rFonts w:ascii="宋体" w:hAnsi="宋体" w:eastAsia="宋体" w:cs="宋体"/>
                <w:sz w:val="18"/>
                <w:szCs w:val="18"/>
              </w:rPr>
            </w:pPr>
            <w:r>
              <w:rPr>
                <w:rFonts w:ascii="宋体" w:hAnsi="宋体" w:eastAsia="宋体" w:cs="宋体"/>
                <w:sz w:val="18"/>
                <w:szCs w:val="18"/>
              </w:rPr>
              <w:t>10,876,267.63</w:t>
            </w:r>
          </w:p>
        </w:tc>
        <w:tc>
          <w:tcPr>
            <w:tcW w:w="3213" w:type="dxa"/>
            <w:tcBorders>
              <w:top w:val="single" w:color="auto" w:sz="2" w:space="0"/>
              <w:left w:val="single" w:color="auto" w:sz="2" w:space="0"/>
              <w:bottom w:val="single" w:color="auto" w:sz="2" w:space="0"/>
              <w:right w:val="single" w:color="auto" w:sz="2" w:space="0"/>
            </w:tcBorders>
            <w:vAlign w:val="center"/>
          </w:tcPr>
          <w:p w14:paraId="5648CEA6">
            <w:pPr>
              <w:spacing w:before="0" w:after="0" w:line="240" w:lineRule="exact"/>
              <w:jc w:val="right"/>
              <w:rPr>
                <w:rFonts w:ascii="宋体" w:hAnsi="宋体" w:eastAsia="宋体" w:cs="宋体"/>
                <w:sz w:val="18"/>
                <w:szCs w:val="18"/>
              </w:rPr>
            </w:pPr>
            <w:r>
              <w:rPr>
                <w:rFonts w:ascii="宋体" w:hAnsi="宋体" w:eastAsia="宋体" w:cs="宋体"/>
                <w:sz w:val="18"/>
                <w:szCs w:val="18"/>
              </w:rPr>
              <w:t>3,690,100.24</w:t>
            </w:r>
          </w:p>
        </w:tc>
      </w:tr>
      <w:tr w14:paraId="27B5D7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C57E347">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14:paraId="33A42634">
            <w:pPr>
              <w:spacing w:before="0" w:after="0" w:line="240" w:lineRule="exact"/>
              <w:jc w:val="right"/>
              <w:rPr>
                <w:rFonts w:ascii="宋体" w:hAnsi="宋体" w:eastAsia="宋体" w:cs="宋体"/>
                <w:sz w:val="18"/>
                <w:szCs w:val="18"/>
              </w:rPr>
            </w:pPr>
            <w:r>
              <w:rPr>
                <w:rFonts w:ascii="宋体" w:hAnsi="宋体" w:eastAsia="宋体" w:cs="宋体"/>
                <w:sz w:val="18"/>
                <w:szCs w:val="18"/>
              </w:rPr>
              <w:t>1,962,503.85</w:t>
            </w:r>
          </w:p>
        </w:tc>
        <w:tc>
          <w:tcPr>
            <w:tcW w:w="3213" w:type="dxa"/>
            <w:tcBorders>
              <w:top w:val="single" w:color="auto" w:sz="2" w:space="0"/>
              <w:left w:val="single" w:color="auto" w:sz="2" w:space="0"/>
              <w:bottom w:val="single" w:color="auto" w:sz="2" w:space="0"/>
              <w:right w:val="single" w:color="auto" w:sz="2" w:space="0"/>
            </w:tcBorders>
            <w:vAlign w:val="center"/>
          </w:tcPr>
          <w:p w14:paraId="12E732CB">
            <w:pPr>
              <w:spacing w:before="0" w:after="0" w:line="240" w:lineRule="exact"/>
              <w:jc w:val="right"/>
              <w:rPr>
                <w:rFonts w:ascii="宋体" w:hAnsi="宋体" w:eastAsia="宋体" w:cs="宋体"/>
                <w:sz w:val="18"/>
                <w:szCs w:val="18"/>
              </w:rPr>
            </w:pPr>
            <w:r>
              <w:rPr>
                <w:rFonts w:ascii="宋体" w:hAnsi="宋体" w:eastAsia="宋体" w:cs="宋体"/>
                <w:sz w:val="18"/>
                <w:szCs w:val="18"/>
              </w:rPr>
              <w:t>3,030,695.43</w:t>
            </w:r>
          </w:p>
        </w:tc>
      </w:tr>
      <w:tr w14:paraId="625053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15B20CF">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57E55C31">
            <w:pPr>
              <w:spacing w:before="0" w:after="0" w:line="240" w:lineRule="exact"/>
              <w:jc w:val="right"/>
              <w:rPr>
                <w:rFonts w:ascii="宋体" w:hAnsi="宋体" w:eastAsia="宋体" w:cs="宋体"/>
                <w:sz w:val="18"/>
                <w:szCs w:val="18"/>
              </w:rPr>
            </w:pPr>
            <w:r>
              <w:rPr>
                <w:rFonts w:ascii="宋体" w:hAnsi="宋体" w:eastAsia="宋体" w:cs="宋体"/>
                <w:sz w:val="18"/>
                <w:szCs w:val="18"/>
              </w:rPr>
              <w:t>194,494,566.32</w:t>
            </w:r>
          </w:p>
        </w:tc>
        <w:tc>
          <w:tcPr>
            <w:tcW w:w="3213" w:type="dxa"/>
            <w:tcBorders>
              <w:top w:val="single" w:color="auto" w:sz="2" w:space="0"/>
              <w:left w:val="single" w:color="auto" w:sz="2" w:space="0"/>
              <w:bottom w:val="single" w:color="auto" w:sz="2" w:space="0"/>
              <w:right w:val="single" w:color="auto" w:sz="2" w:space="0"/>
            </w:tcBorders>
            <w:vAlign w:val="center"/>
          </w:tcPr>
          <w:p w14:paraId="0CA9033C">
            <w:pPr>
              <w:spacing w:before="0" w:after="0" w:line="240" w:lineRule="exact"/>
              <w:jc w:val="right"/>
              <w:rPr>
                <w:rFonts w:ascii="宋体" w:hAnsi="宋体" w:eastAsia="宋体" w:cs="宋体"/>
                <w:sz w:val="18"/>
                <w:szCs w:val="18"/>
              </w:rPr>
            </w:pPr>
            <w:r>
              <w:rPr>
                <w:rFonts w:ascii="宋体" w:hAnsi="宋体" w:eastAsia="宋体" w:cs="宋体"/>
                <w:sz w:val="18"/>
                <w:szCs w:val="18"/>
              </w:rPr>
              <w:t>277,675,293.17</w:t>
            </w:r>
          </w:p>
        </w:tc>
      </w:tr>
    </w:tbl>
    <w:p w14:paraId="17BCF61D">
      <w:pPr>
        <w:spacing w:before="100" w:after="100" w:line="240" w:lineRule="exact"/>
        <w:jc w:val="left"/>
        <w:rPr>
          <w:rFonts w:ascii="宋体" w:hAnsi="宋体" w:eastAsia="宋体" w:cs="宋体"/>
          <w:sz w:val="18"/>
          <w:szCs w:val="18"/>
        </w:rPr>
      </w:pPr>
      <w:r>
        <w:rPr>
          <w:rFonts w:ascii="宋体" w:hAnsi="宋体" w:eastAsia="宋体" w:cs="宋体"/>
          <w:sz w:val="18"/>
          <w:szCs w:val="18"/>
        </w:rPr>
        <w:t>支付的其他与经营活动有关的现金说明：</w:t>
      </w:r>
    </w:p>
    <w:p w14:paraId="71CD5138">
      <w:pPr>
        <w:keepNext/>
        <w:keepLines/>
        <w:spacing w:before="300" w:after="300" w:line="280" w:lineRule="exact"/>
        <w:jc w:val="left"/>
        <w:outlineLvl w:val="3"/>
        <w:rPr>
          <w:rFonts w:ascii="宋体" w:hAnsi="宋体" w:eastAsia="宋体" w:cs="宋体"/>
          <w:b/>
          <w:bCs/>
          <w:sz w:val="21"/>
          <w:szCs w:val="21"/>
        </w:rPr>
      </w:pPr>
      <w:bookmarkStart w:id="437" w:name="_Toc989320"/>
      <w:r>
        <w:rPr>
          <w:rFonts w:ascii="宋体" w:hAnsi="宋体" w:eastAsia="宋体" w:cs="宋体"/>
          <w:b/>
          <w:bCs/>
          <w:sz w:val="21"/>
          <w:szCs w:val="21"/>
        </w:rPr>
        <w:t>（2） 与投资活动有关的现金</w:t>
      </w:r>
      <w:bookmarkEnd w:id="437"/>
    </w:p>
    <w:p w14:paraId="0C5E8301">
      <w:pPr>
        <w:spacing w:before="100" w:after="100" w:line="240" w:lineRule="exact"/>
        <w:jc w:val="left"/>
        <w:rPr>
          <w:rFonts w:ascii="宋体" w:hAnsi="宋体" w:eastAsia="宋体" w:cs="宋体"/>
          <w:sz w:val="18"/>
          <w:szCs w:val="18"/>
        </w:rPr>
      </w:pPr>
      <w:r>
        <w:rPr>
          <w:rFonts w:ascii="宋体" w:hAnsi="宋体" w:eastAsia="宋体" w:cs="宋体"/>
          <w:sz w:val="18"/>
          <w:szCs w:val="18"/>
        </w:rPr>
        <w:t>收到的其他与投资活动有关的现金</w:t>
      </w:r>
    </w:p>
    <w:p w14:paraId="699D309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D348A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833C8E5">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69C90AF">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B813D44">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46636B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A332AF5">
            <w:pPr>
              <w:spacing w:before="0" w:after="0" w:line="240" w:lineRule="exact"/>
              <w:jc w:val="left"/>
              <w:rPr>
                <w:rFonts w:ascii="宋体" w:hAnsi="宋体" w:eastAsia="宋体" w:cs="宋体"/>
                <w:sz w:val="18"/>
                <w:szCs w:val="18"/>
              </w:rPr>
            </w:pPr>
            <w:r>
              <w:rPr>
                <w:rFonts w:ascii="宋体" w:hAnsi="宋体" w:eastAsia="宋体" w:cs="宋体"/>
                <w:sz w:val="18"/>
                <w:szCs w:val="18"/>
              </w:rPr>
              <w:t>工程保函保证金</w:t>
            </w:r>
          </w:p>
        </w:tc>
        <w:tc>
          <w:tcPr>
            <w:tcW w:w="3213" w:type="dxa"/>
            <w:tcBorders>
              <w:top w:val="single" w:color="auto" w:sz="2" w:space="0"/>
              <w:left w:val="single" w:color="auto" w:sz="2" w:space="0"/>
              <w:bottom w:val="single" w:color="auto" w:sz="2" w:space="0"/>
              <w:right w:val="single" w:color="auto" w:sz="2" w:space="0"/>
            </w:tcBorders>
            <w:vAlign w:val="center"/>
          </w:tcPr>
          <w:p w14:paraId="516BED2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2CE3DF6">
            <w:pPr>
              <w:spacing w:before="0" w:after="0" w:line="240" w:lineRule="exact"/>
              <w:jc w:val="right"/>
              <w:rPr>
                <w:rFonts w:ascii="宋体" w:hAnsi="宋体" w:eastAsia="宋体" w:cs="宋体"/>
                <w:sz w:val="18"/>
                <w:szCs w:val="18"/>
              </w:rPr>
            </w:pPr>
            <w:r>
              <w:rPr>
                <w:rFonts w:ascii="宋体" w:hAnsi="宋体" w:eastAsia="宋体" w:cs="宋体"/>
                <w:sz w:val="18"/>
                <w:szCs w:val="18"/>
              </w:rPr>
              <w:t>3,000,000.00</w:t>
            </w:r>
          </w:p>
        </w:tc>
      </w:tr>
      <w:tr w14:paraId="66CA95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1037AA4">
            <w:pPr>
              <w:spacing w:before="0" w:after="0" w:line="240" w:lineRule="exact"/>
              <w:jc w:val="left"/>
              <w:rPr>
                <w:rFonts w:ascii="宋体" w:hAnsi="宋体" w:eastAsia="宋体" w:cs="宋体"/>
                <w:sz w:val="18"/>
                <w:szCs w:val="18"/>
              </w:rPr>
            </w:pPr>
            <w:r>
              <w:rPr>
                <w:rFonts w:ascii="宋体" w:hAnsi="宋体" w:eastAsia="宋体" w:cs="宋体"/>
                <w:sz w:val="18"/>
                <w:szCs w:val="18"/>
              </w:rPr>
              <w:t>赎回结构性存款</w:t>
            </w:r>
          </w:p>
        </w:tc>
        <w:tc>
          <w:tcPr>
            <w:tcW w:w="3213" w:type="dxa"/>
            <w:tcBorders>
              <w:top w:val="single" w:color="auto" w:sz="2" w:space="0"/>
              <w:left w:val="single" w:color="auto" w:sz="2" w:space="0"/>
              <w:bottom w:val="single" w:color="auto" w:sz="2" w:space="0"/>
              <w:right w:val="single" w:color="auto" w:sz="2" w:space="0"/>
            </w:tcBorders>
            <w:vAlign w:val="center"/>
          </w:tcPr>
          <w:p w14:paraId="57A29602">
            <w:pPr>
              <w:spacing w:before="0" w:after="0" w:line="240" w:lineRule="exact"/>
              <w:jc w:val="right"/>
              <w:rPr>
                <w:rFonts w:ascii="宋体" w:hAnsi="宋体" w:eastAsia="宋体" w:cs="宋体"/>
                <w:sz w:val="18"/>
                <w:szCs w:val="18"/>
              </w:rPr>
            </w:pPr>
            <w:r>
              <w:rPr>
                <w:rFonts w:ascii="宋体" w:hAnsi="宋体" w:eastAsia="宋体" w:cs="宋体"/>
                <w:sz w:val="18"/>
                <w:szCs w:val="18"/>
              </w:rPr>
              <w:t>10,000,000.00</w:t>
            </w:r>
          </w:p>
        </w:tc>
        <w:tc>
          <w:tcPr>
            <w:tcW w:w="3213" w:type="dxa"/>
            <w:tcBorders>
              <w:top w:val="single" w:color="auto" w:sz="2" w:space="0"/>
              <w:left w:val="single" w:color="auto" w:sz="2" w:space="0"/>
              <w:bottom w:val="single" w:color="auto" w:sz="2" w:space="0"/>
              <w:right w:val="single" w:color="auto" w:sz="2" w:space="0"/>
            </w:tcBorders>
            <w:vAlign w:val="center"/>
          </w:tcPr>
          <w:p w14:paraId="4513FF1C">
            <w:pPr>
              <w:spacing w:before="0" w:after="0" w:line="240" w:lineRule="exact"/>
              <w:jc w:val="right"/>
              <w:rPr>
                <w:rFonts w:ascii="宋体" w:hAnsi="宋体" w:eastAsia="宋体" w:cs="宋体"/>
                <w:sz w:val="18"/>
                <w:szCs w:val="18"/>
              </w:rPr>
            </w:pPr>
            <w:r>
              <w:rPr>
                <w:rFonts w:ascii="宋体" w:hAnsi="宋体" w:eastAsia="宋体" w:cs="宋体"/>
                <w:sz w:val="18"/>
                <w:szCs w:val="18"/>
              </w:rPr>
              <w:t>40,000,000.00</w:t>
            </w:r>
          </w:p>
        </w:tc>
      </w:tr>
      <w:tr w14:paraId="69BCD6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0D3B640">
            <w:pPr>
              <w:spacing w:before="0" w:after="0" w:line="240" w:lineRule="exact"/>
              <w:jc w:val="left"/>
              <w:rPr>
                <w:rFonts w:ascii="宋体" w:hAnsi="宋体" w:eastAsia="宋体" w:cs="宋体"/>
                <w:sz w:val="18"/>
                <w:szCs w:val="18"/>
              </w:rPr>
            </w:pPr>
            <w:r>
              <w:rPr>
                <w:rFonts w:ascii="宋体" w:hAnsi="宋体" w:eastAsia="宋体" w:cs="宋体"/>
                <w:sz w:val="18"/>
                <w:szCs w:val="18"/>
              </w:rPr>
              <w:t>保证金</w:t>
            </w:r>
          </w:p>
        </w:tc>
        <w:tc>
          <w:tcPr>
            <w:tcW w:w="3213" w:type="dxa"/>
            <w:tcBorders>
              <w:top w:val="single" w:color="auto" w:sz="2" w:space="0"/>
              <w:left w:val="single" w:color="auto" w:sz="2" w:space="0"/>
              <w:bottom w:val="single" w:color="auto" w:sz="2" w:space="0"/>
              <w:right w:val="single" w:color="auto" w:sz="2" w:space="0"/>
            </w:tcBorders>
            <w:vAlign w:val="center"/>
          </w:tcPr>
          <w:p w14:paraId="2CF89278">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c>
          <w:tcPr>
            <w:tcW w:w="3213" w:type="dxa"/>
            <w:tcBorders>
              <w:top w:val="single" w:color="auto" w:sz="2" w:space="0"/>
              <w:left w:val="single" w:color="auto" w:sz="2" w:space="0"/>
              <w:bottom w:val="single" w:color="auto" w:sz="2" w:space="0"/>
              <w:right w:val="single" w:color="auto" w:sz="2" w:space="0"/>
            </w:tcBorders>
            <w:vAlign w:val="center"/>
          </w:tcPr>
          <w:p w14:paraId="00DFD2F3">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r>
      <w:tr w14:paraId="163FBF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428232F">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02ED3D6D">
            <w:pPr>
              <w:spacing w:before="0" w:after="0" w:line="240" w:lineRule="exact"/>
              <w:jc w:val="right"/>
              <w:rPr>
                <w:rFonts w:ascii="宋体" w:hAnsi="宋体" w:eastAsia="宋体" w:cs="宋体"/>
                <w:sz w:val="18"/>
                <w:szCs w:val="18"/>
              </w:rPr>
            </w:pPr>
            <w:r>
              <w:rPr>
                <w:rFonts w:ascii="宋体" w:hAnsi="宋体" w:eastAsia="宋体" w:cs="宋体"/>
                <w:sz w:val="18"/>
                <w:szCs w:val="18"/>
              </w:rPr>
              <w:t>10,250,000.00</w:t>
            </w:r>
          </w:p>
        </w:tc>
        <w:tc>
          <w:tcPr>
            <w:tcW w:w="3213" w:type="dxa"/>
            <w:tcBorders>
              <w:top w:val="single" w:color="auto" w:sz="2" w:space="0"/>
              <w:left w:val="single" w:color="auto" w:sz="2" w:space="0"/>
              <w:bottom w:val="single" w:color="auto" w:sz="2" w:space="0"/>
              <w:right w:val="single" w:color="auto" w:sz="2" w:space="0"/>
            </w:tcBorders>
            <w:vAlign w:val="center"/>
          </w:tcPr>
          <w:p w14:paraId="4387B26E">
            <w:pPr>
              <w:spacing w:before="0" w:after="0" w:line="240" w:lineRule="exact"/>
              <w:jc w:val="right"/>
              <w:rPr>
                <w:rFonts w:ascii="宋体" w:hAnsi="宋体" w:eastAsia="宋体" w:cs="宋体"/>
                <w:sz w:val="18"/>
                <w:szCs w:val="18"/>
              </w:rPr>
            </w:pPr>
            <w:r>
              <w:rPr>
                <w:rFonts w:ascii="宋体" w:hAnsi="宋体" w:eastAsia="宋体" w:cs="宋体"/>
                <w:sz w:val="18"/>
                <w:szCs w:val="18"/>
              </w:rPr>
              <w:t>43,250,000.00</w:t>
            </w:r>
          </w:p>
        </w:tc>
      </w:tr>
    </w:tbl>
    <w:p w14:paraId="1D7ED8EA">
      <w:pPr>
        <w:spacing w:before="100" w:after="100" w:line="240" w:lineRule="exact"/>
        <w:jc w:val="left"/>
        <w:rPr>
          <w:rFonts w:ascii="宋体" w:hAnsi="宋体" w:eastAsia="宋体" w:cs="宋体"/>
          <w:sz w:val="18"/>
          <w:szCs w:val="18"/>
        </w:rPr>
      </w:pPr>
      <w:r>
        <w:rPr>
          <w:rFonts w:ascii="宋体" w:hAnsi="宋体" w:eastAsia="宋体" w:cs="宋体"/>
          <w:sz w:val="18"/>
          <w:szCs w:val="18"/>
        </w:rPr>
        <w:t>收到的重要的与投资活动有关的现金</w:t>
      </w:r>
    </w:p>
    <w:p w14:paraId="607C164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117007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284DFC4">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21AB421">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D7B45C3">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bl>
    <w:p w14:paraId="0CB37EAC">
      <w:pPr>
        <w:spacing w:before="100" w:after="100" w:line="240" w:lineRule="exact"/>
        <w:jc w:val="left"/>
        <w:rPr>
          <w:rFonts w:ascii="宋体" w:hAnsi="宋体" w:eastAsia="宋体" w:cs="宋体"/>
          <w:sz w:val="18"/>
          <w:szCs w:val="18"/>
        </w:rPr>
      </w:pPr>
      <w:r>
        <w:rPr>
          <w:rFonts w:ascii="宋体" w:hAnsi="宋体" w:eastAsia="宋体" w:cs="宋体"/>
          <w:sz w:val="18"/>
          <w:szCs w:val="18"/>
        </w:rPr>
        <w:t>收到的其他与投资活动有关的现金说明：</w:t>
      </w:r>
    </w:p>
    <w:p w14:paraId="3ADF02DB">
      <w:pPr>
        <w:spacing w:before="100" w:after="100" w:line="240" w:lineRule="exact"/>
        <w:jc w:val="left"/>
        <w:rPr>
          <w:rFonts w:ascii="宋体" w:hAnsi="宋体" w:eastAsia="宋体" w:cs="宋体"/>
          <w:sz w:val="18"/>
          <w:szCs w:val="18"/>
        </w:rPr>
      </w:pPr>
      <w:r>
        <w:rPr>
          <w:rFonts w:ascii="宋体" w:hAnsi="宋体" w:eastAsia="宋体" w:cs="宋体"/>
          <w:sz w:val="18"/>
          <w:szCs w:val="18"/>
        </w:rPr>
        <w:t>支付的其他与投资活动有关的现金</w:t>
      </w:r>
    </w:p>
    <w:p w14:paraId="57CEB1A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11B5A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AA8931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0B784D9">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2DBB1D6">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49E8BC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A6048DE">
            <w:pPr>
              <w:spacing w:before="0" w:after="0" w:line="240" w:lineRule="exact"/>
              <w:jc w:val="left"/>
              <w:rPr>
                <w:rFonts w:ascii="宋体" w:hAnsi="宋体" w:eastAsia="宋体" w:cs="宋体"/>
                <w:sz w:val="18"/>
                <w:szCs w:val="18"/>
              </w:rPr>
            </w:pPr>
            <w:r>
              <w:rPr>
                <w:rFonts w:ascii="宋体" w:hAnsi="宋体" w:eastAsia="宋体" w:cs="宋体"/>
                <w:sz w:val="18"/>
                <w:szCs w:val="18"/>
              </w:rPr>
              <w:t>其他保证金</w:t>
            </w:r>
          </w:p>
        </w:tc>
        <w:tc>
          <w:tcPr>
            <w:tcW w:w="3213" w:type="dxa"/>
            <w:tcBorders>
              <w:top w:val="single" w:color="auto" w:sz="2" w:space="0"/>
              <w:left w:val="single" w:color="auto" w:sz="2" w:space="0"/>
              <w:bottom w:val="single" w:color="auto" w:sz="2" w:space="0"/>
              <w:right w:val="single" w:color="auto" w:sz="2" w:space="0"/>
            </w:tcBorders>
            <w:vAlign w:val="center"/>
          </w:tcPr>
          <w:p w14:paraId="1165EBCD">
            <w:pPr>
              <w:spacing w:before="0" w:after="0" w:line="240" w:lineRule="exact"/>
              <w:jc w:val="right"/>
              <w:rPr>
                <w:rFonts w:ascii="宋体" w:hAnsi="宋体" w:eastAsia="宋体" w:cs="宋体"/>
                <w:sz w:val="18"/>
                <w:szCs w:val="18"/>
              </w:rPr>
            </w:pPr>
            <w:r>
              <w:rPr>
                <w:rFonts w:ascii="宋体" w:hAnsi="宋体" w:eastAsia="宋体" w:cs="宋体"/>
                <w:sz w:val="18"/>
                <w:szCs w:val="18"/>
              </w:rPr>
              <w:t>200,000.00</w:t>
            </w:r>
          </w:p>
        </w:tc>
        <w:tc>
          <w:tcPr>
            <w:tcW w:w="3213" w:type="dxa"/>
            <w:tcBorders>
              <w:top w:val="single" w:color="auto" w:sz="2" w:space="0"/>
              <w:left w:val="single" w:color="auto" w:sz="2" w:space="0"/>
              <w:bottom w:val="single" w:color="auto" w:sz="2" w:space="0"/>
              <w:right w:val="single" w:color="auto" w:sz="2" w:space="0"/>
            </w:tcBorders>
            <w:vAlign w:val="center"/>
          </w:tcPr>
          <w:p w14:paraId="5B99C6C2">
            <w:pPr>
              <w:spacing w:before="0" w:after="0" w:line="240" w:lineRule="exact"/>
              <w:jc w:val="right"/>
              <w:rPr>
                <w:rFonts w:ascii="宋体" w:hAnsi="宋体" w:eastAsia="宋体" w:cs="宋体"/>
                <w:sz w:val="18"/>
                <w:szCs w:val="18"/>
              </w:rPr>
            </w:pPr>
          </w:p>
        </w:tc>
      </w:tr>
      <w:tr w14:paraId="5D92BA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F843963">
            <w:pPr>
              <w:spacing w:before="0" w:after="0" w:line="240" w:lineRule="exact"/>
              <w:jc w:val="left"/>
              <w:rPr>
                <w:rFonts w:ascii="宋体" w:hAnsi="宋体" w:eastAsia="宋体" w:cs="宋体"/>
                <w:sz w:val="18"/>
                <w:szCs w:val="18"/>
              </w:rPr>
            </w:pPr>
            <w:r>
              <w:rPr>
                <w:rFonts w:ascii="宋体" w:hAnsi="宋体" w:eastAsia="宋体" w:cs="宋体"/>
                <w:sz w:val="18"/>
                <w:szCs w:val="18"/>
              </w:rPr>
              <w:t>购买结构性存款</w:t>
            </w:r>
          </w:p>
        </w:tc>
        <w:tc>
          <w:tcPr>
            <w:tcW w:w="3213" w:type="dxa"/>
            <w:tcBorders>
              <w:top w:val="single" w:color="auto" w:sz="2" w:space="0"/>
              <w:left w:val="single" w:color="auto" w:sz="2" w:space="0"/>
              <w:bottom w:val="single" w:color="auto" w:sz="2" w:space="0"/>
              <w:right w:val="single" w:color="auto" w:sz="2" w:space="0"/>
            </w:tcBorders>
            <w:vAlign w:val="center"/>
          </w:tcPr>
          <w:p w14:paraId="612A05D7">
            <w:pPr>
              <w:spacing w:before="0" w:after="0" w:line="240" w:lineRule="exact"/>
              <w:jc w:val="right"/>
              <w:rPr>
                <w:rFonts w:ascii="宋体" w:hAnsi="宋体" w:eastAsia="宋体" w:cs="宋体"/>
                <w:sz w:val="18"/>
                <w:szCs w:val="18"/>
              </w:rPr>
            </w:pPr>
            <w:r>
              <w:rPr>
                <w:rFonts w:ascii="宋体" w:hAnsi="宋体" w:eastAsia="宋体" w:cs="宋体"/>
                <w:sz w:val="18"/>
                <w:szCs w:val="18"/>
              </w:rPr>
              <w:t>10,000,000.00</w:t>
            </w:r>
          </w:p>
        </w:tc>
        <w:tc>
          <w:tcPr>
            <w:tcW w:w="3213" w:type="dxa"/>
            <w:tcBorders>
              <w:top w:val="single" w:color="auto" w:sz="2" w:space="0"/>
              <w:left w:val="single" w:color="auto" w:sz="2" w:space="0"/>
              <w:bottom w:val="single" w:color="auto" w:sz="2" w:space="0"/>
              <w:right w:val="single" w:color="auto" w:sz="2" w:space="0"/>
            </w:tcBorders>
            <w:vAlign w:val="center"/>
          </w:tcPr>
          <w:p w14:paraId="14A4BEB2">
            <w:pPr>
              <w:spacing w:before="0" w:after="0" w:line="240" w:lineRule="exact"/>
              <w:jc w:val="right"/>
              <w:rPr>
                <w:rFonts w:ascii="宋体" w:hAnsi="宋体" w:eastAsia="宋体" w:cs="宋体"/>
                <w:sz w:val="18"/>
                <w:szCs w:val="18"/>
              </w:rPr>
            </w:pPr>
            <w:r>
              <w:rPr>
                <w:rFonts w:ascii="宋体" w:hAnsi="宋体" w:eastAsia="宋体" w:cs="宋体"/>
                <w:sz w:val="18"/>
                <w:szCs w:val="18"/>
              </w:rPr>
              <w:t>40,000,000.00</w:t>
            </w:r>
          </w:p>
        </w:tc>
      </w:tr>
      <w:tr w14:paraId="4A1E0E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9C4A34C">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34F7C902">
            <w:pPr>
              <w:spacing w:before="0" w:after="0" w:line="240" w:lineRule="exact"/>
              <w:jc w:val="right"/>
              <w:rPr>
                <w:rFonts w:ascii="宋体" w:hAnsi="宋体" w:eastAsia="宋体" w:cs="宋体"/>
                <w:sz w:val="18"/>
                <w:szCs w:val="18"/>
              </w:rPr>
            </w:pPr>
            <w:r>
              <w:rPr>
                <w:rFonts w:ascii="宋体" w:hAnsi="宋体" w:eastAsia="宋体" w:cs="宋体"/>
                <w:sz w:val="18"/>
                <w:szCs w:val="18"/>
              </w:rPr>
              <w:t>10,200,000.00</w:t>
            </w:r>
          </w:p>
        </w:tc>
        <w:tc>
          <w:tcPr>
            <w:tcW w:w="3213" w:type="dxa"/>
            <w:tcBorders>
              <w:top w:val="single" w:color="auto" w:sz="2" w:space="0"/>
              <w:left w:val="single" w:color="auto" w:sz="2" w:space="0"/>
              <w:bottom w:val="single" w:color="auto" w:sz="2" w:space="0"/>
              <w:right w:val="single" w:color="auto" w:sz="2" w:space="0"/>
            </w:tcBorders>
            <w:vAlign w:val="center"/>
          </w:tcPr>
          <w:p w14:paraId="29B3FFFE">
            <w:pPr>
              <w:spacing w:before="0" w:after="0" w:line="240" w:lineRule="exact"/>
              <w:jc w:val="right"/>
              <w:rPr>
                <w:rFonts w:ascii="宋体" w:hAnsi="宋体" w:eastAsia="宋体" w:cs="宋体"/>
                <w:sz w:val="18"/>
                <w:szCs w:val="18"/>
              </w:rPr>
            </w:pPr>
            <w:r>
              <w:rPr>
                <w:rFonts w:ascii="宋体" w:hAnsi="宋体" w:eastAsia="宋体" w:cs="宋体"/>
                <w:sz w:val="18"/>
                <w:szCs w:val="18"/>
              </w:rPr>
              <w:t>40,000,000.00</w:t>
            </w:r>
          </w:p>
        </w:tc>
      </w:tr>
    </w:tbl>
    <w:p w14:paraId="2A074B16">
      <w:pPr>
        <w:spacing w:before="100" w:after="100" w:line="240" w:lineRule="exact"/>
        <w:jc w:val="left"/>
        <w:rPr>
          <w:rFonts w:ascii="宋体" w:hAnsi="宋体" w:eastAsia="宋体" w:cs="宋体"/>
          <w:sz w:val="18"/>
          <w:szCs w:val="18"/>
        </w:rPr>
      </w:pPr>
      <w:r>
        <w:rPr>
          <w:rFonts w:ascii="宋体" w:hAnsi="宋体" w:eastAsia="宋体" w:cs="宋体"/>
          <w:sz w:val="18"/>
          <w:szCs w:val="18"/>
        </w:rPr>
        <w:t>支付的重要的与投资活动有关的现金</w:t>
      </w:r>
    </w:p>
    <w:p w14:paraId="46F784A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36102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5EEC6D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321865E">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7D4C2D3">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bl>
    <w:p w14:paraId="189D427D">
      <w:pPr>
        <w:spacing w:before="100" w:after="100" w:line="240" w:lineRule="exact"/>
        <w:jc w:val="left"/>
        <w:rPr>
          <w:rFonts w:ascii="宋体" w:hAnsi="宋体" w:eastAsia="宋体" w:cs="宋体"/>
          <w:sz w:val="18"/>
          <w:szCs w:val="18"/>
        </w:rPr>
      </w:pPr>
      <w:r>
        <w:rPr>
          <w:rFonts w:ascii="宋体" w:hAnsi="宋体" w:eastAsia="宋体" w:cs="宋体"/>
          <w:sz w:val="18"/>
          <w:szCs w:val="18"/>
        </w:rPr>
        <w:t>支付的其他与投资活动有关的现金说明：</w:t>
      </w:r>
    </w:p>
    <w:p w14:paraId="19F69CED">
      <w:pPr>
        <w:keepNext/>
        <w:keepLines/>
        <w:spacing w:before="300" w:after="300" w:line="280" w:lineRule="exact"/>
        <w:jc w:val="left"/>
        <w:outlineLvl w:val="3"/>
        <w:rPr>
          <w:rFonts w:ascii="宋体" w:hAnsi="宋体" w:eastAsia="宋体" w:cs="宋体"/>
          <w:b/>
          <w:bCs/>
          <w:sz w:val="21"/>
          <w:szCs w:val="21"/>
        </w:rPr>
      </w:pPr>
      <w:bookmarkStart w:id="438" w:name="_Toc989321"/>
      <w:r>
        <w:rPr>
          <w:rFonts w:ascii="宋体" w:hAnsi="宋体" w:eastAsia="宋体" w:cs="宋体"/>
          <w:b/>
          <w:bCs/>
          <w:sz w:val="21"/>
          <w:szCs w:val="21"/>
        </w:rPr>
        <w:t>（3） 与筹资活动有关的现金</w:t>
      </w:r>
      <w:bookmarkEnd w:id="438"/>
    </w:p>
    <w:p w14:paraId="7151F39D">
      <w:pPr>
        <w:spacing w:before="100" w:after="100" w:line="240" w:lineRule="exact"/>
        <w:jc w:val="left"/>
        <w:rPr>
          <w:rFonts w:ascii="宋体" w:hAnsi="宋体" w:eastAsia="宋体" w:cs="宋体"/>
          <w:sz w:val="18"/>
          <w:szCs w:val="18"/>
        </w:rPr>
      </w:pPr>
      <w:r>
        <w:rPr>
          <w:rFonts w:ascii="宋体" w:hAnsi="宋体" w:eastAsia="宋体" w:cs="宋体"/>
          <w:sz w:val="18"/>
          <w:szCs w:val="18"/>
        </w:rPr>
        <w:t>收到的其他与筹资活动有关的现金</w:t>
      </w:r>
    </w:p>
    <w:p w14:paraId="47EB7BA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3D9914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D09CD60">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880A470">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005FD7B">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676B57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7544D4F">
            <w:pPr>
              <w:spacing w:before="0" w:after="0" w:line="240" w:lineRule="exact"/>
              <w:jc w:val="left"/>
              <w:rPr>
                <w:rFonts w:ascii="宋体" w:hAnsi="宋体" w:eastAsia="宋体" w:cs="宋体"/>
                <w:sz w:val="18"/>
                <w:szCs w:val="18"/>
              </w:rPr>
            </w:pPr>
            <w:r>
              <w:rPr>
                <w:rFonts w:ascii="宋体" w:hAnsi="宋体" w:eastAsia="宋体" w:cs="宋体"/>
                <w:sz w:val="18"/>
                <w:szCs w:val="18"/>
              </w:rPr>
              <w:t>保证金</w:t>
            </w:r>
          </w:p>
        </w:tc>
        <w:tc>
          <w:tcPr>
            <w:tcW w:w="3213" w:type="dxa"/>
            <w:tcBorders>
              <w:top w:val="single" w:color="auto" w:sz="2" w:space="0"/>
              <w:left w:val="single" w:color="auto" w:sz="2" w:space="0"/>
              <w:bottom w:val="single" w:color="auto" w:sz="2" w:space="0"/>
              <w:right w:val="single" w:color="auto" w:sz="2" w:space="0"/>
            </w:tcBorders>
            <w:vAlign w:val="center"/>
          </w:tcPr>
          <w:p w14:paraId="7AD0092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37341B63">
            <w:pPr>
              <w:spacing w:before="0" w:after="0" w:line="240" w:lineRule="exact"/>
              <w:jc w:val="right"/>
              <w:rPr>
                <w:rFonts w:ascii="宋体" w:hAnsi="宋体" w:eastAsia="宋体" w:cs="宋体"/>
                <w:sz w:val="18"/>
                <w:szCs w:val="18"/>
              </w:rPr>
            </w:pPr>
            <w:r>
              <w:rPr>
                <w:rFonts w:ascii="宋体" w:hAnsi="宋体" w:eastAsia="宋体" w:cs="宋体"/>
                <w:sz w:val="18"/>
                <w:szCs w:val="18"/>
              </w:rPr>
              <w:t>920,000.00</w:t>
            </w:r>
          </w:p>
        </w:tc>
      </w:tr>
      <w:tr w14:paraId="0B07B0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279B80F">
            <w:pPr>
              <w:spacing w:before="0" w:after="0" w:line="240" w:lineRule="exact"/>
              <w:jc w:val="left"/>
              <w:rPr>
                <w:rFonts w:ascii="宋体" w:hAnsi="宋体" w:eastAsia="宋体" w:cs="宋体"/>
                <w:sz w:val="18"/>
                <w:szCs w:val="18"/>
              </w:rPr>
            </w:pPr>
            <w:r>
              <w:rPr>
                <w:rFonts w:ascii="宋体" w:hAnsi="宋体" w:eastAsia="宋体" w:cs="宋体"/>
                <w:sz w:val="18"/>
                <w:szCs w:val="18"/>
              </w:rPr>
              <w:t>股权收购解押保证金</w:t>
            </w:r>
          </w:p>
        </w:tc>
        <w:tc>
          <w:tcPr>
            <w:tcW w:w="3213" w:type="dxa"/>
            <w:tcBorders>
              <w:top w:val="single" w:color="auto" w:sz="2" w:space="0"/>
              <w:left w:val="single" w:color="auto" w:sz="2" w:space="0"/>
              <w:bottom w:val="single" w:color="auto" w:sz="2" w:space="0"/>
              <w:right w:val="single" w:color="auto" w:sz="2" w:space="0"/>
            </w:tcBorders>
            <w:vAlign w:val="center"/>
          </w:tcPr>
          <w:p w14:paraId="7F4BFDB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D735B91">
            <w:pPr>
              <w:spacing w:before="0" w:after="0" w:line="240" w:lineRule="exact"/>
              <w:jc w:val="right"/>
              <w:rPr>
                <w:rFonts w:ascii="宋体" w:hAnsi="宋体" w:eastAsia="宋体" w:cs="宋体"/>
                <w:sz w:val="18"/>
                <w:szCs w:val="18"/>
              </w:rPr>
            </w:pPr>
            <w:r>
              <w:rPr>
                <w:rFonts w:ascii="宋体" w:hAnsi="宋体" w:eastAsia="宋体" w:cs="宋体"/>
                <w:sz w:val="18"/>
                <w:szCs w:val="18"/>
              </w:rPr>
              <w:t>31,000,000.00</w:t>
            </w:r>
          </w:p>
        </w:tc>
      </w:tr>
      <w:tr w14:paraId="1EFC3D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01F9C45">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5596765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3411E37">
            <w:pPr>
              <w:spacing w:before="0" w:after="0" w:line="240" w:lineRule="exact"/>
              <w:jc w:val="right"/>
              <w:rPr>
                <w:rFonts w:ascii="宋体" w:hAnsi="宋体" w:eastAsia="宋体" w:cs="宋体"/>
                <w:sz w:val="18"/>
                <w:szCs w:val="18"/>
              </w:rPr>
            </w:pPr>
            <w:r>
              <w:rPr>
                <w:rFonts w:ascii="宋体" w:hAnsi="宋体" w:eastAsia="宋体" w:cs="宋体"/>
                <w:sz w:val="18"/>
                <w:szCs w:val="18"/>
              </w:rPr>
              <w:t>31,920,000.00</w:t>
            </w:r>
          </w:p>
        </w:tc>
      </w:tr>
    </w:tbl>
    <w:p w14:paraId="357FDA65">
      <w:pPr>
        <w:spacing w:before="100" w:after="100" w:line="240" w:lineRule="exact"/>
        <w:jc w:val="left"/>
        <w:rPr>
          <w:rFonts w:ascii="宋体" w:hAnsi="宋体" w:eastAsia="宋体" w:cs="宋体"/>
          <w:sz w:val="18"/>
          <w:szCs w:val="18"/>
        </w:rPr>
      </w:pPr>
      <w:r>
        <w:rPr>
          <w:rFonts w:ascii="宋体" w:hAnsi="宋体" w:eastAsia="宋体" w:cs="宋体"/>
          <w:sz w:val="18"/>
          <w:szCs w:val="18"/>
        </w:rPr>
        <w:t>收到的其他与筹资活动有关的现金说明：</w:t>
      </w:r>
    </w:p>
    <w:p w14:paraId="2D36B392">
      <w:pPr>
        <w:spacing w:before="100" w:after="100" w:line="240" w:lineRule="exact"/>
        <w:jc w:val="left"/>
        <w:rPr>
          <w:rFonts w:ascii="宋体" w:hAnsi="宋体" w:eastAsia="宋体" w:cs="宋体"/>
          <w:sz w:val="18"/>
          <w:szCs w:val="18"/>
        </w:rPr>
      </w:pPr>
      <w:r>
        <w:rPr>
          <w:rFonts w:ascii="宋体" w:hAnsi="宋体" w:eastAsia="宋体" w:cs="宋体"/>
          <w:sz w:val="18"/>
          <w:szCs w:val="18"/>
        </w:rPr>
        <w:t>支付的其他与筹资活动有关的现金</w:t>
      </w:r>
    </w:p>
    <w:p w14:paraId="22CE21C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65BB8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A3A9CFE">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FD9A954">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A5B52C">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17D334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CBE2B0B">
            <w:pPr>
              <w:spacing w:before="0" w:after="0" w:line="240" w:lineRule="exact"/>
              <w:jc w:val="left"/>
              <w:rPr>
                <w:rFonts w:ascii="宋体" w:hAnsi="宋体" w:eastAsia="宋体" w:cs="宋体"/>
                <w:sz w:val="18"/>
                <w:szCs w:val="18"/>
              </w:rPr>
            </w:pPr>
            <w:r>
              <w:rPr>
                <w:rFonts w:ascii="宋体" w:hAnsi="宋体" w:eastAsia="宋体" w:cs="宋体"/>
                <w:sz w:val="18"/>
                <w:szCs w:val="18"/>
              </w:rPr>
              <w:t>股权收购解押保证金</w:t>
            </w:r>
          </w:p>
        </w:tc>
        <w:tc>
          <w:tcPr>
            <w:tcW w:w="3213" w:type="dxa"/>
            <w:tcBorders>
              <w:top w:val="single" w:color="auto" w:sz="2" w:space="0"/>
              <w:left w:val="single" w:color="auto" w:sz="2" w:space="0"/>
              <w:bottom w:val="single" w:color="auto" w:sz="2" w:space="0"/>
              <w:right w:val="single" w:color="auto" w:sz="2" w:space="0"/>
            </w:tcBorders>
            <w:vAlign w:val="center"/>
          </w:tcPr>
          <w:p w14:paraId="16EAFA4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8E0C43A">
            <w:pPr>
              <w:spacing w:before="0" w:after="0" w:line="240" w:lineRule="exact"/>
              <w:jc w:val="right"/>
              <w:rPr>
                <w:rFonts w:ascii="宋体" w:hAnsi="宋体" w:eastAsia="宋体" w:cs="宋体"/>
                <w:sz w:val="18"/>
                <w:szCs w:val="18"/>
              </w:rPr>
            </w:pPr>
            <w:r>
              <w:rPr>
                <w:rFonts w:ascii="宋体" w:hAnsi="宋体" w:eastAsia="宋体" w:cs="宋体"/>
                <w:sz w:val="18"/>
                <w:szCs w:val="18"/>
              </w:rPr>
              <w:t>31,000,000.00</w:t>
            </w:r>
          </w:p>
        </w:tc>
      </w:tr>
      <w:tr w14:paraId="574F27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CD36784">
            <w:pPr>
              <w:spacing w:before="0" w:after="0" w:line="240" w:lineRule="exact"/>
              <w:jc w:val="left"/>
              <w:rPr>
                <w:rFonts w:ascii="宋体" w:hAnsi="宋体" w:eastAsia="宋体" w:cs="宋体"/>
                <w:sz w:val="18"/>
                <w:szCs w:val="18"/>
              </w:rPr>
            </w:pPr>
            <w:r>
              <w:rPr>
                <w:rFonts w:ascii="宋体" w:hAnsi="宋体" w:eastAsia="宋体" w:cs="宋体"/>
                <w:sz w:val="18"/>
                <w:szCs w:val="18"/>
              </w:rPr>
              <w:t>租金</w:t>
            </w:r>
          </w:p>
        </w:tc>
        <w:tc>
          <w:tcPr>
            <w:tcW w:w="3213" w:type="dxa"/>
            <w:tcBorders>
              <w:top w:val="single" w:color="auto" w:sz="2" w:space="0"/>
              <w:left w:val="single" w:color="auto" w:sz="2" w:space="0"/>
              <w:bottom w:val="single" w:color="auto" w:sz="2" w:space="0"/>
              <w:right w:val="single" w:color="auto" w:sz="2" w:space="0"/>
            </w:tcBorders>
            <w:vAlign w:val="center"/>
          </w:tcPr>
          <w:p w14:paraId="45B5F339">
            <w:pPr>
              <w:spacing w:before="0" w:after="0" w:line="240" w:lineRule="exact"/>
              <w:jc w:val="right"/>
              <w:rPr>
                <w:rFonts w:ascii="宋体" w:hAnsi="宋体" w:eastAsia="宋体" w:cs="宋体"/>
                <w:sz w:val="18"/>
                <w:szCs w:val="18"/>
              </w:rPr>
            </w:pPr>
            <w:r>
              <w:rPr>
                <w:rFonts w:ascii="宋体" w:hAnsi="宋体" w:eastAsia="宋体" w:cs="宋体"/>
                <w:sz w:val="18"/>
                <w:szCs w:val="18"/>
              </w:rPr>
              <w:t>611,276.87</w:t>
            </w:r>
          </w:p>
        </w:tc>
        <w:tc>
          <w:tcPr>
            <w:tcW w:w="3213" w:type="dxa"/>
            <w:tcBorders>
              <w:top w:val="single" w:color="auto" w:sz="2" w:space="0"/>
              <w:left w:val="single" w:color="auto" w:sz="2" w:space="0"/>
              <w:bottom w:val="single" w:color="auto" w:sz="2" w:space="0"/>
              <w:right w:val="single" w:color="auto" w:sz="2" w:space="0"/>
            </w:tcBorders>
            <w:vAlign w:val="center"/>
          </w:tcPr>
          <w:p w14:paraId="6D35DD20">
            <w:pPr>
              <w:spacing w:before="0" w:after="0" w:line="240" w:lineRule="exact"/>
              <w:jc w:val="right"/>
              <w:rPr>
                <w:rFonts w:ascii="宋体" w:hAnsi="宋体" w:eastAsia="宋体" w:cs="宋体"/>
                <w:sz w:val="18"/>
                <w:szCs w:val="18"/>
              </w:rPr>
            </w:pPr>
            <w:r>
              <w:rPr>
                <w:rFonts w:ascii="宋体" w:hAnsi="宋体" w:eastAsia="宋体" w:cs="宋体"/>
                <w:sz w:val="18"/>
                <w:szCs w:val="18"/>
              </w:rPr>
              <w:t>461,000.00</w:t>
            </w:r>
          </w:p>
        </w:tc>
      </w:tr>
      <w:tr w14:paraId="16A9FE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A9D5A0D">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59BFCFAC">
            <w:pPr>
              <w:spacing w:before="0" w:after="0" w:line="240" w:lineRule="exact"/>
              <w:jc w:val="right"/>
              <w:rPr>
                <w:rFonts w:ascii="宋体" w:hAnsi="宋体" w:eastAsia="宋体" w:cs="宋体"/>
                <w:sz w:val="18"/>
                <w:szCs w:val="18"/>
              </w:rPr>
            </w:pPr>
            <w:r>
              <w:rPr>
                <w:rFonts w:ascii="宋体" w:hAnsi="宋体" w:eastAsia="宋体" w:cs="宋体"/>
                <w:sz w:val="18"/>
                <w:szCs w:val="18"/>
              </w:rPr>
              <w:t>611,276.87</w:t>
            </w:r>
          </w:p>
        </w:tc>
        <w:tc>
          <w:tcPr>
            <w:tcW w:w="3213" w:type="dxa"/>
            <w:tcBorders>
              <w:top w:val="single" w:color="auto" w:sz="2" w:space="0"/>
              <w:left w:val="single" w:color="auto" w:sz="2" w:space="0"/>
              <w:bottom w:val="single" w:color="auto" w:sz="2" w:space="0"/>
              <w:right w:val="single" w:color="auto" w:sz="2" w:space="0"/>
            </w:tcBorders>
            <w:vAlign w:val="center"/>
          </w:tcPr>
          <w:p w14:paraId="55FBAAA4">
            <w:pPr>
              <w:spacing w:before="0" w:after="0" w:line="240" w:lineRule="exact"/>
              <w:jc w:val="right"/>
              <w:rPr>
                <w:rFonts w:ascii="宋体" w:hAnsi="宋体" w:eastAsia="宋体" w:cs="宋体"/>
                <w:sz w:val="18"/>
                <w:szCs w:val="18"/>
              </w:rPr>
            </w:pPr>
            <w:r>
              <w:rPr>
                <w:rFonts w:ascii="宋体" w:hAnsi="宋体" w:eastAsia="宋体" w:cs="宋体"/>
                <w:sz w:val="18"/>
                <w:szCs w:val="18"/>
              </w:rPr>
              <w:t>31,461,000.00</w:t>
            </w:r>
          </w:p>
        </w:tc>
      </w:tr>
    </w:tbl>
    <w:p w14:paraId="491D8D53">
      <w:pPr>
        <w:spacing w:before="100" w:after="100" w:line="240" w:lineRule="exact"/>
        <w:jc w:val="left"/>
        <w:rPr>
          <w:rFonts w:ascii="宋体" w:hAnsi="宋体" w:eastAsia="宋体" w:cs="宋体"/>
          <w:sz w:val="18"/>
          <w:szCs w:val="18"/>
        </w:rPr>
      </w:pPr>
      <w:r>
        <w:rPr>
          <w:rFonts w:ascii="宋体" w:hAnsi="宋体" w:eastAsia="宋体" w:cs="宋体"/>
          <w:sz w:val="18"/>
          <w:szCs w:val="18"/>
        </w:rPr>
        <w:t>支付的其他与筹资活动有关的现金说明：</w:t>
      </w:r>
    </w:p>
    <w:p w14:paraId="42558BFE">
      <w:pPr>
        <w:spacing w:before="100" w:after="100" w:line="240" w:lineRule="exact"/>
        <w:jc w:val="left"/>
        <w:rPr>
          <w:rFonts w:ascii="宋体" w:hAnsi="宋体" w:eastAsia="宋体" w:cs="宋体"/>
          <w:sz w:val="18"/>
          <w:szCs w:val="18"/>
        </w:rPr>
      </w:pPr>
      <w:r>
        <w:rPr>
          <w:rFonts w:ascii="宋体" w:hAnsi="宋体" w:eastAsia="宋体" w:cs="宋体"/>
          <w:sz w:val="18"/>
          <w:szCs w:val="18"/>
        </w:rPr>
        <w:t>筹资活动产生的各项负债变动情况</w:t>
      </w:r>
    </w:p>
    <w:p w14:paraId="09736B81">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11E22F0">
      <w:pPr>
        <w:keepNext/>
        <w:keepLines/>
        <w:spacing w:before="300" w:after="300" w:line="280" w:lineRule="exact"/>
        <w:jc w:val="left"/>
        <w:outlineLvl w:val="3"/>
        <w:rPr>
          <w:rFonts w:ascii="宋体" w:hAnsi="宋体" w:eastAsia="宋体" w:cs="宋体"/>
          <w:b/>
          <w:bCs/>
          <w:sz w:val="21"/>
          <w:szCs w:val="21"/>
        </w:rPr>
      </w:pPr>
      <w:bookmarkStart w:id="439" w:name="_Toc989322"/>
      <w:r>
        <w:rPr>
          <w:rFonts w:ascii="宋体" w:hAnsi="宋体" w:eastAsia="宋体" w:cs="宋体"/>
          <w:b/>
          <w:bCs/>
          <w:sz w:val="21"/>
          <w:szCs w:val="21"/>
        </w:rPr>
        <w:t>（4） 以净额列报现金流量的说明</w:t>
      </w:r>
      <w:bookmarkEnd w:id="439"/>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68C720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04C32EC">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538298F">
            <w:pPr>
              <w:spacing w:before="40" w:after="40" w:line="240" w:lineRule="exact"/>
              <w:jc w:val="center"/>
              <w:rPr>
                <w:rFonts w:ascii="宋体" w:hAnsi="宋体" w:eastAsia="宋体" w:cs="宋体"/>
                <w:sz w:val="18"/>
                <w:szCs w:val="18"/>
              </w:rPr>
            </w:pPr>
            <w:r>
              <w:rPr>
                <w:rFonts w:ascii="宋体" w:hAnsi="宋体" w:eastAsia="宋体" w:cs="宋体"/>
                <w:sz w:val="18"/>
                <w:szCs w:val="18"/>
              </w:rPr>
              <w:t>相关事实情况</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0E3A034">
            <w:pPr>
              <w:spacing w:before="40" w:after="40" w:line="240" w:lineRule="exact"/>
              <w:jc w:val="center"/>
              <w:rPr>
                <w:rFonts w:ascii="宋体" w:hAnsi="宋体" w:eastAsia="宋体" w:cs="宋体"/>
                <w:sz w:val="18"/>
                <w:szCs w:val="18"/>
              </w:rPr>
            </w:pPr>
            <w:r>
              <w:rPr>
                <w:rFonts w:ascii="宋体" w:hAnsi="宋体" w:eastAsia="宋体" w:cs="宋体"/>
                <w:sz w:val="18"/>
                <w:szCs w:val="18"/>
              </w:rPr>
              <w:t>采用净额列报的依据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4F4BE3B">
            <w:pPr>
              <w:spacing w:before="40" w:after="40" w:line="240" w:lineRule="exact"/>
              <w:jc w:val="center"/>
              <w:rPr>
                <w:rFonts w:ascii="宋体" w:hAnsi="宋体" w:eastAsia="宋体" w:cs="宋体"/>
                <w:sz w:val="18"/>
                <w:szCs w:val="18"/>
              </w:rPr>
            </w:pPr>
            <w:r>
              <w:rPr>
                <w:rFonts w:ascii="宋体" w:hAnsi="宋体" w:eastAsia="宋体" w:cs="宋体"/>
                <w:sz w:val="18"/>
                <w:szCs w:val="18"/>
              </w:rPr>
              <w:t>财务影响</w:t>
            </w:r>
          </w:p>
        </w:tc>
      </w:tr>
    </w:tbl>
    <w:p w14:paraId="6440833A">
      <w:pPr>
        <w:keepNext/>
        <w:keepLines/>
        <w:spacing w:before="300" w:after="300" w:line="280" w:lineRule="exact"/>
        <w:jc w:val="left"/>
        <w:outlineLvl w:val="3"/>
        <w:rPr>
          <w:rFonts w:ascii="宋体" w:hAnsi="宋体" w:eastAsia="宋体" w:cs="宋体"/>
          <w:b/>
          <w:bCs/>
          <w:sz w:val="21"/>
          <w:szCs w:val="21"/>
        </w:rPr>
      </w:pPr>
      <w:bookmarkStart w:id="440" w:name="_Toc989323"/>
      <w:r>
        <w:rPr>
          <w:rFonts w:ascii="宋体" w:hAnsi="宋体" w:eastAsia="宋体" w:cs="宋体"/>
          <w:b/>
          <w:bCs/>
          <w:sz w:val="21"/>
          <w:szCs w:val="21"/>
        </w:rPr>
        <w:t>（5） 不涉及当期现金收支、但影响企业财务状况或在未来可能影响企业现金流量的重大活动及财务影响</w:t>
      </w:r>
      <w:bookmarkEnd w:id="440"/>
    </w:p>
    <w:p w14:paraId="07EEE0AE">
      <w:pPr>
        <w:keepNext/>
        <w:keepLines/>
        <w:spacing w:before="300" w:after="300" w:line="280" w:lineRule="exact"/>
        <w:jc w:val="left"/>
        <w:outlineLvl w:val="2"/>
        <w:rPr>
          <w:rFonts w:ascii="宋体" w:hAnsi="宋体" w:eastAsia="宋体" w:cs="宋体"/>
          <w:b/>
          <w:bCs/>
          <w:sz w:val="21"/>
          <w:szCs w:val="21"/>
        </w:rPr>
      </w:pPr>
      <w:bookmarkStart w:id="441" w:name="_Toc989324"/>
      <w:r>
        <w:rPr>
          <w:rFonts w:ascii="宋体" w:hAnsi="宋体" w:eastAsia="宋体" w:cs="宋体"/>
          <w:b/>
          <w:bCs/>
          <w:sz w:val="21"/>
          <w:szCs w:val="21"/>
        </w:rPr>
        <w:t>79、现金流量表补充资料</w:t>
      </w:r>
      <w:bookmarkEnd w:id="441"/>
    </w:p>
    <w:p w14:paraId="677CC2AF">
      <w:pPr>
        <w:keepNext/>
        <w:keepLines/>
        <w:spacing w:before="300" w:after="300" w:line="280" w:lineRule="exact"/>
        <w:jc w:val="left"/>
        <w:outlineLvl w:val="3"/>
        <w:rPr>
          <w:rFonts w:ascii="宋体" w:hAnsi="宋体" w:eastAsia="宋体" w:cs="宋体"/>
          <w:b/>
          <w:bCs/>
          <w:sz w:val="21"/>
          <w:szCs w:val="21"/>
        </w:rPr>
      </w:pPr>
      <w:bookmarkStart w:id="442" w:name="_Toc989325"/>
      <w:r>
        <w:rPr>
          <w:rFonts w:ascii="宋体" w:hAnsi="宋体" w:eastAsia="宋体" w:cs="宋体"/>
          <w:b/>
          <w:bCs/>
          <w:sz w:val="21"/>
          <w:szCs w:val="21"/>
        </w:rPr>
        <w:t>（1） 现金流量表补充资料</w:t>
      </w:r>
      <w:bookmarkEnd w:id="442"/>
    </w:p>
    <w:p w14:paraId="755A1DE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2A9DB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4C632A8">
            <w:pPr>
              <w:spacing w:before="40" w:after="40" w:line="240" w:lineRule="exact"/>
              <w:jc w:val="center"/>
              <w:rPr>
                <w:rFonts w:ascii="宋体" w:hAnsi="宋体" w:eastAsia="宋体" w:cs="宋体"/>
                <w:sz w:val="18"/>
                <w:szCs w:val="18"/>
              </w:rPr>
            </w:pPr>
            <w:r>
              <w:rPr>
                <w:rFonts w:ascii="宋体" w:hAnsi="宋体" w:eastAsia="宋体" w:cs="宋体"/>
                <w:sz w:val="18"/>
                <w:szCs w:val="18"/>
              </w:rPr>
              <w:t>补充资料</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3D263C1">
            <w:pPr>
              <w:spacing w:before="40" w:after="40" w:line="240" w:lineRule="exact"/>
              <w:jc w:val="center"/>
              <w:rPr>
                <w:rFonts w:ascii="宋体" w:hAnsi="宋体" w:eastAsia="宋体" w:cs="宋体"/>
                <w:sz w:val="18"/>
                <w:szCs w:val="18"/>
              </w:rPr>
            </w:pPr>
            <w:r>
              <w:rPr>
                <w:rFonts w:ascii="宋体" w:hAnsi="宋体" w:eastAsia="宋体" w:cs="宋体"/>
                <w:sz w:val="18"/>
                <w:szCs w:val="18"/>
              </w:rPr>
              <w:t>本期金额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0F9F290">
            <w:pPr>
              <w:spacing w:before="40" w:after="40" w:line="240" w:lineRule="exact"/>
              <w:jc w:val="center"/>
              <w:rPr>
                <w:rFonts w:ascii="宋体" w:hAnsi="宋体" w:eastAsia="宋体" w:cs="宋体"/>
                <w:sz w:val="18"/>
                <w:szCs w:val="18"/>
              </w:rPr>
            </w:pPr>
            <w:r>
              <w:rPr>
                <w:rFonts w:ascii="宋体" w:hAnsi="宋体" w:eastAsia="宋体" w:cs="宋体"/>
                <w:sz w:val="18"/>
                <w:szCs w:val="18"/>
              </w:rPr>
              <w:t>上期金额</w:t>
            </w:r>
          </w:p>
        </w:tc>
      </w:tr>
      <w:tr w14:paraId="4A6720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BD7FA27">
            <w:pPr>
              <w:spacing w:before="40" w:after="40" w:line="240" w:lineRule="exact"/>
              <w:jc w:val="left"/>
              <w:rPr>
                <w:rFonts w:ascii="宋体" w:hAnsi="宋体" w:eastAsia="宋体" w:cs="宋体"/>
                <w:sz w:val="18"/>
                <w:szCs w:val="18"/>
              </w:rPr>
            </w:pPr>
            <w:r>
              <w:rPr>
                <w:rFonts w:ascii="宋体" w:hAnsi="宋体" w:eastAsia="宋体" w:cs="宋体"/>
                <w:sz w:val="18"/>
                <w:szCs w:val="18"/>
              </w:rPr>
              <w:t>1．将净利润调节为经营活动现金流量</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7EFF3EA"/>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6C6EC93"/>
        </w:tc>
      </w:tr>
      <w:tr w14:paraId="18B8EF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0001646">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净利润</w:t>
            </w:r>
          </w:p>
        </w:tc>
        <w:tc>
          <w:tcPr>
            <w:tcW w:w="3213" w:type="dxa"/>
            <w:tcBorders>
              <w:top w:val="single" w:color="auto" w:sz="2" w:space="0"/>
              <w:left w:val="single" w:color="auto" w:sz="2" w:space="0"/>
              <w:bottom w:val="single" w:color="auto" w:sz="2" w:space="0"/>
              <w:right w:val="single" w:color="auto" w:sz="2" w:space="0"/>
            </w:tcBorders>
            <w:vAlign w:val="center"/>
          </w:tcPr>
          <w:p w14:paraId="78CF6733">
            <w:pPr>
              <w:spacing w:before="0" w:after="0" w:line="240" w:lineRule="exact"/>
              <w:jc w:val="right"/>
              <w:rPr>
                <w:rFonts w:ascii="宋体" w:hAnsi="宋体" w:eastAsia="宋体" w:cs="宋体"/>
                <w:sz w:val="18"/>
                <w:szCs w:val="18"/>
              </w:rPr>
            </w:pPr>
            <w:r>
              <w:rPr>
                <w:rFonts w:ascii="宋体" w:hAnsi="宋体" w:eastAsia="宋体" w:cs="宋体"/>
                <w:sz w:val="18"/>
                <w:szCs w:val="18"/>
              </w:rPr>
              <w:t>-172,467,037.90</w:t>
            </w:r>
          </w:p>
        </w:tc>
        <w:tc>
          <w:tcPr>
            <w:tcW w:w="3213" w:type="dxa"/>
            <w:tcBorders>
              <w:top w:val="single" w:color="auto" w:sz="2" w:space="0"/>
              <w:left w:val="single" w:color="auto" w:sz="2" w:space="0"/>
              <w:bottom w:val="single" w:color="auto" w:sz="2" w:space="0"/>
              <w:right w:val="single" w:color="auto" w:sz="2" w:space="0"/>
            </w:tcBorders>
            <w:vAlign w:val="center"/>
          </w:tcPr>
          <w:p w14:paraId="4F7A3565">
            <w:pPr>
              <w:spacing w:before="0" w:after="0" w:line="240" w:lineRule="exact"/>
              <w:jc w:val="right"/>
              <w:rPr>
                <w:rFonts w:ascii="宋体" w:hAnsi="宋体" w:eastAsia="宋体" w:cs="宋体"/>
                <w:sz w:val="18"/>
                <w:szCs w:val="18"/>
              </w:rPr>
            </w:pPr>
            <w:r>
              <w:rPr>
                <w:rFonts w:ascii="宋体" w:hAnsi="宋体" w:eastAsia="宋体" w:cs="宋体"/>
                <w:sz w:val="18"/>
                <w:szCs w:val="18"/>
              </w:rPr>
              <w:t>-374,903,464.91</w:t>
            </w:r>
          </w:p>
        </w:tc>
      </w:tr>
      <w:tr w14:paraId="5018C8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CFAB66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加：资产减值准备</w:t>
            </w:r>
          </w:p>
        </w:tc>
        <w:tc>
          <w:tcPr>
            <w:tcW w:w="3213" w:type="dxa"/>
            <w:tcBorders>
              <w:top w:val="single" w:color="auto" w:sz="2" w:space="0"/>
              <w:left w:val="single" w:color="auto" w:sz="2" w:space="0"/>
              <w:bottom w:val="single" w:color="auto" w:sz="2" w:space="0"/>
              <w:right w:val="single" w:color="auto" w:sz="2" w:space="0"/>
            </w:tcBorders>
            <w:vAlign w:val="center"/>
          </w:tcPr>
          <w:p w14:paraId="019E87EA">
            <w:pPr>
              <w:spacing w:before="0" w:after="0" w:line="240" w:lineRule="exact"/>
              <w:jc w:val="right"/>
              <w:rPr>
                <w:rFonts w:ascii="宋体" w:hAnsi="宋体" w:eastAsia="宋体" w:cs="宋体"/>
                <w:sz w:val="18"/>
                <w:szCs w:val="18"/>
              </w:rPr>
            </w:pPr>
            <w:r>
              <w:rPr>
                <w:rFonts w:ascii="宋体" w:hAnsi="宋体" w:eastAsia="宋体" w:cs="宋体"/>
                <w:sz w:val="18"/>
                <w:szCs w:val="18"/>
              </w:rPr>
              <w:t>75,094,858.75</w:t>
            </w:r>
          </w:p>
        </w:tc>
        <w:tc>
          <w:tcPr>
            <w:tcW w:w="3213" w:type="dxa"/>
            <w:tcBorders>
              <w:top w:val="single" w:color="auto" w:sz="2" w:space="0"/>
              <w:left w:val="single" w:color="auto" w:sz="2" w:space="0"/>
              <w:bottom w:val="single" w:color="auto" w:sz="2" w:space="0"/>
              <w:right w:val="single" w:color="auto" w:sz="2" w:space="0"/>
            </w:tcBorders>
            <w:vAlign w:val="center"/>
          </w:tcPr>
          <w:p w14:paraId="56B7C3EA">
            <w:pPr>
              <w:spacing w:before="0" w:after="0" w:line="240" w:lineRule="exact"/>
              <w:jc w:val="right"/>
              <w:rPr>
                <w:rFonts w:ascii="宋体" w:hAnsi="宋体" w:eastAsia="宋体" w:cs="宋体"/>
                <w:sz w:val="18"/>
                <w:szCs w:val="18"/>
              </w:rPr>
            </w:pPr>
            <w:r>
              <w:rPr>
                <w:rFonts w:ascii="宋体" w:hAnsi="宋体" w:eastAsia="宋体" w:cs="宋体"/>
                <w:sz w:val="18"/>
                <w:szCs w:val="18"/>
              </w:rPr>
              <w:t>8,328,095.23</w:t>
            </w:r>
          </w:p>
        </w:tc>
      </w:tr>
      <w:tr w14:paraId="39B4D9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14B5DAD">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固定资产折旧、油气资产折耗、生产性生物资产折旧</w:t>
            </w:r>
          </w:p>
        </w:tc>
        <w:tc>
          <w:tcPr>
            <w:tcW w:w="3213" w:type="dxa"/>
            <w:tcBorders>
              <w:top w:val="single" w:color="auto" w:sz="2" w:space="0"/>
              <w:left w:val="single" w:color="auto" w:sz="2" w:space="0"/>
              <w:bottom w:val="single" w:color="auto" w:sz="2" w:space="0"/>
              <w:right w:val="single" w:color="auto" w:sz="2" w:space="0"/>
            </w:tcBorders>
            <w:vAlign w:val="center"/>
          </w:tcPr>
          <w:p w14:paraId="49071E1F">
            <w:pPr>
              <w:spacing w:before="0" w:after="0" w:line="240" w:lineRule="exact"/>
              <w:jc w:val="right"/>
              <w:rPr>
                <w:rFonts w:ascii="宋体" w:hAnsi="宋体" w:eastAsia="宋体" w:cs="宋体"/>
                <w:sz w:val="18"/>
                <w:szCs w:val="18"/>
              </w:rPr>
            </w:pPr>
            <w:r>
              <w:rPr>
                <w:rFonts w:ascii="宋体" w:hAnsi="宋体" w:eastAsia="宋体" w:cs="宋体"/>
                <w:sz w:val="18"/>
                <w:szCs w:val="18"/>
              </w:rPr>
              <w:t>51,853,099.91</w:t>
            </w:r>
          </w:p>
        </w:tc>
        <w:tc>
          <w:tcPr>
            <w:tcW w:w="3213" w:type="dxa"/>
            <w:tcBorders>
              <w:top w:val="single" w:color="auto" w:sz="2" w:space="0"/>
              <w:left w:val="single" w:color="auto" w:sz="2" w:space="0"/>
              <w:bottom w:val="single" w:color="auto" w:sz="2" w:space="0"/>
              <w:right w:val="single" w:color="auto" w:sz="2" w:space="0"/>
            </w:tcBorders>
            <w:vAlign w:val="center"/>
          </w:tcPr>
          <w:p w14:paraId="498B708D">
            <w:pPr>
              <w:spacing w:before="0" w:after="0" w:line="240" w:lineRule="exact"/>
              <w:jc w:val="right"/>
              <w:rPr>
                <w:rFonts w:ascii="宋体" w:hAnsi="宋体" w:eastAsia="宋体" w:cs="宋体"/>
                <w:sz w:val="18"/>
                <w:szCs w:val="18"/>
              </w:rPr>
            </w:pPr>
            <w:r>
              <w:rPr>
                <w:rFonts w:ascii="宋体" w:hAnsi="宋体" w:eastAsia="宋体" w:cs="宋体"/>
                <w:sz w:val="18"/>
                <w:szCs w:val="18"/>
              </w:rPr>
              <w:t>44,258,307.63</w:t>
            </w:r>
          </w:p>
        </w:tc>
      </w:tr>
      <w:tr w14:paraId="551B8E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BCED81F">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使用权资产折旧</w:t>
            </w:r>
          </w:p>
        </w:tc>
        <w:tc>
          <w:tcPr>
            <w:tcW w:w="3213" w:type="dxa"/>
            <w:tcBorders>
              <w:top w:val="single" w:color="auto" w:sz="2" w:space="0"/>
              <w:left w:val="single" w:color="auto" w:sz="2" w:space="0"/>
              <w:bottom w:val="single" w:color="auto" w:sz="2" w:space="0"/>
              <w:right w:val="single" w:color="auto" w:sz="2" w:space="0"/>
            </w:tcBorders>
            <w:vAlign w:val="center"/>
          </w:tcPr>
          <w:p w14:paraId="7D2B427A">
            <w:pPr>
              <w:spacing w:before="0" w:after="0" w:line="240" w:lineRule="exact"/>
              <w:jc w:val="right"/>
              <w:rPr>
                <w:rFonts w:ascii="宋体" w:hAnsi="宋体" w:eastAsia="宋体" w:cs="宋体"/>
                <w:sz w:val="18"/>
                <w:szCs w:val="18"/>
              </w:rPr>
            </w:pPr>
            <w:r>
              <w:rPr>
                <w:rFonts w:ascii="宋体" w:hAnsi="宋体" w:eastAsia="宋体" w:cs="宋体"/>
                <w:sz w:val="18"/>
                <w:szCs w:val="18"/>
              </w:rPr>
              <w:t>545,413.39</w:t>
            </w:r>
          </w:p>
        </w:tc>
        <w:tc>
          <w:tcPr>
            <w:tcW w:w="3213" w:type="dxa"/>
            <w:tcBorders>
              <w:top w:val="single" w:color="auto" w:sz="2" w:space="0"/>
              <w:left w:val="single" w:color="auto" w:sz="2" w:space="0"/>
              <w:bottom w:val="single" w:color="auto" w:sz="2" w:space="0"/>
              <w:right w:val="single" w:color="auto" w:sz="2" w:space="0"/>
            </w:tcBorders>
            <w:vAlign w:val="center"/>
          </w:tcPr>
          <w:p w14:paraId="0FBC34A5">
            <w:pPr>
              <w:spacing w:before="0" w:after="0" w:line="240" w:lineRule="exact"/>
              <w:jc w:val="right"/>
              <w:rPr>
                <w:rFonts w:ascii="宋体" w:hAnsi="宋体" w:eastAsia="宋体" w:cs="宋体"/>
                <w:sz w:val="18"/>
                <w:szCs w:val="18"/>
              </w:rPr>
            </w:pPr>
            <w:r>
              <w:rPr>
                <w:rFonts w:ascii="宋体" w:hAnsi="宋体" w:eastAsia="宋体" w:cs="宋体"/>
                <w:sz w:val="18"/>
                <w:szCs w:val="18"/>
              </w:rPr>
              <w:t>336,790.14</w:t>
            </w:r>
          </w:p>
        </w:tc>
      </w:tr>
      <w:tr w14:paraId="697E6F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3913DEF">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无形资产摊销</w:t>
            </w:r>
          </w:p>
        </w:tc>
        <w:tc>
          <w:tcPr>
            <w:tcW w:w="3213" w:type="dxa"/>
            <w:tcBorders>
              <w:top w:val="single" w:color="auto" w:sz="2" w:space="0"/>
              <w:left w:val="single" w:color="auto" w:sz="2" w:space="0"/>
              <w:bottom w:val="single" w:color="auto" w:sz="2" w:space="0"/>
              <w:right w:val="single" w:color="auto" w:sz="2" w:space="0"/>
            </w:tcBorders>
            <w:vAlign w:val="center"/>
          </w:tcPr>
          <w:p w14:paraId="2038B41B">
            <w:pPr>
              <w:spacing w:before="0" w:after="0" w:line="240" w:lineRule="exact"/>
              <w:jc w:val="right"/>
              <w:rPr>
                <w:rFonts w:ascii="宋体" w:hAnsi="宋体" w:eastAsia="宋体" w:cs="宋体"/>
                <w:sz w:val="18"/>
                <w:szCs w:val="18"/>
              </w:rPr>
            </w:pPr>
            <w:r>
              <w:rPr>
                <w:rFonts w:ascii="宋体" w:hAnsi="宋体" w:eastAsia="宋体" w:cs="宋体"/>
                <w:sz w:val="18"/>
                <w:szCs w:val="18"/>
              </w:rPr>
              <w:t>42,982,123.64</w:t>
            </w:r>
          </w:p>
        </w:tc>
        <w:tc>
          <w:tcPr>
            <w:tcW w:w="3213" w:type="dxa"/>
            <w:tcBorders>
              <w:top w:val="single" w:color="auto" w:sz="2" w:space="0"/>
              <w:left w:val="single" w:color="auto" w:sz="2" w:space="0"/>
              <w:bottom w:val="single" w:color="auto" w:sz="2" w:space="0"/>
              <w:right w:val="single" w:color="auto" w:sz="2" w:space="0"/>
            </w:tcBorders>
            <w:vAlign w:val="center"/>
          </w:tcPr>
          <w:p w14:paraId="3B644B21">
            <w:pPr>
              <w:spacing w:before="0" w:after="0" w:line="240" w:lineRule="exact"/>
              <w:jc w:val="right"/>
              <w:rPr>
                <w:rFonts w:ascii="宋体" w:hAnsi="宋体" w:eastAsia="宋体" w:cs="宋体"/>
                <w:sz w:val="18"/>
                <w:szCs w:val="18"/>
              </w:rPr>
            </w:pPr>
            <w:r>
              <w:rPr>
                <w:rFonts w:ascii="宋体" w:hAnsi="宋体" w:eastAsia="宋体" w:cs="宋体"/>
                <w:sz w:val="18"/>
                <w:szCs w:val="18"/>
              </w:rPr>
              <w:t>27,549,789.96</w:t>
            </w:r>
          </w:p>
        </w:tc>
      </w:tr>
      <w:tr w14:paraId="08AA44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453D67D">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长期待摊费用摊销</w:t>
            </w:r>
          </w:p>
        </w:tc>
        <w:tc>
          <w:tcPr>
            <w:tcW w:w="3213" w:type="dxa"/>
            <w:tcBorders>
              <w:top w:val="single" w:color="auto" w:sz="2" w:space="0"/>
              <w:left w:val="single" w:color="auto" w:sz="2" w:space="0"/>
              <w:bottom w:val="single" w:color="auto" w:sz="2" w:space="0"/>
              <w:right w:val="single" w:color="auto" w:sz="2" w:space="0"/>
            </w:tcBorders>
            <w:vAlign w:val="center"/>
          </w:tcPr>
          <w:p w14:paraId="07FEED44">
            <w:pPr>
              <w:spacing w:before="0" w:after="0" w:line="240" w:lineRule="exact"/>
              <w:jc w:val="right"/>
              <w:rPr>
                <w:rFonts w:ascii="宋体" w:hAnsi="宋体" w:eastAsia="宋体" w:cs="宋体"/>
                <w:sz w:val="18"/>
                <w:szCs w:val="18"/>
              </w:rPr>
            </w:pPr>
            <w:r>
              <w:rPr>
                <w:rFonts w:ascii="宋体" w:hAnsi="宋体" w:eastAsia="宋体" w:cs="宋体"/>
                <w:sz w:val="18"/>
                <w:szCs w:val="18"/>
              </w:rPr>
              <w:t>5,913,444.82</w:t>
            </w:r>
          </w:p>
        </w:tc>
        <w:tc>
          <w:tcPr>
            <w:tcW w:w="3213" w:type="dxa"/>
            <w:tcBorders>
              <w:top w:val="single" w:color="auto" w:sz="2" w:space="0"/>
              <w:left w:val="single" w:color="auto" w:sz="2" w:space="0"/>
              <w:bottom w:val="single" w:color="auto" w:sz="2" w:space="0"/>
              <w:right w:val="single" w:color="auto" w:sz="2" w:space="0"/>
            </w:tcBorders>
            <w:vAlign w:val="center"/>
          </w:tcPr>
          <w:p w14:paraId="2667DE5C">
            <w:pPr>
              <w:spacing w:before="0" w:after="0" w:line="240" w:lineRule="exact"/>
              <w:jc w:val="right"/>
              <w:rPr>
                <w:rFonts w:ascii="宋体" w:hAnsi="宋体" w:eastAsia="宋体" w:cs="宋体"/>
                <w:sz w:val="18"/>
                <w:szCs w:val="18"/>
              </w:rPr>
            </w:pPr>
            <w:r>
              <w:rPr>
                <w:rFonts w:ascii="宋体" w:hAnsi="宋体" w:eastAsia="宋体" w:cs="宋体"/>
                <w:sz w:val="18"/>
                <w:szCs w:val="18"/>
              </w:rPr>
              <w:t>5,351,013.80</w:t>
            </w:r>
          </w:p>
        </w:tc>
      </w:tr>
      <w:tr w14:paraId="6CF9D7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913EF59">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处置固定资产、无形资产和其他长期资产的损失（收益以“－”号填列）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3D74141B">
            <w:pPr>
              <w:spacing w:before="0" w:after="0" w:line="240" w:lineRule="exact"/>
              <w:jc w:val="right"/>
              <w:rPr>
                <w:rFonts w:ascii="宋体" w:hAnsi="宋体" w:eastAsia="宋体" w:cs="宋体"/>
                <w:sz w:val="18"/>
                <w:szCs w:val="18"/>
              </w:rPr>
            </w:pPr>
            <w:r>
              <w:rPr>
                <w:rFonts w:ascii="宋体" w:hAnsi="宋体" w:eastAsia="宋体" w:cs="宋体"/>
                <w:sz w:val="18"/>
                <w:szCs w:val="18"/>
              </w:rPr>
              <w:t>-12,812.64</w:t>
            </w:r>
          </w:p>
        </w:tc>
        <w:tc>
          <w:tcPr>
            <w:tcW w:w="3213" w:type="dxa"/>
            <w:tcBorders>
              <w:top w:val="single" w:color="auto" w:sz="2" w:space="0"/>
              <w:left w:val="single" w:color="auto" w:sz="2" w:space="0"/>
              <w:bottom w:val="single" w:color="auto" w:sz="2" w:space="0"/>
              <w:right w:val="single" w:color="auto" w:sz="2" w:space="0"/>
            </w:tcBorders>
            <w:vAlign w:val="center"/>
          </w:tcPr>
          <w:p w14:paraId="78675754">
            <w:pPr>
              <w:spacing w:before="0" w:after="0" w:line="240" w:lineRule="exact"/>
              <w:jc w:val="right"/>
              <w:rPr>
                <w:rFonts w:ascii="宋体" w:hAnsi="宋体" w:eastAsia="宋体" w:cs="宋体"/>
                <w:sz w:val="18"/>
                <w:szCs w:val="18"/>
              </w:rPr>
            </w:pPr>
            <w:r>
              <w:rPr>
                <w:rFonts w:ascii="宋体" w:hAnsi="宋体" w:eastAsia="宋体" w:cs="宋体"/>
                <w:sz w:val="18"/>
                <w:szCs w:val="18"/>
              </w:rPr>
              <w:t>19,052.48</w:t>
            </w:r>
          </w:p>
        </w:tc>
      </w:tr>
      <w:tr w14:paraId="1B7FD0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F895B6">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固定资产报废损失（收益以“－”号填列）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4A8CE59E">
            <w:pPr>
              <w:spacing w:before="0" w:after="0" w:line="240" w:lineRule="exact"/>
              <w:jc w:val="right"/>
              <w:rPr>
                <w:rFonts w:ascii="宋体" w:hAnsi="宋体" w:eastAsia="宋体" w:cs="宋体"/>
                <w:sz w:val="18"/>
                <w:szCs w:val="18"/>
              </w:rPr>
            </w:pPr>
            <w:r>
              <w:rPr>
                <w:rFonts w:ascii="宋体" w:hAnsi="宋体" w:eastAsia="宋体" w:cs="宋体"/>
                <w:sz w:val="18"/>
                <w:szCs w:val="18"/>
              </w:rPr>
              <w:t>55,305.76</w:t>
            </w:r>
          </w:p>
        </w:tc>
        <w:tc>
          <w:tcPr>
            <w:tcW w:w="3213" w:type="dxa"/>
            <w:tcBorders>
              <w:top w:val="single" w:color="auto" w:sz="2" w:space="0"/>
              <w:left w:val="single" w:color="auto" w:sz="2" w:space="0"/>
              <w:bottom w:val="single" w:color="auto" w:sz="2" w:space="0"/>
              <w:right w:val="single" w:color="auto" w:sz="2" w:space="0"/>
            </w:tcBorders>
            <w:vAlign w:val="center"/>
          </w:tcPr>
          <w:p w14:paraId="7B445887">
            <w:pPr>
              <w:spacing w:before="0" w:after="0" w:line="240" w:lineRule="exact"/>
              <w:jc w:val="right"/>
              <w:rPr>
                <w:rFonts w:ascii="宋体" w:hAnsi="宋体" w:eastAsia="宋体" w:cs="宋体"/>
                <w:sz w:val="18"/>
                <w:szCs w:val="18"/>
              </w:rPr>
            </w:pPr>
            <w:r>
              <w:rPr>
                <w:rFonts w:ascii="宋体" w:hAnsi="宋体" w:eastAsia="宋体" w:cs="宋体"/>
                <w:sz w:val="18"/>
                <w:szCs w:val="18"/>
              </w:rPr>
              <w:t>143,989.80</w:t>
            </w:r>
          </w:p>
        </w:tc>
      </w:tr>
      <w:tr w14:paraId="012DFB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74ED5A3">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公允价值变动损失（收益以“－”号填列）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006AEF5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4F7A442">
            <w:pPr>
              <w:spacing w:before="0" w:after="0" w:line="240" w:lineRule="exact"/>
              <w:jc w:val="right"/>
              <w:rPr>
                <w:rFonts w:ascii="宋体" w:hAnsi="宋体" w:eastAsia="宋体" w:cs="宋体"/>
                <w:sz w:val="18"/>
                <w:szCs w:val="18"/>
              </w:rPr>
            </w:pPr>
          </w:p>
        </w:tc>
      </w:tr>
      <w:tr w14:paraId="03EDD4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F25FB6A">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财务费用（收益以“－”号填列）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57DB4F79">
            <w:pPr>
              <w:spacing w:before="0" w:after="0" w:line="240" w:lineRule="exact"/>
              <w:jc w:val="right"/>
              <w:rPr>
                <w:rFonts w:ascii="宋体" w:hAnsi="宋体" w:eastAsia="宋体" w:cs="宋体"/>
                <w:sz w:val="18"/>
                <w:szCs w:val="18"/>
              </w:rPr>
            </w:pPr>
            <w:r>
              <w:rPr>
                <w:rFonts w:ascii="宋体" w:hAnsi="宋体" w:eastAsia="宋体" w:cs="宋体"/>
                <w:sz w:val="18"/>
                <w:szCs w:val="18"/>
              </w:rPr>
              <w:t>35,546,675.33</w:t>
            </w:r>
          </w:p>
        </w:tc>
        <w:tc>
          <w:tcPr>
            <w:tcW w:w="3213" w:type="dxa"/>
            <w:tcBorders>
              <w:top w:val="single" w:color="auto" w:sz="2" w:space="0"/>
              <w:left w:val="single" w:color="auto" w:sz="2" w:space="0"/>
              <w:bottom w:val="single" w:color="auto" w:sz="2" w:space="0"/>
              <w:right w:val="single" w:color="auto" w:sz="2" w:space="0"/>
            </w:tcBorders>
            <w:vAlign w:val="center"/>
          </w:tcPr>
          <w:p w14:paraId="10CC27ED">
            <w:pPr>
              <w:spacing w:before="0" w:after="0" w:line="240" w:lineRule="exact"/>
              <w:jc w:val="right"/>
              <w:rPr>
                <w:rFonts w:ascii="宋体" w:hAnsi="宋体" w:eastAsia="宋体" w:cs="宋体"/>
                <w:sz w:val="18"/>
                <w:szCs w:val="18"/>
              </w:rPr>
            </w:pPr>
            <w:r>
              <w:rPr>
                <w:rFonts w:ascii="宋体" w:hAnsi="宋体" w:eastAsia="宋体" w:cs="宋体"/>
                <w:sz w:val="18"/>
                <w:szCs w:val="18"/>
              </w:rPr>
              <w:t>34,961,397.42</w:t>
            </w:r>
          </w:p>
        </w:tc>
      </w:tr>
      <w:tr w14:paraId="029398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E2AD900">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投资损失（收益以“－”号填列）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6A13AF2C">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3213" w:type="dxa"/>
            <w:tcBorders>
              <w:top w:val="single" w:color="auto" w:sz="2" w:space="0"/>
              <w:left w:val="single" w:color="auto" w:sz="2" w:space="0"/>
              <w:bottom w:val="single" w:color="auto" w:sz="2" w:space="0"/>
              <w:right w:val="single" w:color="auto" w:sz="2" w:space="0"/>
            </w:tcBorders>
            <w:vAlign w:val="center"/>
          </w:tcPr>
          <w:p w14:paraId="31563FB9">
            <w:pPr>
              <w:spacing w:before="0" w:after="0" w:line="240" w:lineRule="exact"/>
              <w:jc w:val="right"/>
              <w:rPr>
                <w:rFonts w:ascii="宋体" w:hAnsi="宋体" w:eastAsia="宋体" w:cs="宋体"/>
                <w:sz w:val="18"/>
                <w:szCs w:val="18"/>
              </w:rPr>
            </w:pPr>
            <w:r>
              <w:rPr>
                <w:rFonts w:ascii="宋体" w:hAnsi="宋体" w:eastAsia="宋体" w:cs="宋体"/>
                <w:sz w:val="18"/>
                <w:szCs w:val="18"/>
              </w:rPr>
              <w:t>61,841,520.22</w:t>
            </w:r>
          </w:p>
        </w:tc>
      </w:tr>
      <w:tr w14:paraId="10F824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C506DBA">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递延所得税资产减少（增加以“－”号填列）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33775D7D">
            <w:pPr>
              <w:spacing w:before="0" w:after="0" w:line="240" w:lineRule="exact"/>
              <w:jc w:val="right"/>
              <w:rPr>
                <w:rFonts w:ascii="宋体" w:hAnsi="宋体" w:eastAsia="宋体" w:cs="宋体"/>
                <w:sz w:val="18"/>
                <w:szCs w:val="18"/>
              </w:rPr>
            </w:pPr>
            <w:r>
              <w:rPr>
                <w:rFonts w:ascii="宋体" w:hAnsi="宋体" w:eastAsia="宋体" w:cs="宋体"/>
                <w:sz w:val="18"/>
                <w:szCs w:val="18"/>
              </w:rPr>
              <w:t>-313,286.59</w:t>
            </w:r>
          </w:p>
        </w:tc>
        <w:tc>
          <w:tcPr>
            <w:tcW w:w="3213" w:type="dxa"/>
            <w:tcBorders>
              <w:top w:val="single" w:color="auto" w:sz="2" w:space="0"/>
              <w:left w:val="single" w:color="auto" w:sz="2" w:space="0"/>
              <w:bottom w:val="single" w:color="auto" w:sz="2" w:space="0"/>
              <w:right w:val="single" w:color="auto" w:sz="2" w:space="0"/>
            </w:tcBorders>
            <w:vAlign w:val="center"/>
          </w:tcPr>
          <w:p w14:paraId="489477F2">
            <w:pPr>
              <w:spacing w:before="0" w:after="0" w:line="240" w:lineRule="exact"/>
              <w:jc w:val="right"/>
              <w:rPr>
                <w:rFonts w:ascii="宋体" w:hAnsi="宋体" w:eastAsia="宋体" w:cs="宋体"/>
                <w:sz w:val="18"/>
                <w:szCs w:val="18"/>
              </w:rPr>
            </w:pPr>
            <w:r>
              <w:rPr>
                <w:rFonts w:ascii="宋体" w:hAnsi="宋体" w:eastAsia="宋体" w:cs="宋体"/>
                <w:sz w:val="18"/>
                <w:szCs w:val="18"/>
              </w:rPr>
              <w:t>69,916,077.37</w:t>
            </w:r>
          </w:p>
        </w:tc>
      </w:tr>
      <w:tr w14:paraId="18B907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8CFF80B">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递延所得税负债增加（减少以“－”号填列）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34F73AAF">
            <w:pPr>
              <w:spacing w:before="0" w:after="0" w:line="240" w:lineRule="exact"/>
              <w:jc w:val="right"/>
              <w:rPr>
                <w:rFonts w:ascii="宋体" w:hAnsi="宋体" w:eastAsia="宋体" w:cs="宋体"/>
                <w:sz w:val="18"/>
                <w:szCs w:val="18"/>
              </w:rPr>
            </w:pPr>
            <w:r>
              <w:rPr>
                <w:rFonts w:ascii="宋体" w:hAnsi="宋体" w:eastAsia="宋体" w:cs="宋体"/>
                <w:sz w:val="18"/>
                <w:szCs w:val="18"/>
              </w:rPr>
              <w:t>280,729.64</w:t>
            </w:r>
          </w:p>
        </w:tc>
        <w:tc>
          <w:tcPr>
            <w:tcW w:w="3213" w:type="dxa"/>
            <w:tcBorders>
              <w:top w:val="single" w:color="auto" w:sz="2" w:space="0"/>
              <w:left w:val="single" w:color="auto" w:sz="2" w:space="0"/>
              <w:bottom w:val="single" w:color="auto" w:sz="2" w:space="0"/>
              <w:right w:val="single" w:color="auto" w:sz="2" w:space="0"/>
            </w:tcBorders>
            <w:vAlign w:val="center"/>
          </w:tcPr>
          <w:p w14:paraId="64678275">
            <w:pPr>
              <w:spacing w:before="0" w:after="0" w:line="240" w:lineRule="exact"/>
              <w:jc w:val="right"/>
              <w:rPr>
                <w:rFonts w:ascii="宋体" w:hAnsi="宋体" w:eastAsia="宋体" w:cs="宋体"/>
                <w:sz w:val="18"/>
                <w:szCs w:val="18"/>
              </w:rPr>
            </w:pPr>
            <w:r>
              <w:rPr>
                <w:rFonts w:ascii="宋体" w:hAnsi="宋体" w:eastAsia="宋体" w:cs="宋体"/>
                <w:sz w:val="18"/>
                <w:szCs w:val="18"/>
              </w:rPr>
              <w:t>-32,782.52</w:t>
            </w:r>
          </w:p>
        </w:tc>
      </w:tr>
      <w:tr w14:paraId="01EE11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3EED5D3">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存货的减少（增加以“－”号填列）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08E8D574">
            <w:pPr>
              <w:spacing w:before="0" w:after="0" w:line="240" w:lineRule="exact"/>
              <w:jc w:val="right"/>
              <w:rPr>
                <w:rFonts w:ascii="宋体" w:hAnsi="宋体" w:eastAsia="宋体" w:cs="宋体"/>
                <w:sz w:val="18"/>
                <w:szCs w:val="18"/>
              </w:rPr>
            </w:pPr>
            <w:r>
              <w:rPr>
                <w:rFonts w:ascii="宋体" w:hAnsi="宋体" w:eastAsia="宋体" w:cs="宋体"/>
                <w:sz w:val="18"/>
                <w:szCs w:val="18"/>
              </w:rPr>
              <w:t>-37,656,883.64</w:t>
            </w:r>
          </w:p>
        </w:tc>
        <w:tc>
          <w:tcPr>
            <w:tcW w:w="3213" w:type="dxa"/>
            <w:tcBorders>
              <w:top w:val="single" w:color="auto" w:sz="2" w:space="0"/>
              <w:left w:val="single" w:color="auto" w:sz="2" w:space="0"/>
              <w:bottom w:val="single" w:color="auto" w:sz="2" w:space="0"/>
              <w:right w:val="single" w:color="auto" w:sz="2" w:space="0"/>
            </w:tcBorders>
            <w:vAlign w:val="center"/>
          </w:tcPr>
          <w:p w14:paraId="2A5B5C8D">
            <w:pPr>
              <w:spacing w:before="0" w:after="0" w:line="240" w:lineRule="exact"/>
              <w:jc w:val="right"/>
              <w:rPr>
                <w:rFonts w:ascii="宋体" w:hAnsi="宋体" w:eastAsia="宋体" w:cs="宋体"/>
                <w:sz w:val="18"/>
                <w:szCs w:val="18"/>
              </w:rPr>
            </w:pPr>
            <w:r>
              <w:rPr>
                <w:rFonts w:ascii="宋体" w:hAnsi="宋体" w:eastAsia="宋体" w:cs="宋体"/>
                <w:sz w:val="18"/>
                <w:szCs w:val="18"/>
              </w:rPr>
              <w:t>-49,303,284.60</w:t>
            </w:r>
          </w:p>
        </w:tc>
      </w:tr>
      <w:tr w14:paraId="3AC4FC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6A2F2F3">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经营性应收项目的减少（增加以“－”号填列）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0EB1C61E">
            <w:pPr>
              <w:spacing w:before="0" w:after="0" w:line="240" w:lineRule="exact"/>
              <w:jc w:val="right"/>
              <w:rPr>
                <w:rFonts w:ascii="宋体" w:hAnsi="宋体" w:eastAsia="宋体" w:cs="宋体"/>
                <w:sz w:val="18"/>
                <w:szCs w:val="18"/>
              </w:rPr>
            </w:pPr>
            <w:r>
              <w:rPr>
                <w:rFonts w:ascii="宋体" w:hAnsi="宋体" w:eastAsia="宋体" w:cs="宋体"/>
                <w:sz w:val="18"/>
                <w:szCs w:val="18"/>
              </w:rPr>
              <w:t>-97,712,603.11</w:t>
            </w:r>
          </w:p>
        </w:tc>
        <w:tc>
          <w:tcPr>
            <w:tcW w:w="3213" w:type="dxa"/>
            <w:tcBorders>
              <w:top w:val="single" w:color="auto" w:sz="2" w:space="0"/>
              <w:left w:val="single" w:color="auto" w:sz="2" w:space="0"/>
              <w:bottom w:val="single" w:color="auto" w:sz="2" w:space="0"/>
              <w:right w:val="single" w:color="auto" w:sz="2" w:space="0"/>
            </w:tcBorders>
            <w:vAlign w:val="center"/>
          </w:tcPr>
          <w:p w14:paraId="4C93AABC">
            <w:pPr>
              <w:spacing w:before="0" w:after="0" w:line="240" w:lineRule="exact"/>
              <w:jc w:val="right"/>
              <w:rPr>
                <w:rFonts w:ascii="宋体" w:hAnsi="宋体" w:eastAsia="宋体" w:cs="宋体"/>
                <w:sz w:val="18"/>
                <w:szCs w:val="18"/>
              </w:rPr>
            </w:pPr>
            <w:r>
              <w:rPr>
                <w:rFonts w:ascii="宋体" w:hAnsi="宋体" w:eastAsia="宋体" w:cs="宋体"/>
                <w:sz w:val="18"/>
                <w:szCs w:val="18"/>
              </w:rPr>
              <w:t>-75,449,152.27</w:t>
            </w:r>
          </w:p>
        </w:tc>
      </w:tr>
      <w:tr w14:paraId="1D20F9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5FC8F74">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经营性应付项目的增加（减少以“－”号填列）</w:t>
            </w:r>
          </w:p>
        </w:tc>
        <w:tc>
          <w:tcPr>
            <w:tcW w:w="3213" w:type="dxa"/>
            <w:tcBorders>
              <w:top w:val="single" w:color="auto" w:sz="2" w:space="0"/>
              <w:left w:val="single" w:color="auto" w:sz="2" w:space="0"/>
              <w:bottom w:val="single" w:color="auto" w:sz="2" w:space="0"/>
              <w:right w:val="single" w:color="auto" w:sz="2" w:space="0"/>
            </w:tcBorders>
            <w:vAlign w:val="center"/>
          </w:tcPr>
          <w:p w14:paraId="6950EE49">
            <w:pPr>
              <w:spacing w:before="0" w:after="0" w:line="240" w:lineRule="exact"/>
              <w:jc w:val="right"/>
              <w:rPr>
                <w:rFonts w:ascii="宋体" w:hAnsi="宋体" w:eastAsia="宋体" w:cs="宋体"/>
                <w:sz w:val="18"/>
                <w:szCs w:val="18"/>
              </w:rPr>
            </w:pPr>
            <w:r>
              <w:rPr>
                <w:rFonts w:ascii="宋体" w:hAnsi="宋体" w:eastAsia="宋体" w:cs="宋体"/>
                <w:sz w:val="18"/>
                <w:szCs w:val="18"/>
              </w:rPr>
              <w:t>78,570,720.97</w:t>
            </w:r>
          </w:p>
        </w:tc>
        <w:tc>
          <w:tcPr>
            <w:tcW w:w="3213" w:type="dxa"/>
            <w:tcBorders>
              <w:top w:val="single" w:color="auto" w:sz="2" w:space="0"/>
              <w:left w:val="single" w:color="auto" w:sz="2" w:space="0"/>
              <w:bottom w:val="single" w:color="auto" w:sz="2" w:space="0"/>
              <w:right w:val="single" w:color="auto" w:sz="2" w:space="0"/>
            </w:tcBorders>
            <w:vAlign w:val="center"/>
          </w:tcPr>
          <w:p w14:paraId="37DFF567">
            <w:pPr>
              <w:spacing w:before="0" w:after="0" w:line="240" w:lineRule="exact"/>
              <w:jc w:val="right"/>
              <w:rPr>
                <w:rFonts w:ascii="宋体" w:hAnsi="宋体" w:eastAsia="宋体" w:cs="宋体"/>
                <w:sz w:val="18"/>
                <w:szCs w:val="18"/>
              </w:rPr>
            </w:pPr>
            <w:r>
              <w:rPr>
                <w:rFonts w:ascii="宋体" w:hAnsi="宋体" w:eastAsia="宋体" w:cs="宋体"/>
                <w:sz w:val="18"/>
                <w:szCs w:val="18"/>
              </w:rPr>
              <w:t>74,724,438.31</w:t>
            </w:r>
          </w:p>
        </w:tc>
      </w:tr>
      <w:tr w14:paraId="658886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E415901">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14:paraId="2382AF65">
            <w:pPr>
              <w:spacing w:before="0" w:after="0" w:line="240" w:lineRule="exact"/>
              <w:jc w:val="right"/>
              <w:rPr>
                <w:rFonts w:ascii="宋体" w:hAnsi="宋体" w:eastAsia="宋体" w:cs="宋体"/>
                <w:sz w:val="18"/>
                <w:szCs w:val="18"/>
              </w:rPr>
            </w:pPr>
            <w:r>
              <w:rPr>
                <w:rFonts w:ascii="宋体" w:hAnsi="宋体" w:eastAsia="宋体" w:cs="宋体"/>
                <w:sz w:val="18"/>
                <w:szCs w:val="18"/>
              </w:rPr>
              <w:t>27,032,727.73</w:t>
            </w:r>
          </w:p>
        </w:tc>
        <w:tc>
          <w:tcPr>
            <w:tcW w:w="3213" w:type="dxa"/>
            <w:tcBorders>
              <w:top w:val="single" w:color="auto" w:sz="2" w:space="0"/>
              <w:left w:val="single" w:color="auto" w:sz="2" w:space="0"/>
              <w:bottom w:val="single" w:color="auto" w:sz="2" w:space="0"/>
              <w:right w:val="single" w:color="auto" w:sz="2" w:space="0"/>
            </w:tcBorders>
            <w:vAlign w:val="center"/>
          </w:tcPr>
          <w:p w14:paraId="56A9577E">
            <w:pPr>
              <w:spacing w:before="0" w:after="0" w:line="240" w:lineRule="exact"/>
              <w:jc w:val="right"/>
              <w:rPr>
                <w:rFonts w:ascii="宋体" w:hAnsi="宋体" w:eastAsia="宋体" w:cs="宋体"/>
                <w:sz w:val="18"/>
                <w:szCs w:val="18"/>
              </w:rPr>
            </w:pPr>
            <w:r>
              <w:rPr>
                <w:rFonts w:ascii="宋体" w:hAnsi="宋体" w:eastAsia="宋体" w:cs="宋体"/>
                <w:sz w:val="18"/>
                <w:szCs w:val="18"/>
              </w:rPr>
              <w:t>-2,337,364.98</w:t>
            </w:r>
          </w:p>
        </w:tc>
      </w:tr>
      <w:tr w14:paraId="4B2DB1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6CF0D0C">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经营活动产生的现金流量净额</w:t>
            </w:r>
          </w:p>
        </w:tc>
        <w:tc>
          <w:tcPr>
            <w:tcW w:w="3213" w:type="dxa"/>
            <w:tcBorders>
              <w:top w:val="single" w:color="auto" w:sz="2" w:space="0"/>
              <w:left w:val="single" w:color="auto" w:sz="2" w:space="0"/>
              <w:bottom w:val="single" w:color="auto" w:sz="2" w:space="0"/>
              <w:right w:val="single" w:color="auto" w:sz="2" w:space="0"/>
            </w:tcBorders>
            <w:vAlign w:val="center"/>
          </w:tcPr>
          <w:p w14:paraId="20340D76">
            <w:pPr>
              <w:spacing w:before="0" w:after="0" w:line="240" w:lineRule="exact"/>
              <w:jc w:val="right"/>
              <w:rPr>
                <w:rFonts w:ascii="宋体" w:hAnsi="宋体" w:eastAsia="宋体" w:cs="宋体"/>
                <w:sz w:val="18"/>
                <w:szCs w:val="18"/>
              </w:rPr>
            </w:pPr>
            <w:r>
              <w:rPr>
                <w:rFonts w:ascii="宋体" w:hAnsi="宋体" w:eastAsia="宋体" w:cs="宋体"/>
                <w:sz w:val="18"/>
                <w:szCs w:val="18"/>
              </w:rPr>
              <w:t>20,707,723.30</w:t>
            </w:r>
          </w:p>
        </w:tc>
        <w:tc>
          <w:tcPr>
            <w:tcW w:w="3213" w:type="dxa"/>
            <w:tcBorders>
              <w:top w:val="single" w:color="auto" w:sz="2" w:space="0"/>
              <w:left w:val="single" w:color="auto" w:sz="2" w:space="0"/>
              <w:bottom w:val="single" w:color="auto" w:sz="2" w:space="0"/>
              <w:right w:val="single" w:color="auto" w:sz="2" w:space="0"/>
            </w:tcBorders>
            <w:vAlign w:val="center"/>
          </w:tcPr>
          <w:p w14:paraId="570314A2">
            <w:pPr>
              <w:spacing w:before="0" w:after="0" w:line="240" w:lineRule="exact"/>
              <w:jc w:val="right"/>
              <w:rPr>
                <w:rFonts w:ascii="宋体" w:hAnsi="宋体" w:eastAsia="宋体" w:cs="宋体"/>
                <w:sz w:val="18"/>
                <w:szCs w:val="18"/>
              </w:rPr>
            </w:pPr>
            <w:r>
              <w:rPr>
                <w:rFonts w:ascii="宋体" w:hAnsi="宋体" w:eastAsia="宋体" w:cs="宋体"/>
                <w:sz w:val="18"/>
                <w:szCs w:val="18"/>
              </w:rPr>
              <w:t>-174,595,576.92</w:t>
            </w:r>
          </w:p>
        </w:tc>
      </w:tr>
      <w:tr w14:paraId="1F737D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DAAAC58">
            <w:pPr>
              <w:spacing w:before="40" w:after="40" w:line="240" w:lineRule="exact"/>
              <w:jc w:val="left"/>
              <w:rPr>
                <w:rFonts w:ascii="宋体" w:hAnsi="宋体" w:eastAsia="宋体" w:cs="宋体"/>
                <w:sz w:val="18"/>
                <w:szCs w:val="18"/>
              </w:rPr>
            </w:pPr>
            <w:r>
              <w:rPr>
                <w:rFonts w:ascii="宋体" w:hAnsi="宋体" w:eastAsia="宋体" w:cs="宋体"/>
                <w:sz w:val="18"/>
                <w:szCs w:val="18"/>
              </w:rPr>
              <w:t>2．不涉及现金收支的重大投资和筹资活动</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72452CA"/>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933D80B"/>
        </w:tc>
      </w:tr>
      <w:tr w14:paraId="58B7FB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17EBC74">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债务转为资本</w:t>
            </w:r>
          </w:p>
        </w:tc>
        <w:tc>
          <w:tcPr>
            <w:tcW w:w="3213" w:type="dxa"/>
            <w:tcBorders>
              <w:top w:val="single" w:color="auto" w:sz="2" w:space="0"/>
              <w:left w:val="single" w:color="auto" w:sz="2" w:space="0"/>
              <w:bottom w:val="single" w:color="auto" w:sz="2" w:space="0"/>
              <w:right w:val="single" w:color="auto" w:sz="2" w:space="0"/>
            </w:tcBorders>
            <w:vAlign w:val="center"/>
          </w:tcPr>
          <w:p w14:paraId="387D405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20762AD">
            <w:pPr>
              <w:spacing w:before="0" w:after="0" w:line="240" w:lineRule="exact"/>
              <w:jc w:val="right"/>
              <w:rPr>
                <w:rFonts w:ascii="宋体" w:hAnsi="宋体" w:eastAsia="宋体" w:cs="宋体"/>
                <w:sz w:val="18"/>
                <w:szCs w:val="18"/>
              </w:rPr>
            </w:pPr>
          </w:p>
        </w:tc>
      </w:tr>
      <w:tr w14:paraId="4AC5F2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841F922">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一年内到期的可转换公司债券</w:t>
            </w:r>
          </w:p>
        </w:tc>
        <w:tc>
          <w:tcPr>
            <w:tcW w:w="3213" w:type="dxa"/>
            <w:tcBorders>
              <w:top w:val="single" w:color="auto" w:sz="2" w:space="0"/>
              <w:left w:val="single" w:color="auto" w:sz="2" w:space="0"/>
              <w:bottom w:val="single" w:color="auto" w:sz="2" w:space="0"/>
              <w:right w:val="single" w:color="auto" w:sz="2" w:space="0"/>
            </w:tcBorders>
            <w:vAlign w:val="center"/>
          </w:tcPr>
          <w:p w14:paraId="22A92AB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743D914">
            <w:pPr>
              <w:spacing w:before="0" w:after="0" w:line="240" w:lineRule="exact"/>
              <w:jc w:val="right"/>
              <w:rPr>
                <w:rFonts w:ascii="宋体" w:hAnsi="宋体" w:eastAsia="宋体" w:cs="宋体"/>
                <w:sz w:val="18"/>
                <w:szCs w:val="18"/>
              </w:rPr>
            </w:pPr>
          </w:p>
        </w:tc>
      </w:tr>
      <w:tr w14:paraId="4ED2A2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3ED548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融资租入固定资产</w:t>
            </w:r>
          </w:p>
        </w:tc>
        <w:tc>
          <w:tcPr>
            <w:tcW w:w="3213" w:type="dxa"/>
            <w:tcBorders>
              <w:top w:val="single" w:color="auto" w:sz="2" w:space="0"/>
              <w:left w:val="single" w:color="auto" w:sz="2" w:space="0"/>
              <w:bottom w:val="single" w:color="auto" w:sz="2" w:space="0"/>
              <w:right w:val="single" w:color="auto" w:sz="2" w:space="0"/>
            </w:tcBorders>
            <w:vAlign w:val="center"/>
          </w:tcPr>
          <w:p w14:paraId="081C7FF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1463D9E">
            <w:pPr>
              <w:spacing w:before="0" w:after="0" w:line="240" w:lineRule="exact"/>
              <w:jc w:val="right"/>
              <w:rPr>
                <w:rFonts w:ascii="宋体" w:hAnsi="宋体" w:eastAsia="宋体" w:cs="宋体"/>
                <w:sz w:val="18"/>
                <w:szCs w:val="18"/>
              </w:rPr>
            </w:pPr>
          </w:p>
        </w:tc>
      </w:tr>
      <w:tr w14:paraId="430956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37B5740">
            <w:pPr>
              <w:spacing w:before="40" w:after="40" w:line="240" w:lineRule="exact"/>
              <w:jc w:val="left"/>
              <w:rPr>
                <w:rFonts w:ascii="宋体" w:hAnsi="宋体" w:eastAsia="宋体" w:cs="宋体"/>
                <w:sz w:val="18"/>
                <w:szCs w:val="18"/>
              </w:rPr>
            </w:pPr>
            <w:r>
              <w:rPr>
                <w:rFonts w:ascii="宋体" w:hAnsi="宋体" w:eastAsia="宋体" w:cs="宋体"/>
                <w:sz w:val="18"/>
                <w:szCs w:val="18"/>
              </w:rPr>
              <w:t>3．现金及现金等价物净变动情况：</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2BEA9A5"/>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5896FC6"/>
        </w:tc>
      </w:tr>
      <w:tr w14:paraId="14E726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512B1E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现金的期末余额</w:t>
            </w:r>
          </w:p>
        </w:tc>
        <w:tc>
          <w:tcPr>
            <w:tcW w:w="3213" w:type="dxa"/>
            <w:tcBorders>
              <w:top w:val="single" w:color="auto" w:sz="2" w:space="0"/>
              <w:left w:val="single" w:color="auto" w:sz="2" w:space="0"/>
              <w:bottom w:val="single" w:color="auto" w:sz="2" w:space="0"/>
              <w:right w:val="single" w:color="auto" w:sz="2" w:space="0"/>
            </w:tcBorders>
            <w:vAlign w:val="center"/>
          </w:tcPr>
          <w:p w14:paraId="1AD8D61B">
            <w:pPr>
              <w:spacing w:before="0" w:after="0" w:line="240" w:lineRule="exact"/>
              <w:jc w:val="right"/>
              <w:rPr>
                <w:rFonts w:ascii="宋体" w:hAnsi="宋体" w:eastAsia="宋体" w:cs="宋体"/>
                <w:sz w:val="18"/>
                <w:szCs w:val="18"/>
              </w:rPr>
            </w:pPr>
            <w:r>
              <w:rPr>
                <w:rFonts w:ascii="宋体" w:hAnsi="宋体" w:eastAsia="宋体" w:cs="宋体"/>
                <w:sz w:val="18"/>
                <w:szCs w:val="18"/>
              </w:rPr>
              <w:t>142,958,457.81</w:t>
            </w:r>
          </w:p>
        </w:tc>
        <w:tc>
          <w:tcPr>
            <w:tcW w:w="3213" w:type="dxa"/>
            <w:tcBorders>
              <w:top w:val="single" w:color="auto" w:sz="2" w:space="0"/>
              <w:left w:val="single" w:color="auto" w:sz="2" w:space="0"/>
              <w:bottom w:val="single" w:color="auto" w:sz="2" w:space="0"/>
              <w:right w:val="single" w:color="auto" w:sz="2" w:space="0"/>
            </w:tcBorders>
            <w:vAlign w:val="center"/>
          </w:tcPr>
          <w:p w14:paraId="27ACB4C1">
            <w:pPr>
              <w:spacing w:before="0" w:after="0" w:line="240" w:lineRule="exact"/>
              <w:jc w:val="right"/>
              <w:rPr>
                <w:rFonts w:ascii="宋体" w:hAnsi="宋体" w:eastAsia="宋体" w:cs="宋体"/>
                <w:sz w:val="18"/>
                <w:szCs w:val="18"/>
              </w:rPr>
            </w:pPr>
            <w:r>
              <w:rPr>
                <w:rFonts w:ascii="宋体" w:hAnsi="宋体" w:eastAsia="宋体" w:cs="宋体"/>
                <w:sz w:val="18"/>
                <w:szCs w:val="18"/>
              </w:rPr>
              <w:t>202,519,959.54</w:t>
            </w:r>
          </w:p>
        </w:tc>
      </w:tr>
      <w:tr w14:paraId="7A6E9B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215C4B3">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减：现金的期初余额</w:t>
            </w:r>
          </w:p>
        </w:tc>
        <w:tc>
          <w:tcPr>
            <w:tcW w:w="3213" w:type="dxa"/>
            <w:tcBorders>
              <w:top w:val="single" w:color="auto" w:sz="2" w:space="0"/>
              <w:left w:val="single" w:color="auto" w:sz="2" w:space="0"/>
              <w:bottom w:val="single" w:color="auto" w:sz="2" w:space="0"/>
              <w:right w:val="single" w:color="auto" w:sz="2" w:space="0"/>
            </w:tcBorders>
            <w:vAlign w:val="center"/>
          </w:tcPr>
          <w:p w14:paraId="545DA28C">
            <w:pPr>
              <w:spacing w:before="0" w:after="0" w:line="240" w:lineRule="exact"/>
              <w:jc w:val="right"/>
              <w:rPr>
                <w:rFonts w:ascii="宋体" w:hAnsi="宋体" w:eastAsia="宋体" w:cs="宋体"/>
                <w:sz w:val="18"/>
                <w:szCs w:val="18"/>
              </w:rPr>
            </w:pPr>
            <w:r>
              <w:rPr>
                <w:rFonts w:ascii="宋体" w:hAnsi="宋体" w:eastAsia="宋体" w:cs="宋体"/>
                <w:sz w:val="18"/>
                <w:szCs w:val="18"/>
              </w:rPr>
              <w:t>202,519,959.54</w:t>
            </w:r>
          </w:p>
        </w:tc>
        <w:tc>
          <w:tcPr>
            <w:tcW w:w="3213" w:type="dxa"/>
            <w:tcBorders>
              <w:top w:val="single" w:color="auto" w:sz="2" w:space="0"/>
              <w:left w:val="single" w:color="auto" w:sz="2" w:space="0"/>
              <w:bottom w:val="single" w:color="auto" w:sz="2" w:space="0"/>
              <w:right w:val="single" w:color="auto" w:sz="2" w:space="0"/>
            </w:tcBorders>
            <w:vAlign w:val="center"/>
          </w:tcPr>
          <w:p w14:paraId="00C1FD26">
            <w:pPr>
              <w:spacing w:before="0" w:after="0" w:line="240" w:lineRule="exact"/>
              <w:jc w:val="right"/>
              <w:rPr>
                <w:rFonts w:ascii="宋体" w:hAnsi="宋体" w:eastAsia="宋体" w:cs="宋体"/>
                <w:sz w:val="18"/>
                <w:szCs w:val="18"/>
              </w:rPr>
            </w:pPr>
            <w:r>
              <w:rPr>
                <w:rFonts w:ascii="宋体" w:hAnsi="宋体" w:eastAsia="宋体" w:cs="宋体"/>
                <w:sz w:val="18"/>
                <w:szCs w:val="18"/>
              </w:rPr>
              <w:t>234,805,651.57</w:t>
            </w:r>
          </w:p>
        </w:tc>
      </w:tr>
      <w:tr w14:paraId="331DE4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DB16EBD">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加：现金等价物的期末余额</w:t>
            </w:r>
          </w:p>
        </w:tc>
        <w:tc>
          <w:tcPr>
            <w:tcW w:w="3213" w:type="dxa"/>
            <w:tcBorders>
              <w:top w:val="single" w:color="auto" w:sz="2" w:space="0"/>
              <w:left w:val="single" w:color="auto" w:sz="2" w:space="0"/>
              <w:bottom w:val="single" w:color="auto" w:sz="2" w:space="0"/>
              <w:right w:val="single" w:color="auto" w:sz="2" w:space="0"/>
            </w:tcBorders>
            <w:vAlign w:val="center"/>
          </w:tcPr>
          <w:p w14:paraId="6D4D2E72">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E0FC086">
            <w:pPr>
              <w:spacing w:before="0" w:after="0" w:line="240" w:lineRule="exact"/>
              <w:jc w:val="right"/>
              <w:rPr>
                <w:rFonts w:ascii="宋体" w:hAnsi="宋体" w:eastAsia="宋体" w:cs="宋体"/>
                <w:sz w:val="18"/>
                <w:szCs w:val="18"/>
              </w:rPr>
            </w:pPr>
          </w:p>
        </w:tc>
      </w:tr>
      <w:tr w14:paraId="722C73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9150BD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减：现金等价物的期初余额</w:t>
            </w:r>
          </w:p>
        </w:tc>
        <w:tc>
          <w:tcPr>
            <w:tcW w:w="3213" w:type="dxa"/>
            <w:tcBorders>
              <w:top w:val="single" w:color="auto" w:sz="2" w:space="0"/>
              <w:left w:val="single" w:color="auto" w:sz="2" w:space="0"/>
              <w:bottom w:val="single" w:color="auto" w:sz="2" w:space="0"/>
              <w:right w:val="single" w:color="auto" w:sz="2" w:space="0"/>
            </w:tcBorders>
            <w:vAlign w:val="center"/>
          </w:tcPr>
          <w:p w14:paraId="173A6F2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4695953">
            <w:pPr>
              <w:spacing w:before="0" w:after="0" w:line="240" w:lineRule="exact"/>
              <w:jc w:val="right"/>
              <w:rPr>
                <w:rFonts w:ascii="宋体" w:hAnsi="宋体" w:eastAsia="宋体" w:cs="宋体"/>
                <w:sz w:val="18"/>
                <w:szCs w:val="18"/>
              </w:rPr>
            </w:pPr>
          </w:p>
        </w:tc>
      </w:tr>
      <w:tr w14:paraId="30DAA4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A09D30A">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现金及现金等价物净增加额</w:t>
            </w:r>
          </w:p>
        </w:tc>
        <w:tc>
          <w:tcPr>
            <w:tcW w:w="3213" w:type="dxa"/>
            <w:tcBorders>
              <w:top w:val="single" w:color="auto" w:sz="2" w:space="0"/>
              <w:left w:val="single" w:color="auto" w:sz="2" w:space="0"/>
              <w:bottom w:val="single" w:color="auto" w:sz="2" w:space="0"/>
              <w:right w:val="single" w:color="auto" w:sz="2" w:space="0"/>
            </w:tcBorders>
            <w:vAlign w:val="center"/>
          </w:tcPr>
          <w:p w14:paraId="6F4C781E">
            <w:pPr>
              <w:spacing w:before="0" w:after="0" w:line="240" w:lineRule="exact"/>
              <w:jc w:val="right"/>
              <w:rPr>
                <w:rFonts w:ascii="宋体" w:hAnsi="宋体" w:eastAsia="宋体" w:cs="宋体"/>
                <w:sz w:val="18"/>
                <w:szCs w:val="18"/>
              </w:rPr>
            </w:pPr>
            <w:r>
              <w:rPr>
                <w:rFonts w:ascii="宋体" w:hAnsi="宋体" w:eastAsia="宋体" w:cs="宋体"/>
                <w:sz w:val="18"/>
                <w:szCs w:val="18"/>
              </w:rPr>
              <w:t>-59,561,501.73</w:t>
            </w:r>
          </w:p>
        </w:tc>
        <w:tc>
          <w:tcPr>
            <w:tcW w:w="3213" w:type="dxa"/>
            <w:tcBorders>
              <w:top w:val="single" w:color="auto" w:sz="2" w:space="0"/>
              <w:left w:val="single" w:color="auto" w:sz="2" w:space="0"/>
              <w:bottom w:val="single" w:color="auto" w:sz="2" w:space="0"/>
              <w:right w:val="single" w:color="auto" w:sz="2" w:space="0"/>
            </w:tcBorders>
            <w:vAlign w:val="center"/>
          </w:tcPr>
          <w:p w14:paraId="2F062345">
            <w:pPr>
              <w:spacing w:before="0" w:after="0" w:line="240" w:lineRule="exact"/>
              <w:jc w:val="right"/>
              <w:rPr>
                <w:rFonts w:ascii="宋体" w:hAnsi="宋体" w:eastAsia="宋体" w:cs="宋体"/>
                <w:sz w:val="18"/>
                <w:szCs w:val="18"/>
              </w:rPr>
            </w:pPr>
            <w:r>
              <w:rPr>
                <w:rFonts w:ascii="宋体" w:hAnsi="宋体" w:eastAsia="宋体" w:cs="宋体"/>
                <w:sz w:val="18"/>
                <w:szCs w:val="18"/>
              </w:rPr>
              <w:t>-32,285,692.03</w:t>
            </w:r>
          </w:p>
        </w:tc>
      </w:tr>
    </w:tbl>
    <w:p w14:paraId="41515F04">
      <w:pPr>
        <w:keepNext/>
        <w:keepLines/>
        <w:spacing w:before="300" w:after="300" w:line="280" w:lineRule="exact"/>
        <w:jc w:val="left"/>
        <w:outlineLvl w:val="3"/>
        <w:rPr>
          <w:rFonts w:ascii="宋体" w:hAnsi="宋体" w:eastAsia="宋体" w:cs="宋体"/>
          <w:b/>
          <w:bCs/>
          <w:sz w:val="21"/>
          <w:szCs w:val="21"/>
        </w:rPr>
      </w:pPr>
      <w:bookmarkStart w:id="443" w:name="_Toc989326"/>
      <w:r>
        <w:rPr>
          <w:rFonts w:ascii="宋体" w:hAnsi="宋体" w:eastAsia="宋体" w:cs="宋体"/>
          <w:b/>
          <w:bCs/>
          <w:sz w:val="21"/>
          <w:szCs w:val="21"/>
        </w:rPr>
        <w:t>（2） 本期支付的取得子公司的现金净额</w:t>
      </w:r>
      <w:bookmarkEnd w:id="443"/>
    </w:p>
    <w:p w14:paraId="27D163E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31E8DA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A48A367"/>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337AB4B7">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r>
      <w:tr w14:paraId="2E93E9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A92A7B6">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64C8089"/>
        </w:tc>
      </w:tr>
      <w:tr w14:paraId="2618CA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3328FAA">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A030C31"/>
        </w:tc>
      </w:tr>
      <w:tr w14:paraId="7B038C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E2EBBBF">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415EADB"/>
        </w:tc>
      </w:tr>
    </w:tbl>
    <w:p w14:paraId="18D9B52B">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7F55EF0">
      <w:pPr>
        <w:keepNext/>
        <w:keepLines/>
        <w:spacing w:before="300" w:after="300" w:line="280" w:lineRule="exact"/>
        <w:jc w:val="left"/>
        <w:outlineLvl w:val="3"/>
        <w:rPr>
          <w:rFonts w:ascii="宋体" w:hAnsi="宋体" w:eastAsia="宋体" w:cs="宋体"/>
          <w:b/>
          <w:bCs/>
          <w:sz w:val="21"/>
          <w:szCs w:val="21"/>
        </w:rPr>
      </w:pPr>
      <w:bookmarkStart w:id="444" w:name="_Toc989327"/>
      <w:r>
        <w:rPr>
          <w:rFonts w:ascii="宋体" w:hAnsi="宋体" w:eastAsia="宋体" w:cs="宋体"/>
          <w:b/>
          <w:bCs/>
          <w:sz w:val="21"/>
          <w:szCs w:val="21"/>
        </w:rPr>
        <w:t>（3） 本期收到的处置子公司的现金净额</w:t>
      </w:r>
      <w:bookmarkEnd w:id="444"/>
    </w:p>
    <w:p w14:paraId="7518DE1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4E8B5A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0DC17E1"/>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2A85431">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r>
      <w:tr w14:paraId="2F74CB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378A441E">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64369B3"/>
        </w:tc>
      </w:tr>
      <w:tr w14:paraId="74DA32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EB227DF">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21F273F"/>
        </w:tc>
      </w:tr>
      <w:tr w14:paraId="070A19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B656C1A">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5AB4BF5"/>
        </w:tc>
      </w:tr>
    </w:tbl>
    <w:p w14:paraId="0A867029">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4B83CFBC">
      <w:pPr>
        <w:keepNext/>
        <w:keepLines/>
        <w:spacing w:before="300" w:after="300" w:line="280" w:lineRule="exact"/>
        <w:jc w:val="left"/>
        <w:outlineLvl w:val="3"/>
        <w:rPr>
          <w:rFonts w:ascii="宋体" w:hAnsi="宋体" w:eastAsia="宋体" w:cs="宋体"/>
          <w:b/>
          <w:bCs/>
          <w:sz w:val="21"/>
          <w:szCs w:val="21"/>
        </w:rPr>
      </w:pPr>
      <w:bookmarkStart w:id="445" w:name="_Toc989328"/>
      <w:r>
        <w:rPr>
          <w:rFonts w:ascii="宋体" w:hAnsi="宋体" w:eastAsia="宋体" w:cs="宋体"/>
          <w:b/>
          <w:bCs/>
          <w:sz w:val="21"/>
          <w:szCs w:val="21"/>
        </w:rPr>
        <w:t>（4） 现金和现金等价物的构成</w:t>
      </w:r>
      <w:bookmarkEnd w:id="445"/>
    </w:p>
    <w:p w14:paraId="1BBAE69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E52E6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AF1B2E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BB04968">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F990EBA">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36CE7E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E5B86C0">
            <w:pPr>
              <w:spacing w:before="40" w:after="40" w:line="240" w:lineRule="exact"/>
              <w:jc w:val="left"/>
              <w:rPr>
                <w:rFonts w:ascii="宋体" w:hAnsi="宋体" w:eastAsia="宋体" w:cs="宋体"/>
                <w:sz w:val="18"/>
                <w:szCs w:val="18"/>
              </w:rPr>
            </w:pPr>
            <w:r>
              <w:rPr>
                <w:rFonts w:ascii="宋体" w:hAnsi="宋体" w:eastAsia="宋体" w:cs="宋体"/>
                <w:sz w:val="18"/>
                <w:szCs w:val="18"/>
              </w:rPr>
              <w:t>一、现金</w:t>
            </w:r>
          </w:p>
        </w:tc>
        <w:tc>
          <w:tcPr>
            <w:tcW w:w="3213" w:type="dxa"/>
            <w:tcBorders>
              <w:top w:val="single" w:color="auto" w:sz="2" w:space="0"/>
              <w:left w:val="single" w:color="auto" w:sz="2" w:space="0"/>
              <w:bottom w:val="single" w:color="auto" w:sz="2" w:space="0"/>
              <w:right w:val="single" w:color="auto" w:sz="2" w:space="0"/>
            </w:tcBorders>
            <w:vAlign w:val="center"/>
          </w:tcPr>
          <w:p w14:paraId="7F25523C">
            <w:pPr>
              <w:spacing w:before="0" w:after="0" w:line="240" w:lineRule="exact"/>
              <w:jc w:val="right"/>
              <w:rPr>
                <w:rFonts w:ascii="宋体" w:hAnsi="宋体" w:eastAsia="宋体" w:cs="宋体"/>
                <w:sz w:val="18"/>
                <w:szCs w:val="18"/>
              </w:rPr>
            </w:pPr>
            <w:r>
              <w:rPr>
                <w:rFonts w:ascii="宋体" w:hAnsi="宋体" w:eastAsia="宋体" w:cs="宋体"/>
                <w:sz w:val="18"/>
                <w:szCs w:val="18"/>
              </w:rPr>
              <w:t>142,958,457.81</w:t>
            </w:r>
          </w:p>
        </w:tc>
        <w:tc>
          <w:tcPr>
            <w:tcW w:w="3213" w:type="dxa"/>
            <w:tcBorders>
              <w:top w:val="single" w:color="auto" w:sz="2" w:space="0"/>
              <w:left w:val="single" w:color="auto" w:sz="2" w:space="0"/>
              <w:bottom w:val="single" w:color="auto" w:sz="2" w:space="0"/>
              <w:right w:val="single" w:color="auto" w:sz="2" w:space="0"/>
            </w:tcBorders>
            <w:vAlign w:val="center"/>
          </w:tcPr>
          <w:p w14:paraId="2B6C5761">
            <w:pPr>
              <w:spacing w:before="0" w:after="0" w:line="240" w:lineRule="exact"/>
              <w:jc w:val="right"/>
              <w:rPr>
                <w:rFonts w:ascii="宋体" w:hAnsi="宋体" w:eastAsia="宋体" w:cs="宋体"/>
                <w:sz w:val="18"/>
                <w:szCs w:val="18"/>
              </w:rPr>
            </w:pPr>
            <w:r>
              <w:rPr>
                <w:rFonts w:ascii="宋体" w:hAnsi="宋体" w:eastAsia="宋体" w:cs="宋体"/>
                <w:sz w:val="18"/>
                <w:szCs w:val="18"/>
              </w:rPr>
              <w:t>202,519,959.54</w:t>
            </w:r>
          </w:p>
        </w:tc>
      </w:tr>
      <w:tr w14:paraId="4DFD2D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BED4258">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可随时用于支付的银行存款</w:t>
            </w:r>
          </w:p>
        </w:tc>
        <w:tc>
          <w:tcPr>
            <w:tcW w:w="3213" w:type="dxa"/>
            <w:tcBorders>
              <w:top w:val="single" w:color="auto" w:sz="2" w:space="0"/>
              <w:left w:val="single" w:color="auto" w:sz="2" w:space="0"/>
              <w:bottom w:val="single" w:color="auto" w:sz="2" w:space="0"/>
              <w:right w:val="single" w:color="auto" w:sz="2" w:space="0"/>
            </w:tcBorders>
            <w:vAlign w:val="center"/>
          </w:tcPr>
          <w:p w14:paraId="5A8C7F56">
            <w:pPr>
              <w:spacing w:before="0" w:after="0" w:line="240" w:lineRule="exact"/>
              <w:jc w:val="right"/>
              <w:rPr>
                <w:rFonts w:ascii="宋体" w:hAnsi="宋体" w:eastAsia="宋体" w:cs="宋体"/>
                <w:sz w:val="18"/>
                <w:szCs w:val="18"/>
              </w:rPr>
            </w:pPr>
            <w:r>
              <w:rPr>
                <w:rFonts w:ascii="宋体" w:hAnsi="宋体" w:eastAsia="宋体" w:cs="宋体"/>
                <w:sz w:val="18"/>
                <w:szCs w:val="18"/>
              </w:rPr>
              <w:t>142,958,457.81</w:t>
            </w:r>
          </w:p>
        </w:tc>
        <w:tc>
          <w:tcPr>
            <w:tcW w:w="3213" w:type="dxa"/>
            <w:tcBorders>
              <w:top w:val="single" w:color="auto" w:sz="2" w:space="0"/>
              <w:left w:val="single" w:color="auto" w:sz="2" w:space="0"/>
              <w:bottom w:val="single" w:color="auto" w:sz="2" w:space="0"/>
              <w:right w:val="single" w:color="auto" w:sz="2" w:space="0"/>
            </w:tcBorders>
            <w:vAlign w:val="center"/>
          </w:tcPr>
          <w:p w14:paraId="28BFF505">
            <w:pPr>
              <w:spacing w:before="0" w:after="0" w:line="240" w:lineRule="exact"/>
              <w:jc w:val="right"/>
              <w:rPr>
                <w:rFonts w:ascii="宋体" w:hAnsi="宋体" w:eastAsia="宋体" w:cs="宋体"/>
                <w:sz w:val="18"/>
                <w:szCs w:val="18"/>
              </w:rPr>
            </w:pPr>
            <w:r>
              <w:rPr>
                <w:rFonts w:ascii="宋体" w:hAnsi="宋体" w:eastAsia="宋体" w:cs="宋体"/>
                <w:sz w:val="18"/>
                <w:szCs w:val="18"/>
              </w:rPr>
              <w:t>202,519,959.54</w:t>
            </w:r>
          </w:p>
        </w:tc>
      </w:tr>
      <w:tr w14:paraId="46388D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DC19560">
            <w:pPr>
              <w:spacing w:before="40" w:after="40" w:line="240" w:lineRule="exact"/>
              <w:jc w:val="left"/>
              <w:rPr>
                <w:rFonts w:ascii="宋体" w:hAnsi="宋体" w:eastAsia="宋体" w:cs="宋体"/>
                <w:sz w:val="18"/>
                <w:szCs w:val="18"/>
              </w:rPr>
            </w:pPr>
            <w:r>
              <w:rPr>
                <w:rFonts w:ascii="宋体" w:hAnsi="宋体" w:eastAsia="宋体" w:cs="宋体"/>
                <w:sz w:val="18"/>
                <w:szCs w:val="18"/>
              </w:rPr>
              <w:t>三、期末现金及现金等价物余额</w:t>
            </w:r>
          </w:p>
        </w:tc>
        <w:tc>
          <w:tcPr>
            <w:tcW w:w="3213" w:type="dxa"/>
            <w:tcBorders>
              <w:top w:val="single" w:color="auto" w:sz="2" w:space="0"/>
              <w:left w:val="single" w:color="auto" w:sz="2" w:space="0"/>
              <w:bottom w:val="single" w:color="auto" w:sz="2" w:space="0"/>
              <w:right w:val="single" w:color="auto" w:sz="2" w:space="0"/>
            </w:tcBorders>
            <w:vAlign w:val="center"/>
          </w:tcPr>
          <w:p w14:paraId="29B1A0B4">
            <w:pPr>
              <w:spacing w:before="0" w:after="0" w:line="240" w:lineRule="exact"/>
              <w:jc w:val="right"/>
              <w:rPr>
                <w:rFonts w:ascii="宋体" w:hAnsi="宋体" w:eastAsia="宋体" w:cs="宋体"/>
                <w:sz w:val="18"/>
                <w:szCs w:val="18"/>
              </w:rPr>
            </w:pPr>
            <w:r>
              <w:rPr>
                <w:rFonts w:ascii="宋体" w:hAnsi="宋体" w:eastAsia="宋体" w:cs="宋体"/>
                <w:sz w:val="18"/>
                <w:szCs w:val="18"/>
              </w:rPr>
              <w:t>142,958,457.81</w:t>
            </w:r>
          </w:p>
        </w:tc>
        <w:tc>
          <w:tcPr>
            <w:tcW w:w="3213" w:type="dxa"/>
            <w:tcBorders>
              <w:top w:val="single" w:color="auto" w:sz="2" w:space="0"/>
              <w:left w:val="single" w:color="auto" w:sz="2" w:space="0"/>
              <w:bottom w:val="single" w:color="auto" w:sz="2" w:space="0"/>
              <w:right w:val="single" w:color="auto" w:sz="2" w:space="0"/>
            </w:tcBorders>
            <w:vAlign w:val="center"/>
          </w:tcPr>
          <w:p w14:paraId="17455A2E">
            <w:pPr>
              <w:spacing w:before="0" w:after="0" w:line="240" w:lineRule="exact"/>
              <w:jc w:val="right"/>
              <w:rPr>
                <w:rFonts w:ascii="宋体" w:hAnsi="宋体" w:eastAsia="宋体" w:cs="宋体"/>
                <w:sz w:val="18"/>
                <w:szCs w:val="18"/>
              </w:rPr>
            </w:pPr>
            <w:r>
              <w:rPr>
                <w:rFonts w:ascii="宋体" w:hAnsi="宋体" w:eastAsia="宋体" w:cs="宋体"/>
                <w:sz w:val="18"/>
                <w:szCs w:val="18"/>
              </w:rPr>
              <w:t>202,519,959.54</w:t>
            </w:r>
          </w:p>
        </w:tc>
      </w:tr>
    </w:tbl>
    <w:p w14:paraId="3FADE4A4">
      <w:pPr>
        <w:keepNext/>
        <w:keepLines/>
        <w:spacing w:before="300" w:after="300" w:line="280" w:lineRule="exact"/>
        <w:jc w:val="left"/>
        <w:outlineLvl w:val="3"/>
        <w:rPr>
          <w:rFonts w:ascii="宋体" w:hAnsi="宋体" w:eastAsia="宋体" w:cs="宋体"/>
          <w:b/>
          <w:bCs/>
          <w:sz w:val="21"/>
          <w:szCs w:val="21"/>
        </w:rPr>
      </w:pPr>
      <w:bookmarkStart w:id="446" w:name="_Toc989329"/>
      <w:r>
        <w:rPr>
          <w:rFonts w:ascii="宋体" w:hAnsi="宋体" w:eastAsia="宋体" w:cs="宋体"/>
          <w:b/>
          <w:bCs/>
          <w:sz w:val="21"/>
          <w:szCs w:val="21"/>
        </w:rPr>
        <w:t>（5） 使用范围受限但仍属于现金及现金等价物列示的情况</w:t>
      </w:r>
      <w:bookmarkEnd w:id="446"/>
    </w:p>
    <w:p w14:paraId="6BA993F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647C15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763BEF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78F4FB4">
            <w:pPr>
              <w:spacing w:before="40" w:after="40" w:line="240" w:lineRule="exact"/>
              <w:jc w:val="center"/>
              <w:rPr>
                <w:rFonts w:ascii="宋体" w:hAnsi="宋体" w:eastAsia="宋体" w:cs="宋体"/>
                <w:sz w:val="18"/>
                <w:szCs w:val="18"/>
              </w:rPr>
            </w:pPr>
            <w:r>
              <w:rPr>
                <w:rFonts w:ascii="宋体" w:hAnsi="宋体" w:eastAsia="宋体" w:cs="宋体"/>
                <w:sz w:val="18"/>
                <w:szCs w:val="18"/>
              </w:rPr>
              <w:t>本期金额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D7AEEF9">
            <w:pPr>
              <w:spacing w:before="40" w:after="40" w:line="240" w:lineRule="exact"/>
              <w:jc w:val="center"/>
              <w:rPr>
                <w:rFonts w:ascii="宋体" w:hAnsi="宋体" w:eastAsia="宋体" w:cs="宋体"/>
                <w:sz w:val="18"/>
                <w:szCs w:val="18"/>
              </w:rPr>
            </w:pPr>
            <w:r>
              <w:rPr>
                <w:rFonts w:ascii="宋体" w:hAnsi="宋体" w:eastAsia="宋体" w:cs="宋体"/>
                <w:sz w:val="18"/>
                <w:szCs w:val="18"/>
              </w:rPr>
              <w:t>上期金额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5EB42BC">
            <w:pPr>
              <w:spacing w:before="40" w:after="40" w:line="240" w:lineRule="exact"/>
              <w:jc w:val="center"/>
              <w:rPr>
                <w:rFonts w:ascii="宋体" w:hAnsi="宋体" w:eastAsia="宋体" w:cs="宋体"/>
                <w:sz w:val="18"/>
                <w:szCs w:val="18"/>
              </w:rPr>
            </w:pPr>
            <w:r>
              <w:rPr>
                <w:rFonts w:ascii="宋体" w:hAnsi="宋体" w:eastAsia="宋体" w:cs="宋体"/>
                <w:sz w:val="18"/>
                <w:szCs w:val="18"/>
              </w:rPr>
              <w:t>仍属于现金及现金等价物的理由</w:t>
            </w:r>
          </w:p>
        </w:tc>
      </w:tr>
    </w:tbl>
    <w:p w14:paraId="28678065">
      <w:pPr>
        <w:keepNext/>
        <w:keepLines/>
        <w:spacing w:before="300" w:after="300" w:line="280" w:lineRule="exact"/>
        <w:jc w:val="left"/>
        <w:outlineLvl w:val="3"/>
        <w:rPr>
          <w:rFonts w:ascii="宋体" w:hAnsi="宋体" w:eastAsia="宋体" w:cs="宋体"/>
          <w:b/>
          <w:bCs/>
          <w:sz w:val="21"/>
          <w:szCs w:val="21"/>
        </w:rPr>
      </w:pPr>
      <w:bookmarkStart w:id="447" w:name="_Toc989330"/>
      <w:r>
        <w:rPr>
          <w:rFonts w:ascii="宋体" w:hAnsi="宋体" w:eastAsia="宋体" w:cs="宋体"/>
          <w:b/>
          <w:bCs/>
          <w:sz w:val="21"/>
          <w:szCs w:val="21"/>
        </w:rPr>
        <w:t>（6） 不属于现金及现金等价物的货币资金</w:t>
      </w:r>
      <w:bookmarkEnd w:id="447"/>
    </w:p>
    <w:p w14:paraId="24D0084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593002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08409C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C1E78FD">
            <w:pPr>
              <w:spacing w:before="40" w:after="40" w:line="240" w:lineRule="exact"/>
              <w:jc w:val="center"/>
              <w:rPr>
                <w:rFonts w:ascii="宋体" w:hAnsi="宋体" w:eastAsia="宋体" w:cs="宋体"/>
                <w:sz w:val="18"/>
                <w:szCs w:val="18"/>
              </w:rPr>
            </w:pPr>
            <w:r>
              <w:rPr>
                <w:rFonts w:ascii="宋体" w:hAnsi="宋体" w:eastAsia="宋体" w:cs="宋体"/>
                <w:sz w:val="18"/>
                <w:szCs w:val="18"/>
              </w:rPr>
              <w:t>本期金额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01F6800">
            <w:pPr>
              <w:spacing w:before="40" w:after="40" w:line="240" w:lineRule="exact"/>
              <w:jc w:val="center"/>
              <w:rPr>
                <w:rFonts w:ascii="宋体" w:hAnsi="宋体" w:eastAsia="宋体" w:cs="宋体"/>
                <w:sz w:val="18"/>
                <w:szCs w:val="18"/>
              </w:rPr>
            </w:pPr>
            <w:r>
              <w:rPr>
                <w:rFonts w:ascii="宋体" w:hAnsi="宋体" w:eastAsia="宋体" w:cs="宋体"/>
                <w:sz w:val="18"/>
                <w:szCs w:val="18"/>
              </w:rPr>
              <w:t>上期金额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DFD4E1D">
            <w:pPr>
              <w:spacing w:before="40" w:after="40" w:line="240" w:lineRule="exact"/>
              <w:jc w:val="center"/>
              <w:rPr>
                <w:rFonts w:ascii="宋体" w:hAnsi="宋体" w:eastAsia="宋体" w:cs="宋体"/>
                <w:sz w:val="18"/>
                <w:szCs w:val="18"/>
              </w:rPr>
            </w:pPr>
            <w:r>
              <w:rPr>
                <w:rFonts w:ascii="宋体" w:hAnsi="宋体" w:eastAsia="宋体" w:cs="宋体"/>
                <w:sz w:val="18"/>
                <w:szCs w:val="18"/>
              </w:rPr>
              <w:t>不属于现金及现金等价物的理由</w:t>
            </w:r>
          </w:p>
        </w:tc>
      </w:tr>
    </w:tbl>
    <w:p w14:paraId="4FD2C01F">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2E7673D">
      <w:pPr>
        <w:keepNext/>
        <w:keepLines/>
        <w:spacing w:before="300" w:after="300" w:line="280" w:lineRule="exact"/>
        <w:jc w:val="left"/>
        <w:outlineLvl w:val="3"/>
        <w:rPr>
          <w:rFonts w:ascii="宋体" w:hAnsi="宋体" w:eastAsia="宋体" w:cs="宋体"/>
          <w:b/>
          <w:bCs/>
          <w:sz w:val="21"/>
          <w:szCs w:val="21"/>
        </w:rPr>
      </w:pPr>
      <w:bookmarkStart w:id="448" w:name="_Toc989331"/>
      <w:r>
        <w:rPr>
          <w:rFonts w:ascii="宋体" w:hAnsi="宋体" w:eastAsia="宋体" w:cs="宋体"/>
          <w:b/>
          <w:bCs/>
          <w:sz w:val="21"/>
          <w:szCs w:val="21"/>
        </w:rPr>
        <w:t>（7） 其他重大活动说明</w:t>
      </w:r>
      <w:bookmarkEnd w:id="448"/>
    </w:p>
    <w:p w14:paraId="41E72EE4">
      <w:pPr>
        <w:keepNext/>
        <w:keepLines/>
        <w:spacing w:before="300" w:after="300" w:line="280" w:lineRule="exact"/>
        <w:jc w:val="left"/>
        <w:outlineLvl w:val="2"/>
        <w:rPr>
          <w:rFonts w:ascii="宋体" w:hAnsi="宋体" w:eastAsia="宋体" w:cs="宋体"/>
          <w:b/>
          <w:bCs/>
          <w:sz w:val="21"/>
          <w:szCs w:val="21"/>
        </w:rPr>
      </w:pPr>
      <w:bookmarkStart w:id="449" w:name="_Toc989332"/>
      <w:r>
        <w:rPr>
          <w:rFonts w:ascii="宋体" w:hAnsi="宋体" w:eastAsia="宋体" w:cs="宋体"/>
          <w:b/>
          <w:bCs/>
          <w:sz w:val="21"/>
          <w:szCs w:val="21"/>
        </w:rPr>
        <w:t>80、所有者权益变动表项目注释</w:t>
      </w:r>
      <w:bookmarkEnd w:id="449"/>
    </w:p>
    <w:p w14:paraId="68D0E528">
      <w:pPr>
        <w:spacing w:before="100" w:after="100" w:line="240" w:lineRule="exact"/>
        <w:jc w:val="left"/>
        <w:rPr>
          <w:rFonts w:ascii="宋体" w:hAnsi="宋体" w:eastAsia="宋体" w:cs="宋体"/>
          <w:sz w:val="18"/>
          <w:szCs w:val="18"/>
        </w:rPr>
      </w:pPr>
      <w:r>
        <w:rPr>
          <w:rFonts w:ascii="宋体" w:hAnsi="宋体" w:eastAsia="宋体" w:cs="宋体"/>
          <w:sz w:val="18"/>
          <w:szCs w:val="18"/>
        </w:rPr>
        <w:t>说明对上年年末余额进行调整的“其他”项目名称及调整金额等事项：</w:t>
      </w:r>
    </w:p>
    <w:p w14:paraId="625BEA60">
      <w:pPr>
        <w:keepNext/>
        <w:keepLines/>
        <w:spacing w:before="300" w:after="300" w:line="280" w:lineRule="exact"/>
        <w:jc w:val="left"/>
        <w:outlineLvl w:val="2"/>
        <w:rPr>
          <w:rFonts w:ascii="宋体" w:hAnsi="宋体" w:eastAsia="宋体" w:cs="宋体"/>
          <w:b/>
          <w:bCs/>
          <w:sz w:val="21"/>
          <w:szCs w:val="21"/>
        </w:rPr>
      </w:pPr>
      <w:bookmarkStart w:id="450" w:name="_Toc989333"/>
      <w:r>
        <w:rPr>
          <w:rFonts w:ascii="宋体" w:hAnsi="宋体" w:eastAsia="宋体" w:cs="宋体"/>
          <w:b/>
          <w:bCs/>
          <w:sz w:val="21"/>
          <w:szCs w:val="21"/>
        </w:rPr>
        <w:t>81、外币货币性项目</w:t>
      </w:r>
      <w:bookmarkEnd w:id="450"/>
    </w:p>
    <w:p w14:paraId="52E5DD1F">
      <w:pPr>
        <w:keepNext/>
        <w:keepLines/>
        <w:spacing w:before="300" w:after="300" w:line="280" w:lineRule="exact"/>
        <w:jc w:val="left"/>
        <w:outlineLvl w:val="3"/>
        <w:rPr>
          <w:rFonts w:ascii="宋体" w:hAnsi="宋体" w:eastAsia="宋体" w:cs="宋体"/>
          <w:b/>
          <w:bCs/>
          <w:sz w:val="21"/>
          <w:szCs w:val="21"/>
        </w:rPr>
      </w:pPr>
      <w:bookmarkStart w:id="451" w:name="_Toc989334"/>
      <w:r>
        <w:rPr>
          <w:rFonts w:ascii="宋体" w:hAnsi="宋体" w:eastAsia="宋体" w:cs="宋体"/>
          <w:b/>
          <w:bCs/>
          <w:sz w:val="21"/>
          <w:szCs w:val="21"/>
        </w:rPr>
        <w:t>（1） 外币货币性项目</w:t>
      </w:r>
      <w:bookmarkEnd w:id="451"/>
    </w:p>
    <w:p w14:paraId="0474DED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490C15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9F05AC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8E4F26B">
            <w:pPr>
              <w:spacing w:before="40" w:after="40" w:line="240" w:lineRule="exact"/>
              <w:jc w:val="center"/>
              <w:rPr>
                <w:rFonts w:ascii="宋体" w:hAnsi="宋体" w:eastAsia="宋体" w:cs="宋体"/>
                <w:sz w:val="18"/>
                <w:szCs w:val="18"/>
              </w:rPr>
            </w:pPr>
            <w:r>
              <w:rPr>
                <w:rFonts w:ascii="宋体" w:hAnsi="宋体" w:eastAsia="宋体" w:cs="宋体"/>
                <w:sz w:val="18"/>
                <w:szCs w:val="18"/>
              </w:rPr>
              <w:t>期末外币余额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F275655">
            <w:pPr>
              <w:spacing w:before="40" w:after="40" w:line="240" w:lineRule="exact"/>
              <w:jc w:val="center"/>
              <w:rPr>
                <w:rFonts w:ascii="宋体" w:hAnsi="宋体" w:eastAsia="宋体" w:cs="宋体"/>
                <w:sz w:val="18"/>
                <w:szCs w:val="18"/>
              </w:rPr>
            </w:pPr>
            <w:r>
              <w:rPr>
                <w:rFonts w:ascii="宋体" w:hAnsi="宋体" w:eastAsia="宋体" w:cs="宋体"/>
                <w:sz w:val="18"/>
                <w:szCs w:val="18"/>
              </w:rPr>
              <w:t>折算汇率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1885EE2">
            <w:pPr>
              <w:spacing w:before="40" w:after="40" w:line="240" w:lineRule="exact"/>
              <w:jc w:val="center"/>
              <w:rPr>
                <w:rFonts w:ascii="宋体" w:hAnsi="宋体" w:eastAsia="宋体" w:cs="宋体"/>
                <w:sz w:val="18"/>
                <w:szCs w:val="18"/>
              </w:rPr>
            </w:pPr>
            <w:r>
              <w:rPr>
                <w:rFonts w:ascii="宋体" w:hAnsi="宋体" w:eastAsia="宋体" w:cs="宋体"/>
                <w:sz w:val="18"/>
                <w:szCs w:val="18"/>
              </w:rPr>
              <w:t>期末折算人民币余额</w:t>
            </w:r>
          </w:p>
        </w:tc>
      </w:tr>
      <w:tr w14:paraId="498697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AA17FFA">
            <w:pPr>
              <w:spacing w:before="40" w:after="40" w:line="240" w:lineRule="exact"/>
              <w:jc w:val="left"/>
              <w:rPr>
                <w:rFonts w:ascii="宋体" w:hAnsi="宋体" w:eastAsia="宋体" w:cs="宋体"/>
                <w:sz w:val="18"/>
                <w:szCs w:val="18"/>
              </w:rPr>
            </w:pPr>
            <w:r>
              <w:rPr>
                <w:rFonts w:ascii="宋体" w:hAnsi="宋体" w:eastAsia="宋体" w:cs="宋体"/>
                <w:sz w:val="18"/>
                <w:szCs w:val="18"/>
              </w:rPr>
              <w:t>货币资金</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6504565"/>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4416FE1"/>
        </w:tc>
        <w:tc>
          <w:tcPr>
            <w:tcW w:w="2410" w:type="dxa"/>
            <w:tcBorders>
              <w:top w:val="single" w:color="auto" w:sz="2" w:space="0"/>
              <w:left w:val="single" w:color="auto" w:sz="2" w:space="0"/>
              <w:bottom w:val="single" w:color="auto" w:sz="2" w:space="0"/>
              <w:right w:val="single" w:color="auto" w:sz="2" w:space="0"/>
            </w:tcBorders>
            <w:vAlign w:val="center"/>
          </w:tcPr>
          <w:p w14:paraId="4B53BBC0">
            <w:pPr>
              <w:spacing w:before="0" w:after="0" w:line="240" w:lineRule="exact"/>
              <w:jc w:val="right"/>
              <w:rPr>
                <w:rFonts w:ascii="宋体" w:hAnsi="宋体" w:eastAsia="宋体" w:cs="宋体"/>
                <w:sz w:val="18"/>
                <w:szCs w:val="18"/>
              </w:rPr>
            </w:pPr>
          </w:p>
        </w:tc>
      </w:tr>
      <w:tr w14:paraId="06EE0C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CC836A6">
            <w:pPr>
              <w:spacing w:before="40" w:after="40" w:line="240" w:lineRule="exact"/>
              <w:jc w:val="left"/>
              <w:rPr>
                <w:rFonts w:ascii="宋体" w:hAnsi="宋体" w:eastAsia="宋体" w:cs="宋体"/>
                <w:sz w:val="18"/>
                <w:szCs w:val="18"/>
              </w:rPr>
            </w:pPr>
            <w:r>
              <w:rPr>
                <w:rFonts w:ascii="宋体" w:hAnsi="宋体" w:eastAsia="宋体" w:cs="宋体"/>
                <w:sz w:val="18"/>
                <w:szCs w:val="18"/>
              </w:rPr>
              <w:t>其中：美元</w:t>
            </w:r>
          </w:p>
        </w:tc>
        <w:tc>
          <w:tcPr>
            <w:tcW w:w="2410" w:type="dxa"/>
            <w:tcBorders>
              <w:top w:val="single" w:color="auto" w:sz="2" w:space="0"/>
              <w:left w:val="single" w:color="auto" w:sz="2" w:space="0"/>
              <w:bottom w:val="single" w:color="auto" w:sz="2" w:space="0"/>
              <w:right w:val="single" w:color="auto" w:sz="2" w:space="0"/>
            </w:tcBorders>
            <w:vAlign w:val="center"/>
          </w:tcPr>
          <w:p w14:paraId="03070EBF">
            <w:pPr>
              <w:spacing w:before="0" w:after="0" w:line="240" w:lineRule="exact"/>
              <w:jc w:val="right"/>
              <w:rPr>
                <w:rFonts w:ascii="宋体" w:hAnsi="宋体" w:eastAsia="宋体" w:cs="宋体"/>
                <w:sz w:val="18"/>
                <w:szCs w:val="18"/>
              </w:rPr>
            </w:pPr>
            <w:r>
              <w:rPr>
                <w:rFonts w:ascii="宋体" w:hAnsi="宋体" w:eastAsia="宋体" w:cs="宋体"/>
                <w:sz w:val="18"/>
                <w:szCs w:val="18"/>
              </w:rPr>
              <w:t>4,804.94</w:t>
            </w:r>
          </w:p>
        </w:tc>
        <w:tc>
          <w:tcPr>
            <w:tcW w:w="2410" w:type="dxa"/>
            <w:tcBorders>
              <w:top w:val="single" w:color="auto" w:sz="2" w:space="0"/>
              <w:left w:val="single" w:color="auto" w:sz="2" w:space="0"/>
              <w:bottom w:val="single" w:color="auto" w:sz="2" w:space="0"/>
              <w:right w:val="single" w:color="auto" w:sz="2" w:space="0"/>
            </w:tcBorders>
            <w:vAlign w:val="center"/>
          </w:tcPr>
          <w:p w14:paraId="6359473A">
            <w:pPr>
              <w:spacing w:before="0" w:after="0" w:line="240" w:lineRule="exact"/>
              <w:jc w:val="left"/>
              <w:rPr>
                <w:rFonts w:ascii="宋体" w:hAnsi="宋体" w:eastAsia="宋体" w:cs="宋体"/>
                <w:sz w:val="18"/>
                <w:szCs w:val="18"/>
              </w:rPr>
            </w:pPr>
            <w:r>
              <w:rPr>
                <w:rFonts w:ascii="宋体" w:hAnsi="宋体" w:eastAsia="宋体" w:cs="宋体"/>
                <w:sz w:val="18"/>
                <w:szCs w:val="18"/>
              </w:rPr>
              <w:t>7.04</w:t>
            </w:r>
          </w:p>
        </w:tc>
        <w:tc>
          <w:tcPr>
            <w:tcW w:w="2410" w:type="dxa"/>
            <w:tcBorders>
              <w:top w:val="single" w:color="auto" w:sz="2" w:space="0"/>
              <w:left w:val="single" w:color="auto" w:sz="2" w:space="0"/>
              <w:bottom w:val="single" w:color="auto" w:sz="2" w:space="0"/>
              <w:right w:val="single" w:color="auto" w:sz="2" w:space="0"/>
            </w:tcBorders>
            <w:vAlign w:val="center"/>
          </w:tcPr>
          <w:p w14:paraId="38A32F8B">
            <w:pPr>
              <w:spacing w:before="0" w:after="0" w:line="240" w:lineRule="exact"/>
              <w:jc w:val="right"/>
              <w:rPr>
                <w:rFonts w:ascii="宋体" w:hAnsi="宋体" w:eastAsia="宋体" w:cs="宋体"/>
                <w:sz w:val="18"/>
                <w:szCs w:val="18"/>
              </w:rPr>
            </w:pPr>
            <w:r>
              <w:rPr>
                <w:rFonts w:ascii="宋体" w:hAnsi="宋体" w:eastAsia="宋体" w:cs="宋体"/>
                <w:sz w:val="18"/>
                <w:szCs w:val="18"/>
              </w:rPr>
              <w:t>33,831.01</w:t>
            </w:r>
          </w:p>
        </w:tc>
      </w:tr>
      <w:tr w14:paraId="50BF14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289A53E">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欧元</w:t>
            </w:r>
          </w:p>
        </w:tc>
        <w:tc>
          <w:tcPr>
            <w:tcW w:w="2410" w:type="dxa"/>
            <w:tcBorders>
              <w:top w:val="single" w:color="auto" w:sz="2" w:space="0"/>
              <w:left w:val="single" w:color="auto" w:sz="2" w:space="0"/>
              <w:bottom w:val="single" w:color="auto" w:sz="2" w:space="0"/>
              <w:right w:val="single" w:color="auto" w:sz="2" w:space="0"/>
            </w:tcBorders>
            <w:vAlign w:val="center"/>
          </w:tcPr>
          <w:p w14:paraId="41E71811">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888BFC1">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DB5B903">
            <w:pPr>
              <w:spacing w:before="0" w:after="0" w:line="240" w:lineRule="exact"/>
              <w:jc w:val="right"/>
              <w:rPr>
                <w:rFonts w:ascii="宋体" w:hAnsi="宋体" w:eastAsia="宋体" w:cs="宋体"/>
                <w:sz w:val="18"/>
                <w:szCs w:val="18"/>
              </w:rPr>
            </w:pPr>
          </w:p>
        </w:tc>
      </w:tr>
      <w:tr w14:paraId="1AC603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8E4F4EC">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港币</w:t>
            </w:r>
          </w:p>
        </w:tc>
        <w:tc>
          <w:tcPr>
            <w:tcW w:w="2410" w:type="dxa"/>
            <w:tcBorders>
              <w:top w:val="single" w:color="auto" w:sz="2" w:space="0"/>
              <w:left w:val="single" w:color="auto" w:sz="2" w:space="0"/>
              <w:bottom w:val="single" w:color="auto" w:sz="2" w:space="0"/>
              <w:right w:val="single" w:color="auto" w:sz="2" w:space="0"/>
            </w:tcBorders>
            <w:vAlign w:val="center"/>
          </w:tcPr>
          <w:p w14:paraId="172EC8FF">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5F269B6">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2404D0E">
            <w:pPr>
              <w:spacing w:before="0" w:after="0" w:line="240" w:lineRule="exact"/>
              <w:jc w:val="right"/>
              <w:rPr>
                <w:rFonts w:ascii="宋体" w:hAnsi="宋体" w:eastAsia="宋体" w:cs="宋体"/>
                <w:sz w:val="18"/>
                <w:szCs w:val="18"/>
              </w:rPr>
            </w:pPr>
          </w:p>
        </w:tc>
      </w:tr>
      <w:tr w14:paraId="067079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6954DA5">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B550308">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C0884BC">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C43188B">
            <w:pPr>
              <w:spacing w:before="0" w:after="0" w:line="240" w:lineRule="exact"/>
              <w:jc w:val="right"/>
              <w:rPr>
                <w:rFonts w:ascii="宋体" w:hAnsi="宋体" w:eastAsia="宋体" w:cs="宋体"/>
                <w:sz w:val="18"/>
                <w:szCs w:val="18"/>
              </w:rPr>
            </w:pPr>
          </w:p>
        </w:tc>
      </w:tr>
      <w:tr w14:paraId="32CBF4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44D61B0">
            <w:pPr>
              <w:spacing w:before="40" w:after="40" w:line="240" w:lineRule="exact"/>
              <w:jc w:val="left"/>
              <w:rPr>
                <w:rFonts w:ascii="宋体" w:hAnsi="宋体" w:eastAsia="宋体" w:cs="宋体"/>
                <w:sz w:val="18"/>
                <w:szCs w:val="18"/>
              </w:rPr>
            </w:pPr>
            <w:r>
              <w:rPr>
                <w:rFonts w:ascii="宋体" w:hAnsi="宋体" w:eastAsia="宋体" w:cs="宋体"/>
                <w:sz w:val="18"/>
                <w:szCs w:val="18"/>
              </w:rPr>
              <w:t>应收账款</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5DAF6CB"/>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443075A"/>
        </w:tc>
        <w:tc>
          <w:tcPr>
            <w:tcW w:w="2410" w:type="dxa"/>
            <w:tcBorders>
              <w:top w:val="single" w:color="auto" w:sz="2" w:space="0"/>
              <w:left w:val="single" w:color="auto" w:sz="2" w:space="0"/>
              <w:bottom w:val="single" w:color="auto" w:sz="2" w:space="0"/>
              <w:right w:val="single" w:color="auto" w:sz="2" w:space="0"/>
            </w:tcBorders>
            <w:vAlign w:val="center"/>
          </w:tcPr>
          <w:p w14:paraId="4F928636">
            <w:pPr>
              <w:spacing w:before="0" w:after="0" w:line="240" w:lineRule="exact"/>
              <w:jc w:val="right"/>
              <w:rPr>
                <w:rFonts w:ascii="宋体" w:hAnsi="宋体" w:eastAsia="宋体" w:cs="宋体"/>
                <w:sz w:val="18"/>
                <w:szCs w:val="18"/>
              </w:rPr>
            </w:pPr>
          </w:p>
        </w:tc>
      </w:tr>
      <w:tr w14:paraId="77497A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F4FB8B5">
            <w:pPr>
              <w:spacing w:before="40" w:after="40" w:line="240" w:lineRule="exact"/>
              <w:jc w:val="left"/>
              <w:rPr>
                <w:rFonts w:ascii="宋体" w:hAnsi="宋体" w:eastAsia="宋体" w:cs="宋体"/>
                <w:sz w:val="18"/>
                <w:szCs w:val="18"/>
              </w:rPr>
            </w:pPr>
            <w:r>
              <w:rPr>
                <w:rFonts w:ascii="宋体" w:hAnsi="宋体" w:eastAsia="宋体" w:cs="宋体"/>
                <w:sz w:val="18"/>
                <w:szCs w:val="18"/>
              </w:rPr>
              <w:t>其中：美元</w:t>
            </w:r>
          </w:p>
        </w:tc>
        <w:tc>
          <w:tcPr>
            <w:tcW w:w="2410" w:type="dxa"/>
            <w:tcBorders>
              <w:top w:val="single" w:color="auto" w:sz="2" w:space="0"/>
              <w:left w:val="single" w:color="auto" w:sz="2" w:space="0"/>
              <w:bottom w:val="single" w:color="auto" w:sz="2" w:space="0"/>
              <w:right w:val="single" w:color="auto" w:sz="2" w:space="0"/>
            </w:tcBorders>
            <w:vAlign w:val="center"/>
          </w:tcPr>
          <w:p w14:paraId="47823EBA">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548A620">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7C0D019">
            <w:pPr>
              <w:spacing w:before="0" w:after="0" w:line="240" w:lineRule="exact"/>
              <w:jc w:val="right"/>
              <w:rPr>
                <w:rFonts w:ascii="宋体" w:hAnsi="宋体" w:eastAsia="宋体" w:cs="宋体"/>
                <w:sz w:val="18"/>
                <w:szCs w:val="18"/>
              </w:rPr>
            </w:pPr>
          </w:p>
        </w:tc>
      </w:tr>
      <w:tr w14:paraId="1DA348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FF5FF9E">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欧元</w:t>
            </w:r>
          </w:p>
        </w:tc>
        <w:tc>
          <w:tcPr>
            <w:tcW w:w="2410" w:type="dxa"/>
            <w:tcBorders>
              <w:top w:val="single" w:color="auto" w:sz="2" w:space="0"/>
              <w:left w:val="single" w:color="auto" w:sz="2" w:space="0"/>
              <w:bottom w:val="single" w:color="auto" w:sz="2" w:space="0"/>
              <w:right w:val="single" w:color="auto" w:sz="2" w:space="0"/>
            </w:tcBorders>
            <w:vAlign w:val="center"/>
          </w:tcPr>
          <w:p w14:paraId="6318DB7F">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D80B52D">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406839E">
            <w:pPr>
              <w:spacing w:before="0" w:after="0" w:line="240" w:lineRule="exact"/>
              <w:jc w:val="right"/>
              <w:rPr>
                <w:rFonts w:ascii="宋体" w:hAnsi="宋体" w:eastAsia="宋体" w:cs="宋体"/>
                <w:sz w:val="18"/>
                <w:szCs w:val="18"/>
              </w:rPr>
            </w:pPr>
          </w:p>
        </w:tc>
      </w:tr>
      <w:tr w14:paraId="5C09B9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9A73B3B">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港币</w:t>
            </w:r>
          </w:p>
        </w:tc>
        <w:tc>
          <w:tcPr>
            <w:tcW w:w="2410" w:type="dxa"/>
            <w:tcBorders>
              <w:top w:val="single" w:color="auto" w:sz="2" w:space="0"/>
              <w:left w:val="single" w:color="auto" w:sz="2" w:space="0"/>
              <w:bottom w:val="single" w:color="auto" w:sz="2" w:space="0"/>
              <w:right w:val="single" w:color="auto" w:sz="2" w:space="0"/>
            </w:tcBorders>
            <w:vAlign w:val="center"/>
          </w:tcPr>
          <w:p w14:paraId="34E873A9">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AB94476">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9ACF56C">
            <w:pPr>
              <w:spacing w:before="0" w:after="0" w:line="240" w:lineRule="exact"/>
              <w:jc w:val="right"/>
              <w:rPr>
                <w:rFonts w:ascii="宋体" w:hAnsi="宋体" w:eastAsia="宋体" w:cs="宋体"/>
                <w:sz w:val="18"/>
                <w:szCs w:val="18"/>
              </w:rPr>
            </w:pPr>
          </w:p>
        </w:tc>
      </w:tr>
      <w:tr w14:paraId="7C4650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7548952">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BB59608">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3C17AA9">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63ACEF5">
            <w:pPr>
              <w:spacing w:before="0" w:after="0" w:line="240" w:lineRule="exact"/>
              <w:jc w:val="right"/>
              <w:rPr>
                <w:rFonts w:ascii="宋体" w:hAnsi="宋体" w:eastAsia="宋体" w:cs="宋体"/>
                <w:sz w:val="18"/>
                <w:szCs w:val="18"/>
              </w:rPr>
            </w:pPr>
          </w:p>
        </w:tc>
      </w:tr>
      <w:tr w14:paraId="402820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D021FC8">
            <w:pPr>
              <w:spacing w:before="40" w:after="40" w:line="240" w:lineRule="exact"/>
              <w:jc w:val="left"/>
              <w:rPr>
                <w:rFonts w:ascii="宋体" w:hAnsi="宋体" w:eastAsia="宋体" w:cs="宋体"/>
                <w:sz w:val="18"/>
                <w:szCs w:val="18"/>
              </w:rPr>
            </w:pPr>
            <w:r>
              <w:rPr>
                <w:rFonts w:ascii="宋体" w:hAnsi="宋体" w:eastAsia="宋体" w:cs="宋体"/>
                <w:sz w:val="18"/>
                <w:szCs w:val="18"/>
              </w:rPr>
              <w:t>长期借款</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E4F26D9"/>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9BA0450"/>
        </w:tc>
        <w:tc>
          <w:tcPr>
            <w:tcW w:w="2410" w:type="dxa"/>
            <w:tcBorders>
              <w:top w:val="single" w:color="auto" w:sz="2" w:space="0"/>
              <w:left w:val="single" w:color="auto" w:sz="2" w:space="0"/>
              <w:bottom w:val="single" w:color="auto" w:sz="2" w:space="0"/>
              <w:right w:val="single" w:color="auto" w:sz="2" w:space="0"/>
            </w:tcBorders>
            <w:vAlign w:val="center"/>
          </w:tcPr>
          <w:p w14:paraId="4CE0E6CE">
            <w:pPr>
              <w:spacing w:before="0" w:after="0" w:line="240" w:lineRule="exact"/>
              <w:jc w:val="right"/>
              <w:rPr>
                <w:rFonts w:ascii="宋体" w:hAnsi="宋体" w:eastAsia="宋体" w:cs="宋体"/>
                <w:sz w:val="18"/>
                <w:szCs w:val="18"/>
              </w:rPr>
            </w:pPr>
          </w:p>
        </w:tc>
      </w:tr>
      <w:tr w14:paraId="120B98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9CA5CBE">
            <w:pPr>
              <w:spacing w:before="40" w:after="40" w:line="240" w:lineRule="exact"/>
              <w:jc w:val="left"/>
              <w:rPr>
                <w:rFonts w:ascii="宋体" w:hAnsi="宋体" w:eastAsia="宋体" w:cs="宋体"/>
                <w:sz w:val="18"/>
                <w:szCs w:val="18"/>
              </w:rPr>
            </w:pPr>
            <w:r>
              <w:rPr>
                <w:rFonts w:ascii="宋体" w:hAnsi="宋体" w:eastAsia="宋体" w:cs="宋体"/>
                <w:sz w:val="18"/>
                <w:szCs w:val="18"/>
              </w:rPr>
              <w:t>其中：美元</w:t>
            </w:r>
          </w:p>
        </w:tc>
        <w:tc>
          <w:tcPr>
            <w:tcW w:w="2410" w:type="dxa"/>
            <w:tcBorders>
              <w:top w:val="single" w:color="auto" w:sz="2" w:space="0"/>
              <w:left w:val="single" w:color="auto" w:sz="2" w:space="0"/>
              <w:bottom w:val="single" w:color="auto" w:sz="2" w:space="0"/>
              <w:right w:val="single" w:color="auto" w:sz="2" w:space="0"/>
            </w:tcBorders>
            <w:vAlign w:val="center"/>
          </w:tcPr>
          <w:p w14:paraId="0A3E42D0">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7D5630B">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4D7CBB4">
            <w:pPr>
              <w:spacing w:before="0" w:after="0" w:line="240" w:lineRule="exact"/>
              <w:jc w:val="right"/>
              <w:rPr>
                <w:rFonts w:ascii="宋体" w:hAnsi="宋体" w:eastAsia="宋体" w:cs="宋体"/>
                <w:sz w:val="18"/>
                <w:szCs w:val="18"/>
              </w:rPr>
            </w:pPr>
          </w:p>
        </w:tc>
      </w:tr>
      <w:tr w14:paraId="62920E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A94491E">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欧元</w:t>
            </w:r>
          </w:p>
        </w:tc>
        <w:tc>
          <w:tcPr>
            <w:tcW w:w="2410" w:type="dxa"/>
            <w:tcBorders>
              <w:top w:val="single" w:color="auto" w:sz="2" w:space="0"/>
              <w:left w:val="single" w:color="auto" w:sz="2" w:space="0"/>
              <w:bottom w:val="single" w:color="auto" w:sz="2" w:space="0"/>
              <w:right w:val="single" w:color="auto" w:sz="2" w:space="0"/>
            </w:tcBorders>
            <w:vAlign w:val="center"/>
          </w:tcPr>
          <w:p w14:paraId="17BE56C5">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E8D1E99">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3778868">
            <w:pPr>
              <w:spacing w:before="0" w:after="0" w:line="240" w:lineRule="exact"/>
              <w:jc w:val="right"/>
              <w:rPr>
                <w:rFonts w:ascii="宋体" w:hAnsi="宋体" w:eastAsia="宋体" w:cs="宋体"/>
                <w:sz w:val="18"/>
                <w:szCs w:val="18"/>
              </w:rPr>
            </w:pPr>
          </w:p>
        </w:tc>
      </w:tr>
      <w:tr w14:paraId="65831B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A1DFBFD">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港币</w:t>
            </w:r>
          </w:p>
        </w:tc>
        <w:tc>
          <w:tcPr>
            <w:tcW w:w="2410" w:type="dxa"/>
            <w:tcBorders>
              <w:top w:val="single" w:color="auto" w:sz="2" w:space="0"/>
              <w:left w:val="single" w:color="auto" w:sz="2" w:space="0"/>
              <w:bottom w:val="single" w:color="auto" w:sz="2" w:space="0"/>
              <w:right w:val="single" w:color="auto" w:sz="2" w:space="0"/>
            </w:tcBorders>
            <w:vAlign w:val="center"/>
          </w:tcPr>
          <w:p w14:paraId="0C281299">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362F67D">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E88114B">
            <w:pPr>
              <w:spacing w:before="0" w:after="0" w:line="240" w:lineRule="exact"/>
              <w:jc w:val="right"/>
              <w:rPr>
                <w:rFonts w:ascii="宋体" w:hAnsi="宋体" w:eastAsia="宋体" w:cs="宋体"/>
                <w:sz w:val="18"/>
                <w:szCs w:val="18"/>
              </w:rPr>
            </w:pPr>
          </w:p>
        </w:tc>
      </w:tr>
      <w:tr w14:paraId="18344F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83FDFD1">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799C71F">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D01D7A1">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97E97D2">
            <w:pPr>
              <w:spacing w:before="0" w:after="0" w:line="240" w:lineRule="exact"/>
              <w:jc w:val="right"/>
              <w:rPr>
                <w:rFonts w:ascii="宋体" w:hAnsi="宋体" w:eastAsia="宋体" w:cs="宋体"/>
                <w:sz w:val="18"/>
                <w:szCs w:val="18"/>
              </w:rPr>
            </w:pPr>
          </w:p>
        </w:tc>
      </w:tr>
    </w:tbl>
    <w:p w14:paraId="19EA4225">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4D6D90F5">
      <w:pPr>
        <w:keepNext/>
        <w:keepLines/>
        <w:spacing w:before="300" w:after="300" w:line="280" w:lineRule="exact"/>
        <w:jc w:val="left"/>
        <w:outlineLvl w:val="3"/>
        <w:rPr>
          <w:rFonts w:ascii="宋体" w:hAnsi="宋体" w:eastAsia="宋体" w:cs="宋体"/>
          <w:b/>
          <w:bCs/>
          <w:sz w:val="21"/>
          <w:szCs w:val="21"/>
        </w:rPr>
      </w:pPr>
      <w:bookmarkStart w:id="452" w:name="_Toc989335"/>
      <w:r>
        <w:rPr>
          <w:rFonts w:ascii="宋体" w:hAnsi="宋体" w:eastAsia="宋体" w:cs="宋体"/>
          <w:b/>
          <w:bCs/>
          <w:sz w:val="21"/>
          <w:szCs w:val="21"/>
        </w:rPr>
        <w:t>（2） 境外经营实体说明，包括对于重要的境外经营实体，应披露其境外主要经营地、记账本位币及选择依据，记账本位币发生变化的还应披露原因。</w:t>
      </w:r>
      <w:bookmarkEnd w:id="452"/>
    </w:p>
    <w:p w14:paraId="067AD793">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03346FD">
      <w:pPr>
        <w:keepNext/>
        <w:keepLines/>
        <w:spacing w:before="300" w:after="300" w:line="280" w:lineRule="exact"/>
        <w:jc w:val="left"/>
        <w:outlineLvl w:val="2"/>
        <w:rPr>
          <w:rFonts w:ascii="宋体" w:hAnsi="宋体" w:eastAsia="宋体" w:cs="宋体"/>
          <w:b/>
          <w:bCs/>
          <w:sz w:val="21"/>
          <w:szCs w:val="21"/>
        </w:rPr>
      </w:pPr>
      <w:bookmarkStart w:id="453" w:name="_Toc989336"/>
      <w:r>
        <w:rPr>
          <w:rFonts w:ascii="宋体" w:hAnsi="宋体" w:eastAsia="宋体" w:cs="宋体"/>
          <w:b/>
          <w:bCs/>
          <w:sz w:val="21"/>
          <w:szCs w:val="21"/>
        </w:rPr>
        <w:t>82、租赁</w:t>
      </w:r>
      <w:bookmarkEnd w:id="453"/>
    </w:p>
    <w:p w14:paraId="588F52EF">
      <w:pPr>
        <w:keepNext/>
        <w:keepLines/>
        <w:spacing w:before="300" w:after="300" w:line="280" w:lineRule="exact"/>
        <w:jc w:val="left"/>
        <w:outlineLvl w:val="3"/>
        <w:rPr>
          <w:rFonts w:ascii="宋体" w:hAnsi="宋体" w:eastAsia="宋体" w:cs="宋体"/>
          <w:b/>
          <w:bCs/>
          <w:sz w:val="21"/>
          <w:szCs w:val="21"/>
        </w:rPr>
      </w:pPr>
      <w:bookmarkStart w:id="454" w:name="_Toc989337"/>
      <w:r>
        <w:rPr>
          <w:rFonts w:ascii="宋体" w:hAnsi="宋体" w:eastAsia="宋体" w:cs="宋体"/>
          <w:b/>
          <w:bCs/>
          <w:sz w:val="21"/>
          <w:szCs w:val="21"/>
        </w:rPr>
        <w:t>（1） 本公司作为承租方</w:t>
      </w:r>
      <w:bookmarkEnd w:id="454"/>
    </w:p>
    <w:p w14:paraId="32594D75">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5A5302E3">
      <w:pPr>
        <w:spacing w:before="100" w:after="100" w:line="240" w:lineRule="exact"/>
        <w:jc w:val="left"/>
        <w:rPr>
          <w:rFonts w:ascii="宋体" w:hAnsi="宋体" w:eastAsia="宋体" w:cs="宋体"/>
          <w:sz w:val="18"/>
          <w:szCs w:val="18"/>
        </w:rPr>
      </w:pPr>
      <w:r>
        <w:rPr>
          <w:rFonts w:ascii="宋体" w:hAnsi="宋体" w:eastAsia="宋体" w:cs="宋体"/>
          <w:sz w:val="18"/>
          <w:szCs w:val="18"/>
        </w:rPr>
        <w:t>未纳入租赁负债计量的可变租赁付款额</w:t>
      </w:r>
    </w:p>
    <w:p w14:paraId="51BDFFC6">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55CE0F0E">
      <w:pPr>
        <w:spacing w:before="100" w:after="100" w:line="240" w:lineRule="exact"/>
        <w:jc w:val="left"/>
        <w:rPr>
          <w:rFonts w:ascii="宋体" w:hAnsi="宋体" w:eastAsia="宋体" w:cs="宋体"/>
          <w:sz w:val="18"/>
          <w:szCs w:val="18"/>
        </w:rPr>
      </w:pPr>
      <w:r>
        <w:rPr>
          <w:rFonts w:ascii="宋体" w:hAnsi="宋体" w:eastAsia="宋体" w:cs="宋体"/>
          <w:sz w:val="18"/>
          <w:szCs w:val="18"/>
        </w:rPr>
        <w:t>简化处理的短期租赁或低价值资产的租赁费用</w:t>
      </w:r>
    </w:p>
    <w:p w14:paraId="7D42B7CC">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tbl>
      <w:tblPr>
        <w:tblStyle w:val="3"/>
        <w:tblW w:w="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4216"/>
        <w:gridCol w:w="4152"/>
      </w:tblGrid>
      <w:tr w14:paraId="0C0EA2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4216"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40AA2050">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项目</w:t>
            </w:r>
          </w:p>
        </w:tc>
        <w:tc>
          <w:tcPr>
            <w:tcW w:w="4152" w:type="dxa"/>
            <w:tcBorders>
              <w:top w:val="single" w:color="auto" w:sz="8" w:space="0"/>
              <w:left w:val="nil"/>
              <w:bottom w:val="single" w:color="auto" w:sz="8" w:space="0"/>
              <w:right w:val="single" w:color="auto" w:sz="8" w:space="0"/>
            </w:tcBorders>
            <w:shd w:val="clear" w:color="auto" w:fill="auto"/>
            <w:tcMar>
              <w:left w:w="28" w:type="dxa"/>
              <w:right w:w="28" w:type="dxa"/>
            </w:tcMar>
            <w:vAlign w:val="center"/>
          </w:tcPr>
          <w:p w14:paraId="6AC5F5B4">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eastAsia" w:ascii="宋体" w:hAnsi="宋体" w:eastAsia="宋体" w:cs="宋体"/>
                <w:sz w:val="18"/>
                <w:szCs w:val="18"/>
              </w:rPr>
              <w:t>本期发生额</w:t>
            </w:r>
          </w:p>
        </w:tc>
      </w:tr>
      <w:tr w14:paraId="075057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4216" w:type="dxa"/>
            <w:tcBorders>
              <w:top w:val="nil"/>
              <w:left w:val="single" w:color="auto" w:sz="8" w:space="0"/>
              <w:bottom w:val="single" w:color="auto" w:sz="8" w:space="0"/>
              <w:right w:val="single" w:color="auto" w:sz="8" w:space="0"/>
            </w:tcBorders>
            <w:shd w:val="clear" w:color="auto" w:fill="auto"/>
            <w:tcMar>
              <w:left w:w="28" w:type="dxa"/>
              <w:right w:w="28" w:type="dxa"/>
            </w:tcMar>
            <w:vAlign w:val="center"/>
          </w:tcPr>
          <w:p w14:paraId="260BE8E4">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短期租赁和低价值资产费用</w:t>
            </w:r>
          </w:p>
        </w:tc>
        <w:tc>
          <w:tcPr>
            <w:tcW w:w="4152" w:type="dxa"/>
            <w:tcBorders>
              <w:top w:val="nil"/>
              <w:left w:val="nil"/>
              <w:bottom w:val="single" w:color="auto" w:sz="8" w:space="0"/>
              <w:right w:val="single" w:color="auto" w:sz="8" w:space="0"/>
            </w:tcBorders>
            <w:shd w:val="clear" w:color="auto" w:fill="auto"/>
            <w:tcMar>
              <w:left w:w="28" w:type="dxa"/>
              <w:right w:w="28" w:type="dxa"/>
            </w:tcMar>
            <w:vAlign w:val="center"/>
          </w:tcPr>
          <w:p w14:paraId="6CCCC074">
            <w:pPr>
              <w:pStyle w:val="2"/>
              <w:keepNext w:val="0"/>
              <w:keepLines w:val="0"/>
              <w:widowControl/>
              <w:suppressLineNumbers w:val="0"/>
              <w:spacing w:before="0" w:beforeAutospacing="0" w:after="0" w:afterAutospacing="0" w:line="240" w:lineRule="atLeast"/>
              <w:ind w:left="0" w:right="0"/>
              <w:jc w:val="right"/>
              <w:rPr>
                <w:rFonts w:hint="default" w:ascii="Times New Roman" w:hAnsi="Times New Roman" w:cs="Times New Roman"/>
                <w:sz w:val="21"/>
                <w:szCs w:val="21"/>
              </w:rPr>
            </w:pPr>
            <w:r>
              <w:rPr>
                <w:rFonts w:ascii="Arial Narrow" w:hAnsi="Arial Narrow" w:eastAsia="Arial Narrow" w:cs="Arial Narrow"/>
                <w:sz w:val="18"/>
                <w:szCs w:val="18"/>
              </w:rPr>
              <w:t>441,032.98</w:t>
            </w:r>
          </w:p>
        </w:tc>
      </w:tr>
    </w:tbl>
    <w:p w14:paraId="2BCC0021">
      <w:pPr>
        <w:spacing w:before="100" w:after="100" w:line="240" w:lineRule="exact"/>
        <w:jc w:val="left"/>
        <w:rPr>
          <w:rFonts w:ascii="宋体" w:hAnsi="宋体" w:eastAsia="宋体" w:cs="宋体"/>
          <w:sz w:val="18"/>
          <w:szCs w:val="18"/>
        </w:rPr>
      </w:pPr>
      <w:r>
        <w:rPr>
          <w:rFonts w:ascii="宋体" w:hAnsi="宋体" w:eastAsia="宋体" w:cs="宋体"/>
          <w:sz w:val="18"/>
          <w:szCs w:val="18"/>
        </w:rPr>
        <w:t>涉及售后租回交易的情况</w:t>
      </w:r>
    </w:p>
    <w:p w14:paraId="1E6BB561">
      <w:pPr>
        <w:keepNext/>
        <w:keepLines/>
        <w:spacing w:before="300" w:after="300" w:line="280" w:lineRule="exact"/>
        <w:jc w:val="left"/>
        <w:outlineLvl w:val="3"/>
        <w:rPr>
          <w:rFonts w:ascii="宋体" w:hAnsi="宋体" w:eastAsia="宋体" w:cs="宋体"/>
          <w:b/>
          <w:bCs/>
          <w:sz w:val="21"/>
          <w:szCs w:val="21"/>
        </w:rPr>
      </w:pPr>
      <w:bookmarkStart w:id="455" w:name="_Toc989338"/>
      <w:r>
        <w:rPr>
          <w:rFonts w:ascii="宋体" w:hAnsi="宋体" w:eastAsia="宋体" w:cs="宋体"/>
          <w:b/>
          <w:bCs/>
          <w:sz w:val="21"/>
          <w:szCs w:val="21"/>
        </w:rPr>
        <w:t>（2） 本公司作为出租方</w:t>
      </w:r>
      <w:bookmarkEnd w:id="455"/>
    </w:p>
    <w:p w14:paraId="58F7A124">
      <w:pPr>
        <w:spacing w:before="100" w:after="100" w:line="240" w:lineRule="exact"/>
        <w:jc w:val="left"/>
        <w:rPr>
          <w:rFonts w:ascii="宋体" w:hAnsi="宋体" w:eastAsia="宋体" w:cs="宋体"/>
          <w:sz w:val="18"/>
          <w:szCs w:val="18"/>
        </w:rPr>
      </w:pPr>
      <w:r>
        <w:rPr>
          <w:rFonts w:ascii="宋体" w:hAnsi="宋体" w:eastAsia="宋体" w:cs="宋体"/>
          <w:sz w:val="18"/>
          <w:szCs w:val="18"/>
        </w:rPr>
        <w:t>作为出租人的经营租赁</w:t>
      </w:r>
    </w:p>
    <w:p w14:paraId="3A27371A">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7CAA2B5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B368F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CEE0A9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93F94A3">
            <w:pPr>
              <w:spacing w:before="40" w:after="40" w:line="240" w:lineRule="exact"/>
              <w:jc w:val="center"/>
              <w:rPr>
                <w:rFonts w:ascii="宋体" w:hAnsi="宋体" w:eastAsia="宋体" w:cs="宋体"/>
                <w:sz w:val="18"/>
                <w:szCs w:val="18"/>
              </w:rPr>
            </w:pPr>
            <w:r>
              <w:rPr>
                <w:rFonts w:ascii="宋体" w:hAnsi="宋体" w:eastAsia="宋体" w:cs="宋体"/>
                <w:sz w:val="18"/>
                <w:szCs w:val="18"/>
              </w:rPr>
              <w:t>租赁收入</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13A3120">
            <w:pPr>
              <w:spacing w:before="40" w:after="40" w:line="240" w:lineRule="exact"/>
              <w:jc w:val="center"/>
              <w:rPr>
                <w:rFonts w:ascii="宋体" w:hAnsi="宋体" w:eastAsia="宋体" w:cs="宋体"/>
                <w:sz w:val="18"/>
                <w:szCs w:val="18"/>
              </w:rPr>
            </w:pPr>
            <w:r>
              <w:rPr>
                <w:rFonts w:ascii="宋体" w:hAnsi="宋体" w:eastAsia="宋体" w:cs="宋体"/>
                <w:sz w:val="18"/>
                <w:szCs w:val="18"/>
              </w:rPr>
              <w:t>其中：未计入租赁收款额的可变租赁付款额相关的收入</w:t>
            </w:r>
          </w:p>
        </w:tc>
      </w:tr>
      <w:tr w14:paraId="654C7A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F03F12B">
            <w:pPr>
              <w:spacing w:before="0" w:after="0" w:line="240" w:lineRule="exact"/>
              <w:jc w:val="left"/>
              <w:rPr>
                <w:rFonts w:ascii="宋体" w:hAnsi="宋体" w:eastAsia="宋体" w:cs="宋体"/>
                <w:sz w:val="18"/>
                <w:szCs w:val="18"/>
              </w:rPr>
            </w:pPr>
            <w:r>
              <w:rPr>
                <w:rFonts w:ascii="宋体" w:hAnsi="宋体" w:eastAsia="宋体" w:cs="宋体"/>
                <w:sz w:val="18"/>
                <w:szCs w:val="18"/>
              </w:rPr>
              <w:t>租赁收入</w:t>
            </w:r>
          </w:p>
        </w:tc>
        <w:tc>
          <w:tcPr>
            <w:tcW w:w="3213" w:type="dxa"/>
            <w:tcBorders>
              <w:top w:val="single" w:color="auto" w:sz="2" w:space="0"/>
              <w:left w:val="single" w:color="auto" w:sz="2" w:space="0"/>
              <w:bottom w:val="single" w:color="auto" w:sz="2" w:space="0"/>
              <w:right w:val="single" w:color="auto" w:sz="2" w:space="0"/>
            </w:tcBorders>
            <w:vAlign w:val="center"/>
          </w:tcPr>
          <w:p w14:paraId="2CFA236C">
            <w:pPr>
              <w:spacing w:before="0" w:after="0" w:line="240" w:lineRule="exact"/>
              <w:jc w:val="right"/>
              <w:rPr>
                <w:rFonts w:ascii="宋体" w:hAnsi="宋体" w:eastAsia="宋体" w:cs="宋体"/>
                <w:sz w:val="18"/>
                <w:szCs w:val="18"/>
              </w:rPr>
            </w:pPr>
            <w:r>
              <w:rPr>
                <w:rFonts w:ascii="宋体" w:hAnsi="宋体" w:eastAsia="宋体" w:cs="宋体"/>
                <w:sz w:val="18"/>
                <w:szCs w:val="18"/>
              </w:rPr>
              <w:t>3,743,657.13</w:t>
            </w:r>
          </w:p>
        </w:tc>
        <w:tc>
          <w:tcPr>
            <w:tcW w:w="3213" w:type="dxa"/>
            <w:tcBorders>
              <w:top w:val="single" w:color="auto" w:sz="2" w:space="0"/>
              <w:left w:val="single" w:color="auto" w:sz="2" w:space="0"/>
              <w:bottom w:val="single" w:color="auto" w:sz="2" w:space="0"/>
              <w:right w:val="single" w:color="auto" w:sz="2" w:space="0"/>
            </w:tcBorders>
            <w:vAlign w:val="center"/>
          </w:tcPr>
          <w:p w14:paraId="26BE49CD">
            <w:pPr>
              <w:spacing w:before="0" w:after="0" w:line="240" w:lineRule="exact"/>
              <w:jc w:val="right"/>
              <w:rPr>
                <w:rFonts w:ascii="宋体" w:hAnsi="宋体" w:eastAsia="宋体" w:cs="宋体"/>
                <w:sz w:val="18"/>
                <w:szCs w:val="18"/>
              </w:rPr>
            </w:pPr>
          </w:p>
        </w:tc>
      </w:tr>
      <w:tr w14:paraId="25496F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4EB3995">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2793F934">
            <w:pPr>
              <w:spacing w:before="0" w:after="0" w:line="240" w:lineRule="exact"/>
              <w:jc w:val="right"/>
              <w:rPr>
                <w:rFonts w:ascii="宋体" w:hAnsi="宋体" w:eastAsia="宋体" w:cs="宋体"/>
                <w:sz w:val="18"/>
                <w:szCs w:val="18"/>
              </w:rPr>
            </w:pPr>
            <w:r>
              <w:rPr>
                <w:rFonts w:ascii="宋体" w:hAnsi="宋体" w:eastAsia="宋体" w:cs="宋体"/>
                <w:sz w:val="18"/>
                <w:szCs w:val="18"/>
              </w:rPr>
              <w:t>3,743,657.13</w:t>
            </w:r>
          </w:p>
        </w:tc>
        <w:tc>
          <w:tcPr>
            <w:tcW w:w="3213" w:type="dxa"/>
            <w:tcBorders>
              <w:top w:val="single" w:color="auto" w:sz="2" w:space="0"/>
              <w:left w:val="single" w:color="auto" w:sz="2" w:space="0"/>
              <w:bottom w:val="single" w:color="auto" w:sz="2" w:space="0"/>
              <w:right w:val="single" w:color="auto" w:sz="2" w:space="0"/>
            </w:tcBorders>
            <w:vAlign w:val="center"/>
          </w:tcPr>
          <w:p w14:paraId="1AD50F00">
            <w:pPr>
              <w:spacing w:before="0" w:after="0" w:line="240" w:lineRule="exact"/>
              <w:jc w:val="right"/>
              <w:rPr>
                <w:rFonts w:ascii="宋体" w:hAnsi="宋体" w:eastAsia="宋体" w:cs="宋体"/>
                <w:sz w:val="18"/>
                <w:szCs w:val="18"/>
              </w:rPr>
            </w:pPr>
          </w:p>
        </w:tc>
      </w:tr>
    </w:tbl>
    <w:p w14:paraId="3C41EAF8">
      <w:pPr>
        <w:spacing w:before="100" w:after="100" w:line="240" w:lineRule="exact"/>
        <w:jc w:val="left"/>
        <w:rPr>
          <w:rFonts w:ascii="宋体" w:hAnsi="宋体" w:eastAsia="宋体" w:cs="宋体"/>
          <w:sz w:val="18"/>
          <w:szCs w:val="18"/>
        </w:rPr>
      </w:pPr>
      <w:r>
        <w:rPr>
          <w:rFonts w:ascii="宋体" w:hAnsi="宋体" w:eastAsia="宋体" w:cs="宋体"/>
          <w:sz w:val="18"/>
          <w:szCs w:val="18"/>
        </w:rPr>
        <w:t>作为出租人的融资租赁</w:t>
      </w:r>
    </w:p>
    <w:p w14:paraId="47CE4C8C">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96333A8">
      <w:pPr>
        <w:spacing w:before="100" w:after="100" w:line="240" w:lineRule="exact"/>
        <w:jc w:val="left"/>
        <w:rPr>
          <w:rFonts w:ascii="宋体" w:hAnsi="宋体" w:eastAsia="宋体" w:cs="宋体"/>
          <w:sz w:val="18"/>
          <w:szCs w:val="18"/>
        </w:rPr>
      </w:pPr>
      <w:r>
        <w:rPr>
          <w:rFonts w:ascii="宋体" w:hAnsi="宋体" w:eastAsia="宋体" w:cs="宋体"/>
          <w:sz w:val="18"/>
          <w:szCs w:val="18"/>
        </w:rPr>
        <w:t>未来五年每年未折现租赁收款额</w:t>
      </w:r>
    </w:p>
    <w:p w14:paraId="2E664516">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3F837B3">
      <w:pPr>
        <w:spacing w:before="100" w:after="100" w:line="240" w:lineRule="exact"/>
        <w:jc w:val="left"/>
        <w:rPr>
          <w:rFonts w:ascii="宋体" w:hAnsi="宋体" w:eastAsia="宋体" w:cs="宋体"/>
          <w:sz w:val="18"/>
          <w:szCs w:val="18"/>
        </w:rPr>
      </w:pPr>
      <w:r>
        <w:rPr>
          <w:rFonts w:ascii="宋体" w:hAnsi="宋体" w:eastAsia="宋体" w:cs="宋体"/>
          <w:sz w:val="18"/>
          <w:szCs w:val="18"/>
        </w:rPr>
        <w:t>未折现租赁收款额与租赁投资净额的调节表</w:t>
      </w:r>
    </w:p>
    <w:p w14:paraId="25D9D168">
      <w:pPr>
        <w:keepNext/>
        <w:keepLines/>
        <w:spacing w:before="300" w:after="300" w:line="280" w:lineRule="exact"/>
        <w:jc w:val="left"/>
        <w:outlineLvl w:val="3"/>
        <w:rPr>
          <w:rFonts w:ascii="宋体" w:hAnsi="宋体" w:eastAsia="宋体" w:cs="宋体"/>
          <w:b/>
          <w:bCs/>
          <w:sz w:val="21"/>
          <w:szCs w:val="21"/>
        </w:rPr>
      </w:pPr>
      <w:bookmarkStart w:id="456" w:name="_Toc989339"/>
      <w:r>
        <w:rPr>
          <w:rFonts w:ascii="宋体" w:hAnsi="宋体" w:eastAsia="宋体" w:cs="宋体"/>
          <w:b/>
          <w:bCs/>
          <w:sz w:val="21"/>
          <w:szCs w:val="21"/>
        </w:rPr>
        <w:t>（3） 作为生产商或经销商确认融资租赁销售损益</w:t>
      </w:r>
      <w:bookmarkEnd w:id="456"/>
    </w:p>
    <w:p w14:paraId="57B03A7F">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AA0FC39">
      <w:pPr>
        <w:keepNext/>
        <w:keepLines/>
        <w:spacing w:before="300" w:after="300" w:line="280" w:lineRule="exact"/>
        <w:jc w:val="left"/>
        <w:outlineLvl w:val="2"/>
        <w:rPr>
          <w:rFonts w:ascii="宋体" w:hAnsi="宋体" w:eastAsia="宋体" w:cs="宋体"/>
          <w:b/>
          <w:bCs/>
          <w:sz w:val="21"/>
          <w:szCs w:val="21"/>
        </w:rPr>
      </w:pPr>
      <w:bookmarkStart w:id="457" w:name="_Toc989340"/>
      <w:r>
        <w:rPr>
          <w:rFonts w:ascii="宋体" w:hAnsi="宋体" w:eastAsia="宋体" w:cs="宋体"/>
          <w:b/>
          <w:bCs/>
          <w:sz w:val="21"/>
          <w:szCs w:val="21"/>
        </w:rPr>
        <w:t>83、数据资源</w:t>
      </w:r>
      <w:bookmarkEnd w:id="457"/>
    </w:p>
    <w:p w14:paraId="07B4D848">
      <w:pPr>
        <w:keepNext/>
        <w:keepLines/>
        <w:spacing w:before="300" w:after="300" w:line="280" w:lineRule="exact"/>
        <w:jc w:val="left"/>
        <w:outlineLvl w:val="2"/>
        <w:rPr>
          <w:rFonts w:ascii="宋体" w:hAnsi="宋体" w:eastAsia="宋体" w:cs="宋体"/>
          <w:b/>
          <w:bCs/>
          <w:sz w:val="21"/>
          <w:szCs w:val="21"/>
        </w:rPr>
      </w:pPr>
      <w:bookmarkStart w:id="458" w:name="_Toc989341"/>
      <w:r>
        <w:rPr>
          <w:rFonts w:ascii="宋体" w:hAnsi="宋体" w:eastAsia="宋体" w:cs="宋体"/>
          <w:b/>
          <w:bCs/>
          <w:sz w:val="21"/>
          <w:szCs w:val="21"/>
        </w:rPr>
        <w:t>84、其他</w:t>
      </w:r>
      <w:bookmarkEnd w:id="458"/>
    </w:p>
    <w:p w14:paraId="4AA2FC25">
      <w:pPr>
        <w:keepNext/>
        <w:keepLines/>
        <w:spacing w:before="300" w:after="300" w:line="320" w:lineRule="exact"/>
        <w:jc w:val="left"/>
        <w:outlineLvl w:val="1"/>
        <w:rPr>
          <w:rFonts w:ascii="宋体" w:hAnsi="宋体" w:eastAsia="宋体" w:cs="宋体"/>
          <w:b/>
          <w:bCs/>
          <w:sz w:val="24"/>
          <w:szCs w:val="24"/>
        </w:rPr>
      </w:pPr>
      <w:bookmarkStart w:id="459" w:name="_Toc989342"/>
      <w:r>
        <w:rPr>
          <w:rFonts w:ascii="宋体" w:hAnsi="宋体" w:eastAsia="宋体" w:cs="宋体"/>
          <w:b/>
          <w:bCs/>
          <w:sz w:val="24"/>
          <w:szCs w:val="24"/>
        </w:rPr>
        <w:t>八、研发支出</w:t>
      </w:r>
      <w:bookmarkEnd w:id="459"/>
    </w:p>
    <w:p w14:paraId="5C1D1E3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5D93C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1A2D325">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517D9A3">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35F03CA">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3B1857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F242EBF">
            <w:pPr>
              <w:spacing w:before="0" w:after="0" w:line="240" w:lineRule="exact"/>
              <w:jc w:val="left"/>
              <w:rPr>
                <w:rFonts w:ascii="宋体" w:hAnsi="宋体" w:eastAsia="宋体" w:cs="宋体"/>
                <w:sz w:val="18"/>
                <w:szCs w:val="18"/>
              </w:rPr>
            </w:pPr>
            <w:r>
              <w:rPr>
                <w:rFonts w:ascii="宋体" w:hAnsi="宋体" w:eastAsia="宋体" w:cs="宋体"/>
                <w:sz w:val="18"/>
                <w:szCs w:val="18"/>
              </w:rPr>
              <w:t>技术服务费</w:t>
            </w:r>
          </w:p>
        </w:tc>
        <w:tc>
          <w:tcPr>
            <w:tcW w:w="3213" w:type="dxa"/>
            <w:tcBorders>
              <w:top w:val="single" w:color="auto" w:sz="2" w:space="0"/>
              <w:left w:val="single" w:color="auto" w:sz="2" w:space="0"/>
              <w:bottom w:val="single" w:color="auto" w:sz="2" w:space="0"/>
              <w:right w:val="single" w:color="auto" w:sz="2" w:space="0"/>
            </w:tcBorders>
            <w:vAlign w:val="center"/>
          </w:tcPr>
          <w:p w14:paraId="5258C208">
            <w:pPr>
              <w:spacing w:before="0" w:after="0" w:line="240" w:lineRule="exact"/>
              <w:jc w:val="right"/>
              <w:rPr>
                <w:rFonts w:ascii="宋体" w:hAnsi="宋体" w:eastAsia="宋体" w:cs="宋体"/>
                <w:sz w:val="18"/>
                <w:szCs w:val="18"/>
              </w:rPr>
            </w:pPr>
            <w:r>
              <w:rPr>
                <w:rFonts w:ascii="宋体" w:hAnsi="宋体" w:eastAsia="宋体" w:cs="宋体"/>
                <w:sz w:val="18"/>
                <w:szCs w:val="18"/>
              </w:rPr>
              <w:t>23,118,260.33</w:t>
            </w:r>
          </w:p>
        </w:tc>
        <w:tc>
          <w:tcPr>
            <w:tcW w:w="3213" w:type="dxa"/>
            <w:tcBorders>
              <w:top w:val="single" w:color="auto" w:sz="2" w:space="0"/>
              <w:left w:val="single" w:color="auto" w:sz="2" w:space="0"/>
              <w:bottom w:val="single" w:color="auto" w:sz="2" w:space="0"/>
              <w:right w:val="single" w:color="auto" w:sz="2" w:space="0"/>
            </w:tcBorders>
            <w:vAlign w:val="center"/>
          </w:tcPr>
          <w:p w14:paraId="18304090">
            <w:pPr>
              <w:spacing w:before="0" w:after="0" w:line="240" w:lineRule="exact"/>
              <w:jc w:val="right"/>
              <w:rPr>
                <w:rFonts w:ascii="宋体" w:hAnsi="宋体" w:eastAsia="宋体" w:cs="宋体"/>
                <w:sz w:val="18"/>
                <w:szCs w:val="18"/>
              </w:rPr>
            </w:pPr>
            <w:r>
              <w:rPr>
                <w:rFonts w:ascii="宋体" w:hAnsi="宋体" w:eastAsia="宋体" w:cs="宋体"/>
                <w:sz w:val="18"/>
                <w:szCs w:val="18"/>
              </w:rPr>
              <w:t>249,156,809.01</w:t>
            </w:r>
          </w:p>
        </w:tc>
      </w:tr>
      <w:tr w14:paraId="59366B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9D24212">
            <w:pPr>
              <w:spacing w:before="0" w:after="0" w:line="240" w:lineRule="exact"/>
              <w:jc w:val="left"/>
              <w:rPr>
                <w:rFonts w:ascii="宋体" w:hAnsi="宋体" w:eastAsia="宋体" w:cs="宋体"/>
                <w:sz w:val="18"/>
                <w:szCs w:val="18"/>
              </w:rPr>
            </w:pPr>
            <w:r>
              <w:rPr>
                <w:rFonts w:ascii="宋体" w:hAnsi="宋体" w:eastAsia="宋体" w:cs="宋体"/>
                <w:sz w:val="18"/>
                <w:szCs w:val="18"/>
              </w:rPr>
              <w:t>职工薪酬</w:t>
            </w:r>
          </w:p>
        </w:tc>
        <w:tc>
          <w:tcPr>
            <w:tcW w:w="3213" w:type="dxa"/>
            <w:tcBorders>
              <w:top w:val="single" w:color="auto" w:sz="2" w:space="0"/>
              <w:left w:val="single" w:color="auto" w:sz="2" w:space="0"/>
              <w:bottom w:val="single" w:color="auto" w:sz="2" w:space="0"/>
              <w:right w:val="single" w:color="auto" w:sz="2" w:space="0"/>
            </w:tcBorders>
            <w:vAlign w:val="center"/>
          </w:tcPr>
          <w:p w14:paraId="6650D815">
            <w:pPr>
              <w:spacing w:before="0" w:after="0" w:line="240" w:lineRule="exact"/>
              <w:jc w:val="right"/>
              <w:rPr>
                <w:rFonts w:ascii="宋体" w:hAnsi="宋体" w:eastAsia="宋体" w:cs="宋体"/>
                <w:sz w:val="18"/>
                <w:szCs w:val="18"/>
              </w:rPr>
            </w:pPr>
            <w:r>
              <w:rPr>
                <w:rFonts w:ascii="宋体" w:hAnsi="宋体" w:eastAsia="宋体" w:cs="宋体"/>
                <w:sz w:val="18"/>
                <w:szCs w:val="18"/>
              </w:rPr>
              <w:t>14,303,852.43</w:t>
            </w:r>
          </w:p>
        </w:tc>
        <w:tc>
          <w:tcPr>
            <w:tcW w:w="3213" w:type="dxa"/>
            <w:tcBorders>
              <w:top w:val="single" w:color="auto" w:sz="2" w:space="0"/>
              <w:left w:val="single" w:color="auto" w:sz="2" w:space="0"/>
              <w:bottom w:val="single" w:color="auto" w:sz="2" w:space="0"/>
              <w:right w:val="single" w:color="auto" w:sz="2" w:space="0"/>
            </w:tcBorders>
            <w:vAlign w:val="center"/>
          </w:tcPr>
          <w:p w14:paraId="46B1EAEC">
            <w:pPr>
              <w:spacing w:before="0" w:after="0" w:line="240" w:lineRule="exact"/>
              <w:jc w:val="right"/>
              <w:rPr>
                <w:rFonts w:ascii="宋体" w:hAnsi="宋体" w:eastAsia="宋体" w:cs="宋体"/>
                <w:sz w:val="18"/>
                <w:szCs w:val="18"/>
              </w:rPr>
            </w:pPr>
            <w:r>
              <w:rPr>
                <w:rFonts w:ascii="宋体" w:hAnsi="宋体" w:eastAsia="宋体" w:cs="宋体"/>
                <w:sz w:val="18"/>
                <w:szCs w:val="18"/>
              </w:rPr>
              <w:t>23,361,477.25</w:t>
            </w:r>
          </w:p>
        </w:tc>
      </w:tr>
      <w:tr w14:paraId="5E14CC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478C84D">
            <w:pPr>
              <w:spacing w:before="0" w:after="0" w:line="240" w:lineRule="exact"/>
              <w:jc w:val="left"/>
              <w:rPr>
                <w:rFonts w:ascii="宋体" w:hAnsi="宋体" w:eastAsia="宋体" w:cs="宋体"/>
                <w:sz w:val="18"/>
                <w:szCs w:val="18"/>
              </w:rPr>
            </w:pPr>
            <w:r>
              <w:rPr>
                <w:rFonts w:ascii="宋体" w:hAnsi="宋体" w:eastAsia="宋体" w:cs="宋体"/>
                <w:sz w:val="18"/>
                <w:szCs w:val="18"/>
              </w:rPr>
              <w:t>研发领用原料及低值易耗品</w:t>
            </w:r>
          </w:p>
        </w:tc>
        <w:tc>
          <w:tcPr>
            <w:tcW w:w="3213" w:type="dxa"/>
            <w:tcBorders>
              <w:top w:val="single" w:color="auto" w:sz="2" w:space="0"/>
              <w:left w:val="single" w:color="auto" w:sz="2" w:space="0"/>
              <w:bottom w:val="single" w:color="auto" w:sz="2" w:space="0"/>
              <w:right w:val="single" w:color="auto" w:sz="2" w:space="0"/>
            </w:tcBorders>
            <w:vAlign w:val="center"/>
          </w:tcPr>
          <w:p w14:paraId="4B8B07EC">
            <w:pPr>
              <w:spacing w:before="0" w:after="0" w:line="240" w:lineRule="exact"/>
              <w:jc w:val="right"/>
              <w:rPr>
                <w:rFonts w:ascii="宋体" w:hAnsi="宋体" w:eastAsia="宋体" w:cs="宋体"/>
                <w:sz w:val="18"/>
                <w:szCs w:val="18"/>
              </w:rPr>
            </w:pPr>
            <w:r>
              <w:rPr>
                <w:rFonts w:ascii="宋体" w:hAnsi="宋体" w:eastAsia="宋体" w:cs="宋体"/>
                <w:sz w:val="18"/>
                <w:szCs w:val="18"/>
              </w:rPr>
              <w:t>1,136,467.42</w:t>
            </w:r>
          </w:p>
        </w:tc>
        <w:tc>
          <w:tcPr>
            <w:tcW w:w="3213" w:type="dxa"/>
            <w:tcBorders>
              <w:top w:val="single" w:color="auto" w:sz="2" w:space="0"/>
              <w:left w:val="single" w:color="auto" w:sz="2" w:space="0"/>
              <w:bottom w:val="single" w:color="auto" w:sz="2" w:space="0"/>
              <w:right w:val="single" w:color="auto" w:sz="2" w:space="0"/>
            </w:tcBorders>
            <w:vAlign w:val="center"/>
          </w:tcPr>
          <w:p w14:paraId="799F8B4A">
            <w:pPr>
              <w:spacing w:before="0" w:after="0" w:line="240" w:lineRule="exact"/>
              <w:jc w:val="right"/>
              <w:rPr>
                <w:rFonts w:ascii="宋体" w:hAnsi="宋体" w:eastAsia="宋体" w:cs="宋体"/>
                <w:sz w:val="18"/>
                <w:szCs w:val="18"/>
              </w:rPr>
            </w:pPr>
            <w:r>
              <w:rPr>
                <w:rFonts w:ascii="宋体" w:hAnsi="宋体" w:eastAsia="宋体" w:cs="宋体"/>
                <w:sz w:val="18"/>
                <w:szCs w:val="18"/>
              </w:rPr>
              <w:t>29,946,739.40</w:t>
            </w:r>
          </w:p>
        </w:tc>
      </w:tr>
      <w:tr w14:paraId="0F55AE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E6569A6">
            <w:pPr>
              <w:spacing w:before="0" w:after="0" w:line="240" w:lineRule="exact"/>
              <w:jc w:val="left"/>
              <w:rPr>
                <w:rFonts w:ascii="宋体" w:hAnsi="宋体" w:eastAsia="宋体" w:cs="宋体"/>
                <w:sz w:val="18"/>
                <w:szCs w:val="18"/>
              </w:rPr>
            </w:pPr>
            <w:r>
              <w:rPr>
                <w:rFonts w:ascii="宋体" w:hAnsi="宋体" w:eastAsia="宋体" w:cs="宋体"/>
                <w:sz w:val="18"/>
                <w:szCs w:val="18"/>
              </w:rPr>
              <w:t>专利申请费</w:t>
            </w:r>
          </w:p>
        </w:tc>
        <w:tc>
          <w:tcPr>
            <w:tcW w:w="3213" w:type="dxa"/>
            <w:tcBorders>
              <w:top w:val="single" w:color="auto" w:sz="2" w:space="0"/>
              <w:left w:val="single" w:color="auto" w:sz="2" w:space="0"/>
              <w:bottom w:val="single" w:color="auto" w:sz="2" w:space="0"/>
              <w:right w:val="single" w:color="auto" w:sz="2" w:space="0"/>
            </w:tcBorders>
            <w:vAlign w:val="center"/>
          </w:tcPr>
          <w:p w14:paraId="7CBB5558">
            <w:pPr>
              <w:spacing w:before="0" w:after="0" w:line="240" w:lineRule="exact"/>
              <w:jc w:val="right"/>
              <w:rPr>
                <w:rFonts w:ascii="宋体" w:hAnsi="宋体" w:eastAsia="宋体" w:cs="宋体"/>
                <w:sz w:val="18"/>
                <w:szCs w:val="18"/>
              </w:rPr>
            </w:pPr>
            <w:r>
              <w:rPr>
                <w:rFonts w:ascii="宋体" w:hAnsi="宋体" w:eastAsia="宋体" w:cs="宋体"/>
                <w:sz w:val="18"/>
                <w:szCs w:val="18"/>
              </w:rPr>
              <w:t>2,057,437.36</w:t>
            </w:r>
          </w:p>
        </w:tc>
        <w:tc>
          <w:tcPr>
            <w:tcW w:w="3213" w:type="dxa"/>
            <w:tcBorders>
              <w:top w:val="single" w:color="auto" w:sz="2" w:space="0"/>
              <w:left w:val="single" w:color="auto" w:sz="2" w:space="0"/>
              <w:bottom w:val="single" w:color="auto" w:sz="2" w:space="0"/>
              <w:right w:val="single" w:color="auto" w:sz="2" w:space="0"/>
            </w:tcBorders>
            <w:vAlign w:val="center"/>
          </w:tcPr>
          <w:p w14:paraId="2334DAD5">
            <w:pPr>
              <w:spacing w:before="0" w:after="0" w:line="240" w:lineRule="exact"/>
              <w:jc w:val="right"/>
              <w:rPr>
                <w:rFonts w:ascii="宋体" w:hAnsi="宋体" w:eastAsia="宋体" w:cs="宋体"/>
                <w:sz w:val="18"/>
                <w:szCs w:val="18"/>
              </w:rPr>
            </w:pPr>
            <w:r>
              <w:rPr>
                <w:rFonts w:ascii="宋体" w:hAnsi="宋体" w:eastAsia="宋体" w:cs="宋体"/>
                <w:sz w:val="18"/>
                <w:szCs w:val="18"/>
              </w:rPr>
              <w:t>3,062,504.93</w:t>
            </w:r>
          </w:p>
        </w:tc>
      </w:tr>
      <w:tr w14:paraId="39ADF7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8A26416">
            <w:pPr>
              <w:spacing w:before="0" w:after="0" w:line="240" w:lineRule="exact"/>
              <w:jc w:val="left"/>
              <w:rPr>
                <w:rFonts w:ascii="宋体" w:hAnsi="宋体" w:eastAsia="宋体" w:cs="宋体"/>
                <w:sz w:val="18"/>
                <w:szCs w:val="18"/>
              </w:rPr>
            </w:pPr>
            <w:r>
              <w:rPr>
                <w:rFonts w:ascii="宋体" w:hAnsi="宋体" w:eastAsia="宋体" w:cs="宋体"/>
                <w:sz w:val="18"/>
                <w:szCs w:val="18"/>
              </w:rPr>
              <w:t>折旧摊销费</w:t>
            </w:r>
          </w:p>
        </w:tc>
        <w:tc>
          <w:tcPr>
            <w:tcW w:w="3213" w:type="dxa"/>
            <w:tcBorders>
              <w:top w:val="single" w:color="auto" w:sz="2" w:space="0"/>
              <w:left w:val="single" w:color="auto" w:sz="2" w:space="0"/>
              <w:bottom w:val="single" w:color="auto" w:sz="2" w:space="0"/>
              <w:right w:val="single" w:color="auto" w:sz="2" w:space="0"/>
            </w:tcBorders>
            <w:vAlign w:val="center"/>
          </w:tcPr>
          <w:p w14:paraId="7775DE61">
            <w:pPr>
              <w:spacing w:before="0" w:after="0" w:line="240" w:lineRule="exact"/>
              <w:jc w:val="right"/>
              <w:rPr>
                <w:rFonts w:ascii="宋体" w:hAnsi="宋体" w:eastAsia="宋体" w:cs="宋体"/>
                <w:sz w:val="18"/>
                <w:szCs w:val="18"/>
              </w:rPr>
            </w:pPr>
            <w:r>
              <w:rPr>
                <w:rFonts w:ascii="宋体" w:hAnsi="宋体" w:eastAsia="宋体" w:cs="宋体"/>
                <w:sz w:val="18"/>
                <w:szCs w:val="18"/>
              </w:rPr>
              <w:t>2,207,786.31</w:t>
            </w:r>
          </w:p>
        </w:tc>
        <w:tc>
          <w:tcPr>
            <w:tcW w:w="3213" w:type="dxa"/>
            <w:tcBorders>
              <w:top w:val="single" w:color="auto" w:sz="2" w:space="0"/>
              <w:left w:val="single" w:color="auto" w:sz="2" w:space="0"/>
              <w:bottom w:val="single" w:color="auto" w:sz="2" w:space="0"/>
              <w:right w:val="single" w:color="auto" w:sz="2" w:space="0"/>
            </w:tcBorders>
            <w:vAlign w:val="center"/>
          </w:tcPr>
          <w:p w14:paraId="0F7D4133">
            <w:pPr>
              <w:spacing w:before="0" w:after="0" w:line="240" w:lineRule="exact"/>
              <w:jc w:val="right"/>
              <w:rPr>
                <w:rFonts w:ascii="宋体" w:hAnsi="宋体" w:eastAsia="宋体" w:cs="宋体"/>
                <w:sz w:val="18"/>
                <w:szCs w:val="18"/>
              </w:rPr>
            </w:pPr>
            <w:r>
              <w:rPr>
                <w:rFonts w:ascii="宋体" w:hAnsi="宋体" w:eastAsia="宋体" w:cs="宋体"/>
                <w:sz w:val="18"/>
                <w:szCs w:val="18"/>
              </w:rPr>
              <w:t>1,644,700.82</w:t>
            </w:r>
          </w:p>
        </w:tc>
      </w:tr>
      <w:tr w14:paraId="3A00A3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6743CCA">
            <w:pPr>
              <w:spacing w:before="0" w:after="0" w:line="240" w:lineRule="exact"/>
              <w:jc w:val="left"/>
              <w:rPr>
                <w:rFonts w:ascii="宋体" w:hAnsi="宋体" w:eastAsia="宋体" w:cs="宋体"/>
                <w:sz w:val="18"/>
                <w:szCs w:val="18"/>
              </w:rPr>
            </w:pPr>
            <w:r>
              <w:rPr>
                <w:rFonts w:ascii="宋体" w:hAnsi="宋体" w:eastAsia="宋体" w:cs="宋体"/>
                <w:sz w:val="18"/>
                <w:szCs w:val="18"/>
              </w:rPr>
              <w:t>交通差旅费</w:t>
            </w:r>
          </w:p>
        </w:tc>
        <w:tc>
          <w:tcPr>
            <w:tcW w:w="3213" w:type="dxa"/>
            <w:tcBorders>
              <w:top w:val="single" w:color="auto" w:sz="2" w:space="0"/>
              <w:left w:val="single" w:color="auto" w:sz="2" w:space="0"/>
              <w:bottom w:val="single" w:color="auto" w:sz="2" w:space="0"/>
              <w:right w:val="single" w:color="auto" w:sz="2" w:space="0"/>
            </w:tcBorders>
            <w:vAlign w:val="center"/>
          </w:tcPr>
          <w:p w14:paraId="31D58265">
            <w:pPr>
              <w:spacing w:before="0" w:after="0" w:line="240" w:lineRule="exact"/>
              <w:jc w:val="right"/>
              <w:rPr>
                <w:rFonts w:ascii="宋体" w:hAnsi="宋体" w:eastAsia="宋体" w:cs="宋体"/>
                <w:sz w:val="18"/>
                <w:szCs w:val="18"/>
              </w:rPr>
            </w:pPr>
            <w:r>
              <w:rPr>
                <w:rFonts w:ascii="宋体" w:hAnsi="宋体" w:eastAsia="宋体" w:cs="宋体"/>
                <w:sz w:val="18"/>
                <w:szCs w:val="18"/>
              </w:rPr>
              <w:t>369,827.14</w:t>
            </w:r>
          </w:p>
        </w:tc>
        <w:tc>
          <w:tcPr>
            <w:tcW w:w="3213" w:type="dxa"/>
            <w:tcBorders>
              <w:top w:val="single" w:color="auto" w:sz="2" w:space="0"/>
              <w:left w:val="single" w:color="auto" w:sz="2" w:space="0"/>
              <w:bottom w:val="single" w:color="auto" w:sz="2" w:space="0"/>
              <w:right w:val="single" w:color="auto" w:sz="2" w:space="0"/>
            </w:tcBorders>
            <w:vAlign w:val="center"/>
          </w:tcPr>
          <w:p w14:paraId="60015458">
            <w:pPr>
              <w:spacing w:before="0" w:after="0" w:line="240" w:lineRule="exact"/>
              <w:jc w:val="right"/>
              <w:rPr>
                <w:rFonts w:ascii="宋体" w:hAnsi="宋体" w:eastAsia="宋体" w:cs="宋体"/>
                <w:sz w:val="18"/>
                <w:szCs w:val="18"/>
              </w:rPr>
            </w:pPr>
            <w:r>
              <w:rPr>
                <w:rFonts w:ascii="宋体" w:hAnsi="宋体" w:eastAsia="宋体" w:cs="宋体"/>
                <w:sz w:val="18"/>
                <w:szCs w:val="18"/>
              </w:rPr>
              <w:t>1,319,191.53</w:t>
            </w:r>
          </w:p>
        </w:tc>
      </w:tr>
      <w:tr w14:paraId="4C51D8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F08C853">
            <w:pPr>
              <w:spacing w:before="0" w:after="0" w:line="240" w:lineRule="exact"/>
              <w:jc w:val="left"/>
              <w:rPr>
                <w:rFonts w:ascii="宋体" w:hAnsi="宋体" w:eastAsia="宋体" w:cs="宋体"/>
                <w:sz w:val="18"/>
                <w:szCs w:val="18"/>
              </w:rPr>
            </w:pPr>
            <w:r>
              <w:rPr>
                <w:rFonts w:ascii="宋体" w:hAnsi="宋体" w:eastAsia="宋体" w:cs="宋体"/>
                <w:sz w:val="18"/>
                <w:szCs w:val="18"/>
              </w:rPr>
              <w:t>房租物业费</w:t>
            </w:r>
          </w:p>
        </w:tc>
        <w:tc>
          <w:tcPr>
            <w:tcW w:w="3213" w:type="dxa"/>
            <w:tcBorders>
              <w:top w:val="single" w:color="auto" w:sz="2" w:space="0"/>
              <w:left w:val="single" w:color="auto" w:sz="2" w:space="0"/>
              <w:bottom w:val="single" w:color="auto" w:sz="2" w:space="0"/>
              <w:right w:val="single" w:color="auto" w:sz="2" w:space="0"/>
            </w:tcBorders>
            <w:vAlign w:val="center"/>
          </w:tcPr>
          <w:p w14:paraId="3A368AB2">
            <w:pPr>
              <w:spacing w:before="0" w:after="0" w:line="240" w:lineRule="exact"/>
              <w:jc w:val="right"/>
              <w:rPr>
                <w:rFonts w:ascii="宋体" w:hAnsi="宋体" w:eastAsia="宋体" w:cs="宋体"/>
                <w:sz w:val="18"/>
                <w:szCs w:val="18"/>
              </w:rPr>
            </w:pPr>
            <w:r>
              <w:rPr>
                <w:rFonts w:ascii="宋体" w:hAnsi="宋体" w:eastAsia="宋体" w:cs="宋体"/>
                <w:sz w:val="18"/>
                <w:szCs w:val="18"/>
              </w:rPr>
              <w:t>147,418.13</w:t>
            </w:r>
          </w:p>
        </w:tc>
        <w:tc>
          <w:tcPr>
            <w:tcW w:w="3213" w:type="dxa"/>
            <w:tcBorders>
              <w:top w:val="single" w:color="auto" w:sz="2" w:space="0"/>
              <w:left w:val="single" w:color="auto" w:sz="2" w:space="0"/>
              <w:bottom w:val="single" w:color="auto" w:sz="2" w:space="0"/>
              <w:right w:val="single" w:color="auto" w:sz="2" w:space="0"/>
            </w:tcBorders>
            <w:vAlign w:val="center"/>
          </w:tcPr>
          <w:p w14:paraId="2E26434B">
            <w:pPr>
              <w:spacing w:before="0" w:after="0" w:line="240" w:lineRule="exact"/>
              <w:jc w:val="right"/>
              <w:rPr>
                <w:rFonts w:ascii="宋体" w:hAnsi="宋体" w:eastAsia="宋体" w:cs="宋体"/>
                <w:sz w:val="18"/>
                <w:szCs w:val="18"/>
              </w:rPr>
            </w:pPr>
            <w:r>
              <w:rPr>
                <w:rFonts w:ascii="宋体" w:hAnsi="宋体" w:eastAsia="宋体" w:cs="宋体"/>
                <w:sz w:val="18"/>
                <w:szCs w:val="18"/>
              </w:rPr>
              <w:t>145,351.14</w:t>
            </w:r>
          </w:p>
        </w:tc>
      </w:tr>
      <w:tr w14:paraId="257B74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982EE91">
            <w:pPr>
              <w:spacing w:before="0" w:after="0" w:line="240" w:lineRule="exact"/>
              <w:jc w:val="left"/>
              <w:rPr>
                <w:rFonts w:ascii="宋体" w:hAnsi="宋体" w:eastAsia="宋体" w:cs="宋体"/>
                <w:sz w:val="18"/>
                <w:szCs w:val="18"/>
              </w:rPr>
            </w:pPr>
            <w:r>
              <w:rPr>
                <w:rFonts w:ascii="宋体" w:hAnsi="宋体" w:eastAsia="宋体" w:cs="宋体"/>
                <w:sz w:val="18"/>
                <w:szCs w:val="18"/>
              </w:rPr>
              <w:t>办公费</w:t>
            </w:r>
          </w:p>
        </w:tc>
        <w:tc>
          <w:tcPr>
            <w:tcW w:w="3213" w:type="dxa"/>
            <w:tcBorders>
              <w:top w:val="single" w:color="auto" w:sz="2" w:space="0"/>
              <w:left w:val="single" w:color="auto" w:sz="2" w:space="0"/>
              <w:bottom w:val="single" w:color="auto" w:sz="2" w:space="0"/>
              <w:right w:val="single" w:color="auto" w:sz="2" w:space="0"/>
            </w:tcBorders>
            <w:vAlign w:val="center"/>
          </w:tcPr>
          <w:p w14:paraId="2ACE604A">
            <w:pPr>
              <w:spacing w:before="0" w:after="0" w:line="240" w:lineRule="exact"/>
              <w:jc w:val="right"/>
              <w:rPr>
                <w:rFonts w:ascii="宋体" w:hAnsi="宋体" w:eastAsia="宋体" w:cs="宋体"/>
                <w:sz w:val="18"/>
                <w:szCs w:val="18"/>
              </w:rPr>
            </w:pPr>
            <w:r>
              <w:rPr>
                <w:rFonts w:ascii="宋体" w:hAnsi="宋体" w:eastAsia="宋体" w:cs="宋体"/>
                <w:sz w:val="18"/>
                <w:szCs w:val="18"/>
              </w:rPr>
              <w:t>552,526.72</w:t>
            </w:r>
          </w:p>
        </w:tc>
        <w:tc>
          <w:tcPr>
            <w:tcW w:w="3213" w:type="dxa"/>
            <w:tcBorders>
              <w:top w:val="single" w:color="auto" w:sz="2" w:space="0"/>
              <w:left w:val="single" w:color="auto" w:sz="2" w:space="0"/>
              <w:bottom w:val="single" w:color="auto" w:sz="2" w:space="0"/>
              <w:right w:val="single" w:color="auto" w:sz="2" w:space="0"/>
            </w:tcBorders>
            <w:vAlign w:val="center"/>
          </w:tcPr>
          <w:p w14:paraId="27B36EAD">
            <w:pPr>
              <w:spacing w:before="0" w:after="0" w:line="240" w:lineRule="exact"/>
              <w:jc w:val="right"/>
              <w:rPr>
                <w:rFonts w:ascii="宋体" w:hAnsi="宋体" w:eastAsia="宋体" w:cs="宋体"/>
                <w:sz w:val="18"/>
                <w:szCs w:val="18"/>
              </w:rPr>
            </w:pPr>
            <w:r>
              <w:rPr>
                <w:rFonts w:ascii="宋体" w:hAnsi="宋体" w:eastAsia="宋体" w:cs="宋体"/>
                <w:sz w:val="18"/>
                <w:szCs w:val="18"/>
              </w:rPr>
              <w:t>702,491.13</w:t>
            </w:r>
          </w:p>
        </w:tc>
      </w:tr>
      <w:tr w14:paraId="5CE67F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1DD550DE">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14:paraId="70E50412">
            <w:pPr>
              <w:spacing w:before="0" w:after="0" w:line="240" w:lineRule="exact"/>
              <w:jc w:val="right"/>
              <w:rPr>
                <w:rFonts w:ascii="宋体" w:hAnsi="宋体" w:eastAsia="宋体" w:cs="宋体"/>
                <w:sz w:val="18"/>
                <w:szCs w:val="18"/>
              </w:rPr>
            </w:pPr>
            <w:r>
              <w:rPr>
                <w:rFonts w:ascii="宋体" w:hAnsi="宋体" w:eastAsia="宋体" w:cs="宋体"/>
                <w:sz w:val="18"/>
                <w:szCs w:val="18"/>
              </w:rPr>
              <w:t>992,484.69</w:t>
            </w:r>
          </w:p>
        </w:tc>
        <w:tc>
          <w:tcPr>
            <w:tcW w:w="3213" w:type="dxa"/>
            <w:tcBorders>
              <w:top w:val="single" w:color="auto" w:sz="2" w:space="0"/>
              <w:left w:val="single" w:color="auto" w:sz="2" w:space="0"/>
              <w:bottom w:val="single" w:color="auto" w:sz="2" w:space="0"/>
              <w:right w:val="single" w:color="auto" w:sz="2" w:space="0"/>
            </w:tcBorders>
            <w:vAlign w:val="center"/>
          </w:tcPr>
          <w:p w14:paraId="5FD72ADB">
            <w:pPr>
              <w:spacing w:before="0" w:after="0" w:line="240" w:lineRule="exact"/>
              <w:jc w:val="right"/>
              <w:rPr>
                <w:rFonts w:ascii="宋体" w:hAnsi="宋体" w:eastAsia="宋体" w:cs="宋体"/>
                <w:sz w:val="18"/>
                <w:szCs w:val="18"/>
              </w:rPr>
            </w:pPr>
            <w:r>
              <w:rPr>
                <w:rFonts w:ascii="宋体" w:hAnsi="宋体" w:eastAsia="宋体" w:cs="宋体"/>
                <w:sz w:val="18"/>
                <w:szCs w:val="18"/>
              </w:rPr>
              <w:t>4,883,751.62</w:t>
            </w:r>
          </w:p>
        </w:tc>
      </w:tr>
      <w:tr w14:paraId="4FFC7C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A2FE78C">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17A2C718">
            <w:pPr>
              <w:spacing w:before="0" w:after="0" w:line="240" w:lineRule="exact"/>
              <w:jc w:val="right"/>
              <w:rPr>
                <w:rFonts w:ascii="宋体" w:hAnsi="宋体" w:eastAsia="宋体" w:cs="宋体"/>
                <w:sz w:val="18"/>
                <w:szCs w:val="18"/>
              </w:rPr>
            </w:pPr>
            <w:r>
              <w:rPr>
                <w:rFonts w:ascii="宋体" w:hAnsi="宋体" w:eastAsia="宋体" w:cs="宋体"/>
                <w:sz w:val="18"/>
                <w:szCs w:val="18"/>
              </w:rPr>
              <w:t>44,886,060.53</w:t>
            </w:r>
          </w:p>
        </w:tc>
        <w:tc>
          <w:tcPr>
            <w:tcW w:w="3213" w:type="dxa"/>
            <w:tcBorders>
              <w:top w:val="single" w:color="auto" w:sz="2" w:space="0"/>
              <w:left w:val="single" w:color="auto" w:sz="2" w:space="0"/>
              <w:bottom w:val="single" w:color="auto" w:sz="2" w:space="0"/>
              <w:right w:val="single" w:color="auto" w:sz="2" w:space="0"/>
            </w:tcBorders>
            <w:vAlign w:val="center"/>
          </w:tcPr>
          <w:p w14:paraId="2875901A">
            <w:pPr>
              <w:spacing w:before="0" w:after="0" w:line="240" w:lineRule="exact"/>
              <w:jc w:val="right"/>
              <w:rPr>
                <w:rFonts w:ascii="宋体" w:hAnsi="宋体" w:eastAsia="宋体" w:cs="宋体"/>
                <w:sz w:val="18"/>
                <w:szCs w:val="18"/>
              </w:rPr>
            </w:pPr>
            <w:r>
              <w:rPr>
                <w:rFonts w:ascii="宋体" w:hAnsi="宋体" w:eastAsia="宋体" w:cs="宋体"/>
                <w:sz w:val="18"/>
                <w:szCs w:val="18"/>
              </w:rPr>
              <w:t>314,223,016.83</w:t>
            </w:r>
          </w:p>
        </w:tc>
      </w:tr>
      <w:tr w14:paraId="5138A8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24FB49A">
            <w:pPr>
              <w:spacing w:before="40" w:after="40" w:line="240" w:lineRule="exact"/>
              <w:jc w:val="left"/>
              <w:rPr>
                <w:rFonts w:ascii="宋体" w:hAnsi="宋体" w:eastAsia="宋体" w:cs="宋体"/>
                <w:sz w:val="18"/>
                <w:szCs w:val="18"/>
              </w:rPr>
            </w:pPr>
            <w:r>
              <w:rPr>
                <w:rFonts w:ascii="宋体" w:hAnsi="宋体" w:eastAsia="宋体" w:cs="宋体"/>
                <w:sz w:val="18"/>
                <w:szCs w:val="18"/>
              </w:rPr>
              <w:t>其中：费用化研发支出</w:t>
            </w:r>
          </w:p>
        </w:tc>
        <w:tc>
          <w:tcPr>
            <w:tcW w:w="3213" w:type="dxa"/>
            <w:tcBorders>
              <w:top w:val="single" w:color="auto" w:sz="2" w:space="0"/>
              <w:left w:val="single" w:color="auto" w:sz="2" w:space="0"/>
              <w:bottom w:val="single" w:color="auto" w:sz="2" w:space="0"/>
              <w:right w:val="single" w:color="auto" w:sz="2" w:space="0"/>
            </w:tcBorders>
            <w:vAlign w:val="center"/>
          </w:tcPr>
          <w:p w14:paraId="2AB75C7D">
            <w:pPr>
              <w:spacing w:before="0" w:after="0" w:line="240" w:lineRule="exact"/>
              <w:jc w:val="right"/>
              <w:rPr>
                <w:rFonts w:ascii="宋体" w:hAnsi="宋体" w:eastAsia="宋体" w:cs="宋体"/>
                <w:sz w:val="18"/>
                <w:szCs w:val="18"/>
              </w:rPr>
            </w:pPr>
            <w:r>
              <w:rPr>
                <w:rFonts w:ascii="宋体" w:hAnsi="宋体" w:eastAsia="宋体" w:cs="宋体"/>
                <w:sz w:val="18"/>
                <w:szCs w:val="18"/>
              </w:rPr>
              <w:t>44,052,307.08</w:t>
            </w:r>
          </w:p>
        </w:tc>
        <w:tc>
          <w:tcPr>
            <w:tcW w:w="3213" w:type="dxa"/>
            <w:tcBorders>
              <w:top w:val="single" w:color="auto" w:sz="2" w:space="0"/>
              <w:left w:val="single" w:color="auto" w:sz="2" w:space="0"/>
              <w:bottom w:val="single" w:color="auto" w:sz="2" w:space="0"/>
              <w:right w:val="single" w:color="auto" w:sz="2" w:space="0"/>
            </w:tcBorders>
            <w:vAlign w:val="center"/>
          </w:tcPr>
          <w:p w14:paraId="751ECBC5">
            <w:pPr>
              <w:spacing w:before="0" w:after="0" w:line="240" w:lineRule="exact"/>
              <w:jc w:val="right"/>
              <w:rPr>
                <w:rFonts w:ascii="宋体" w:hAnsi="宋体" w:eastAsia="宋体" w:cs="宋体"/>
                <w:sz w:val="18"/>
                <w:szCs w:val="18"/>
              </w:rPr>
            </w:pPr>
            <w:r>
              <w:rPr>
                <w:rFonts w:ascii="宋体" w:hAnsi="宋体" w:eastAsia="宋体" w:cs="宋体"/>
                <w:sz w:val="18"/>
                <w:szCs w:val="18"/>
              </w:rPr>
              <w:t>132,957,002.38</w:t>
            </w:r>
          </w:p>
        </w:tc>
      </w:tr>
      <w:tr w14:paraId="043D88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803C09">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资本化研发支出</w:t>
            </w:r>
          </w:p>
        </w:tc>
        <w:tc>
          <w:tcPr>
            <w:tcW w:w="3213" w:type="dxa"/>
            <w:tcBorders>
              <w:top w:val="single" w:color="auto" w:sz="2" w:space="0"/>
              <w:left w:val="single" w:color="auto" w:sz="2" w:space="0"/>
              <w:bottom w:val="single" w:color="auto" w:sz="2" w:space="0"/>
              <w:right w:val="single" w:color="auto" w:sz="2" w:space="0"/>
            </w:tcBorders>
            <w:vAlign w:val="center"/>
          </w:tcPr>
          <w:p w14:paraId="657FE5E3">
            <w:pPr>
              <w:spacing w:before="0" w:after="0" w:line="240" w:lineRule="exact"/>
              <w:jc w:val="right"/>
              <w:rPr>
                <w:rFonts w:ascii="宋体" w:hAnsi="宋体" w:eastAsia="宋体" w:cs="宋体"/>
                <w:sz w:val="18"/>
                <w:szCs w:val="18"/>
              </w:rPr>
            </w:pPr>
            <w:r>
              <w:rPr>
                <w:rFonts w:ascii="宋体" w:hAnsi="宋体" w:eastAsia="宋体" w:cs="宋体"/>
                <w:sz w:val="18"/>
                <w:szCs w:val="18"/>
              </w:rPr>
              <w:t>833,753.45</w:t>
            </w:r>
          </w:p>
        </w:tc>
        <w:tc>
          <w:tcPr>
            <w:tcW w:w="3213" w:type="dxa"/>
            <w:tcBorders>
              <w:top w:val="single" w:color="auto" w:sz="2" w:space="0"/>
              <w:left w:val="single" w:color="auto" w:sz="2" w:space="0"/>
              <w:bottom w:val="single" w:color="auto" w:sz="2" w:space="0"/>
              <w:right w:val="single" w:color="auto" w:sz="2" w:space="0"/>
            </w:tcBorders>
            <w:vAlign w:val="center"/>
          </w:tcPr>
          <w:p w14:paraId="0DA9A298">
            <w:pPr>
              <w:spacing w:before="0" w:after="0" w:line="240" w:lineRule="exact"/>
              <w:jc w:val="right"/>
              <w:rPr>
                <w:rFonts w:ascii="宋体" w:hAnsi="宋体" w:eastAsia="宋体" w:cs="宋体"/>
                <w:sz w:val="18"/>
                <w:szCs w:val="18"/>
              </w:rPr>
            </w:pPr>
            <w:r>
              <w:rPr>
                <w:rFonts w:ascii="宋体" w:hAnsi="宋体" w:eastAsia="宋体" w:cs="宋体"/>
                <w:sz w:val="18"/>
                <w:szCs w:val="18"/>
              </w:rPr>
              <w:t>181,266,014.45</w:t>
            </w:r>
          </w:p>
        </w:tc>
      </w:tr>
    </w:tbl>
    <w:p w14:paraId="3A99882E">
      <w:pPr>
        <w:keepNext/>
        <w:keepLines/>
        <w:spacing w:before="300" w:after="300" w:line="280" w:lineRule="exact"/>
        <w:jc w:val="left"/>
        <w:outlineLvl w:val="2"/>
        <w:rPr>
          <w:rFonts w:ascii="宋体" w:hAnsi="宋体" w:eastAsia="宋体" w:cs="宋体"/>
          <w:b/>
          <w:bCs/>
          <w:sz w:val="21"/>
          <w:szCs w:val="21"/>
        </w:rPr>
      </w:pPr>
      <w:bookmarkStart w:id="460" w:name="_Toc989343"/>
      <w:r>
        <w:rPr>
          <w:rFonts w:ascii="宋体" w:hAnsi="宋体" w:eastAsia="宋体" w:cs="宋体"/>
          <w:b/>
          <w:bCs/>
          <w:sz w:val="21"/>
          <w:szCs w:val="21"/>
        </w:rPr>
        <w:t>1、符合资本化条件的研发项目</w:t>
      </w:r>
      <w:bookmarkEnd w:id="460"/>
    </w:p>
    <w:p w14:paraId="54541B0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763633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7C8898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586059D">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3213"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426516B6">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本期增加金额</w:t>
            </w:r>
          </w:p>
        </w:tc>
        <w:tc>
          <w:tcPr>
            <w:tcW w:w="3213"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4C6E4FE5">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本期减少金额</w:t>
            </w:r>
          </w:p>
        </w:tc>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5C1BF78">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548798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450F477"/>
        </w:tc>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BA37668"/>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DBDC214">
            <w:pPr>
              <w:spacing w:before="40" w:after="40" w:line="240" w:lineRule="exact"/>
              <w:jc w:val="center"/>
              <w:rPr>
                <w:rFonts w:ascii="宋体" w:hAnsi="宋体" w:eastAsia="宋体" w:cs="宋体"/>
                <w:sz w:val="18"/>
                <w:szCs w:val="18"/>
              </w:rPr>
            </w:pPr>
            <w:r>
              <w:rPr>
                <w:rFonts w:ascii="宋体" w:hAnsi="宋体" w:eastAsia="宋体" w:cs="宋体"/>
                <w:sz w:val="18"/>
                <w:szCs w:val="18"/>
              </w:rPr>
              <w:t>内部开发支出</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BB27F46">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071" w:type="dxa"/>
            <w:tcBorders>
              <w:top w:val="single" w:color="auto" w:sz="2" w:space="0"/>
              <w:left w:val="single" w:color="auto" w:sz="2" w:space="0"/>
              <w:bottom w:val="single" w:color="auto" w:sz="2" w:space="0"/>
              <w:right w:val="single" w:color="auto" w:sz="2" w:space="0"/>
            </w:tcBorders>
            <w:vAlign w:val="center"/>
          </w:tcPr>
          <w:p w14:paraId="76FBC4BE">
            <w:pPr>
              <w:spacing w:before="0" w:after="0" w:line="240" w:lineRule="exact"/>
              <w:jc w:val="center"/>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EDF2B7B">
            <w:pPr>
              <w:spacing w:before="40" w:after="40" w:line="240" w:lineRule="exact"/>
              <w:jc w:val="center"/>
              <w:rPr>
                <w:rFonts w:ascii="宋体" w:hAnsi="宋体" w:eastAsia="宋体" w:cs="宋体"/>
                <w:sz w:val="18"/>
                <w:szCs w:val="18"/>
              </w:rPr>
            </w:pPr>
            <w:r>
              <w:rPr>
                <w:rFonts w:ascii="宋体" w:hAnsi="宋体" w:eastAsia="宋体" w:cs="宋体"/>
                <w:sz w:val="18"/>
                <w:szCs w:val="18"/>
              </w:rPr>
              <w:t>确认为无形资产</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D28C89A">
            <w:pPr>
              <w:spacing w:before="40" w:after="40" w:line="240" w:lineRule="exact"/>
              <w:jc w:val="center"/>
              <w:rPr>
                <w:rFonts w:ascii="宋体" w:hAnsi="宋体" w:eastAsia="宋体" w:cs="宋体"/>
                <w:sz w:val="18"/>
                <w:szCs w:val="18"/>
              </w:rPr>
            </w:pPr>
            <w:r>
              <w:rPr>
                <w:rFonts w:ascii="宋体" w:hAnsi="宋体" w:eastAsia="宋体" w:cs="宋体"/>
                <w:sz w:val="18"/>
                <w:szCs w:val="18"/>
              </w:rPr>
              <w:t>转入当期损益</w:t>
            </w:r>
          </w:p>
        </w:tc>
        <w:tc>
          <w:tcPr>
            <w:tcW w:w="1071" w:type="dxa"/>
            <w:tcBorders>
              <w:top w:val="single" w:color="auto" w:sz="2" w:space="0"/>
              <w:left w:val="single" w:color="auto" w:sz="2" w:space="0"/>
              <w:bottom w:val="single" w:color="auto" w:sz="2" w:space="0"/>
              <w:right w:val="single" w:color="auto" w:sz="2" w:space="0"/>
            </w:tcBorders>
            <w:vAlign w:val="center"/>
          </w:tcPr>
          <w:p w14:paraId="3A1F7592">
            <w:pPr>
              <w:spacing w:before="0" w:after="0" w:line="240" w:lineRule="exact"/>
              <w:jc w:val="center"/>
              <w:rPr>
                <w:rFonts w:ascii="宋体" w:hAnsi="宋体" w:eastAsia="宋体" w:cs="宋体"/>
                <w:sz w:val="18"/>
                <w:szCs w:val="18"/>
              </w:rPr>
            </w:pPr>
          </w:p>
        </w:tc>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FA24BDE"/>
        </w:tc>
      </w:tr>
      <w:tr w14:paraId="5BF72B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750DBE95">
            <w:pPr>
              <w:spacing w:before="0" w:after="0" w:line="240" w:lineRule="exact"/>
              <w:jc w:val="left"/>
              <w:rPr>
                <w:rFonts w:ascii="宋体" w:hAnsi="宋体" w:eastAsia="宋体" w:cs="宋体"/>
                <w:sz w:val="18"/>
                <w:szCs w:val="18"/>
              </w:rPr>
            </w:pPr>
            <w:r>
              <w:rPr>
                <w:rFonts w:ascii="宋体" w:hAnsi="宋体" w:eastAsia="宋体" w:cs="宋体"/>
                <w:sz w:val="18"/>
                <w:szCs w:val="18"/>
              </w:rPr>
              <w:t>抗冠状病毒药物硫酸羟氯喹片（治疗与预防）</w:t>
            </w:r>
          </w:p>
        </w:tc>
        <w:tc>
          <w:tcPr>
            <w:tcW w:w="1071" w:type="dxa"/>
            <w:tcBorders>
              <w:top w:val="single" w:color="auto" w:sz="2" w:space="0"/>
              <w:left w:val="single" w:color="auto" w:sz="2" w:space="0"/>
              <w:bottom w:val="single" w:color="auto" w:sz="2" w:space="0"/>
              <w:right w:val="single" w:color="auto" w:sz="2" w:space="0"/>
            </w:tcBorders>
            <w:vAlign w:val="center"/>
          </w:tcPr>
          <w:p w14:paraId="2AD08537">
            <w:pPr>
              <w:spacing w:before="0" w:after="0" w:line="240" w:lineRule="exact"/>
              <w:jc w:val="right"/>
              <w:rPr>
                <w:rFonts w:ascii="宋体" w:hAnsi="宋体" w:eastAsia="宋体" w:cs="宋体"/>
                <w:sz w:val="18"/>
                <w:szCs w:val="18"/>
              </w:rPr>
            </w:pPr>
            <w:r>
              <w:rPr>
                <w:rFonts w:ascii="宋体" w:hAnsi="宋体" w:eastAsia="宋体" w:cs="宋体"/>
                <w:sz w:val="18"/>
                <w:szCs w:val="18"/>
              </w:rPr>
              <w:t>5,004,731.72</w:t>
            </w:r>
          </w:p>
        </w:tc>
        <w:tc>
          <w:tcPr>
            <w:tcW w:w="1071" w:type="dxa"/>
            <w:tcBorders>
              <w:top w:val="single" w:color="auto" w:sz="2" w:space="0"/>
              <w:left w:val="single" w:color="auto" w:sz="2" w:space="0"/>
              <w:bottom w:val="single" w:color="auto" w:sz="2" w:space="0"/>
              <w:right w:val="single" w:color="auto" w:sz="2" w:space="0"/>
            </w:tcBorders>
            <w:vAlign w:val="center"/>
          </w:tcPr>
          <w:p w14:paraId="1419042B">
            <w:pPr>
              <w:spacing w:before="0" w:after="0" w:line="240" w:lineRule="exact"/>
              <w:jc w:val="right"/>
              <w:rPr>
                <w:rFonts w:ascii="宋体" w:hAnsi="宋体" w:eastAsia="宋体" w:cs="宋体"/>
                <w:sz w:val="18"/>
                <w:szCs w:val="18"/>
              </w:rPr>
            </w:pPr>
            <w:r>
              <w:rPr>
                <w:rFonts w:ascii="宋体" w:hAnsi="宋体" w:eastAsia="宋体" w:cs="宋体"/>
                <w:sz w:val="18"/>
                <w:szCs w:val="18"/>
              </w:rPr>
              <w:t>422,077.79</w:t>
            </w:r>
          </w:p>
        </w:tc>
        <w:tc>
          <w:tcPr>
            <w:tcW w:w="1071" w:type="dxa"/>
            <w:tcBorders>
              <w:top w:val="single" w:color="auto" w:sz="2" w:space="0"/>
              <w:left w:val="single" w:color="auto" w:sz="2" w:space="0"/>
              <w:bottom w:val="single" w:color="auto" w:sz="2" w:space="0"/>
              <w:right w:val="single" w:color="auto" w:sz="2" w:space="0"/>
            </w:tcBorders>
            <w:vAlign w:val="center"/>
          </w:tcPr>
          <w:p w14:paraId="7EFFCCD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700DD8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F5A652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435C36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4EF6F6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8737834">
            <w:pPr>
              <w:spacing w:before="0" w:after="0" w:line="240" w:lineRule="exact"/>
              <w:jc w:val="right"/>
              <w:rPr>
                <w:rFonts w:ascii="宋体" w:hAnsi="宋体" w:eastAsia="宋体" w:cs="宋体"/>
                <w:sz w:val="18"/>
                <w:szCs w:val="18"/>
              </w:rPr>
            </w:pPr>
            <w:r>
              <w:rPr>
                <w:rFonts w:ascii="宋体" w:hAnsi="宋体" w:eastAsia="宋体" w:cs="宋体"/>
                <w:sz w:val="18"/>
                <w:szCs w:val="18"/>
              </w:rPr>
              <w:t>5,426,809.51</w:t>
            </w:r>
          </w:p>
        </w:tc>
      </w:tr>
      <w:tr w14:paraId="30F256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5FD2D831">
            <w:pPr>
              <w:spacing w:before="0" w:after="0" w:line="240" w:lineRule="exact"/>
              <w:jc w:val="left"/>
              <w:rPr>
                <w:rFonts w:ascii="宋体" w:hAnsi="宋体" w:eastAsia="宋体" w:cs="宋体"/>
                <w:sz w:val="18"/>
                <w:szCs w:val="18"/>
              </w:rPr>
            </w:pPr>
            <w:r>
              <w:rPr>
                <w:rFonts w:ascii="宋体" w:hAnsi="宋体" w:eastAsia="宋体" w:cs="宋体"/>
                <w:sz w:val="18"/>
                <w:szCs w:val="18"/>
              </w:rPr>
              <w:t>利托那韦片（HIV适应症）</w:t>
            </w:r>
          </w:p>
        </w:tc>
        <w:tc>
          <w:tcPr>
            <w:tcW w:w="1071" w:type="dxa"/>
            <w:tcBorders>
              <w:top w:val="single" w:color="auto" w:sz="2" w:space="0"/>
              <w:left w:val="single" w:color="auto" w:sz="2" w:space="0"/>
              <w:bottom w:val="single" w:color="auto" w:sz="2" w:space="0"/>
              <w:right w:val="single" w:color="auto" w:sz="2" w:space="0"/>
            </w:tcBorders>
            <w:vAlign w:val="center"/>
          </w:tcPr>
          <w:p w14:paraId="74DAE27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5576C48">
            <w:pPr>
              <w:spacing w:before="0" w:after="0" w:line="240" w:lineRule="exact"/>
              <w:jc w:val="right"/>
              <w:rPr>
                <w:rFonts w:ascii="宋体" w:hAnsi="宋体" w:eastAsia="宋体" w:cs="宋体"/>
                <w:sz w:val="18"/>
                <w:szCs w:val="18"/>
              </w:rPr>
            </w:pPr>
            <w:r>
              <w:rPr>
                <w:rFonts w:ascii="宋体" w:hAnsi="宋体" w:eastAsia="宋体" w:cs="宋体"/>
                <w:sz w:val="18"/>
                <w:szCs w:val="18"/>
              </w:rPr>
              <w:t>411,675.66</w:t>
            </w:r>
          </w:p>
        </w:tc>
        <w:tc>
          <w:tcPr>
            <w:tcW w:w="1071" w:type="dxa"/>
            <w:tcBorders>
              <w:top w:val="single" w:color="auto" w:sz="2" w:space="0"/>
              <w:left w:val="single" w:color="auto" w:sz="2" w:space="0"/>
              <w:bottom w:val="single" w:color="auto" w:sz="2" w:space="0"/>
              <w:right w:val="single" w:color="auto" w:sz="2" w:space="0"/>
            </w:tcBorders>
            <w:vAlign w:val="center"/>
          </w:tcPr>
          <w:p w14:paraId="3A5BA7D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1F796F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F53D0A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2FE5E5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5D03B6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826C05F">
            <w:pPr>
              <w:spacing w:before="0" w:after="0" w:line="240" w:lineRule="exact"/>
              <w:jc w:val="right"/>
              <w:rPr>
                <w:rFonts w:ascii="宋体" w:hAnsi="宋体" w:eastAsia="宋体" w:cs="宋体"/>
                <w:sz w:val="18"/>
                <w:szCs w:val="18"/>
              </w:rPr>
            </w:pPr>
            <w:r>
              <w:rPr>
                <w:rFonts w:ascii="宋体" w:hAnsi="宋体" w:eastAsia="宋体" w:cs="宋体"/>
                <w:sz w:val="18"/>
                <w:szCs w:val="18"/>
              </w:rPr>
              <w:t>411,675.66</w:t>
            </w:r>
          </w:p>
        </w:tc>
      </w:tr>
      <w:tr w14:paraId="515652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C183EE5">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071" w:type="dxa"/>
            <w:tcBorders>
              <w:top w:val="single" w:color="auto" w:sz="2" w:space="0"/>
              <w:left w:val="single" w:color="auto" w:sz="2" w:space="0"/>
              <w:bottom w:val="single" w:color="auto" w:sz="2" w:space="0"/>
              <w:right w:val="single" w:color="auto" w:sz="2" w:space="0"/>
            </w:tcBorders>
            <w:vAlign w:val="center"/>
          </w:tcPr>
          <w:p w14:paraId="60B811E1">
            <w:pPr>
              <w:spacing w:before="0" w:after="0" w:line="240" w:lineRule="exact"/>
              <w:jc w:val="right"/>
              <w:rPr>
                <w:rFonts w:ascii="宋体" w:hAnsi="宋体" w:eastAsia="宋体" w:cs="宋体"/>
                <w:sz w:val="18"/>
                <w:szCs w:val="18"/>
              </w:rPr>
            </w:pPr>
            <w:r>
              <w:rPr>
                <w:rFonts w:ascii="宋体" w:hAnsi="宋体" w:eastAsia="宋体" w:cs="宋体"/>
                <w:sz w:val="18"/>
                <w:szCs w:val="18"/>
              </w:rPr>
              <w:t>5,004,731.72</w:t>
            </w:r>
          </w:p>
        </w:tc>
        <w:tc>
          <w:tcPr>
            <w:tcW w:w="1071" w:type="dxa"/>
            <w:tcBorders>
              <w:top w:val="single" w:color="auto" w:sz="2" w:space="0"/>
              <w:left w:val="single" w:color="auto" w:sz="2" w:space="0"/>
              <w:bottom w:val="single" w:color="auto" w:sz="2" w:space="0"/>
              <w:right w:val="single" w:color="auto" w:sz="2" w:space="0"/>
            </w:tcBorders>
            <w:vAlign w:val="center"/>
          </w:tcPr>
          <w:p w14:paraId="3C42BC72">
            <w:pPr>
              <w:spacing w:before="0" w:after="0" w:line="240" w:lineRule="exact"/>
              <w:jc w:val="right"/>
              <w:rPr>
                <w:rFonts w:ascii="宋体" w:hAnsi="宋体" w:eastAsia="宋体" w:cs="宋体"/>
                <w:sz w:val="18"/>
                <w:szCs w:val="18"/>
              </w:rPr>
            </w:pPr>
            <w:r>
              <w:rPr>
                <w:rFonts w:ascii="宋体" w:hAnsi="宋体" w:eastAsia="宋体" w:cs="宋体"/>
                <w:sz w:val="18"/>
                <w:szCs w:val="18"/>
              </w:rPr>
              <w:t>833,753.45</w:t>
            </w:r>
          </w:p>
        </w:tc>
        <w:tc>
          <w:tcPr>
            <w:tcW w:w="1071" w:type="dxa"/>
            <w:tcBorders>
              <w:top w:val="single" w:color="auto" w:sz="2" w:space="0"/>
              <w:left w:val="single" w:color="auto" w:sz="2" w:space="0"/>
              <w:bottom w:val="single" w:color="auto" w:sz="2" w:space="0"/>
              <w:right w:val="single" w:color="auto" w:sz="2" w:space="0"/>
            </w:tcBorders>
            <w:vAlign w:val="center"/>
          </w:tcPr>
          <w:p w14:paraId="4C3E00D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8B33BD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E50D41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757DE8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BF3569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9869E69">
            <w:pPr>
              <w:spacing w:before="0" w:after="0" w:line="240" w:lineRule="exact"/>
              <w:jc w:val="right"/>
              <w:rPr>
                <w:rFonts w:ascii="宋体" w:hAnsi="宋体" w:eastAsia="宋体" w:cs="宋体"/>
                <w:sz w:val="18"/>
                <w:szCs w:val="18"/>
              </w:rPr>
            </w:pPr>
            <w:r>
              <w:rPr>
                <w:rFonts w:ascii="宋体" w:hAnsi="宋体" w:eastAsia="宋体" w:cs="宋体"/>
                <w:sz w:val="18"/>
                <w:szCs w:val="18"/>
              </w:rPr>
              <w:t>5,838,485.17</w:t>
            </w:r>
          </w:p>
        </w:tc>
      </w:tr>
    </w:tbl>
    <w:p w14:paraId="511834CF">
      <w:pPr>
        <w:spacing w:before="100" w:after="100" w:line="240" w:lineRule="exact"/>
        <w:jc w:val="left"/>
        <w:rPr>
          <w:rFonts w:ascii="宋体" w:hAnsi="宋体" w:eastAsia="宋体" w:cs="宋体"/>
          <w:sz w:val="18"/>
          <w:szCs w:val="18"/>
        </w:rPr>
      </w:pPr>
      <w:r>
        <w:rPr>
          <w:rFonts w:ascii="宋体" w:hAnsi="宋体" w:eastAsia="宋体" w:cs="宋体"/>
          <w:sz w:val="18"/>
          <w:szCs w:val="18"/>
        </w:rPr>
        <w:t>重要的资本化研发项目</w:t>
      </w:r>
    </w:p>
    <w:p w14:paraId="09E0BB53">
      <w:pPr>
        <w:spacing w:before="0" w:after="0" w:line="0" w:lineRule="exact"/>
        <w:jc w:val="left"/>
      </w:pP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0F6FAA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A29CF9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7F8EDF0">
            <w:pPr>
              <w:spacing w:before="40" w:after="40" w:line="240" w:lineRule="exact"/>
              <w:jc w:val="center"/>
              <w:rPr>
                <w:rFonts w:ascii="宋体" w:hAnsi="宋体" w:eastAsia="宋体" w:cs="宋体"/>
                <w:sz w:val="18"/>
                <w:szCs w:val="18"/>
              </w:rPr>
            </w:pPr>
            <w:r>
              <w:rPr>
                <w:rFonts w:ascii="宋体" w:hAnsi="宋体" w:eastAsia="宋体" w:cs="宋体"/>
                <w:sz w:val="18"/>
                <w:szCs w:val="18"/>
              </w:rPr>
              <w:t>研发进度</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233F620">
            <w:pPr>
              <w:spacing w:before="40" w:after="40" w:line="240" w:lineRule="exact"/>
              <w:jc w:val="center"/>
              <w:rPr>
                <w:rFonts w:ascii="宋体" w:hAnsi="宋体" w:eastAsia="宋体" w:cs="宋体"/>
                <w:sz w:val="18"/>
                <w:szCs w:val="18"/>
              </w:rPr>
            </w:pPr>
            <w:r>
              <w:rPr>
                <w:rFonts w:ascii="宋体" w:hAnsi="宋体" w:eastAsia="宋体" w:cs="宋体"/>
                <w:sz w:val="18"/>
                <w:szCs w:val="18"/>
              </w:rPr>
              <w:t>预计完成时间</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62D4548">
            <w:pPr>
              <w:spacing w:before="40" w:after="40" w:line="240" w:lineRule="exact"/>
              <w:jc w:val="center"/>
              <w:rPr>
                <w:rFonts w:ascii="宋体" w:hAnsi="宋体" w:eastAsia="宋体" w:cs="宋体"/>
                <w:sz w:val="18"/>
                <w:szCs w:val="18"/>
              </w:rPr>
            </w:pPr>
            <w:r>
              <w:rPr>
                <w:rFonts w:ascii="宋体" w:hAnsi="宋体" w:eastAsia="宋体" w:cs="宋体"/>
                <w:sz w:val="18"/>
                <w:szCs w:val="18"/>
              </w:rPr>
              <w:t>预计经济利益产生方式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9ABC306">
            <w:pPr>
              <w:spacing w:before="40" w:after="40" w:line="240" w:lineRule="exact"/>
              <w:jc w:val="center"/>
              <w:rPr>
                <w:rFonts w:ascii="宋体" w:hAnsi="宋体" w:eastAsia="宋体" w:cs="宋体"/>
                <w:sz w:val="18"/>
                <w:szCs w:val="18"/>
              </w:rPr>
            </w:pPr>
            <w:r>
              <w:rPr>
                <w:rFonts w:ascii="宋体" w:hAnsi="宋体" w:eastAsia="宋体" w:cs="宋体"/>
                <w:sz w:val="18"/>
                <w:szCs w:val="18"/>
              </w:rPr>
              <w:t>开始资本化的时点</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FF990B6">
            <w:pPr>
              <w:spacing w:before="40" w:after="40" w:line="240" w:lineRule="exact"/>
              <w:jc w:val="center"/>
              <w:rPr>
                <w:rFonts w:ascii="宋体" w:hAnsi="宋体" w:eastAsia="宋体" w:cs="宋体"/>
                <w:sz w:val="18"/>
                <w:szCs w:val="18"/>
              </w:rPr>
            </w:pPr>
            <w:r>
              <w:rPr>
                <w:rFonts w:ascii="宋体" w:hAnsi="宋体" w:eastAsia="宋体" w:cs="宋体"/>
                <w:sz w:val="18"/>
                <w:szCs w:val="18"/>
              </w:rPr>
              <w:t>开始资本化的具体依据</w:t>
            </w:r>
          </w:p>
        </w:tc>
      </w:tr>
    </w:tbl>
    <w:p w14:paraId="563A57D0">
      <w:pPr>
        <w:spacing w:before="100" w:after="100" w:line="240" w:lineRule="exact"/>
        <w:jc w:val="left"/>
        <w:rPr>
          <w:rFonts w:ascii="宋体" w:hAnsi="宋体" w:eastAsia="宋体" w:cs="宋体"/>
          <w:sz w:val="18"/>
          <w:szCs w:val="18"/>
        </w:rPr>
      </w:pPr>
      <w:r>
        <w:rPr>
          <w:rFonts w:ascii="宋体" w:hAnsi="宋体" w:eastAsia="宋体" w:cs="宋体"/>
          <w:sz w:val="18"/>
          <w:szCs w:val="18"/>
        </w:rPr>
        <w:t>开发支出减值准备</w:t>
      </w:r>
    </w:p>
    <w:p w14:paraId="14BD6A2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17F1E2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8B1BE2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45B7277">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C622B0A">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024D08A">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5B0D25A">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70F7284">
            <w:pPr>
              <w:spacing w:before="40" w:after="40" w:line="240" w:lineRule="exact"/>
              <w:jc w:val="center"/>
              <w:rPr>
                <w:rFonts w:ascii="宋体" w:hAnsi="宋体" w:eastAsia="宋体" w:cs="宋体"/>
                <w:sz w:val="18"/>
                <w:szCs w:val="18"/>
              </w:rPr>
            </w:pPr>
            <w:r>
              <w:rPr>
                <w:rFonts w:ascii="宋体" w:hAnsi="宋体" w:eastAsia="宋体" w:cs="宋体"/>
                <w:sz w:val="18"/>
                <w:szCs w:val="18"/>
              </w:rPr>
              <w:t>减值测试情况</w:t>
            </w:r>
          </w:p>
        </w:tc>
      </w:tr>
    </w:tbl>
    <w:p w14:paraId="7C90CFBD">
      <w:pPr>
        <w:keepNext/>
        <w:keepLines/>
        <w:spacing w:before="300" w:after="300" w:line="280" w:lineRule="exact"/>
        <w:jc w:val="left"/>
        <w:outlineLvl w:val="2"/>
        <w:rPr>
          <w:rFonts w:ascii="宋体" w:hAnsi="宋体" w:eastAsia="宋体" w:cs="宋体"/>
          <w:b/>
          <w:bCs/>
          <w:sz w:val="21"/>
          <w:szCs w:val="21"/>
        </w:rPr>
      </w:pPr>
      <w:bookmarkStart w:id="461" w:name="_Toc989344"/>
      <w:r>
        <w:rPr>
          <w:rFonts w:ascii="宋体" w:hAnsi="宋体" w:eastAsia="宋体" w:cs="宋体"/>
          <w:b/>
          <w:bCs/>
          <w:sz w:val="21"/>
          <w:szCs w:val="21"/>
        </w:rPr>
        <w:t>2、重要外购在研项目</w:t>
      </w:r>
      <w:bookmarkEnd w:id="461"/>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D63F8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D0A3D5D">
            <w:pPr>
              <w:spacing w:before="40" w:after="40" w:line="240" w:lineRule="exact"/>
              <w:jc w:val="center"/>
              <w:rPr>
                <w:rFonts w:ascii="宋体" w:hAnsi="宋体" w:eastAsia="宋体" w:cs="宋体"/>
                <w:sz w:val="18"/>
                <w:szCs w:val="18"/>
              </w:rPr>
            </w:pPr>
            <w:r>
              <w:rPr>
                <w:rFonts w:ascii="宋体" w:hAnsi="宋体" w:eastAsia="宋体" w:cs="宋体"/>
                <w:sz w:val="18"/>
                <w:szCs w:val="18"/>
              </w:rPr>
              <w:t>项目名称</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4441F28">
            <w:pPr>
              <w:spacing w:before="40" w:after="40" w:line="240" w:lineRule="exact"/>
              <w:jc w:val="center"/>
              <w:rPr>
                <w:rFonts w:ascii="宋体" w:hAnsi="宋体" w:eastAsia="宋体" w:cs="宋体"/>
                <w:sz w:val="18"/>
                <w:szCs w:val="18"/>
              </w:rPr>
            </w:pPr>
            <w:r>
              <w:rPr>
                <w:rFonts w:ascii="宋体" w:hAnsi="宋体" w:eastAsia="宋体" w:cs="宋体"/>
                <w:sz w:val="18"/>
                <w:szCs w:val="18"/>
              </w:rPr>
              <w:t>预期产生经济利益的方式</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CB5F3E2">
            <w:pPr>
              <w:spacing w:before="40" w:after="40" w:line="240" w:lineRule="exact"/>
              <w:jc w:val="center"/>
              <w:rPr>
                <w:rFonts w:ascii="宋体" w:hAnsi="宋体" w:eastAsia="宋体" w:cs="宋体"/>
                <w:sz w:val="18"/>
                <w:szCs w:val="18"/>
              </w:rPr>
            </w:pPr>
            <w:r>
              <w:rPr>
                <w:rFonts w:ascii="宋体" w:hAnsi="宋体" w:eastAsia="宋体" w:cs="宋体"/>
                <w:sz w:val="18"/>
                <w:szCs w:val="18"/>
              </w:rPr>
              <w:t>资本化或费用化的判断标准和具体依据</w:t>
            </w:r>
          </w:p>
        </w:tc>
      </w:tr>
    </w:tbl>
    <w:p w14:paraId="3B2DCF14">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79AA849">
      <w:pPr>
        <w:keepNext/>
        <w:keepLines/>
        <w:spacing w:before="300" w:after="300" w:line="320" w:lineRule="exact"/>
        <w:jc w:val="left"/>
        <w:outlineLvl w:val="1"/>
        <w:rPr>
          <w:rFonts w:ascii="宋体" w:hAnsi="宋体" w:eastAsia="宋体" w:cs="宋体"/>
          <w:b/>
          <w:bCs/>
          <w:sz w:val="24"/>
          <w:szCs w:val="24"/>
        </w:rPr>
      </w:pPr>
      <w:bookmarkStart w:id="462" w:name="_Toc989345"/>
      <w:r>
        <w:rPr>
          <w:rFonts w:ascii="宋体" w:hAnsi="宋体" w:eastAsia="宋体" w:cs="宋体"/>
          <w:b/>
          <w:bCs/>
          <w:sz w:val="24"/>
          <w:szCs w:val="24"/>
        </w:rPr>
        <w:t>九、合并范围的变更</w:t>
      </w:r>
      <w:bookmarkEnd w:id="462"/>
    </w:p>
    <w:p w14:paraId="410536AD">
      <w:pPr>
        <w:keepNext/>
        <w:keepLines/>
        <w:spacing w:before="300" w:after="300" w:line="280" w:lineRule="exact"/>
        <w:jc w:val="left"/>
        <w:outlineLvl w:val="2"/>
        <w:rPr>
          <w:rFonts w:ascii="宋体" w:hAnsi="宋体" w:eastAsia="宋体" w:cs="宋体"/>
          <w:b/>
          <w:bCs/>
          <w:sz w:val="21"/>
          <w:szCs w:val="21"/>
        </w:rPr>
      </w:pPr>
      <w:bookmarkStart w:id="463" w:name="_Toc989346"/>
      <w:r>
        <w:rPr>
          <w:rFonts w:ascii="宋体" w:hAnsi="宋体" w:eastAsia="宋体" w:cs="宋体"/>
          <w:b/>
          <w:bCs/>
          <w:sz w:val="21"/>
          <w:szCs w:val="21"/>
        </w:rPr>
        <w:t>1、非同一控制下企业合并</w:t>
      </w:r>
      <w:bookmarkEnd w:id="463"/>
    </w:p>
    <w:p w14:paraId="0FB7EFC5">
      <w:pPr>
        <w:keepNext/>
        <w:keepLines/>
        <w:spacing w:before="300" w:after="300" w:line="280" w:lineRule="exact"/>
        <w:jc w:val="left"/>
        <w:outlineLvl w:val="3"/>
        <w:rPr>
          <w:rFonts w:ascii="宋体" w:hAnsi="宋体" w:eastAsia="宋体" w:cs="宋体"/>
          <w:b/>
          <w:bCs/>
          <w:sz w:val="18"/>
          <w:szCs w:val="18"/>
        </w:rPr>
      </w:pPr>
      <w:bookmarkStart w:id="464" w:name="_Toc989347"/>
      <w:r>
        <w:rPr>
          <w:rFonts w:ascii="宋体" w:hAnsi="宋体" w:eastAsia="宋体" w:cs="宋体"/>
          <w:b/>
          <w:bCs/>
          <w:sz w:val="18"/>
          <w:szCs w:val="18"/>
        </w:rPr>
        <w:t>（1） 本期发生的非同一控制下企业合并</w:t>
      </w:r>
      <w:bookmarkEnd w:id="464"/>
    </w:p>
    <w:p w14:paraId="0D46160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64"/>
        <w:gridCol w:w="964"/>
        <w:gridCol w:w="964"/>
        <w:gridCol w:w="964"/>
        <w:gridCol w:w="964"/>
        <w:gridCol w:w="964"/>
        <w:gridCol w:w="964"/>
        <w:gridCol w:w="964"/>
        <w:gridCol w:w="964"/>
        <w:gridCol w:w="964"/>
      </w:tblGrid>
      <w:tr w14:paraId="754ABF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4A634C80">
            <w:pPr>
              <w:spacing w:before="40" w:after="40" w:line="240" w:lineRule="exact"/>
              <w:jc w:val="center"/>
              <w:rPr>
                <w:rFonts w:ascii="宋体" w:hAnsi="宋体" w:eastAsia="宋体" w:cs="宋体"/>
                <w:sz w:val="18"/>
                <w:szCs w:val="18"/>
              </w:rPr>
            </w:pPr>
            <w:r>
              <w:rPr>
                <w:rFonts w:ascii="宋体" w:hAnsi="宋体" w:eastAsia="宋体" w:cs="宋体"/>
                <w:sz w:val="18"/>
                <w:szCs w:val="18"/>
              </w:rPr>
              <w:t>被购买方名称</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3CE004D9">
            <w:pPr>
              <w:spacing w:before="40" w:after="40" w:line="240" w:lineRule="exact"/>
              <w:jc w:val="center"/>
              <w:rPr>
                <w:rFonts w:ascii="宋体" w:hAnsi="宋体" w:eastAsia="宋体" w:cs="宋体"/>
                <w:sz w:val="18"/>
                <w:szCs w:val="18"/>
              </w:rPr>
            </w:pPr>
            <w:r>
              <w:rPr>
                <w:rFonts w:ascii="宋体" w:hAnsi="宋体" w:eastAsia="宋体" w:cs="宋体"/>
                <w:sz w:val="18"/>
                <w:szCs w:val="18"/>
              </w:rPr>
              <w:t>股权取得时点</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4E51EA0A">
            <w:pPr>
              <w:spacing w:before="40" w:after="40" w:line="240" w:lineRule="exact"/>
              <w:jc w:val="center"/>
              <w:rPr>
                <w:rFonts w:ascii="宋体" w:hAnsi="宋体" w:eastAsia="宋体" w:cs="宋体"/>
                <w:sz w:val="18"/>
                <w:szCs w:val="18"/>
              </w:rPr>
            </w:pPr>
            <w:r>
              <w:rPr>
                <w:rFonts w:ascii="宋体" w:hAnsi="宋体" w:eastAsia="宋体" w:cs="宋体"/>
                <w:sz w:val="18"/>
                <w:szCs w:val="18"/>
              </w:rPr>
              <w:t>股权取得成本</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10BF7BC4">
            <w:pPr>
              <w:spacing w:before="40" w:after="40" w:line="240" w:lineRule="exact"/>
              <w:jc w:val="center"/>
              <w:rPr>
                <w:rFonts w:ascii="宋体" w:hAnsi="宋体" w:eastAsia="宋体" w:cs="宋体"/>
                <w:sz w:val="18"/>
                <w:szCs w:val="18"/>
              </w:rPr>
            </w:pPr>
            <w:r>
              <w:rPr>
                <w:rFonts w:ascii="宋体" w:hAnsi="宋体" w:eastAsia="宋体" w:cs="宋体"/>
                <w:sz w:val="18"/>
                <w:szCs w:val="18"/>
              </w:rPr>
              <w:t>股权取得比例</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6A9D5A5A">
            <w:pPr>
              <w:spacing w:before="40" w:after="40" w:line="240" w:lineRule="exact"/>
              <w:jc w:val="center"/>
              <w:rPr>
                <w:rFonts w:ascii="宋体" w:hAnsi="宋体" w:eastAsia="宋体" w:cs="宋体"/>
                <w:sz w:val="18"/>
                <w:szCs w:val="18"/>
              </w:rPr>
            </w:pPr>
            <w:r>
              <w:rPr>
                <w:rFonts w:ascii="宋体" w:hAnsi="宋体" w:eastAsia="宋体" w:cs="宋体"/>
                <w:sz w:val="18"/>
                <w:szCs w:val="18"/>
              </w:rPr>
              <w:t>股权取得方式</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C3419EC">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1A2F0C16">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购买日的确定依据</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791FF879">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购买日至期末被购买方的收入</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2CFEE8CC">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购买日至期末被购买方的净利润</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14:paraId="05845A46">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购买日至期末被购买方的现金流</w:t>
            </w:r>
          </w:p>
        </w:tc>
      </w:tr>
    </w:tbl>
    <w:p w14:paraId="2F01DEAB">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C1811D0">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本期无非同一控制下企业合并。</w:t>
      </w:r>
    </w:p>
    <w:p w14:paraId="04F81EB4">
      <w:pPr>
        <w:keepNext/>
        <w:keepLines/>
        <w:spacing w:before="300" w:after="300" w:line="280" w:lineRule="exact"/>
        <w:jc w:val="left"/>
        <w:outlineLvl w:val="3"/>
        <w:rPr>
          <w:rFonts w:ascii="宋体" w:hAnsi="宋体" w:eastAsia="宋体" w:cs="宋体"/>
          <w:b/>
          <w:bCs/>
          <w:sz w:val="18"/>
          <w:szCs w:val="18"/>
        </w:rPr>
      </w:pPr>
      <w:bookmarkStart w:id="465" w:name="_Toc989348"/>
      <w:r>
        <w:rPr>
          <w:rFonts w:ascii="宋体" w:hAnsi="宋体" w:eastAsia="宋体" w:cs="宋体"/>
          <w:b/>
          <w:bCs/>
          <w:sz w:val="18"/>
          <w:szCs w:val="18"/>
        </w:rPr>
        <w:t>（2） 合并成本及商誉</w:t>
      </w:r>
      <w:bookmarkEnd w:id="465"/>
    </w:p>
    <w:p w14:paraId="5FE79B5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6FD663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36F4DCE">
            <w:pPr>
              <w:spacing w:before="40" w:after="40" w:line="240" w:lineRule="exact"/>
              <w:jc w:val="center"/>
              <w:rPr>
                <w:rFonts w:ascii="宋体" w:hAnsi="宋体" w:eastAsia="宋体" w:cs="宋体"/>
                <w:sz w:val="18"/>
                <w:szCs w:val="18"/>
              </w:rPr>
            </w:pPr>
            <w:r>
              <w:rPr>
                <w:rFonts w:ascii="宋体" w:hAnsi="宋体" w:eastAsia="宋体" w:cs="宋体"/>
                <w:sz w:val="18"/>
                <w:szCs w:val="18"/>
              </w:rPr>
              <w:t>合并成本</w:t>
            </w:r>
          </w:p>
        </w:tc>
        <w:tc>
          <w:tcPr>
            <w:tcW w:w="4820" w:type="dxa"/>
            <w:tcBorders>
              <w:top w:val="single" w:color="auto" w:sz="2" w:space="0"/>
              <w:left w:val="single" w:color="auto" w:sz="2" w:space="0"/>
              <w:bottom w:val="single" w:color="auto" w:sz="2" w:space="0"/>
              <w:right w:val="single" w:color="auto" w:sz="2" w:space="0"/>
            </w:tcBorders>
            <w:vAlign w:val="center"/>
          </w:tcPr>
          <w:p w14:paraId="3C0B3515">
            <w:pPr>
              <w:spacing w:before="0" w:after="0" w:line="240" w:lineRule="exact"/>
              <w:jc w:val="center"/>
              <w:rPr>
                <w:rFonts w:ascii="宋体" w:hAnsi="宋体" w:eastAsia="宋体" w:cs="宋体"/>
                <w:sz w:val="18"/>
                <w:szCs w:val="18"/>
              </w:rPr>
            </w:pPr>
          </w:p>
        </w:tc>
      </w:tr>
      <w:tr w14:paraId="21E3AB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84742FE">
            <w:pPr>
              <w:spacing w:before="40" w:after="40" w:line="240" w:lineRule="exact"/>
              <w:jc w:val="left"/>
              <w:rPr>
                <w:rFonts w:ascii="宋体" w:hAnsi="宋体" w:eastAsia="宋体" w:cs="宋体"/>
                <w:sz w:val="18"/>
                <w:szCs w:val="18"/>
              </w:rPr>
            </w:pPr>
            <w:r>
              <w:rPr>
                <w:rFonts w:ascii="宋体" w:hAnsi="宋体" w:eastAsia="宋体" w:cs="宋体"/>
                <w:sz w:val="18"/>
                <w:szCs w:val="18"/>
              </w:rPr>
              <w:t>--现金</w:t>
            </w:r>
          </w:p>
        </w:tc>
        <w:tc>
          <w:tcPr>
            <w:tcW w:w="4820" w:type="dxa"/>
            <w:tcBorders>
              <w:top w:val="single" w:color="auto" w:sz="2" w:space="0"/>
              <w:left w:val="single" w:color="auto" w:sz="2" w:space="0"/>
              <w:bottom w:val="single" w:color="auto" w:sz="2" w:space="0"/>
              <w:right w:val="single" w:color="auto" w:sz="2" w:space="0"/>
            </w:tcBorders>
            <w:vAlign w:val="center"/>
          </w:tcPr>
          <w:p w14:paraId="53DF6238">
            <w:pPr>
              <w:spacing w:before="0" w:after="0" w:line="240" w:lineRule="exact"/>
              <w:jc w:val="right"/>
              <w:rPr>
                <w:rFonts w:ascii="宋体" w:hAnsi="宋体" w:eastAsia="宋体" w:cs="宋体"/>
                <w:sz w:val="18"/>
                <w:szCs w:val="18"/>
              </w:rPr>
            </w:pPr>
          </w:p>
        </w:tc>
      </w:tr>
      <w:tr w14:paraId="57C23F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7ACD601">
            <w:pPr>
              <w:spacing w:before="40" w:after="40" w:line="240" w:lineRule="exact"/>
              <w:jc w:val="left"/>
              <w:rPr>
                <w:rFonts w:ascii="宋体" w:hAnsi="宋体" w:eastAsia="宋体" w:cs="宋体"/>
                <w:sz w:val="18"/>
                <w:szCs w:val="18"/>
              </w:rPr>
            </w:pPr>
            <w:r>
              <w:rPr>
                <w:rFonts w:ascii="宋体" w:hAnsi="宋体" w:eastAsia="宋体" w:cs="宋体"/>
                <w:sz w:val="18"/>
                <w:szCs w:val="18"/>
              </w:rPr>
              <w:t>--非现金资产的公允价值</w:t>
            </w:r>
          </w:p>
        </w:tc>
        <w:tc>
          <w:tcPr>
            <w:tcW w:w="4820" w:type="dxa"/>
            <w:tcBorders>
              <w:top w:val="single" w:color="auto" w:sz="2" w:space="0"/>
              <w:left w:val="single" w:color="auto" w:sz="2" w:space="0"/>
              <w:bottom w:val="single" w:color="auto" w:sz="2" w:space="0"/>
              <w:right w:val="single" w:color="auto" w:sz="2" w:space="0"/>
            </w:tcBorders>
            <w:vAlign w:val="center"/>
          </w:tcPr>
          <w:p w14:paraId="79D60DD8">
            <w:pPr>
              <w:spacing w:before="0" w:after="0" w:line="240" w:lineRule="exact"/>
              <w:jc w:val="right"/>
              <w:rPr>
                <w:rFonts w:ascii="宋体" w:hAnsi="宋体" w:eastAsia="宋体" w:cs="宋体"/>
                <w:sz w:val="18"/>
                <w:szCs w:val="18"/>
              </w:rPr>
            </w:pPr>
          </w:p>
        </w:tc>
      </w:tr>
      <w:tr w14:paraId="1A817E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72A24C5">
            <w:pPr>
              <w:spacing w:before="40" w:after="40" w:line="240" w:lineRule="exact"/>
              <w:jc w:val="left"/>
              <w:rPr>
                <w:rFonts w:ascii="宋体" w:hAnsi="宋体" w:eastAsia="宋体" w:cs="宋体"/>
                <w:sz w:val="18"/>
                <w:szCs w:val="18"/>
              </w:rPr>
            </w:pPr>
            <w:r>
              <w:rPr>
                <w:rFonts w:ascii="宋体" w:hAnsi="宋体" w:eastAsia="宋体" w:cs="宋体"/>
                <w:sz w:val="18"/>
                <w:szCs w:val="18"/>
              </w:rPr>
              <w:t>--发行或承担的债务的公允价值</w:t>
            </w:r>
          </w:p>
        </w:tc>
        <w:tc>
          <w:tcPr>
            <w:tcW w:w="4820" w:type="dxa"/>
            <w:tcBorders>
              <w:top w:val="single" w:color="auto" w:sz="2" w:space="0"/>
              <w:left w:val="single" w:color="auto" w:sz="2" w:space="0"/>
              <w:bottom w:val="single" w:color="auto" w:sz="2" w:space="0"/>
              <w:right w:val="single" w:color="auto" w:sz="2" w:space="0"/>
            </w:tcBorders>
            <w:vAlign w:val="center"/>
          </w:tcPr>
          <w:p w14:paraId="2A974370">
            <w:pPr>
              <w:spacing w:before="0" w:after="0" w:line="240" w:lineRule="exact"/>
              <w:jc w:val="right"/>
              <w:rPr>
                <w:rFonts w:ascii="宋体" w:hAnsi="宋体" w:eastAsia="宋体" w:cs="宋体"/>
                <w:sz w:val="18"/>
                <w:szCs w:val="18"/>
              </w:rPr>
            </w:pPr>
          </w:p>
        </w:tc>
      </w:tr>
      <w:tr w14:paraId="441810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6E867EF8">
            <w:pPr>
              <w:spacing w:before="40" w:after="40" w:line="240" w:lineRule="exact"/>
              <w:jc w:val="left"/>
              <w:rPr>
                <w:rFonts w:ascii="宋体" w:hAnsi="宋体" w:eastAsia="宋体" w:cs="宋体"/>
                <w:sz w:val="18"/>
                <w:szCs w:val="18"/>
              </w:rPr>
            </w:pPr>
            <w:r>
              <w:rPr>
                <w:rFonts w:ascii="宋体" w:hAnsi="宋体" w:eastAsia="宋体" w:cs="宋体"/>
                <w:sz w:val="18"/>
                <w:szCs w:val="18"/>
              </w:rPr>
              <w:t>--发行的权益性证券的公允价值</w:t>
            </w:r>
          </w:p>
        </w:tc>
        <w:tc>
          <w:tcPr>
            <w:tcW w:w="4820" w:type="dxa"/>
            <w:tcBorders>
              <w:top w:val="single" w:color="auto" w:sz="2" w:space="0"/>
              <w:left w:val="single" w:color="auto" w:sz="2" w:space="0"/>
              <w:bottom w:val="single" w:color="auto" w:sz="2" w:space="0"/>
              <w:right w:val="single" w:color="auto" w:sz="2" w:space="0"/>
            </w:tcBorders>
            <w:vAlign w:val="center"/>
          </w:tcPr>
          <w:p w14:paraId="1AD52E0F">
            <w:pPr>
              <w:spacing w:before="0" w:after="0" w:line="240" w:lineRule="exact"/>
              <w:jc w:val="right"/>
              <w:rPr>
                <w:rFonts w:ascii="宋体" w:hAnsi="宋体" w:eastAsia="宋体" w:cs="宋体"/>
                <w:sz w:val="18"/>
                <w:szCs w:val="18"/>
              </w:rPr>
            </w:pPr>
          </w:p>
        </w:tc>
      </w:tr>
      <w:tr w14:paraId="2EFD31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9A4189E">
            <w:pPr>
              <w:spacing w:before="40" w:after="40" w:line="240" w:lineRule="exact"/>
              <w:jc w:val="left"/>
              <w:rPr>
                <w:rFonts w:ascii="宋体" w:hAnsi="宋体" w:eastAsia="宋体" w:cs="宋体"/>
                <w:sz w:val="18"/>
                <w:szCs w:val="18"/>
              </w:rPr>
            </w:pPr>
            <w:r>
              <w:rPr>
                <w:rFonts w:ascii="宋体" w:hAnsi="宋体" w:eastAsia="宋体" w:cs="宋体"/>
                <w:sz w:val="18"/>
                <w:szCs w:val="18"/>
              </w:rPr>
              <w:t>--或有对价的公允价值</w:t>
            </w:r>
          </w:p>
        </w:tc>
        <w:tc>
          <w:tcPr>
            <w:tcW w:w="4820" w:type="dxa"/>
            <w:tcBorders>
              <w:top w:val="single" w:color="auto" w:sz="2" w:space="0"/>
              <w:left w:val="single" w:color="auto" w:sz="2" w:space="0"/>
              <w:bottom w:val="single" w:color="auto" w:sz="2" w:space="0"/>
              <w:right w:val="single" w:color="auto" w:sz="2" w:space="0"/>
            </w:tcBorders>
            <w:vAlign w:val="center"/>
          </w:tcPr>
          <w:p w14:paraId="27EF2CF3">
            <w:pPr>
              <w:spacing w:before="0" w:after="0" w:line="240" w:lineRule="exact"/>
              <w:jc w:val="right"/>
              <w:rPr>
                <w:rFonts w:ascii="宋体" w:hAnsi="宋体" w:eastAsia="宋体" w:cs="宋体"/>
                <w:sz w:val="18"/>
                <w:szCs w:val="18"/>
              </w:rPr>
            </w:pPr>
          </w:p>
        </w:tc>
      </w:tr>
      <w:tr w14:paraId="31ADDE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FAEC2D6">
            <w:pPr>
              <w:spacing w:before="40" w:after="40" w:line="240" w:lineRule="exact"/>
              <w:jc w:val="left"/>
              <w:rPr>
                <w:rFonts w:ascii="宋体" w:hAnsi="宋体" w:eastAsia="宋体" w:cs="宋体"/>
                <w:sz w:val="18"/>
                <w:szCs w:val="18"/>
              </w:rPr>
            </w:pPr>
            <w:r>
              <w:rPr>
                <w:rFonts w:ascii="宋体" w:hAnsi="宋体" w:eastAsia="宋体" w:cs="宋体"/>
                <w:sz w:val="18"/>
                <w:szCs w:val="18"/>
              </w:rPr>
              <w:t>--购买日之前持有的股权于购买日的公允价值</w:t>
            </w:r>
          </w:p>
        </w:tc>
        <w:tc>
          <w:tcPr>
            <w:tcW w:w="4820" w:type="dxa"/>
            <w:tcBorders>
              <w:top w:val="single" w:color="auto" w:sz="2" w:space="0"/>
              <w:left w:val="single" w:color="auto" w:sz="2" w:space="0"/>
              <w:bottom w:val="single" w:color="auto" w:sz="2" w:space="0"/>
              <w:right w:val="single" w:color="auto" w:sz="2" w:space="0"/>
            </w:tcBorders>
            <w:vAlign w:val="center"/>
          </w:tcPr>
          <w:p w14:paraId="14DA2C63">
            <w:pPr>
              <w:spacing w:before="0" w:after="0" w:line="240" w:lineRule="exact"/>
              <w:jc w:val="right"/>
              <w:rPr>
                <w:rFonts w:ascii="宋体" w:hAnsi="宋体" w:eastAsia="宋体" w:cs="宋体"/>
                <w:sz w:val="18"/>
                <w:szCs w:val="18"/>
              </w:rPr>
            </w:pPr>
          </w:p>
        </w:tc>
      </w:tr>
      <w:tr w14:paraId="55BA4D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68FA9A00">
            <w:pPr>
              <w:spacing w:before="40" w:after="40" w:line="240" w:lineRule="exact"/>
              <w:jc w:val="left"/>
              <w:rPr>
                <w:rFonts w:ascii="宋体" w:hAnsi="宋体" w:eastAsia="宋体" w:cs="宋体"/>
                <w:sz w:val="18"/>
                <w:szCs w:val="18"/>
              </w:rPr>
            </w:pPr>
            <w:r>
              <w:rPr>
                <w:rFonts w:ascii="宋体" w:hAnsi="宋体" w:eastAsia="宋体" w:cs="宋体"/>
                <w:sz w:val="18"/>
                <w:szCs w:val="18"/>
              </w:rPr>
              <w:t>--其他</w:t>
            </w:r>
          </w:p>
        </w:tc>
        <w:tc>
          <w:tcPr>
            <w:tcW w:w="4820" w:type="dxa"/>
            <w:tcBorders>
              <w:top w:val="single" w:color="auto" w:sz="2" w:space="0"/>
              <w:left w:val="single" w:color="auto" w:sz="2" w:space="0"/>
              <w:bottom w:val="single" w:color="auto" w:sz="2" w:space="0"/>
              <w:right w:val="single" w:color="auto" w:sz="2" w:space="0"/>
            </w:tcBorders>
            <w:vAlign w:val="center"/>
          </w:tcPr>
          <w:p w14:paraId="225E67AB">
            <w:pPr>
              <w:spacing w:before="0" w:after="0" w:line="240" w:lineRule="exact"/>
              <w:jc w:val="right"/>
              <w:rPr>
                <w:rFonts w:ascii="宋体" w:hAnsi="宋体" w:eastAsia="宋体" w:cs="宋体"/>
                <w:sz w:val="18"/>
                <w:szCs w:val="18"/>
              </w:rPr>
            </w:pPr>
          </w:p>
        </w:tc>
      </w:tr>
      <w:tr w14:paraId="0CDC20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63E2EFDE">
            <w:pPr>
              <w:spacing w:before="40" w:after="40" w:line="240" w:lineRule="exact"/>
              <w:jc w:val="left"/>
              <w:rPr>
                <w:rFonts w:ascii="宋体" w:hAnsi="宋体" w:eastAsia="宋体" w:cs="宋体"/>
                <w:sz w:val="18"/>
                <w:szCs w:val="18"/>
              </w:rPr>
            </w:pPr>
            <w:r>
              <w:rPr>
                <w:rFonts w:ascii="宋体" w:hAnsi="宋体" w:eastAsia="宋体" w:cs="宋体"/>
                <w:sz w:val="18"/>
                <w:szCs w:val="18"/>
              </w:rPr>
              <w:t>合并成本合计</w:t>
            </w:r>
          </w:p>
        </w:tc>
        <w:tc>
          <w:tcPr>
            <w:tcW w:w="4820" w:type="dxa"/>
            <w:tcBorders>
              <w:top w:val="single" w:color="auto" w:sz="2" w:space="0"/>
              <w:left w:val="single" w:color="auto" w:sz="2" w:space="0"/>
              <w:bottom w:val="single" w:color="auto" w:sz="2" w:space="0"/>
              <w:right w:val="single" w:color="auto" w:sz="2" w:space="0"/>
            </w:tcBorders>
            <w:vAlign w:val="center"/>
          </w:tcPr>
          <w:p w14:paraId="6C9183D7">
            <w:pPr>
              <w:spacing w:before="0" w:after="0" w:line="240" w:lineRule="exact"/>
              <w:jc w:val="right"/>
              <w:rPr>
                <w:rFonts w:ascii="宋体" w:hAnsi="宋体" w:eastAsia="宋体" w:cs="宋体"/>
                <w:sz w:val="18"/>
                <w:szCs w:val="18"/>
              </w:rPr>
            </w:pPr>
          </w:p>
        </w:tc>
      </w:tr>
      <w:tr w14:paraId="26D185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3BEA2267">
            <w:pPr>
              <w:spacing w:before="40" w:after="40" w:line="240" w:lineRule="exact"/>
              <w:jc w:val="left"/>
              <w:rPr>
                <w:rFonts w:ascii="宋体" w:hAnsi="宋体" w:eastAsia="宋体" w:cs="宋体"/>
                <w:sz w:val="18"/>
                <w:szCs w:val="18"/>
              </w:rPr>
            </w:pPr>
            <w:r>
              <w:rPr>
                <w:rFonts w:ascii="宋体" w:hAnsi="宋体" w:eastAsia="宋体" w:cs="宋体"/>
                <w:sz w:val="18"/>
                <w:szCs w:val="18"/>
              </w:rPr>
              <w:t>减：取得的可辨认净资产公允价值份额</w:t>
            </w:r>
          </w:p>
        </w:tc>
        <w:tc>
          <w:tcPr>
            <w:tcW w:w="4820" w:type="dxa"/>
            <w:tcBorders>
              <w:top w:val="single" w:color="auto" w:sz="2" w:space="0"/>
              <w:left w:val="single" w:color="auto" w:sz="2" w:space="0"/>
              <w:bottom w:val="single" w:color="auto" w:sz="2" w:space="0"/>
              <w:right w:val="single" w:color="auto" w:sz="2" w:space="0"/>
            </w:tcBorders>
            <w:vAlign w:val="center"/>
          </w:tcPr>
          <w:p w14:paraId="1DEA327B">
            <w:pPr>
              <w:spacing w:before="0" w:after="0" w:line="240" w:lineRule="exact"/>
              <w:jc w:val="right"/>
              <w:rPr>
                <w:rFonts w:ascii="宋体" w:hAnsi="宋体" w:eastAsia="宋体" w:cs="宋体"/>
                <w:sz w:val="18"/>
                <w:szCs w:val="18"/>
              </w:rPr>
            </w:pPr>
          </w:p>
        </w:tc>
      </w:tr>
      <w:tr w14:paraId="00A917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0662E78">
            <w:pPr>
              <w:spacing w:before="40" w:after="40" w:line="240" w:lineRule="exact"/>
              <w:jc w:val="left"/>
              <w:rPr>
                <w:rFonts w:ascii="宋体" w:hAnsi="宋体" w:eastAsia="宋体" w:cs="宋体"/>
                <w:sz w:val="18"/>
                <w:szCs w:val="18"/>
              </w:rPr>
            </w:pPr>
            <w:r>
              <w:rPr>
                <w:rFonts w:ascii="宋体" w:hAnsi="宋体" w:eastAsia="宋体" w:cs="宋体"/>
                <w:sz w:val="18"/>
                <w:szCs w:val="18"/>
              </w:rPr>
              <w:t>商誉/合并成本小于取得的可辨认净资产公允价值份额的金额</w:t>
            </w:r>
          </w:p>
        </w:tc>
        <w:tc>
          <w:tcPr>
            <w:tcW w:w="4820" w:type="dxa"/>
            <w:tcBorders>
              <w:top w:val="single" w:color="auto" w:sz="2" w:space="0"/>
              <w:left w:val="single" w:color="auto" w:sz="2" w:space="0"/>
              <w:bottom w:val="single" w:color="auto" w:sz="2" w:space="0"/>
              <w:right w:val="single" w:color="auto" w:sz="2" w:space="0"/>
            </w:tcBorders>
            <w:vAlign w:val="center"/>
          </w:tcPr>
          <w:p w14:paraId="427BD828">
            <w:pPr>
              <w:spacing w:before="0" w:after="0" w:line="240" w:lineRule="exact"/>
              <w:jc w:val="right"/>
              <w:rPr>
                <w:rFonts w:ascii="宋体" w:hAnsi="宋体" w:eastAsia="宋体" w:cs="宋体"/>
                <w:sz w:val="18"/>
                <w:szCs w:val="18"/>
              </w:rPr>
            </w:pPr>
          </w:p>
        </w:tc>
      </w:tr>
    </w:tbl>
    <w:p w14:paraId="505BC9E9">
      <w:pPr>
        <w:spacing w:before="100" w:after="100" w:line="240" w:lineRule="exact"/>
        <w:jc w:val="left"/>
        <w:rPr>
          <w:rFonts w:ascii="宋体" w:hAnsi="宋体" w:eastAsia="宋体" w:cs="宋体"/>
          <w:sz w:val="18"/>
          <w:szCs w:val="18"/>
        </w:rPr>
      </w:pPr>
      <w:r>
        <w:rPr>
          <w:rFonts w:ascii="宋体" w:hAnsi="宋体" w:eastAsia="宋体" w:cs="宋体"/>
          <w:sz w:val="18"/>
          <w:szCs w:val="18"/>
        </w:rPr>
        <w:t>合并成本公允价值的确定方法：</w:t>
      </w:r>
    </w:p>
    <w:p w14:paraId="671D7811">
      <w:pPr>
        <w:spacing w:before="100" w:after="100" w:line="240" w:lineRule="exact"/>
        <w:jc w:val="left"/>
        <w:rPr>
          <w:rFonts w:ascii="宋体" w:hAnsi="宋体" w:eastAsia="宋体" w:cs="宋体"/>
          <w:sz w:val="18"/>
          <w:szCs w:val="18"/>
        </w:rPr>
      </w:pPr>
      <w:r>
        <w:rPr>
          <w:rFonts w:ascii="宋体" w:hAnsi="宋体" w:eastAsia="宋体" w:cs="宋体"/>
          <w:sz w:val="18"/>
          <w:szCs w:val="18"/>
        </w:rPr>
        <w:t>或有对价及其变动的说明</w:t>
      </w:r>
    </w:p>
    <w:p w14:paraId="2C534ED8">
      <w:pPr>
        <w:spacing w:before="100" w:after="100" w:line="240" w:lineRule="exact"/>
        <w:jc w:val="left"/>
        <w:rPr>
          <w:rFonts w:ascii="宋体" w:hAnsi="宋体" w:eastAsia="宋体" w:cs="宋体"/>
          <w:sz w:val="18"/>
          <w:szCs w:val="18"/>
        </w:rPr>
      </w:pPr>
      <w:r>
        <w:rPr>
          <w:rFonts w:ascii="宋体" w:hAnsi="宋体" w:eastAsia="宋体" w:cs="宋体"/>
          <w:sz w:val="18"/>
          <w:szCs w:val="18"/>
        </w:rPr>
        <w:t>大额商誉形成的主要原因：</w:t>
      </w:r>
    </w:p>
    <w:p w14:paraId="69C5149D">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25A453B">
      <w:pPr>
        <w:keepNext/>
        <w:keepLines/>
        <w:spacing w:before="300" w:after="300" w:line="280" w:lineRule="exact"/>
        <w:jc w:val="left"/>
        <w:outlineLvl w:val="3"/>
        <w:rPr>
          <w:rFonts w:ascii="宋体" w:hAnsi="宋体" w:eastAsia="宋体" w:cs="宋体"/>
          <w:b/>
          <w:bCs/>
          <w:sz w:val="18"/>
          <w:szCs w:val="18"/>
        </w:rPr>
      </w:pPr>
      <w:bookmarkStart w:id="466" w:name="_Toc989349"/>
      <w:r>
        <w:rPr>
          <w:rFonts w:ascii="宋体" w:hAnsi="宋体" w:eastAsia="宋体" w:cs="宋体"/>
          <w:b/>
          <w:bCs/>
          <w:sz w:val="18"/>
          <w:szCs w:val="18"/>
        </w:rPr>
        <w:t>（3） 被购买方于购买日可辨认资产、负债</w:t>
      </w:r>
      <w:bookmarkEnd w:id="466"/>
    </w:p>
    <w:p w14:paraId="75FF226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E5065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4C34835"/>
        </w:tc>
        <w:tc>
          <w:tcPr>
            <w:tcW w:w="6426" w:type="dxa"/>
            <w:gridSpan w:val="2"/>
            <w:tcBorders>
              <w:top w:val="single" w:color="auto" w:sz="2" w:space="0"/>
              <w:left w:val="single" w:color="auto" w:sz="2" w:space="0"/>
              <w:bottom w:val="single" w:color="auto" w:sz="2" w:space="0"/>
              <w:right w:val="single" w:color="auto" w:sz="2" w:space="0"/>
            </w:tcBorders>
            <w:vAlign w:val="center"/>
          </w:tcPr>
          <w:p w14:paraId="2B385119">
            <w:pPr>
              <w:spacing w:before="0" w:after="0" w:line="240" w:lineRule="exact"/>
              <w:jc w:val="center"/>
              <w:rPr>
                <w:rFonts w:ascii="宋体" w:hAnsi="宋体" w:eastAsia="宋体" w:cs="宋体"/>
                <w:sz w:val="18"/>
                <w:szCs w:val="18"/>
              </w:rPr>
            </w:pPr>
          </w:p>
        </w:tc>
      </w:tr>
      <w:tr w14:paraId="75605A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79747C5"/>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CB59B42">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购买日公允价值</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06F4FFE">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购买日账面价值</w:t>
            </w:r>
          </w:p>
        </w:tc>
      </w:tr>
      <w:tr w14:paraId="29D360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CFE640B">
            <w:pPr>
              <w:spacing w:before="40" w:after="40" w:line="240" w:lineRule="exact"/>
              <w:jc w:val="left"/>
              <w:rPr>
                <w:rFonts w:ascii="宋体" w:hAnsi="宋体" w:eastAsia="宋体" w:cs="宋体"/>
                <w:sz w:val="18"/>
                <w:szCs w:val="18"/>
              </w:rPr>
            </w:pPr>
            <w:r>
              <w:rPr>
                <w:rFonts w:ascii="宋体" w:hAnsi="宋体" w:eastAsia="宋体" w:cs="宋体"/>
                <w:sz w:val="18"/>
                <w:szCs w:val="18"/>
              </w:rPr>
              <w:t>资产：</w:t>
            </w:r>
          </w:p>
        </w:tc>
        <w:tc>
          <w:tcPr>
            <w:tcW w:w="3213" w:type="dxa"/>
            <w:tcBorders>
              <w:top w:val="single" w:color="auto" w:sz="2" w:space="0"/>
              <w:left w:val="single" w:color="auto" w:sz="2" w:space="0"/>
              <w:bottom w:val="single" w:color="auto" w:sz="2" w:space="0"/>
              <w:right w:val="single" w:color="auto" w:sz="2" w:space="0"/>
            </w:tcBorders>
            <w:vAlign w:val="center"/>
          </w:tcPr>
          <w:p w14:paraId="4CC0EC1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9BD691D">
            <w:pPr>
              <w:spacing w:before="0" w:after="0" w:line="240" w:lineRule="exact"/>
              <w:jc w:val="right"/>
              <w:rPr>
                <w:rFonts w:ascii="宋体" w:hAnsi="宋体" w:eastAsia="宋体" w:cs="宋体"/>
                <w:sz w:val="18"/>
                <w:szCs w:val="18"/>
              </w:rPr>
            </w:pPr>
          </w:p>
        </w:tc>
      </w:tr>
      <w:tr w14:paraId="515A04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93AAD1">
            <w:pPr>
              <w:spacing w:before="40" w:after="40" w:line="240" w:lineRule="exact"/>
              <w:jc w:val="left"/>
              <w:rPr>
                <w:rFonts w:ascii="宋体" w:hAnsi="宋体" w:eastAsia="宋体" w:cs="宋体"/>
                <w:sz w:val="18"/>
                <w:szCs w:val="18"/>
              </w:rPr>
            </w:pPr>
            <w:r>
              <w:rPr>
                <w:rFonts w:ascii="宋体" w:hAnsi="宋体" w:eastAsia="宋体" w:cs="宋体"/>
                <w:sz w:val="18"/>
                <w:szCs w:val="18"/>
              </w:rPr>
              <w:t>货币资金</w:t>
            </w:r>
          </w:p>
        </w:tc>
        <w:tc>
          <w:tcPr>
            <w:tcW w:w="3213" w:type="dxa"/>
            <w:tcBorders>
              <w:top w:val="single" w:color="auto" w:sz="2" w:space="0"/>
              <w:left w:val="single" w:color="auto" w:sz="2" w:space="0"/>
              <w:bottom w:val="single" w:color="auto" w:sz="2" w:space="0"/>
              <w:right w:val="single" w:color="auto" w:sz="2" w:space="0"/>
            </w:tcBorders>
            <w:vAlign w:val="center"/>
          </w:tcPr>
          <w:p w14:paraId="040EA52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90F4881">
            <w:pPr>
              <w:spacing w:before="0" w:after="0" w:line="240" w:lineRule="exact"/>
              <w:jc w:val="right"/>
              <w:rPr>
                <w:rFonts w:ascii="宋体" w:hAnsi="宋体" w:eastAsia="宋体" w:cs="宋体"/>
                <w:sz w:val="18"/>
                <w:szCs w:val="18"/>
              </w:rPr>
            </w:pPr>
          </w:p>
        </w:tc>
      </w:tr>
      <w:tr w14:paraId="553D78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5A2C190">
            <w:pPr>
              <w:spacing w:before="40" w:after="40" w:line="240" w:lineRule="exact"/>
              <w:jc w:val="left"/>
              <w:rPr>
                <w:rFonts w:ascii="宋体" w:hAnsi="宋体" w:eastAsia="宋体" w:cs="宋体"/>
                <w:sz w:val="18"/>
                <w:szCs w:val="18"/>
              </w:rPr>
            </w:pPr>
            <w:r>
              <w:rPr>
                <w:rFonts w:ascii="宋体" w:hAnsi="宋体" w:eastAsia="宋体" w:cs="宋体"/>
                <w:sz w:val="18"/>
                <w:szCs w:val="18"/>
              </w:rPr>
              <w:t>应收款项</w:t>
            </w:r>
          </w:p>
        </w:tc>
        <w:tc>
          <w:tcPr>
            <w:tcW w:w="3213" w:type="dxa"/>
            <w:tcBorders>
              <w:top w:val="single" w:color="auto" w:sz="2" w:space="0"/>
              <w:left w:val="single" w:color="auto" w:sz="2" w:space="0"/>
              <w:bottom w:val="single" w:color="auto" w:sz="2" w:space="0"/>
              <w:right w:val="single" w:color="auto" w:sz="2" w:space="0"/>
            </w:tcBorders>
            <w:vAlign w:val="center"/>
          </w:tcPr>
          <w:p w14:paraId="73767C0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DD6B143">
            <w:pPr>
              <w:spacing w:before="0" w:after="0" w:line="240" w:lineRule="exact"/>
              <w:jc w:val="right"/>
              <w:rPr>
                <w:rFonts w:ascii="宋体" w:hAnsi="宋体" w:eastAsia="宋体" w:cs="宋体"/>
                <w:sz w:val="18"/>
                <w:szCs w:val="18"/>
              </w:rPr>
            </w:pPr>
          </w:p>
        </w:tc>
      </w:tr>
      <w:tr w14:paraId="70242F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B5E5280">
            <w:pPr>
              <w:spacing w:before="40" w:after="40" w:line="240" w:lineRule="exact"/>
              <w:jc w:val="left"/>
              <w:rPr>
                <w:rFonts w:ascii="宋体" w:hAnsi="宋体" w:eastAsia="宋体" w:cs="宋体"/>
                <w:sz w:val="18"/>
                <w:szCs w:val="18"/>
              </w:rPr>
            </w:pPr>
            <w:r>
              <w:rPr>
                <w:rFonts w:ascii="宋体" w:hAnsi="宋体" w:eastAsia="宋体" w:cs="宋体"/>
                <w:sz w:val="18"/>
                <w:szCs w:val="18"/>
              </w:rPr>
              <w:t>存货</w:t>
            </w:r>
          </w:p>
        </w:tc>
        <w:tc>
          <w:tcPr>
            <w:tcW w:w="3213" w:type="dxa"/>
            <w:tcBorders>
              <w:top w:val="single" w:color="auto" w:sz="2" w:space="0"/>
              <w:left w:val="single" w:color="auto" w:sz="2" w:space="0"/>
              <w:bottom w:val="single" w:color="auto" w:sz="2" w:space="0"/>
              <w:right w:val="single" w:color="auto" w:sz="2" w:space="0"/>
            </w:tcBorders>
            <w:vAlign w:val="center"/>
          </w:tcPr>
          <w:p w14:paraId="2051CD72">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63A5797">
            <w:pPr>
              <w:spacing w:before="0" w:after="0" w:line="240" w:lineRule="exact"/>
              <w:jc w:val="right"/>
              <w:rPr>
                <w:rFonts w:ascii="宋体" w:hAnsi="宋体" w:eastAsia="宋体" w:cs="宋体"/>
                <w:sz w:val="18"/>
                <w:szCs w:val="18"/>
              </w:rPr>
            </w:pPr>
          </w:p>
        </w:tc>
      </w:tr>
      <w:tr w14:paraId="7FA884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B115CF1">
            <w:pPr>
              <w:spacing w:before="40" w:after="40" w:line="240" w:lineRule="exact"/>
              <w:jc w:val="left"/>
              <w:rPr>
                <w:rFonts w:ascii="宋体" w:hAnsi="宋体" w:eastAsia="宋体" w:cs="宋体"/>
                <w:sz w:val="18"/>
                <w:szCs w:val="18"/>
              </w:rPr>
            </w:pPr>
            <w:r>
              <w:rPr>
                <w:rFonts w:ascii="宋体" w:hAnsi="宋体" w:eastAsia="宋体" w:cs="宋体"/>
                <w:sz w:val="18"/>
                <w:szCs w:val="18"/>
              </w:rPr>
              <w:t>固定资产</w:t>
            </w:r>
          </w:p>
        </w:tc>
        <w:tc>
          <w:tcPr>
            <w:tcW w:w="3213" w:type="dxa"/>
            <w:tcBorders>
              <w:top w:val="single" w:color="auto" w:sz="2" w:space="0"/>
              <w:left w:val="single" w:color="auto" w:sz="2" w:space="0"/>
              <w:bottom w:val="single" w:color="auto" w:sz="2" w:space="0"/>
              <w:right w:val="single" w:color="auto" w:sz="2" w:space="0"/>
            </w:tcBorders>
            <w:vAlign w:val="center"/>
          </w:tcPr>
          <w:p w14:paraId="28BE97B2">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C4A19C5">
            <w:pPr>
              <w:spacing w:before="0" w:after="0" w:line="240" w:lineRule="exact"/>
              <w:jc w:val="right"/>
              <w:rPr>
                <w:rFonts w:ascii="宋体" w:hAnsi="宋体" w:eastAsia="宋体" w:cs="宋体"/>
                <w:sz w:val="18"/>
                <w:szCs w:val="18"/>
              </w:rPr>
            </w:pPr>
          </w:p>
        </w:tc>
      </w:tr>
      <w:tr w14:paraId="590E91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1D1B57E">
            <w:pPr>
              <w:spacing w:before="40" w:after="40" w:line="240" w:lineRule="exact"/>
              <w:jc w:val="left"/>
              <w:rPr>
                <w:rFonts w:ascii="宋体" w:hAnsi="宋体" w:eastAsia="宋体" w:cs="宋体"/>
                <w:sz w:val="18"/>
                <w:szCs w:val="18"/>
              </w:rPr>
            </w:pPr>
            <w:r>
              <w:rPr>
                <w:rFonts w:ascii="宋体" w:hAnsi="宋体" w:eastAsia="宋体" w:cs="宋体"/>
                <w:sz w:val="18"/>
                <w:szCs w:val="18"/>
              </w:rPr>
              <w:t>无形资产</w:t>
            </w:r>
          </w:p>
        </w:tc>
        <w:tc>
          <w:tcPr>
            <w:tcW w:w="3213" w:type="dxa"/>
            <w:tcBorders>
              <w:top w:val="single" w:color="auto" w:sz="2" w:space="0"/>
              <w:left w:val="single" w:color="auto" w:sz="2" w:space="0"/>
              <w:bottom w:val="single" w:color="auto" w:sz="2" w:space="0"/>
              <w:right w:val="single" w:color="auto" w:sz="2" w:space="0"/>
            </w:tcBorders>
            <w:vAlign w:val="center"/>
          </w:tcPr>
          <w:p w14:paraId="536912B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9069AB9">
            <w:pPr>
              <w:spacing w:before="0" w:after="0" w:line="240" w:lineRule="exact"/>
              <w:jc w:val="right"/>
              <w:rPr>
                <w:rFonts w:ascii="宋体" w:hAnsi="宋体" w:eastAsia="宋体" w:cs="宋体"/>
                <w:sz w:val="18"/>
                <w:szCs w:val="18"/>
              </w:rPr>
            </w:pPr>
          </w:p>
        </w:tc>
      </w:tr>
      <w:tr w14:paraId="0149AB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2491698">
            <w:pPr>
              <w:spacing w:before="0" w:after="0" w:line="240" w:lineRule="exact"/>
              <w:jc w:val="lef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A753010">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86EAEFC">
            <w:pPr>
              <w:spacing w:before="0" w:after="0" w:line="240" w:lineRule="exact"/>
              <w:jc w:val="right"/>
              <w:rPr>
                <w:rFonts w:ascii="宋体" w:hAnsi="宋体" w:eastAsia="宋体" w:cs="宋体"/>
                <w:sz w:val="18"/>
                <w:szCs w:val="18"/>
              </w:rPr>
            </w:pPr>
          </w:p>
        </w:tc>
      </w:tr>
      <w:tr w14:paraId="504D47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355C626">
            <w:pPr>
              <w:spacing w:before="40" w:after="40" w:line="240" w:lineRule="exact"/>
              <w:jc w:val="left"/>
              <w:rPr>
                <w:rFonts w:ascii="宋体" w:hAnsi="宋体" w:eastAsia="宋体" w:cs="宋体"/>
                <w:sz w:val="18"/>
                <w:szCs w:val="18"/>
              </w:rPr>
            </w:pPr>
            <w:r>
              <w:rPr>
                <w:rFonts w:ascii="宋体" w:hAnsi="宋体" w:eastAsia="宋体" w:cs="宋体"/>
                <w:sz w:val="18"/>
                <w:szCs w:val="18"/>
              </w:rPr>
              <w:t>负债：</w:t>
            </w:r>
          </w:p>
        </w:tc>
        <w:tc>
          <w:tcPr>
            <w:tcW w:w="3213" w:type="dxa"/>
            <w:tcBorders>
              <w:top w:val="single" w:color="auto" w:sz="2" w:space="0"/>
              <w:left w:val="single" w:color="auto" w:sz="2" w:space="0"/>
              <w:bottom w:val="single" w:color="auto" w:sz="2" w:space="0"/>
              <w:right w:val="single" w:color="auto" w:sz="2" w:space="0"/>
            </w:tcBorders>
            <w:vAlign w:val="center"/>
          </w:tcPr>
          <w:p w14:paraId="49AF525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43D9B38">
            <w:pPr>
              <w:spacing w:before="0" w:after="0" w:line="240" w:lineRule="exact"/>
              <w:jc w:val="right"/>
              <w:rPr>
                <w:rFonts w:ascii="宋体" w:hAnsi="宋体" w:eastAsia="宋体" w:cs="宋体"/>
                <w:sz w:val="18"/>
                <w:szCs w:val="18"/>
              </w:rPr>
            </w:pPr>
          </w:p>
        </w:tc>
      </w:tr>
      <w:tr w14:paraId="36E4A3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2DE464B">
            <w:pPr>
              <w:spacing w:before="40" w:after="40" w:line="240" w:lineRule="exact"/>
              <w:jc w:val="left"/>
              <w:rPr>
                <w:rFonts w:ascii="宋体" w:hAnsi="宋体" w:eastAsia="宋体" w:cs="宋体"/>
                <w:sz w:val="18"/>
                <w:szCs w:val="18"/>
              </w:rPr>
            </w:pPr>
            <w:r>
              <w:rPr>
                <w:rFonts w:ascii="宋体" w:hAnsi="宋体" w:eastAsia="宋体" w:cs="宋体"/>
                <w:sz w:val="18"/>
                <w:szCs w:val="18"/>
              </w:rPr>
              <w:t>借款</w:t>
            </w:r>
          </w:p>
        </w:tc>
        <w:tc>
          <w:tcPr>
            <w:tcW w:w="3213" w:type="dxa"/>
            <w:tcBorders>
              <w:top w:val="single" w:color="auto" w:sz="2" w:space="0"/>
              <w:left w:val="single" w:color="auto" w:sz="2" w:space="0"/>
              <w:bottom w:val="single" w:color="auto" w:sz="2" w:space="0"/>
              <w:right w:val="single" w:color="auto" w:sz="2" w:space="0"/>
            </w:tcBorders>
            <w:vAlign w:val="center"/>
          </w:tcPr>
          <w:p w14:paraId="0AC17AE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5DE9C24">
            <w:pPr>
              <w:spacing w:before="0" w:after="0" w:line="240" w:lineRule="exact"/>
              <w:jc w:val="right"/>
              <w:rPr>
                <w:rFonts w:ascii="宋体" w:hAnsi="宋体" w:eastAsia="宋体" w:cs="宋体"/>
                <w:sz w:val="18"/>
                <w:szCs w:val="18"/>
              </w:rPr>
            </w:pPr>
          </w:p>
        </w:tc>
      </w:tr>
      <w:tr w14:paraId="21B89D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580A898">
            <w:pPr>
              <w:spacing w:before="40" w:after="40" w:line="240" w:lineRule="exact"/>
              <w:jc w:val="left"/>
              <w:rPr>
                <w:rFonts w:ascii="宋体" w:hAnsi="宋体" w:eastAsia="宋体" w:cs="宋体"/>
                <w:sz w:val="18"/>
                <w:szCs w:val="18"/>
              </w:rPr>
            </w:pPr>
            <w:r>
              <w:rPr>
                <w:rFonts w:ascii="宋体" w:hAnsi="宋体" w:eastAsia="宋体" w:cs="宋体"/>
                <w:sz w:val="18"/>
                <w:szCs w:val="18"/>
              </w:rPr>
              <w:t>应付款项</w:t>
            </w:r>
          </w:p>
        </w:tc>
        <w:tc>
          <w:tcPr>
            <w:tcW w:w="3213" w:type="dxa"/>
            <w:tcBorders>
              <w:top w:val="single" w:color="auto" w:sz="2" w:space="0"/>
              <w:left w:val="single" w:color="auto" w:sz="2" w:space="0"/>
              <w:bottom w:val="single" w:color="auto" w:sz="2" w:space="0"/>
              <w:right w:val="single" w:color="auto" w:sz="2" w:space="0"/>
            </w:tcBorders>
            <w:vAlign w:val="center"/>
          </w:tcPr>
          <w:p w14:paraId="0DF46D4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A0716E2">
            <w:pPr>
              <w:spacing w:before="0" w:after="0" w:line="240" w:lineRule="exact"/>
              <w:jc w:val="right"/>
              <w:rPr>
                <w:rFonts w:ascii="宋体" w:hAnsi="宋体" w:eastAsia="宋体" w:cs="宋体"/>
                <w:sz w:val="18"/>
                <w:szCs w:val="18"/>
              </w:rPr>
            </w:pPr>
          </w:p>
        </w:tc>
      </w:tr>
      <w:tr w14:paraId="358C48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2D759D0">
            <w:pPr>
              <w:spacing w:before="40" w:after="40" w:line="240" w:lineRule="exact"/>
              <w:jc w:val="left"/>
              <w:rPr>
                <w:rFonts w:ascii="宋体" w:hAnsi="宋体" w:eastAsia="宋体" w:cs="宋体"/>
                <w:sz w:val="18"/>
                <w:szCs w:val="18"/>
              </w:rPr>
            </w:pPr>
            <w:r>
              <w:rPr>
                <w:rFonts w:ascii="宋体" w:hAnsi="宋体" w:eastAsia="宋体" w:cs="宋体"/>
                <w:sz w:val="18"/>
                <w:szCs w:val="18"/>
              </w:rPr>
              <w:t>递延所得税负债</w:t>
            </w:r>
          </w:p>
        </w:tc>
        <w:tc>
          <w:tcPr>
            <w:tcW w:w="3213" w:type="dxa"/>
            <w:tcBorders>
              <w:top w:val="single" w:color="auto" w:sz="2" w:space="0"/>
              <w:left w:val="single" w:color="auto" w:sz="2" w:space="0"/>
              <w:bottom w:val="single" w:color="auto" w:sz="2" w:space="0"/>
              <w:right w:val="single" w:color="auto" w:sz="2" w:space="0"/>
            </w:tcBorders>
            <w:vAlign w:val="center"/>
          </w:tcPr>
          <w:p w14:paraId="3BBF3348">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4E8F88B">
            <w:pPr>
              <w:spacing w:before="0" w:after="0" w:line="240" w:lineRule="exact"/>
              <w:jc w:val="right"/>
              <w:rPr>
                <w:rFonts w:ascii="宋体" w:hAnsi="宋体" w:eastAsia="宋体" w:cs="宋体"/>
                <w:sz w:val="18"/>
                <w:szCs w:val="18"/>
              </w:rPr>
            </w:pPr>
          </w:p>
        </w:tc>
      </w:tr>
      <w:tr w14:paraId="1F752E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554E361">
            <w:pPr>
              <w:spacing w:before="0" w:after="0" w:line="240" w:lineRule="exact"/>
              <w:jc w:val="lef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87C776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0F87A70">
            <w:pPr>
              <w:spacing w:before="0" w:after="0" w:line="240" w:lineRule="exact"/>
              <w:jc w:val="right"/>
              <w:rPr>
                <w:rFonts w:ascii="宋体" w:hAnsi="宋体" w:eastAsia="宋体" w:cs="宋体"/>
                <w:sz w:val="18"/>
                <w:szCs w:val="18"/>
              </w:rPr>
            </w:pPr>
          </w:p>
        </w:tc>
      </w:tr>
      <w:tr w14:paraId="68DB08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FDBF407">
            <w:pPr>
              <w:spacing w:before="40" w:after="40" w:line="240" w:lineRule="exact"/>
              <w:jc w:val="left"/>
              <w:rPr>
                <w:rFonts w:ascii="宋体" w:hAnsi="宋体" w:eastAsia="宋体" w:cs="宋体"/>
                <w:sz w:val="18"/>
                <w:szCs w:val="18"/>
              </w:rPr>
            </w:pPr>
            <w:r>
              <w:rPr>
                <w:rFonts w:ascii="宋体" w:hAnsi="宋体" w:eastAsia="宋体" w:cs="宋体"/>
                <w:sz w:val="18"/>
                <w:szCs w:val="18"/>
              </w:rPr>
              <w:t>净资产</w:t>
            </w:r>
          </w:p>
        </w:tc>
        <w:tc>
          <w:tcPr>
            <w:tcW w:w="3213" w:type="dxa"/>
            <w:tcBorders>
              <w:top w:val="single" w:color="auto" w:sz="2" w:space="0"/>
              <w:left w:val="single" w:color="auto" w:sz="2" w:space="0"/>
              <w:bottom w:val="single" w:color="auto" w:sz="2" w:space="0"/>
              <w:right w:val="single" w:color="auto" w:sz="2" w:space="0"/>
            </w:tcBorders>
            <w:vAlign w:val="center"/>
          </w:tcPr>
          <w:p w14:paraId="51669C5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C0B343F">
            <w:pPr>
              <w:spacing w:before="0" w:after="0" w:line="240" w:lineRule="exact"/>
              <w:jc w:val="right"/>
              <w:rPr>
                <w:rFonts w:ascii="宋体" w:hAnsi="宋体" w:eastAsia="宋体" w:cs="宋体"/>
                <w:sz w:val="18"/>
                <w:szCs w:val="18"/>
              </w:rPr>
            </w:pPr>
          </w:p>
        </w:tc>
      </w:tr>
      <w:tr w14:paraId="05F33E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0733C21">
            <w:pPr>
              <w:spacing w:before="40" w:after="40" w:line="240" w:lineRule="exact"/>
              <w:jc w:val="left"/>
              <w:rPr>
                <w:rFonts w:ascii="宋体" w:hAnsi="宋体" w:eastAsia="宋体" w:cs="宋体"/>
                <w:sz w:val="18"/>
                <w:szCs w:val="18"/>
              </w:rPr>
            </w:pPr>
            <w:r>
              <w:rPr>
                <w:rFonts w:ascii="宋体" w:hAnsi="宋体" w:eastAsia="宋体" w:cs="宋体"/>
                <w:sz w:val="18"/>
                <w:szCs w:val="18"/>
              </w:rPr>
              <w:t>减：少数股东权益</w:t>
            </w:r>
          </w:p>
        </w:tc>
        <w:tc>
          <w:tcPr>
            <w:tcW w:w="3213" w:type="dxa"/>
            <w:tcBorders>
              <w:top w:val="single" w:color="auto" w:sz="2" w:space="0"/>
              <w:left w:val="single" w:color="auto" w:sz="2" w:space="0"/>
              <w:bottom w:val="single" w:color="auto" w:sz="2" w:space="0"/>
              <w:right w:val="single" w:color="auto" w:sz="2" w:space="0"/>
            </w:tcBorders>
            <w:vAlign w:val="center"/>
          </w:tcPr>
          <w:p w14:paraId="5B64E5A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20C8B67">
            <w:pPr>
              <w:spacing w:before="0" w:after="0" w:line="240" w:lineRule="exact"/>
              <w:jc w:val="right"/>
              <w:rPr>
                <w:rFonts w:ascii="宋体" w:hAnsi="宋体" w:eastAsia="宋体" w:cs="宋体"/>
                <w:sz w:val="18"/>
                <w:szCs w:val="18"/>
              </w:rPr>
            </w:pPr>
          </w:p>
        </w:tc>
      </w:tr>
      <w:tr w14:paraId="3D6FFB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F2B9625">
            <w:pPr>
              <w:spacing w:before="40" w:after="40" w:line="240" w:lineRule="exact"/>
              <w:jc w:val="left"/>
              <w:rPr>
                <w:rFonts w:ascii="宋体" w:hAnsi="宋体" w:eastAsia="宋体" w:cs="宋体"/>
                <w:sz w:val="18"/>
                <w:szCs w:val="18"/>
              </w:rPr>
            </w:pPr>
            <w:r>
              <w:rPr>
                <w:rFonts w:ascii="宋体" w:hAnsi="宋体" w:eastAsia="宋体" w:cs="宋体"/>
                <w:sz w:val="18"/>
                <w:szCs w:val="18"/>
              </w:rPr>
              <w:t>取得的净资产</w:t>
            </w:r>
          </w:p>
        </w:tc>
        <w:tc>
          <w:tcPr>
            <w:tcW w:w="3213" w:type="dxa"/>
            <w:tcBorders>
              <w:top w:val="single" w:color="auto" w:sz="2" w:space="0"/>
              <w:left w:val="single" w:color="auto" w:sz="2" w:space="0"/>
              <w:bottom w:val="single" w:color="auto" w:sz="2" w:space="0"/>
              <w:right w:val="single" w:color="auto" w:sz="2" w:space="0"/>
            </w:tcBorders>
            <w:vAlign w:val="center"/>
          </w:tcPr>
          <w:p w14:paraId="38B16F1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CF0879E">
            <w:pPr>
              <w:spacing w:before="0" w:after="0" w:line="240" w:lineRule="exact"/>
              <w:jc w:val="right"/>
              <w:rPr>
                <w:rFonts w:ascii="宋体" w:hAnsi="宋体" w:eastAsia="宋体" w:cs="宋体"/>
                <w:sz w:val="18"/>
                <w:szCs w:val="18"/>
              </w:rPr>
            </w:pPr>
          </w:p>
        </w:tc>
      </w:tr>
    </w:tbl>
    <w:p w14:paraId="3B52A1DE">
      <w:pPr>
        <w:spacing w:before="100" w:after="100" w:line="240" w:lineRule="exact"/>
        <w:jc w:val="left"/>
        <w:rPr>
          <w:rFonts w:ascii="宋体" w:hAnsi="宋体" w:eastAsia="宋体" w:cs="宋体"/>
          <w:sz w:val="18"/>
          <w:szCs w:val="18"/>
        </w:rPr>
      </w:pPr>
      <w:r>
        <w:rPr>
          <w:rFonts w:ascii="宋体" w:hAnsi="宋体" w:eastAsia="宋体" w:cs="宋体"/>
          <w:sz w:val="18"/>
          <w:szCs w:val="18"/>
        </w:rPr>
        <w:t>可辨认资产、负债公允价值的确定方法：</w:t>
      </w:r>
    </w:p>
    <w:p w14:paraId="3A22DE08">
      <w:pPr>
        <w:spacing w:before="100" w:after="100" w:line="240" w:lineRule="exact"/>
        <w:jc w:val="left"/>
        <w:rPr>
          <w:rFonts w:ascii="宋体" w:hAnsi="宋体" w:eastAsia="宋体" w:cs="宋体"/>
          <w:sz w:val="18"/>
          <w:szCs w:val="18"/>
        </w:rPr>
      </w:pPr>
      <w:r>
        <w:rPr>
          <w:rFonts w:ascii="宋体" w:hAnsi="宋体" w:eastAsia="宋体" w:cs="宋体"/>
          <w:sz w:val="18"/>
          <w:szCs w:val="18"/>
        </w:rPr>
        <w:t>企业合并中承担的被购买方的或有负债：</w:t>
      </w:r>
    </w:p>
    <w:p w14:paraId="2F58BA56">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4717D5B">
      <w:pPr>
        <w:keepNext/>
        <w:keepLines/>
        <w:spacing w:before="300" w:after="300" w:line="280" w:lineRule="exact"/>
        <w:jc w:val="left"/>
        <w:outlineLvl w:val="3"/>
        <w:rPr>
          <w:rFonts w:ascii="宋体" w:hAnsi="宋体" w:eastAsia="宋体" w:cs="宋体"/>
          <w:b/>
          <w:bCs/>
          <w:sz w:val="18"/>
          <w:szCs w:val="18"/>
        </w:rPr>
      </w:pPr>
      <w:bookmarkStart w:id="467" w:name="_Toc989350"/>
      <w:r>
        <w:rPr>
          <w:rFonts w:ascii="宋体" w:hAnsi="宋体" w:eastAsia="宋体" w:cs="宋体"/>
          <w:b/>
          <w:bCs/>
          <w:sz w:val="18"/>
          <w:szCs w:val="18"/>
        </w:rPr>
        <w:t>（4） 购买日之前持有的股权按照公允价值重新计量产生的利得或损失</w:t>
      </w:r>
      <w:bookmarkEnd w:id="467"/>
    </w:p>
    <w:p w14:paraId="07FCD353">
      <w:pPr>
        <w:spacing w:before="100" w:after="100" w:line="240" w:lineRule="exact"/>
        <w:jc w:val="left"/>
        <w:rPr>
          <w:rFonts w:ascii="宋体" w:hAnsi="宋体" w:eastAsia="宋体" w:cs="宋体"/>
          <w:sz w:val="18"/>
          <w:szCs w:val="18"/>
        </w:rPr>
      </w:pPr>
      <w:r>
        <w:rPr>
          <w:rFonts w:ascii="宋体" w:hAnsi="宋体" w:eastAsia="宋体" w:cs="宋体"/>
          <w:sz w:val="18"/>
          <w:szCs w:val="18"/>
        </w:rPr>
        <w:t>是否存在通过多次交易分步实现企业合并且在报告期内取得控制权的交易</w:t>
      </w:r>
    </w:p>
    <w:p w14:paraId="1D19F766">
      <w:pPr>
        <w:spacing w:before="0" w:after="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2C1F548C">
      <w:pPr>
        <w:keepNext/>
        <w:keepLines/>
        <w:spacing w:before="300" w:after="300" w:line="280" w:lineRule="exact"/>
        <w:jc w:val="left"/>
        <w:outlineLvl w:val="3"/>
        <w:rPr>
          <w:rFonts w:ascii="宋体" w:hAnsi="宋体" w:eastAsia="宋体" w:cs="宋体"/>
          <w:b/>
          <w:bCs/>
          <w:sz w:val="18"/>
          <w:szCs w:val="18"/>
        </w:rPr>
      </w:pPr>
      <w:bookmarkStart w:id="468" w:name="_Toc989351"/>
      <w:r>
        <w:rPr>
          <w:rFonts w:ascii="宋体" w:hAnsi="宋体" w:eastAsia="宋体" w:cs="宋体"/>
          <w:b/>
          <w:bCs/>
          <w:sz w:val="18"/>
          <w:szCs w:val="18"/>
        </w:rPr>
        <w:t>（5） 购买日或合并当期期末无法合理确定合并对价或被购买方可辨认资产、负债公允价值的相关说明</w:t>
      </w:r>
      <w:bookmarkEnd w:id="468"/>
    </w:p>
    <w:p w14:paraId="29F0F5D0">
      <w:pPr>
        <w:keepNext/>
        <w:keepLines/>
        <w:spacing w:before="300" w:after="300" w:line="280" w:lineRule="exact"/>
        <w:jc w:val="left"/>
        <w:outlineLvl w:val="3"/>
        <w:rPr>
          <w:rFonts w:ascii="宋体" w:hAnsi="宋体" w:eastAsia="宋体" w:cs="宋体"/>
          <w:b/>
          <w:bCs/>
          <w:sz w:val="18"/>
          <w:szCs w:val="18"/>
        </w:rPr>
      </w:pPr>
      <w:bookmarkStart w:id="469" w:name="_Toc989352"/>
      <w:r>
        <w:rPr>
          <w:rFonts w:ascii="宋体" w:hAnsi="宋体" w:eastAsia="宋体" w:cs="宋体"/>
          <w:b/>
          <w:bCs/>
          <w:sz w:val="18"/>
          <w:szCs w:val="18"/>
        </w:rPr>
        <w:t>（6） 其他说明</w:t>
      </w:r>
      <w:bookmarkEnd w:id="469"/>
    </w:p>
    <w:p w14:paraId="57A111CC">
      <w:pPr>
        <w:keepNext/>
        <w:keepLines/>
        <w:spacing w:before="300" w:after="300" w:line="280" w:lineRule="exact"/>
        <w:jc w:val="left"/>
        <w:outlineLvl w:val="2"/>
        <w:rPr>
          <w:rFonts w:ascii="宋体" w:hAnsi="宋体" w:eastAsia="宋体" w:cs="宋体"/>
          <w:b/>
          <w:bCs/>
          <w:sz w:val="21"/>
          <w:szCs w:val="21"/>
        </w:rPr>
      </w:pPr>
      <w:bookmarkStart w:id="470" w:name="_Toc989353"/>
      <w:r>
        <w:rPr>
          <w:rFonts w:ascii="宋体" w:hAnsi="宋体" w:eastAsia="宋体" w:cs="宋体"/>
          <w:b/>
          <w:bCs/>
          <w:sz w:val="21"/>
          <w:szCs w:val="21"/>
        </w:rPr>
        <w:t>2、同一控制下企业合并</w:t>
      </w:r>
      <w:bookmarkEnd w:id="470"/>
    </w:p>
    <w:p w14:paraId="2537EC17">
      <w:pPr>
        <w:keepNext/>
        <w:keepLines/>
        <w:spacing w:before="300" w:after="300" w:line="280" w:lineRule="exact"/>
        <w:jc w:val="left"/>
        <w:outlineLvl w:val="3"/>
        <w:rPr>
          <w:rFonts w:ascii="宋体" w:hAnsi="宋体" w:eastAsia="宋体" w:cs="宋体"/>
          <w:b/>
          <w:bCs/>
          <w:sz w:val="18"/>
          <w:szCs w:val="18"/>
        </w:rPr>
      </w:pPr>
      <w:bookmarkStart w:id="471" w:name="_Toc989354"/>
      <w:r>
        <w:rPr>
          <w:rFonts w:ascii="宋体" w:hAnsi="宋体" w:eastAsia="宋体" w:cs="宋体"/>
          <w:b/>
          <w:bCs/>
          <w:sz w:val="18"/>
          <w:szCs w:val="18"/>
        </w:rPr>
        <w:t>（1） 本期发生的同一控制下企业合并</w:t>
      </w:r>
      <w:bookmarkEnd w:id="471"/>
    </w:p>
    <w:p w14:paraId="4BDD5BE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5B011E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185A6DE">
            <w:pPr>
              <w:spacing w:before="40" w:after="40" w:line="240" w:lineRule="exact"/>
              <w:jc w:val="center"/>
              <w:rPr>
                <w:rFonts w:ascii="宋体" w:hAnsi="宋体" w:eastAsia="宋体" w:cs="宋体"/>
                <w:sz w:val="18"/>
                <w:szCs w:val="18"/>
              </w:rPr>
            </w:pPr>
            <w:r>
              <w:rPr>
                <w:rFonts w:ascii="宋体" w:hAnsi="宋体" w:eastAsia="宋体" w:cs="宋体"/>
                <w:sz w:val="18"/>
                <w:szCs w:val="18"/>
              </w:rPr>
              <w:t>被合并方名称</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A61BC38">
            <w:pPr>
              <w:spacing w:before="40" w:after="40" w:line="240" w:lineRule="exact"/>
              <w:jc w:val="center"/>
              <w:rPr>
                <w:rFonts w:ascii="宋体" w:hAnsi="宋体" w:eastAsia="宋体" w:cs="宋体"/>
                <w:sz w:val="18"/>
                <w:szCs w:val="18"/>
              </w:rPr>
            </w:pPr>
            <w:r>
              <w:rPr>
                <w:rFonts w:ascii="宋体" w:hAnsi="宋体" w:eastAsia="宋体" w:cs="宋体"/>
                <w:sz w:val="18"/>
                <w:szCs w:val="18"/>
              </w:rPr>
              <w:t>企业合并中取得的权益比例</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D265BD4">
            <w:pPr>
              <w:spacing w:before="40" w:after="40" w:line="240" w:lineRule="exact"/>
              <w:jc w:val="center"/>
              <w:rPr>
                <w:rFonts w:ascii="宋体" w:hAnsi="宋体" w:eastAsia="宋体" w:cs="宋体"/>
                <w:sz w:val="18"/>
                <w:szCs w:val="18"/>
              </w:rPr>
            </w:pPr>
            <w:r>
              <w:rPr>
                <w:rFonts w:ascii="宋体" w:hAnsi="宋体" w:eastAsia="宋体" w:cs="宋体"/>
                <w:sz w:val="18"/>
                <w:szCs w:val="18"/>
              </w:rPr>
              <w:t>构成同一控制下企业合并的依据</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2C6D603">
            <w:pPr>
              <w:spacing w:before="40" w:after="40" w:line="240" w:lineRule="exact"/>
              <w:jc w:val="center"/>
              <w:rPr>
                <w:rFonts w:ascii="宋体" w:hAnsi="宋体" w:eastAsia="宋体" w:cs="宋体"/>
                <w:sz w:val="18"/>
                <w:szCs w:val="18"/>
              </w:rPr>
            </w:pPr>
            <w:r>
              <w:rPr>
                <w:rFonts w:ascii="宋体" w:hAnsi="宋体" w:eastAsia="宋体" w:cs="宋体"/>
                <w:sz w:val="18"/>
                <w:szCs w:val="18"/>
              </w:rPr>
              <w:t>合并日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6A49307">
            <w:pPr>
              <w:spacing w:before="40" w:after="40" w:line="240" w:lineRule="exact"/>
              <w:jc w:val="center"/>
              <w:rPr>
                <w:rFonts w:ascii="宋体" w:hAnsi="宋体" w:eastAsia="宋体" w:cs="宋体"/>
                <w:sz w:val="18"/>
                <w:szCs w:val="18"/>
              </w:rPr>
            </w:pPr>
            <w:r>
              <w:rPr>
                <w:rFonts w:ascii="宋体" w:hAnsi="宋体" w:eastAsia="宋体" w:cs="宋体"/>
                <w:sz w:val="18"/>
                <w:szCs w:val="18"/>
              </w:rPr>
              <w:t>合并日的确定依据</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9CCA218">
            <w:pPr>
              <w:spacing w:before="40" w:after="40" w:line="240" w:lineRule="exact"/>
              <w:jc w:val="center"/>
              <w:rPr>
                <w:rFonts w:ascii="宋体" w:hAnsi="宋体" w:eastAsia="宋体" w:cs="宋体"/>
                <w:sz w:val="18"/>
                <w:szCs w:val="18"/>
              </w:rPr>
            </w:pPr>
            <w:r>
              <w:rPr>
                <w:rFonts w:ascii="宋体" w:hAnsi="宋体" w:eastAsia="宋体" w:cs="宋体"/>
                <w:sz w:val="18"/>
                <w:szCs w:val="18"/>
              </w:rPr>
              <w:t>合并当期期初至合并日被合并方的收入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9CB2F3C">
            <w:pPr>
              <w:spacing w:before="40" w:after="40" w:line="240" w:lineRule="exact"/>
              <w:jc w:val="center"/>
              <w:rPr>
                <w:rFonts w:ascii="宋体" w:hAnsi="宋体" w:eastAsia="宋体" w:cs="宋体"/>
                <w:sz w:val="18"/>
                <w:szCs w:val="18"/>
              </w:rPr>
            </w:pPr>
            <w:r>
              <w:rPr>
                <w:rFonts w:ascii="宋体" w:hAnsi="宋体" w:eastAsia="宋体" w:cs="宋体"/>
                <w:sz w:val="18"/>
                <w:szCs w:val="18"/>
              </w:rPr>
              <w:t>合并当期期初至合并日被合并方的净利润</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A9C7688">
            <w:pPr>
              <w:spacing w:before="40" w:after="40" w:line="240" w:lineRule="exact"/>
              <w:jc w:val="center"/>
              <w:rPr>
                <w:rFonts w:ascii="宋体" w:hAnsi="宋体" w:eastAsia="宋体" w:cs="宋体"/>
                <w:sz w:val="18"/>
                <w:szCs w:val="18"/>
              </w:rPr>
            </w:pPr>
            <w:r>
              <w:rPr>
                <w:rFonts w:ascii="宋体" w:hAnsi="宋体" w:eastAsia="宋体" w:cs="宋体"/>
                <w:sz w:val="18"/>
                <w:szCs w:val="18"/>
              </w:rPr>
              <w:t>比较期间被合并方的收入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5ECCD99">
            <w:pPr>
              <w:spacing w:before="40" w:after="40" w:line="240" w:lineRule="exact"/>
              <w:jc w:val="center"/>
              <w:rPr>
                <w:rFonts w:ascii="宋体" w:hAnsi="宋体" w:eastAsia="宋体" w:cs="宋体"/>
                <w:sz w:val="18"/>
                <w:szCs w:val="18"/>
              </w:rPr>
            </w:pPr>
            <w:r>
              <w:rPr>
                <w:rFonts w:ascii="宋体" w:hAnsi="宋体" w:eastAsia="宋体" w:cs="宋体"/>
                <w:sz w:val="18"/>
                <w:szCs w:val="18"/>
              </w:rPr>
              <w:t>比较期间被合并方的净利润</w:t>
            </w:r>
          </w:p>
        </w:tc>
      </w:tr>
    </w:tbl>
    <w:p w14:paraId="424F5AAE">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1A4F7A5A">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本期无同一控制下企业合并。</w:t>
      </w:r>
    </w:p>
    <w:p w14:paraId="08B28F04">
      <w:pPr>
        <w:keepNext/>
        <w:keepLines/>
        <w:spacing w:before="300" w:after="300" w:line="280" w:lineRule="exact"/>
        <w:jc w:val="left"/>
        <w:outlineLvl w:val="3"/>
        <w:rPr>
          <w:rFonts w:ascii="宋体" w:hAnsi="宋体" w:eastAsia="宋体" w:cs="宋体"/>
          <w:b/>
          <w:bCs/>
          <w:sz w:val="18"/>
          <w:szCs w:val="18"/>
        </w:rPr>
      </w:pPr>
      <w:bookmarkStart w:id="472" w:name="_Toc989355"/>
      <w:r>
        <w:rPr>
          <w:rFonts w:ascii="宋体" w:hAnsi="宋体" w:eastAsia="宋体" w:cs="宋体"/>
          <w:b/>
          <w:bCs/>
          <w:sz w:val="18"/>
          <w:szCs w:val="18"/>
        </w:rPr>
        <w:t>（2） 合并成本</w:t>
      </w:r>
      <w:bookmarkEnd w:id="472"/>
    </w:p>
    <w:p w14:paraId="0F8C2C7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76D3F2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924F01B">
            <w:pPr>
              <w:spacing w:before="40" w:after="40" w:line="240" w:lineRule="exact"/>
              <w:jc w:val="center"/>
              <w:rPr>
                <w:rFonts w:ascii="宋体" w:hAnsi="宋体" w:eastAsia="宋体" w:cs="宋体"/>
                <w:sz w:val="18"/>
                <w:szCs w:val="18"/>
              </w:rPr>
            </w:pPr>
            <w:r>
              <w:rPr>
                <w:rFonts w:ascii="宋体" w:hAnsi="宋体" w:eastAsia="宋体" w:cs="宋体"/>
                <w:sz w:val="18"/>
                <w:szCs w:val="18"/>
              </w:rPr>
              <w:t>合并成本</w:t>
            </w:r>
          </w:p>
        </w:tc>
        <w:tc>
          <w:tcPr>
            <w:tcW w:w="4820" w:type="dxa"/>
            <w:tcBorders>
              <w:top w:val="single" w:color="auto" w:sz="2" w:space="0"/>
              <w:left w:val="single" w:color="auto" w:sz="2" w:space="0"/>
              <w:bottom w:val="single" w:color="auto" w:sz="2" w:space="0"/>
              <w:right w:val="single" w:color="auto" w:sz="2" w:space="0"/>
            </w:tcBorders>
            <w:vAlign w:val="center"/>
          </w:tcPr>
          <w:p w14:paraId="727B2511">
            <w:pPr>
              <w:spacing w:before="0" w:after="0" w:line="240" w:lineRule="exact"/>
              <w:jc w:val="center"/>
              <w:rPr>
                <w:rFonts w:ascii="宋体" w:hAnsi="宋体" w:eastAsia="宋体" w:cs="宋体"/>
                <w:sz w:val="18"/>
                <w:szCs w:val="18"/>
              </w:rPr>
            </w:pPr>
          </w:p>
        </w:tc>
      </w:tr>
      <w:tr w14:paraId="47AFCE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1AE3C59">
            <w:pPr>
              <w:spacing w:before="40" w:after="40" w:line="240" w:lineRule="exact"/>
              <w:jc w:val="left"/>
              <w:rPr>
                <w:rFonts w:ascii="宋体" w:hAnsi="宋体" w:eastAsia="宋体" w:cs="宋体"/>
                <w:sz w:val="18"/>
                <w:szCs w:val="18"/>
              </w:rPr>
            </w:pPr>
            <w:r>
              <w:rPr>
                <w:rFonts w:ascii="宋体" w:hAnsi="宋体" w:eastAsia="宋体" w:cs="宋体"/>
                <w:sz w:val="18"/>
                <w:szCs w:val="18"/>
              </w:rPr>
              <w:t>--现金</w:t>
            </w:r>
          </w:p>
        </w:tc>
        <w:tc>
          <w:tcPr>
            <w:tcW w:w="4820" w:type="dxa"/>
            <w:tcBorders>
              <w:top w:val="single" w:color="auto" w:sz="2" w:space="0"/>
              <w:left w:val="single" w:color="auto" w:sz="2" w:space="0"/>
              <w:bottom w:val="single" w:color="auto" w:sz="2" w:space="0"/>
              <w:right w:val="single" w:color="auto" w:sz="2" w:space="0"/>
            </w:tcBorders>
            <w:vAlign w:val="center"/>
          </w:tcPr>
          <w:p w14:paraId="2B51F5AB">
            <w:pPr>
              <w:spacing w:before="0" w:after="0" w:line="240" w:lineRule="exact"/>
              <w:jc w:val="right"/>
              <w:rPr>
                <w:rFonts w:ascii="宋体" w:hAnsi="宋体" w:eastAsia="宋体" w:cs="宋体"/>
                <w:sz w:val="18"/>
                <w:szCs w:val="18"/>
              </w:rPr>
            </w:pPr>
          </w:p>
        </w:tc>
      </w:tr>
      <w:tr w14:paraId="2BFF9D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E395DE0">
            <w:pPr>
              <w:spacing w:before="40" w:after="40" w:line="240" w:lineRule="exact"/>
              <w:jc w:val="left"/>
              <w:rPr>
                <w:rFonts w:ascii="宋体" w:hAnsi="宋体" w:eastAsia="宋体" w:cs="宋体"/>
                <w:sz w:val="18"/>
                <w:szCs w:val="18"/>
              </w:rPr>
            </w:pPr>
            <w:r>
              <w:rPr>
                <w:rFonts w:ascii="宋体" w:hAnsi="宋体" w:eastAsia="宋体" w:cs="宋体"/>
                <w:sz w:val="18"/>
                <w:szCs w:val="18"/>
              </w:rPr>
              <w:t>--非现金资产的账面价值</w:t>
            </w:r>
          </w:p>
        </w:tc>
        <w:tc>
          <w:tcPr>
            <w:tcW w:w="4820" w:type="dxa"/>
            <w:tcBorders>
              <w:top w:val="single" w:color="auto" w:sz="2" w:space="0"/>
              <w:left w:val="single" w:color="auto" w:sz="2" w:space="0"/>
              <w:bottom w:val="single" w:color="auto" w:sz="2" w:space="0"/>
              <w:right w:val="single" w:color="auto" w:sz="2" w:space="0"/>
            </w:tcBorders>
            <w:vAlign w:val="center"/>
          </w:tcPr>
          <w:p w14:paraId="4C396A5B">
            <w:pPr>
              <w:spacing w:before="0" w:after="0" w:line="240" w:lineRule="exact"/>
              <w:jc w:val="right"/>
              <w:rPr>
                <w:rFonts w:ascii="宋体" w:hAnsi="宋体" w:eastAsia="宋体" w:cs="宋体"/>
                <w:sz w:val="18"/>
                <w:szCs w:val="18"/>
              </w:rPr>
            </w:pPr>
          </w:p>
        </w:tc>
      </w:tr>
      <w:tr w14:paraId="0BC0F1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8535384">
            <w:pPr>
              <w:spacing w:before="40" w:after="40" w:line="240" w:lineRule="exact"/>
              <w:jc w:val="left"/>
              <w:rPr>
                <w:rFonts w:ascii="宋体" w:hAnsi="宋体" w:eastAsia="宋体" w:cs="宋体"/>
                <w:sz w:val="18"/>
                <w:szCs w:val="18"/>
              </w:rPr>
            </w:pPr>
            <w:r>
              <w:rPr>
                <w:rFonts w:ascii="宋体" w:hAnsi="宋体" w:eastAsia="宋体" w:cs="宋体"/>
                <w:sz w:val="18"/>
                <w:szCs w:val="18"/>
              </w:rPr>
              <w:t>--发行或承担的债务的账面价值</w:t>
            </w:r>
          </w:p>
        </w:tc>
        <w:tc>
          <w:tcPr>
            <w:tcW w:w="4820" w:type="dxa"/>
            <w:tcBorders>
              <w:top w:val="single" w:color="auto" w:sz="2" w:space="0"/>
              <w:left w:val="single" w:color="auto" w:sz="2" w:space="0"/>
              <w:bottom w:val="single" w:color="auto" w:sz="2" w:space="0"/>
              <w:right w:val="single" w:color="auto" w:sz="2" w:space="0"/>
            </w:tcBorders>
            <w:vAlign w:val="center"/>
          </w:tcPr>
          <w:p w14:paraId="3C968DD7">
            <w:pPr>
              <w:spacing w:before="0" w:after="0" w:line="240" w:lineRule="exact"/>
              <w:jc w:val="right"/>
              <w:rPr>
                <w:rFonts w:ascii="宋体" w:hAnsi="宋体" w:eastAsia="宋体" w:cs="宋体"/>
                <w:sz w:val="18"/>
                <w:szCs w:val="18"/>
              </w:rPr>
            </w:pPr>
          </w:p>
        </w:tc>
      </w:tr>
      <w:tr w14:paraId="1F9DE2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3496B38">
            <w:pPr>
              <w:spacing w:before="40" w:after="40" w:line="240" w:lineRule="exact"/>
              <w:jc w:val="left"/>
              <w:rPr>
                <w:rFonts w:ascii="宋体" w:hAnsi="宋体" w:eastAsia="宋体" w:cs="宋体"/>
                <w:sz w:val="18"/>
                <w:szCs w:val="18"/>
              </w:rPr>
            </w:pPr>
            <w:r>
              <w:rPr>
                <w:rFonts w:ascii="宋体" w:hAnsi="宋体" w:eastAsia="宋体" w:cs="宋体"/>
                <w:sz w:val="18"/>
                <w:szCs w:val="18"/>
              </w:rPr>
              <w:t>--发行的权益性证券的面值</w:t>
            </w:r>
          </w:p>
        </w:tc>
        <w:tc>
          <w:tcPr>
            <w:tcW w:w="4820" w:type="dxa"/>
            <w:tcBorders>
              <w:top w:val="single" w:color="auto" w:sz="2" w:space="0"/>
              <w:left w:val="single" w:color="auto" w:sz="2" w:space="0"/>
              <w:bottom w:val="single" w:color="auto" w:sz="2" w:space="0"/>
              <w:right w:val="single" w:color="auto" w:sz="2" w:space="0"/>
            </w:tcBorders>
            <w:vAlign w:val="center"/>
          </w:tcPr>
          <w:p w14:paraId="16FBFD5E">
            <w:pPr>
              <w:spacing w:before="0" w:after="0" w:line="240" w:lineRule="exact"/>
              <w:jc w:val="right"/>
              <w:rPr>
                <w:rFonts w:ascii="宋体" w:hAnsi="宋体" w:eastAsia="宋体" w:cs="宋体"/>
                <w:sz w:val="18"/>
                <w:szCs w:val="18"/>
              </w:rPr>
            </w:pPr>
          </w:p>
        </w:tc>
      </w:tr>
      <w:tr w14:paraId="7AFE7E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DD86D54">
            <w:pPr>
              <w:spacing w:before="40" w:after="40" w:line="240" w:lineRule="exact"/>
              <w:jc w:val="left"/>
              <w:rPr>
                <w:rFonts w:ascii="宋体" w:hAnsi="宋体" w:eastAsia="宋体" w:cs="宋体"/>
                <w:sz w:val="18"/>
                <w:szCs w:val="18"/>
              </w:rPr>
            </w:pPr>
            <w:r>
              <w:rPr>
                <w:rFonts w:ascii="宋体" w:hAnsi="宋体" w:eastAsia="宋体" w:cs="宋体"/>
                <w:sz w:val="18"/>
                <w:szCs w:val="18"/>
              </w:rPr>
              <w:t>--或有对价</w:t>
            </w:r>
          </w:p>
        </w:tc>
        <w:tc>
          <w:tcPr>
            <w:tcW w:w="4820" w:type="dxa"/>
            <w:tcBorders>
              <w:top w:val="single" w:color="auto" w:sz="2" w:space="0"/>
              <w:left w:val="single" w:color="auto" w:sz="2" w:space="0"/>
              <w:bottom w:val="single" w:color="auto" w:sz="2" w:space="0"/>
              <w:right w:val="single" w:color="auto" w:sz="2" w:space="0"/>
            </w:tcBorders>
            <w:vAlign w:val="center"/>
          </w:tcPr>
          <w:p w14:paraId="638F357A">
            <w:pPr>
              <w:spacing w:before="0" w:after="0" w:line="240" w:lineRule="exact"/>
              <w:jc w:val="right"/>
              <w:rPr>
                <w:rFonts w:ascii="宋体" w:hAnsi="宋体" w:eastAsia="宋体" w:cs="宋体"/>
                <w:sz w:val="18"/>
                <w:szCs w:val="18"/>
              </w:rPr>
            </w:pPr>
          </w:p>
        </w:tc>
      </w:tr>
    </w:tbl>
    <w:p w14:paraId="5D03125A">
      <w:pPr>
        <w:spacing w:before="100" w:after="100" w:line="240" w:lineRule="exact"/>
        <w:jc w:val="left"/>
        <w:rPr>
          <w:rFonts w:ascii="宋体" w:hAnsi="宋体" w:eastAsia="宋体" w:cs="宋体"/>
          <w:sz w:val="18"/>
          <w:szCs w:val="18"/>
        </w:rPr>
      </w:pPr>
      <w:r>
        <w:rPr>
          <w:rFonts w:ascii="宋体" w:hAnsi="宋体" w:eastAsia="宋体" w:cs="宋体"/>
          <w:sz w:val="18"/>
          <w:szCs w:val="18"/>
        </w:rPr>
        <w:t>或有对价及其变动的说明：</w:t>
      </w:r>
    </w:p>
    <w:p w14:paraId="7ACF7D71">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07054B9">
      <w:pPr>
        <w:keepNext/>
        <w:keepLines/>
        <w:spacing w:before="300" w:after="300" w:line="280" w:lineRule="exact"/>
        <w:jc w:val="left"/>
        <w:outlineLvl w:val="3"/>
        <w:rPr>
          <w:rFonts w:ascii="宋体" w:hAnsi="宋体" w:eastAsia="宋体" w:cs="宋体"/>
          <w:b/>
          <w:bCs/>
          <w:sz w:val="18"/>
          <w:szCs w:val="18"/>
        </w:rPr>
      </w:pPr>
      <w:bookmarkStart w:id="473" w:name="_Toc989356"/>
      <w:r>
        <w:rPr>
          <w:rFonts w:ascii="宋体" w:hAnsi="宋体" w:eastAsia="宋体" w:cs="宋体"/>
          <w:b/>
          <w:bCs/>
          <w:sz w:val="18"/>
          <w:szCs w:val="18"/>
        </w:rPr>
        <w:t>（3） 合并日被合并方资产、负债的账面价值</w:t>
      </w:r>
      <w:bookmarkEnd w:id="473"/>
    </w:p>
    <w:p w14:paraId="6BD03AB0">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3B0ED4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08E8F8A"/>
        </w:tc>
        <w:tc>
          <w:tcPr>
            <w:tcW w:w="6426" w:type="dxa"/>
            <w:gridSpan w:val="2"/>
            <w:tcBorders>
              <w:top w:val="single" w:color="auto" w:sz="2" w:space="0"/>
              <w:left w:val="single" w:color="auto" w:sz="2" w:space="0"/>
              <w:bottom w:val="single" w:color="auto" w:sz="2" w:space="0"/>
              <w:right w:val="single" w:color="auto" w:sz="2" w:space="0"/>
            </w:tcBorders>
            <w:vAlign w:val="center"/>
          </w:tcPr>
          <w:p w14:paraId="18EC784F">
            <w:pPr>
              <w:spacing w:before="0" w:after="0" w:line="240" w:lineRule="exact"/>
              <w:jc w:val="center"/>
              <w:rPr>
                <w:rFonts w:ascii="宋体" w:hAnsi="宋体" w:eastAsia="宋体" w:cs="宋体"/>
                <w:sz w:val="18"/>
                <w:szCs w:val="18"/>
              </w:rPr>
            </w:pPr>
          </w:p>
        </w:tc>
      </w:tr>
      <w:tr w14:paraId="3D59F0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37C27E1"/>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C1A505E">
            <w:pPr>
              <w:spacing w:before="40" w:after="40" w:line="240" w:lineRule="exact"/>
              <w:jc w:val="center"/>
              <w:rPr>
                <w:rFonts w:ascii="宋体" w:hAnsi="宋体" w:eastAsia="宋体" w:cs="宋体"/>
                <w:sz w:val="18"/>
                <w:szCs w:val="18"/>
              </w:rPr>
            </w:pPr>
            <w:r>
              <w:rPr>
                <w:rFonts w:ascii="宋体" w:hAnsi="宋体" w:eastAsia="宋体" w:cs="宋体"/>
                <w:sz w:val="18"/>
                <w:szCs w:val="18"/>
              </w:rPr>
              <w:t>合并日</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04C519">
            <w:pPr>
              <w:spacing w:before="40" w:after="40" w:line="240" w:lineRule="exact"/>
              <w:jc w:val="center"/>
              <w:rPr>
                <w:rFonts w:ascii="宋体" w:hAnsi="宋体" w:eastAsia="宋体" w:cs="宋体"/>
                <w:sz w:val="18"/>
                <w:szCs w:val="18"/>
              </w:rPr>
            </w:pPr>
            <w:r>
              <w:rPr>
                <w:rFonts w:ascii="宋体" w:hAnsi="宋体" w:eastAsia="宋体" w:cs="宋体"/>
                <w:sz w:val="18"/>
                <w:szCs w:val="18"/>
              </w:rPr>
              <w:t>上期期末</w:t>
            </w:r>
          </w:p>
        </w:tc>
      </w:tr>
      <w:tr w14:paraId="7C8475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0E05254">
            <w:pPr>
              <w:spacing w:before="40" w:after="40" w:line="240" w:lineRule="exact"/>
              <w:jc w:val="left"/>
              <w:rPr>
                <w:rFonts w:ascii="宋体" w:hAnsi="宋体" w:eastAsia="宋体" w:cs="宋体"/>
                <w:sz w:val="18"/>
                <w:szCs w:val="18"/>
              </w:rPr>
            </w:pPr>
            <w:r>
              <w:rPr>
                <w:rFonts w:ascii="宋体" w:hAnsi="宋体" w:eastAsia="宋体" w:cs="宋体"/>
                <w:sz w:val="18"/>
                <w:szCs w:val="18"/>
              </w:rPr>
              <w:t>资产：</w:t>
            </w:r>
          </w:p>
        </w:tc>
        <w:tc>
          <w:tcPr>
            <w:tcW w:w="3213" w:type="dxa"/>
            <w:tcBorders>
              <w:top w:val="single" w:color="auto" w:sz="2" w:space="0"/>
              <w:left w:val="single" w:color="auto" w:sz="2" w:space="0"/>
              <w:bottom w:val="single" w:color="auto" w:sz="2" w:space="0"/>
              <w:right w:val="single" w:color="auto" w:sz="2" w:space="0"/>
            </w:tcBorders>
            <w:vAlign w:val="center"/>
          </w:tcPr>
          <w:p w14:paraId="5AF6E56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B1BC8CA">
            <w:pPr>
              <w:spacing w:before="0" w:after="0" w:line="240" w:lineRule="exact"/>
              <w:jc w:val="right"/>
              <w:rPr>
                <w:rFonts w:ascii="宋体" w:hAnsi="宋体" w:eastAsia="宋体" w:cs="宋体"/>
                <w:sz w:val="18"/>
                <w:szCs w:val="18"/>
              </w:rPr>
            </w:pPr>
          </w:p>
        </w:tc>
      </w:tr>
      <w:tr w14:paraId="31E72E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FF24318">
            <w:pPr>
              <w:spacing w:before="40" w:after="40" w:line="240" w:lineRule="exact"/>
              <w:jc w:val="left"/>
              <w:rPr>
                <w:rFonts w:ascii="宋体" w:hAnsi="宋体" w:eastAsia="宋体" w:cs="宋体"/>
                <w:sz w:val="18"/>
                <w:szCs w:val="18"/>
              </w:rPr>
            </w:pPr>
            <w:r>
              <w:rPr>
                <w:rFonts w:ascii="宋体" w:hAnsi="宋体" w:eastAsia="宋体" w:cs="宋体"/>
                <w:sz w:val="18"/>
                <w:szCs w:val="18"/>
              </w:rPr>
              <w:t>货币资金</w:t>
            </w:r>
          </w:p>
        </w:tc>
        <w:tc>
          <w:tcPr>
            <w:tcW w:w="3213" w:type="dxa"/>
            <w:tcBorders>
              <w:top w:val="single" w:color="auto" w:sz="2" w:space="0"/>
              <w:left w:val="single" w:color="auto" w:sz="2" w:space="0"/>
              <w:bottom w:val="single" w:color="auto" w:sz="2" w:space="0"/>
              <w:right w:val="single" w:color="auto" w:sz="2" w:space="0"/>
            </w:tcBorders>
            <w:vAlign w:val="center"/>
          </w:tcPr>
          <w:p w14:paraId="17174FE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223362C">
            <w:pPr>
              <w:spacing w:before="0" w:after="0" w:line="240" w:lineRule="exact"/>
              <w:jc w:val="right"/>
              <w:rPr>
                <w:rFonts w:ascii="宋体" w:hAnsi="宋体" w:eastAsia="宋体" w:cs="宋体"/>
                <w:sz w:val="18"/>
                <w:szCs w:val="18"/>
              </w:rPr>
            </w:pPr>
          </w:p>
        </w:tc>
      </w:tr>
      <w:tr w14:paraId="6E74B6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31E5749">
            <w:pPr>
              <w:spacing w:before="40" w:after="40" w:line="240" w:lineRule="exact"/>
              <w:jc w:val="left"/>
              <w:rPr>
                <w:rFonts w:ascii="宋体" w:hAnsi="宋体" w:eastAsia="宋体" w:cs="宋体"/>
                <w:sz w:val="18"/>
                <w:szCs w:val="18"/>
              </w:rPr>
            </w:pPr>
            <w:r>
              <w:rPr>
                <w:rFonts w:ascii="宋体" w:hAnsi="宋体" w:eastAsia="宋体" w:cs="宋体"/>
                <w:sz w:val="18"/>
                <w:szCs w:val="18"/>
              </w:rPr>
              <w:t>应收款项</w:t>
            </w:r>
          </w:p>
        </w:tc>
        <w:tc>
          <w:tcPr>
            <w:tcW w:w="3213" w:type="dxa"/>
            <w:tcBorders>
              <w:top w:val="single" w:color="auto" w:sz="2" w:space="0"/>
              <w:left w:val="single" w:color="auto" w:sz="2" w:space="0"/>
              <w:bottom w:val="single" w:color="auto" w:sz="2" w:space="0"/>
              <w:right w:val="single" w:color="auto" w:sz="2" w:space="0"/>
            </w:tcBorders>
            <w:vAlign w:val="center"/>
          </w:tcPr>
          <w:p w14:paraId="1DC7E45B">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C19131F">
            <w:pPr>
              <w:spacing w:before="0" w:after="0" w:line="240" w:lineRule="exact"/>
              <w:jc w:val="right"/>
              <w:rPr>
                <w:rFonts w:ascii="宋体" w:hAnsi="宋体" w:eastAsia="宋体" w:cs="宋体"/>
                <w:sz w:val="18"/>
                <w:szCs w:val="18"/>
              </w:rPr>
            </w:pPr>
          </w:p>
        </w:tc>
      </w:tr>
      <w:tr w14:paraId="642D15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8C567DA">
            <w:pPr>
              <w:spacing w:before="40" w:after="40" w:line="240" w:lineRule="exact"/>
              <w:jc w:val="left"/>
              <w:rPr>
                <w:rFonts w:ascii="宋体" w:hAnsi="宋体" w:eastAsia="宋体" w:cs="宋体"/>
                <w:sz w:val="18"/>
                <w:szCs w:val="18"/>
              </w:rPr>
            </w:pPr>
            <w:r>
              <w:rPr>
                <w:rFonts w:ascii="宋体" w:hAnsi="宋体" w:eastAsia="宋体" w:cs="宋体"/>
                <w:sz w:val="18"/>
                <w:szCs w:val="18"/>
              </w:rPr>
              <w:t>存货</w:t>
            </w:r>
          </w:p>
        </w:tc>
        <w:tc>
          <w:tcPr>
            <w:tcW w:w="3213" w:type="dxa"/>
            <w:tcBorders>
              <w:top w:val="single" w:color="auto" w:sz="2" w:space="0"/>
              <w:left w:val="single" w:color="auto" w:sz="2" w:space="0"/>
              <w:bottom w:val="single" w:color="auto" w:sz="2" w:space="0"/>
              <w:right w:val="single" w:color="auto" w:sz="2" w:space="0"/>
            </w:tcBorders>
            <w:vAlign w:val="center"/>
          </w:tcPr>
          <w:p w14:paraId="1FB979C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D1BD5A1">
            <w:pPr>
              <w:spacing w:before="0" w:after="0" w:line="240" w:lineRule="exact"/>
              <w:jc w:val="right"/>
              <w:rPr>
                <w:rFonts w:ascii="宋体" w:hAnsi="宋体" w:eastAsia="宋体" w:cs="宋体"/>
                <w:sz w:val="18"/>
                <w:szCs w:val="18"/>
              </w:rPr>
            </w:pPr>
          </w:p>
        </w:tc>
      </w:tr>
      <w:tr w14:paraId="11DDD9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7F8EA76">
            <w:pPr>
              <w:spacing w:before="40" w:after="40" w:line="240" w:lineRule="exact"/>
              <w:jc w:val="left"/>
              <w:rPr>
                <w:rFonts w:ascii="宋体" w:hAnsi="宋体" w:eastAsia="宋体" w:cs="宋体"/>
                <w:sz w:val="18"/>
                <w:szCs w:val="18"/>
              </w:rPr>
            </w:pPr>
            <w:r>
              <w:rPr>
                <w:rFonts w:ascii="宋体" w:hAnsi="宋体" w:eastAsia="宋体" w:cs="宋体"/>
                <w:sz w:val="18"/>
                <w:szCs w:val="18"/>
              </w:rPr>
              <w:t>固定资产</w:t>
            </w:r>
          </w:p>
        </w:tc>
        <w:tc>
          <w:tcPr>
            <w:tcW w:w="3213" w:type="dxa"/>
            <w:tcBorders>
              <w:top w:val="single" w:color="auto" w:sz="2" w:space="0"/>
              <w:left w:val="single" w:color="auto" w:sz="2" w:space="0"/>
              <w:bottom w:val="single" w:color="auto" w:sz="2" w:space="0"/>
              <w:right w:val="single" w:color="auto" w:sz="2" w:space="0"/>
            </w:tcBorders>
            <w:vAlign w:val="center"/>
          </w:tcPr>
          <w:p w14:paraId="5BE6F6B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9F1EAA4">
            <w:pPr>
              <w:spacing w:before="0" w:after="0" w:line="240" w:lineRule="exact"/>
              <w:jc w:val="right"/>
              <w:rPr>
                <w:rFonts w:ascii="宋体" w:hAnsi="宋体" w:eastAsia="宋体" w:cs="宋体"/>
                <w:sz w:val="18"/>
                <w:szCs w:val="18"/>
              </w:rPr>
            </w:pPr>
          </w:p>
        </w:tc>
      </w:tr>
      <w:tr w14:paraId="6CE25D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2DCDA89">
            <w:pPr>
              <w:spacing w:before="40" w:after="40" w:line="240" w:lineRule="exact"/>
              <w:jc w:val="left"/>
              <w:rPr>
                <w:rFonts w:ascii="宋体" w:hAnsi="宋体" w:eastAsia="宋体" w:cs="宋体"/>
                <w:sz w:val="18"/>
                <w:szCs w:val="18"/>
              </w:rPr>
            </w:pPr>
            <w:r>
              <w:rPr>
                <w:rFonts w:ascii="宋体" w:hAnsi="宋体" w:eastAsia="宋体" w:cs="宋体"/>
                <w:sz w:val="18"/>
                <w:szCs w:val="18"/>
              </w:rPr>
              <w:t>无形资产</w:t>
            </w:r>
          </w:p>
        </w:tc>
        <w:tc>
          <w:tcPr>
            <w:tcW w:w="3213" w:type="dxa"/>
            <w:tcBorders>
              <w:top w:val="single" w:color="auto" w:sz="2" w:space="0"/>
              <w:left w:val="single" w:color="auto" w:sz="2" w:space="0"/>
              <w:bottom w:val="single" w:color="auto" w:sz="2" w:space="0"/>
              <w:right w:val="single" w:color="auto" w:sz="2" w:space="0"/>
            </w:tcBorders>
            <w:vAlign w:val="center"/>
          </w:tcPr>
          <w:p w14:paraId="0C8625A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F7BFA05">
            <w:pPr>
              <w:spacing w:before="0" w:after="0" w:line="240" w:lineRule="exact"/>
              <w:jc w:val="right"/>
              <w:rPr>
                <w:rFonts w:ascii="宋体" w:hAnsi="宋体" w:eastAsia="宋体" w:cs="宋体"/>
                <w:sz w:val="18"/>
                <w:szCs w:val="18"/>
              </w:rPr>
            </w:pPr>
          </w:p>
        </w:tc>
      </w:tr>
      <w:tr w14:paraId="0EA1C0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665BE75">
            <w:pPr>
              <w:spacing w:before="0" w:after="0" w:line="240" w:lineRule="exact"/>
              <w:jc w:val="lef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6B68F7F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AF2929F">
            <w:pPr>
              <w:spacing w:before="0" w:after="0" w:line="240" w:lineRule="exact"/>
              <w:jc w:val="right"/>
              <w:rPr>
                <w:rFonts w:ascii="宋体" w:hAnsi="宋体" w:eastAsia="宋体" w:cs="宋体"/>
                <w:sz w:val="18"/>
                <w:szCs w:val="18"/>
              </w:rPr>
            </w:pPr>
          </w:p>
        </w:tc>
      </w:tr>
      <w:tr w14:paraId="5E3070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A80A086">
            <w:pPr>
              <w:spacing w:before="40" w:after="40" w:line="240" w:lineRule="exact"/>
              <w:jc w:val="left"/>
              <w:rPr>
                <w:rFonts w:ascii="宋体" w:hAnsi="宋体" w:eastAsia="宋体" w:cs="宋体"/>
                <w:sz w:val="18"/>
                <w:szCs w:val="18"/>
              </w:rPr>
            </w:pPr>
            <w:r>
              <w:rPr>
                <w:rFonts w:ascii="宋体" w:hAnsi="宋体" w:eastAsia="宋体" w:cs="宋体"/>
                <w:sz w:val="18"/>
                <w:szCs w:val="18"/>
              </w:rPr>
              <w:t>负债：</w:t>
            </w:r>
          </w:p>
        </w:tc>
        <w:tc>
          <w:tcPr>
            <w:tcW w:w="3213" w:type="dxa"/>
            <w:tcBorders>
              <w:top w:val="single" w:color="auto" w:sz="2" w:space="0"/>
              <w:left w:val="single" w:color="auto" w:sz="2" w:space="0"/>
              <w:bottom w:val="single" w:color="auto" w:sz="2" w:space="0"/>
              <w:right w:val="single" w:color="auto" w:sz="2" w:space="0"/>
            </w:tcBorders>
            <w:vAlign w:val="center"/>
          </w:tcPr>
          <w:p w14:paraId="1A84309F">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B39EEF0">
            <w:pPr>
              <w:spacing w:before="0" w:after="0" w:line="240" w:lineRule="exact"/>
              <w:jc w:val="right"/>
              <w:rPr>
                <w:rFonts w:ascii="宋体" w:hAnsi="宋体" w:eastAsia="宋体" w:cs="宋体"/>
                <w:sz w:val="18"/>
                <w:szCs w:val="18"/>
              </w:rPr>
            </w:pPr>
          </w:p>
        </w:tc>
      </w:tr>
      <w:tr w14:paraId="7806D1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53F7C6E">
            <w:pPr>
              <w:spacing w:before="40" w:after="40" w:line="240" w:lineRule="exact"/>
              <w:jc w:val="left"/>
              <w:rPr>
                <w:rFonts w:ascii="宋体" w:hAnsi="宋体" w:eastAsia="宋体" w:cs="宋体"/>
                <w:sz w:val="18"/>
                <w:szCs w:val="18"/>
              </w:rPr>
            </w:pPr>
            <w:r>
              <w:rPr>
                <w:rFonts w:ascii="宋体" w:hAnsi="宋体" w:eastAsia="宋体" w:cs="宋体"/>
                <w:sz w:val="18"/>
                <w:szCs w:val="18"/>
              </w:rPr>
              <w:t>借款</w:t>
            </w:r>
          </w:p>
        </w:tc>
        <w:tc>
          <w:tcPr>
            <w:tcW w:w="3213" w:type="dxa"/>
            <w:tcBorders>
              <w:top w:val="single" w:color="auto" w:sz="2" w:space="0"/>
              <w:left w:val="single" w:color="auto" w:sz="2" w:space="0"/>
              <w:bottom w:val="single" w:color="auto" w:sz="2" w:space="0"/>
              <w:right w:val="single" w:color="auto" w:sz="2" w:space="0"/>
            </w:tcBorders>
            <w:vAlign w:val="center"/>
          </w:tcPr>
          <w:p w14:paraId="261A9652">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C34845A">
            <w:pPr>
              <w:spacing w:before="0" w:after="0" w:line="240" w:lineRule="exact"/>
              <w:jc w:val="right"/>
              <w:rPr>
                <w:rFonts w:ascii="宋体" w:hAnsi="宋体" w:eastAsia="宋体" w:cs="宋体"/>
                <w:sz w:val="18"/>
                <w:szCs w:val="18"/>
              </w:rPr>
            </w:pPr>
          </w:p>
        </w:tc>
      </w:tr>
      <w:tr w14:paraId="2266FB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EF83B98">
            <w:pPr>
              <w:spacing w:before="40" w:after="40" w:line="240" w:lineRule="exact"/>
              <w:jc w:val="left"/>
              <w:rPr>
                <w:rFonts w:ascii="宋体" w:hAnsi="宋体" w:eastAsia="宋体" w:cs="宋体"/>
                <w:sz w:val="18"/>
                <w:szCs w:val="18"/>
              </w:rPr>
            </w:pPr>
            <w:r>
              <w:rPr>
                <w:rFonts w:ascii="宋体" w:hAnsi="宋体" w:eastAsia="宋体" w:cs="宋体"/>
                <w:sz w:val="18"/>
                <w:szCs w:val="18"/>
              </w:rPr>
              <w:t>应付款项</w:t>
            </w:r>
          </w:p>
        </w:tc>
        <w:tc>
          <w:tcPr>
            <w:tcW w:w="3213" w:type="dxa"/>
            <w:tcBorders>
              <w:top w:val="single" w:color="auto" w:sz="2" w:space="0"/>
              <w:left w:val="single" w:color="auto" w:sz="2" w:space="0"/>
              <w:bottom w:val="single" w:color="auto" w:sz="2" w:space="0"/>
              <w:right w:val="single" w:color="auto" w:sz="2" w:space="0"/>
            </w:tcBorders>
            <w:vAlign w:val="center"/>
          </w:tcPr>
          <w:p w14:paraId="4600637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E78EFB3">
            <w:pPr>
              <w:spacing w:before="0" w:after="0" w:line="240" w:lineRule="exact"/>
              <w:jc w:val="right"/>
              <w:rPr>
                <w:rFonts w:ascii="宋体" w:hAnsi="宋体" w:eastAsia="宋体" w:cs="宋体"/>
                <w:sz w:val="18"/>
                <w:szCs w:val="18"/>
              </w:rPr>
            </w:pPr>
          </w:p>
        </w:tc>
      </w:tr>
      <w:tr w14:paraId="7504D6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40C5C7B">
            <w:pPr>
              <w:spacing w:before="0" w:after="0" w:line="240" w:lineRule="exact"/>
              <w:jc w:val="lef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9AAF83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96B07C5">
            <w:pPr>
              <w:spacing w:before="0" w:after="0" w:line="240" w:lineRule="exact"/>
              <w:jc w:val="right"/>
              <w:rPr>
                <w:rFonts w:ascii="宋体" w:hAnsi="宋体" w:eastAsia="宋体" w:cs="宋体"/>
                <w:sz w:val="18"/>
                <w:szCs w:val="18"/>
              </w:rPr>
            </w:pPr>
          </w:p>
        </w:tc>
      </w:tr>
      <w:tr w14:paraId="44AEBB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EA94E0">
            <w:pPr>
              <w:spacing w:before="40" w:after="40" w:line="240" w:lineRule="exact"/>
              <w:jc w:val="left"/>
              <w:rPr>
                <w:rFonts w:ascii="宋体" w:hAnsi="宋体" w:eastAsia="宋体" w:cs="宋体"/>
                <w:sz w:val="18"/>
                <w:szCs w:val="18"/>
              </w:rPr>
            </w:pPr>
            <w:r>
              <w:rPr>
                <w:rFonts w:ascii="宋体" w:hAnsi="宋体" w:eastAsia="宋体" w:cs="宋体"/>
                <w:sz w:val="18"/>
                <w:szCs w:val="18"/>
              </w:rPr>
              <w:t>净资产</w:t>
            </w:r>
          </w:p>
        </w:tc>
        <w:tc>
          <w:tcPr>
            <w:tcW w:w="3213" w:type="dxa"/>
            <w:tcBorders>
              <w:top w:val="single" w:color="auto" w:sz="2" w:space="0"/>
              <w:left w:val="single" w:color="auto" w:sz="2" w:space="0"/>
              <w:bottom w:val="single" w:color="auto" w:sz="2" w:space="0"/>
              <w:right w:val="single" w:color="auto" w:sz="2" w:space="0"/>
            </w:tcBorders>
            <w:vAlign w:val="center"/>
          </w:tcPr>
          <w:p w14:paraId="298A5F3C">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097BB61">
            <w:pPr>
              <w:spacing w:before="0" w:after="0" w:line="240" w:lineRule="exact"/>
              <w:jc w:val="right"/>
              <w:rPr>
                <w:rFonts w:ascii="宋体" w:hAnsi="宋体" w:eastAsia="宋体" w:cs="宋体"/>
                <w:sz w:val="18"/>
                <w:szCs w:val="18"/>
              </w:rPr>
            </w:pPr>
          </w:p>
        </w:tc>
      </w:tr>
      <w:tr w14:paraId="66DAC6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D3F85B">
            <w:pPr>
              <w:spacing w:before="40" w:after="40" w:line="240" w:lineRule="exact"/>
              <w:jc w:val="left"/>
              <w:rPr>
                <w:rFonts w:ascii="宋体" w:hAnsi="宋体" w:eastAsia="宋体" w:cs="宋体"/>
                <w:sz w:val="18"/>
                <w:szCs w:val="18"/>
              </w:rPr>
            </w:pPr>
            <w:r>
              <w:rPr>
                <w:rFonts w:ascii="宋体" w:hAnsi="宋体" w:eastAsia="宋体" w:cs="宋体"/>
                <w:sz w:val="18"/>
                <w:szCs w:val="18"/>
              </w:rPr>
              <w:t>减：少数股东权益</w:t>
            </w:r>
          </w:p>
        </w:tc>
        <w:tc>
          <w:tcPr>
            <w:tcW w:w="3213" w:type="dxa"/>
            <w:tcBorders>
              <w:top w:val="single" w:color="auto" w:sz="2" w:space="0"/>
              <w:left w:val="single" w:color="auto" w:sz="2" w:space="0"/>
              <w:bottom w:val="single" w:color="auto" w:sz="2" w:space="0"/>
              <w:right w:val="single" w:color="auto" w:sz="2" w:space="0"/>
            </w:tcBorders>
            <w:vAlign w:val="center"/>
          </w:tcPr>
          <w:p w14:paraId="67D08F5A">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7E9AB80">
            <w:pPr>
              <w:spacing w:before="0" w:after="0" w:line="240" w:lineRule="exact"/>
              <w:jc w:val="right"/>
              <w:rPr>
                <w:rFonts w:ascii="宋体" w:hAnsi="宋体" w:eastAsia="宋体" w:cs="宋体"/>
                <w:sz w:val="18"/>
                <w:szCs w:val="18"/>
              </w:rPr>
            </w:pPr>
          </w:p>
        </w:tc>
      </w:tr>
      <w:tr w14:paraId="16C5B4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8DFFBDC">
            <w:pPr>
              <w:spacing w:before="40" w:after="40" w:line="240" w:lineRule="exact"/>
              <w:jc w:val="left"/>
              <w:rPr>
                <w:rFonts w:ascii="宋体" w:hAnsi="宋体" w:eastAsia="宋体" w:cs="宋体"/>
                <w:sz w:val="18"/>
                <w:szCs w:val="18"/>
              </w:rPr>
            </w:pPr>
            <w:r>
              <w:rPr>
                <w:rFonts w:ascii="宋体" w:hAnsi="宋体" w:eastAsia="宋体" w:cs="宋体"/>
                <w:sz w:val="18"/>
                <w:szCs w:val="18"/>
              </w:rPr>
              <w:t>取得的净资产</w:t>
            </w:r>
          </w:p>
        </w:tc>
        <w:tc>
          <w:tcPr>
            <w:tcW w:w="3213" w:type="dxa"/>
            <w:tcBorders>
              <w:top w:val="single" w:color="auto" w:sz="2" w:space="0"/>
              <w:left w:val="single" w:color="auto" w:sz="2" w:space="0"/>
              <w:bottom w:val="single" w:color="auto" w:sz="2" w:space="0"/>
              <w:right w:val="single" w:color="auto" w:sz="2" w:space="0"/>
            </w:tcBorders>
            <w:vAlign w:val="center"/>
          </w:tcPr>
          <w:p w14:paraId="616B9FFE">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5F92C76">
            <w:pPr>
              <w:spacing w:before="0" w:after="0" w:line="240" w:lineRule="exact"/>
              <w:jc w:val="right"/>
              <w:rPr>
                <w:rFonts w:ascii="宋体" w:hAnsi="宋体" w:eastAsia="宋体" w:cs="宋体"/>
                <w:sz w:val="18"/>
                <w:szCs w:val="18"/>
              </w:rPr>
            </w:pPr>
          </w:p>
        </w:tc>
      </w:tr>
    </w:tbl>
    <w:p w14:paraId="75460B44">
      <w:pPr>
        <w:spacing w:before="100" w:after="100" w:line="240" w:lineRule="exact"/>
        <w:jc w:val="left"/>
        <w:rPr>
          <w:rFonts w:ascii="宋体" w:hAnsi="宋体" w:eastAsia="宋体" w:cs="宋体"/>
          <w:sz w:val="18"/>
          <w:szCs w:val="18"/>
        </w:rPr>
      </w:pPr>
      <w:r>
        <w:rPr>
          <w:rFonts w:ascii="宋体" w:hAnsi="宋体" w:eastAsia="宋体" w:cs="宋体"/>
          <w:sz w:val="18"/>
          <w:szCs w:val="18"/>
        </w:rPr>
        <w:t>企业合并中承担的被合并方的或有负债：</w:t>
      </w:r>
    </w:p>
    <w:p w14:paraId="48C10C83">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54B47E9">
      <w:pPr>
        <w:keepNext/>
        <w:keepLines/>
        <w:spacing w:before="300" w:after="300" w:line="280" w:lineRule="exact"/>
        <w:jc w:val="left"/>
        <w:outlineLvl w:val="2"/>
        <w:rPr>
          <w:rFonts w:ascii="宋体" w:hAnsi="宋体" w:eastAsia="宋体" w:cs="宋体"/>
          <w:b/>
          <w:bCs/>
          <w:sz w:val="21"/>
          <w:szCs w:val="21"/>
        </w:rPr>
      </w:pPr>
      <w:bookmarkStart w:id="474" w:name="_Toc989357"/>
      <w:r>
        <w:rPr>
          <w:rFonts w:ascii="宋体" w:hAnsi="宋体" w:eastAsia="宋体" w:cs="宋体"/>
          <w:b/>
          <w:bCs/>
          <w:sz w:val="21"/>
          <w:szCs w:val="21"/>
        </w:rPr>
        <w:t>3、反向购买</w:t>
      </w:r>
      <w:bookmarkEnd w:id="474"/>
    </w:p>
    <w:p w14:paraId="2B33835F">
      <w:pPr>
        <w:spacing w:before="100" w:after="100" w:line="240" w:lineRule="exact"/>
        <w:jc w:val="left"/>
        <w:rPr>
          <w:rFonts w:ascii="宋体" w:hAnsi="宋体" w:eastAsia="宋体" w:cs="宋体"/>
          <w:sz w:val="18"/>
          <w:szCs w:val="18"/>
        </w:rPr>
      </w:pPr>
      <w:r>
        <w:rPr>
          <w:rFonts w:ascii="宋体" w:hAnsi="宋体" w:eastAsia="宋体" w:cs="宋体"/>
          <w:sz w:val="18"/>
          <w:szCs w:val="18"/>
        </w:rPr>
        <w:t>交易基本信息、交易构成反向购买的依据、上市公司保留的资产、负债是否构成业务及其依据、合并成本的确定、按照权益性交易处理时调整权益的金额及其计算：</w:t>
      </w:r>
    </w:p>
    <w:p w14:paraId="6572ED17">
      <w:pPr>
        <w:keepNext/>
        <w:keepLines/>
        <w:spacing w:before="300" w:after="300" w:line="280" w:lineRule="exact"/>
        <w:jc w:val="left"/>
        <w:outlineLvl w:val="2"/>
        <w:rPr>
          <w:rFonts w:ascii="宋体" w:hAnsi="宋体" w:eastAsia="宋体" w:cs="宋体"/>
          <w:b/>
          <w:bCs/>
          <w:sz w:val="21"/>
          <w:szCs w:val="21"/>
        </w:rPr>
      </w:pPr>
      <w:bookmarkStart w:id="475" w:name="_Toc989358"/>
      <w:r>
        <w:rPr>
          <w:rFonts w:ascii="宋体" w:hAnsi="宋体" w:eastAsia="宋体" w:cs="宋体"/>
          <w:b/>
          <w:bCs/>
          <w:sz w:val="21"/>
          <w:szCs w:val="21"/>
        </w:rPr>
        <w:t>4、处置子公司</w:t>
      </w:r>
      <w:bookmarkEnd w:id="475"/>
    </w:p>
    <w:p w14:paraId="42C8AA50">
      <w:pPr>
        <w:spacing w:before="100" w:after="100" w:line="240" w:lineRule="exact"/>
        <w:jc w:val="left"/>
        <w:rPr>
          <w:rFonts w:ascii="宋体" w:hAnsi="宋体" w:eastAsia="宋体" w:cs="宋体"/>
          <w:sz w:val="18"/>
          <w:szCs w:val="18"/>
        </w:rPr>
      </w:pPr>
      <w:r>
        <w:rPr>
          <w:rFonts w:ascii="宋体" w:hAnsi="宋体" w:eastAsia="宋体" w:cs="宋体"/>
          <w:sz w:val="18"/>
          <w:szCs w:val="18"/>
        </w:rPr>
        <w:t>本期是否存在丧失子公司控制权的交易或事项</w:t>
      </w:r>
    </w:p>
    <w:p w14:paraId="79CD9825">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7F2E6CF6">
      <w:pPr>
        <w:spacing w:before="100" w:after="100" w:line="240" w:lineRule="exact"/>
        <w:jc w:val="left"/>
        <w:rPr>
          <w:rFonts w:ascii="宋体" w:hAnsi="宋体" w:eastAsia="宋体" w:cs="宋体"/>
          <w:sz w:val="18"/>
          <w:szCs w:val="18"/>
        </w:rPr>
      </w:pPr>
      <w:r>
        <w:rPr>
          <w:rFonts w:ascii="宋体" w:hAnsi="宋体" w:eastAsia="宋体" w:cs="宋体"/>
          <w:sz w:val="18"/>
          <w:szCs w:val="18"/>
        </w:rPr>
        <w:t>是否存在通过多次交易分步处置对子公司投资且在本期丧失控制权的情形</w:t>
      </w:r>
    </w:p>
    <w:p w14:paraId="5F3E2AF7">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□是 </w:t>
      </w:r>
      <w:r>
        <w:rPr>
          <w:rFonts w:ascii="宋体" w:hAnsi="宋体" w:eastAsia="宋体" w:cs="宋体"/>
          <w:sz w:val="18"/>
          <w:szCs w:val="18"/>
        </w:rPr>
        <w:sym w:font="Wingdings 2" w:char="F052"/>
      </w:r>
      <w:r>
        <w:rPr>
          <w:rFonts w:ascii="宋体" w:hAnsi="宋体" w:eastAsia="宋体" w:cs="宋体"/>
          <w:sz w:val="18"/>
          <w:szCs w:val="18"/>
        </w:rPr>
        <w:t>否</w:t>
      </w:r>
    </w:p>
    <w:p w14:paraId="3559534D">
      <w:pPr>
        <w:keepNext/>
        <w:keepLines/>
        <w:spacing w:before="300" w:after="300" w:line="280" w:lineRule="exact"/>
        <w:jc w:val="left"/>
        <w:outlineLvl w:val="2"/>
        <w:rPr>
          <w:rFonts w:ascii="宋体" w:hAnsi="宋体" w:eastAsia="宋体" w:cs="宋体"/>
          <w:b/>
          <w:bCs/>
          <w:sz w:val="21"/>
          <w:szCs w:val="21"/>
        </w:rPr>
      </w:pPr>
      <w:bookmarkStart w:id="476" w:name="_Toc989359"/>
      <w:r>
        <w:rPr>
          <w:rFonts w:ascii="宋体" w:hAnsi="宋体" w:eastAsia="宋体" w:cs="宋体"/>
          <w:b/>
          <w:bCs/>
          <w:sz w:val="21"/>
          <w:szCs w:val="21"/>
        </w:rPr>
        <w:t>5、其他原因的合并范围变动</w:t>
      </w:r>
      <w:bookmarkEnd w:id="476"/>
    </w:p>
    <w:p w14:paraId="557CD3FC">
      <w:pPr>
        <w:spacing w:before="100" w:after="100" w:line="240" w:lineRule="exact"/>
        <w:jc w:val="left"/>
        <w:rPr>
          <w:rFonts w:ascii="宋体" w:hAnsi="宋体" w:eastAsia="宋体" w:cs="宋体"/>
          <w:sz w:val="18"/>
          <w:szCs w:val="18"/>
        </w:rPr>
      </w:pPr>
      <w:r>
        <w:rPr>
          <w:rFonts w:ascii="宋体" w:hAnsi="宋体" w:eastAsia="宋体" w:cs="宋体"/>
          <w:sz w:val="18"/>
          <w:szCs w:val="18"/>
        </w:rPr>
        <w:t>说明其他原因导致的合并范围变动（如，新设子公司、清算子公司等）及其相关情况：</w:t>
      </w:r>
    </w:p>
    <w:p w14:paraId="0AD56ADB">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本期公司出资新设成立广福来（北京）国际生物技术有限公司，注册资本5,000万元，公司持股70%；出资新设成立广生堂药业（漳州）有限公司，注册资本4,900万元，公司持股100%。</w:t>
      </w:r>
    </w:p>
    <w:p w14:paraId="5ECA582A">
      <w:pPr>
        <w:keepNext/>
        <w:keepLines/>
        <w:spacing w:before="300" w:after="300" w:line="280" w:lineRule="exact"/>
        <w:jc w:val="left"/>
        <w:outlineLvl w:val="2"/>
        <w:rPr>
          <w:rFonts w:ascii="宋体" w:hAnsi="宋体" w:eastAsia="宋体" w:cs="宋体"/>
          <w:b/>
          <w:bCs/>
          <w:sz w:val="21"/>
          <w:szCs w:val="21"/>
        </w:rPr>
      </w:pPr>
      <w:bookmarkStart w:id="477" w:name="_Toc989360"/>
      <w:r>
        <w:rPr>
          <w:rFonts w:ascii="宋体" w:hAnsi="宋体" w:eastAsia="宋体" w:cs="宋体"/>
          <w:b/>
          <w:bCs/>
          <w:sz w:val="21"/>
          <w:szCs w:val="21"/>
        </w:rPr>
        <w:t>6、其他</w:t>
      </w:r>
      <w:bookmarkEnd w:id="477"/>
    </w:p>
    <w:p w14:paraId="02E42827">
      <w:pPr>
        <w:keepNext/>
        <w:keepLines/>
        <w:spacing w:before="300" w:after="300" w:line="320" w:lineRule="exact"/>
        <w:jc w:val="left"/>
        <w:outlineLvl w:val="1"/>
        <w:rPr>
          <w:rFonts w:ascii="宋体" w:hAnsi="宋体" w:eastAsia="宋体" w:cs="宋体"/>
          <w:b/>
          <w:bCs/>
          <w:sz w:val="24"/>
          <w:szCs w:val="24"/>
        </w:rPr>
      </w:pPr>
      <w:bookmarkStart w:id="478" w:name="_Toc989361"/>
      <w:r>
        <w:rPr>
          <w:rFonts w:ascii="宋体" w:hAnsi="宋体" w:eastAsia="宋体" w:cs="宋体"/>
          <w:b/>
          <w:bCs/>
          <w:sz w:val="24"/>
          <w:szCs w:val="24"/>
        </w:rPr>
        <w:t>十、在其他主体中的权益</w:t>
      </w:r>
      <w:bookmarkEnd w:id="478"/>
    </w:p>
    <w:p w14:paraId="72D44AC8">
      <w:pPr>
        <w:keepNext/>
        <w:keepLines/>
        <w:spacing w:before="300" w:after="300" w:line="280" w:lineRule="exact"/>
        <w:jc w:val="left"/>
        <w:outlineLvl w:val="2"/>
        <w:rPr>
          <w:rFonts w:ascii="宋体" w:hAnsi="宋体" w:eastAsia="宋体" w:cs="宋体"/>
          <w:b/>
          <w:bCs/>
          <w:sz w:val="21"/>
          <w:szCs w:val="21"/>
        </w:rPr>
      </w:pPr>
      <w:bookmarkStart w:id="479" w:name="_Toc989362"/>
      <w:r>
        <w:rPr>
          <w:rFonts w:ascii="宋体" w:hAnsi="宋体" w:eastAsia="宋体" w:cs="宋体"/>
          <w:b/>
          <w:bCs/>
          <w:sz w:val="21"/>
          <w:szCs w:val="21"/>
        </w:rPr>
        <w:t>1、在子公司中的权益</w:t>
      </w:r>
      <w:bookmarkEnd w:id="479"/>
    </w:p>
    <w:p w14:paraId="097A8F8C">
      <w:pPr>
        <w:keepNext/>
        <w:keepLines/>
        <w:spacing w:before="300" w:after="300" w:line="280" w:lineRule="exact"/>
        <w:jc w:val="left"/>
        <w:outlineLvl w:val="3"/>
        <w:rPr>
          <w:rFonts w:ascii="宋体" w:hAnsi="宋体" w:eastAsia="宋体" w:cs="宋体"/>
          <w:b/>
          <w:bCs/>
          <w:sz w:val="18"/>
          <w:szCs w:val="18"/>
        </w:rPr>
      </w:pPr>
      <w:bookmarkStart w:id="480" w:name="_Toc989363"/>
      <w:r>
        <w:rPr>
          <w:rFonts w:ascii="宋体" w:hAnsi="宋体" w:eastAsia="宋体" w:cs="宋体"/>
          <w:b/>
          <w:bCs/>
          <w:sz w:val="18"/>
          <w:szCs w:val="18"/>
        </w:rPr>
        <w:t>（1） 企业集团的构成</w:t>
      </w:r>
      <w:bookmarkEnd w:id="480"/>
    </w:p>
    <w:p w14:paraId="6BA1F18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5"/>
        <w:gridCol w:w="1205"/>
        <w:gridCol w:w="1205"/>
        <w:gridCol w:w="1205"/>
        <w:gridCol w:w="1205"/>
        <w:gridCol w:w="1205"/>
        <w:gridCol w:w="1205"/>
        <w:gridCol w:w="1205"/>
      </w:tblGrid>
      <w:tr w14:paraId="501D59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6B1AD9F">
            <w:pPr>
              <w:spacing w:before="40" w:after="40" w:line="240" w:lineRule="exact"/>
              <w:jc w:val="center"/>
              <w:rPr>
                <w:rFonts w:ascii="宋体" w:hAnsi="宋体" w:eastAsia="宋体" w:cs="宋体"/>
                <w:sz w:val="18"/>
                <w:szCs w:val="18"/>
              </w:rPr>
            </w:pPr>
            <w:r>
              <w:rPr>
                <w:rFonts w:ascii="宋体" w:hAnsi="宋体" w:eastAsia="宋体" w:cs="宋体"/>
                <w:sz w:val="18"/>
                <w:szCs w:val="18"/>
              </w:rPr>
              <w:t>子公司名称</w:t>
            </w: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F9D8950">
            <w:pPr>
              <w:spacing w:before="40" w:after="40" w:line="240" w:lineRule="exact"/>
              <w:jc w:val="center"/>
              <w:rPr>
                <w:rFonts w:ascii="宋体" w:hAnsi="宋体" w:eastAsia="宋体" w:cs="宋体"/>
                <w:sz w:val="18"/>
                <w:szCs w:val="18"/>
              </w:rPr>
            </w:pPr>
            <w:r>
              <w:rPr>
                <w:rFonts w:ascii="宋体" w:hAnsi="宋体" w:eastAsia="宋体" w:cs="宋体"/>
                <w:sz w:val="18"/>
                <w:szCs w:val="18"/>
              </w:rPr>
              <w:t>注册资本</w:t>
            </w: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EEB4C1B">
            <w:pPr>
              <w:spacing w:before="40" w:after="40" w:line="240" w:lineRule="exact"/>
              <w:jc w:val="center"/>
              <w:rPr>
                <w:rFonts w:ascii="宋体" w:hAnsi="宋体" w:eastAsia="宋体" w:cs="宋体"/>
                <w:sz w:val="18"/>
                <w:szCs w:val="18"/>
              </w:rPr>
            </w:pPr>
            <w:r>
              <w:rPr>
                <w:rFonts w:ascii="宋体" w:hAnsi="宋体" w:eastAsia="宋体" w:cs="宋体"/>
                <w:sz w:val="18"/>
                <w:szCs w:val="18"/>
              </w:rPr>
              <w:t>主要经营地</w:t>
            </w: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323E610">
            <w:pPr>
              <w:spacing w:before="40" w:after="40" w:line="240" w:lineRule="exact"/>
              <w:jc w:val="center"/>
              <w:rPr>
                <w:rFonts w:ascii="宋体" w:hAnsi="宋体" w:eastAsia="宋体" w:cs="宋体"/>
                <w:sz w:val="18"/>
                <w:szCs w:val="18"/>
              </w:rPr>
            </w:pPr>
            <w:r>
              <w:rPr>
                <w:rFonts w:ascii="宋体" w:hAnsi="宋体" w:eastAsia="宋体" w:cs="宋体"/>
                <w:sz w:val="18"/>
                <w:szCs w:val="18"/>
              </w:rPr>
              <w:t>注册地</w:t>
            </w: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03C16AB">
            <w:pPr>
              <w:spacing w:before="40" w:after="40" w:line="240" w:lineRule="exact"/>
              <w:jc w:val="center"/>
              <w:rPr>
                <w:rFonts w:ascii="宋体" w:hAnsi="宋体" w:eastAsia="宋体" w:cs="宋体"/>
                <w:sz w:val="18"/>
                <w:szCs w:val="18"/>
              </w:rPr>
            </w:pPr>
            <w:r>
              <w:rPr>
                <w:rFonts w:ascii="宋体" w:hAnsi="宋体" w:eastAsia="宋体" w:cs="宋体"/>
                <w:sz w:val="18"/>
                <w:szCs w:val="18"/>
              </w:rPr>
              <w:t>业务性质</w:t>
            </w:r>
          </w:p>
        </w:tc>
        <w:tc>
          <w:tcPr>
            <w:tcW w:w="241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CD85A99">
            <w:pPr>
              <w:spacing w:before="40" w:after="40" w:line="240" w:lineRule="exact"/>
              <w:jc w:val="center"/>
              <w:rPr>
                <w:rFonts w:ascii="宋体" w:hAnsi="宋体" w:eastAsia="宋体" w:cs="宋体"/>
                <w:sz w:val="18"/>
                <w:szCs w:val="18"/>
              </w:rPr>
            </w:pPr>
            <w:r>
              <w:rPr>
                <w:rFonts w:ascii="宋体" w:hAnsi="宋体" w:eastAsia="宋体" w:cs="宋体"/>
                <w:sz w:val="18"/>
                <w:szCs w:val="18"/>
              </w:rPr>
              <w:t>持股比例</w:t>
            </w: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1DD0D3F">
            <w:pPr>
              <w:spacing w:before="40" w:after="40" w:line="240" w:lineRule="exact"/>
              <w:jc w:val="center"/>
              <w:rPr>
                <w:rFonts w:ascii="宋体" w:hAnsi="宋体" w:eastAsia="宋体" w:cs="宋体"/>
                <w:sz w:val="18"/>
                <w:szCs w:val="18"/>
              </w:rPr>
            </w:pPr>
            <w:r>
              <w:rPr>
                <w:rFonts w:ascii="宋体" w:hAnsi="宋体" w:eastAsia="宋体" w:cs="宋体"/>
                <w:sz w:val="18"/>
                <w:szCs w:val="18"/>
              </w:rPr>
              <w:t>取得方式</w:t>
            </w:r>
          </w:p>
        </w:tc>
      </w:tr>
      <w:tr w14:paraId="510777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E5A78C2"/>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C6D8776"/>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E793C8A"/>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B8E27D8"/>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940A29A"/>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3B5C7838">
            <w:pPr>
              <w:spacing w:before="40" w:after="40" w:line="240" w:lineRule="exact"/>
              <w:jc w:val="center"/>
              <w:rPr>
                <w:rFonts w:ascii="宋体" w:hAnsi="宋体" w:eastAsia="宋体" w:cs="宋体"/>
                <w:sz w:val="18"/>
                <w:szCs w:val="18"/>
              </w:rPr>
            </w:pPr>
            <w:r>
              <w:rPr>
                <w:rFonts w:ascii="宋体" w:hAnsi="宋体" w:eastAsia="宋体" w:cs="宋体"/>
                <w:sz w:val="18"/>
                <w:szCs w:val="18"/>
              </w:rPr>
              <w:t>直接</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5EA6A8C1">
            <w:pPr>
              <w:spacing w:before="40" w:after="40" w:line="240" w:lineRule="exact"/>
              <w:jc w:val="center"/>
              <w:rPr>
                <w:rFonts w:ascii="宋体" w:hAnsi="宋体" w:eastAsia="宋体" w:cs="宋体"/>
                <w:sz w:val="18"/>
                <w:szCs w:val="18"/>
              </w:rPr>
            </w:pPr>
            <w:r>
              <w:rPr>
                <w:rFonts w:ascii="宋体" w:hAnsi="宋体" w:eastAsia="宋体" w:cs="宋体"/>
                <w:sz w:val="18"/>
                <w:szCs w:val="18"/>
              </w:rPr>
              <w:t>间接</w:t>
            </w:r>
          </w:p>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BB00DA1"/>
        </w:tc>
      </w:tr>
      <w:tr w14:paraId="4BFC5D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7125997F">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福建广生堂医药销售有限公司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052611D8">
            <w:pPr>
              <w:spacing w:before="0" w:after="0" w:line="240" w:lineRule="exact"/>
              <w:jc w:val="right"/>
              <w:rPr>
                <w:rFonts w:ascii="宋体" w:hAnsi="宋体" w:eastAsia="宋体" w:cs="宋体"/>
                <w:sz w:val="18"/>
                <w:szCs w:val="18"/>
              </w:rPr>
            </w:pPr>
            <w:r>
              <w:rPr>
                <w:rFonts w:ascii="宋体" w:hAnsi="宋体" w:eastAsia="宋体" w:cs="宋体"/>
                <w:sz w:val="18"/>
                <w:szCs w:val="18"/>
              </w:rPr>
              <w:t>30,000,000.00</w:t>
            </w:r>
          </w:p>
        </w:tc>
        <w:tc>
          <w:tcPr>
            <w:tcW w:w="1205" w:type="dxa"/>
            <w:tcBorders>
              <w:top w:val="single" w:color="auto" w:sz="2" w:space="0"/>
              <w:left w:val="single" w:color="auto" w:sz="2" w:space="0"/>
              <w:bottom w:val="single" w:color="auto" w:sz="2" w:space="0"/>
              <w:right w:val="single" w:color="auto" w:sz="2" w:space="0"/>
            </w:tcBorders>
            <w:vAlign w:val="center"/>
          </w:tcPr>
          <w:p w14:paraId="416DE8AB">
            <w:pPr>
              <w:spacing w:before="0" w:after="0" w:line="240" w:lineRule="exact"/>
              <w:jc w:val="left"/>
              <w:rPr>
                <w:rFonts w:ascii="宋体" w:hAnsi="宋体" w:eastAsia="宋体" w:cs="宋体"/>
                <w:sz w:val="18"/>
                <w:szCs w:val="18"/>
              </w:rPr>
            </w:pPr>
            <w:r>
              <w:rPr>
                <w:rFonts w:ascii="宋体" w:hAnsi="宋体" w:eastAsia="宋体" w:cs="宋体"/>
                <w:sz w:val="18"/>
                <w:szCs w:val="18"/>
              </w:rPr>
              <w:t>福建省福州市</w:t>
            </w:r>
          </w:p>
        </w:tc>
        <w:tc>
          <w:tcPr>
            <w:tcW w:w="1205" w:type="dxa"/>
            <w:tcBorders>
              <w:top w:val="single" w:color="auto" w:sz="2" w:space="0"/>
              <w:left w:val="single" w:color="auto" w:sz="2" w:space="0"/>
              <w:bottom w:val="single" w:color="auto" w:sz="2" w:space="0"/>
              <w:right w:val="single" w:color="auto" w:sz="2" w:space="0"/>
            </w:tcBorders>
            <w:vAlign w:val="center"/>
          </w:tcPr>
          <w:p w14:paraId="5D36DFF9">
            <w:pPr>
              <w:spacing w:before="0" w:after="0" w:line="240" w:lineRule="exact"/>
              <w:jc w:val="left"/>
              <w:rPr>
                <w:rFonts w:ascii="宋体" w:hAnsi="宋体" w:eastAsia="宋体" w:cs="宋体"/>
                <w:sz w:val="18"/>
                <w:szCs w:val="18"/>
              </w:rPr>
            </w:pPr>
            <w:r>
              <w:rPr>
                <w:rFonts w:ascii="宋体" w:hAnsi="宋体" w:eastAsia="宋体" w:cs="宋体"/>
                <w:sz w:val="18"/>
                <w:szCs w:val="18"/>
              </w:rPr>
              <w:t>福建省福州市</w:t>
            </w:r>
          </w:p>
        </w:tc>
        <w:tc>
          <w:tcPr>
            <w:tcW w:w="1205" w:type="dxa"/>
            <w:tcBorders>
              <w:top w:val="single" w:color="auto" w:sz="2" w:space="0"/>
              <w:left w:val="single" w:color="auto" w:sz="2" w:space="0"/>
              <w:bottom w:val="single" w:color="auto" w:sz="2" w:space="0"/>
              <w:right w:val="single" w:color="auto" w:sz="2" w:space="0"/>
            </w:tcBorders>
            <w:vAlign w:val="center"/>
          </w:tcPr>
          <w:p w14:paraId="2116F53B">
            <w:pPr>
              <w:spacing w:before="0" w:after="0" w:line="240" w:lineRule="exact"/>
              <w:jc w:val="left"/>
              <w:rPr>
                <w:rFonts w:ascii="宋体" w:hAnsi="宋体" w:eastAsia="宋体" w:cs="宋体"/>
                <w:sz w:val="18"/>
                <w:szCs w:val="18"/>
              </w:rPr>
            </w:pPr>
            <w:r>
              <w:rPr>
                <w:rFonts w:ascii="宋体" w:hAnsi="宋体" w:eastAsia="宋体" w:cs="宋体"/>
                <w:sz w:val="18"/>
                <w:szCs w:val="18"/>
              </w:rPr>
              <w:t>医药销售</w:t>
            </w:r>
          </w:p>
        </w:tc>
        <w:tc>
          <w:tcPr>
            <w:tcW w:w="1205" w:type="dxa"/>
            <w:tcBorders>
              <w:top w:val="single" w:color="auto" w:sz="2" w:space="0"/>
              <w:left w:val="single" w:color="auto" w:sz="2" w:space="0"/>
              <w:bottom w:val="single" w:color="auto" w:sz="2" w:space="0"/>
              <w:right w:val="single" w:color="auto" w:sz="2" w:space="0"/>
            </w:tcBorders>
            <w:vAlign w:val="center"/>
          </w:tcPr>
          <w:p w14:paraId="030ED43F">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205" w:type="dxa"/>
            <w:tcBorders>
              <w:top w:val="single" w:color="auto" w:sz="2" w:space="0"/>
              <w:left w:val="single" w:color="auto" w:sz="2" w:space="0"/>
              <w:bottom w:val="single" w:color="auto" w:sz="2" w:space="0"/>
              <w:right w:val="single" w:color="auto" w:sz="2" w:space="0"/>
            </w:tcBorders>
            <w:vAlign w:val="center"/>
          </w:tcPr>
          <w:p w14:paraId="054C9380">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620461C">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r w14:paraId="6F0A20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70F10CAD">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福建广生堂电子商务有限责任公司</w:t>
            </w:r>
          </w:p>
        </w:tc>
        <w:tc>
          <w:tcPr>
            <w:tcW w:w="1205" w:type="dxa"/>
            <w:tcBorders>
              <w:top w:val="single" w:color="auto" w:sz="2" w:space="0"/>
              <w:left w:val="single" w:color="auto" w:sz="2" w:space="0"/>
              <w:bottom w:val="single" w:color="auto" w:sz="2" w:space="0"/>
              <w:right w:val="single" w:color="auto" w:sz="2" w:space="0"/>
            </w:tcBorders>
            <w:vAlign w:val="center"/>
          </w:tcPr>
          <w:p w14:paraId="3BD0DD15">
            <w:pPr>
              <w:spacing w:before="0" w:after="0" w:line="240" w:lineRule="exact"/>
              <w:jc w:val="right"/>
              <w:rPr>
                <w:rFonts w:ascii="宋体" w:hAnsi="宋体" w:eastAsia="宋体" w:cs="宋体"/>
                <w:sz w:val="18"/>
                <w:szCs w:val="18"/>
              </w:rPr>
            </w:pPr>
            <w:r>
              <w:rPr>
                <w:rFonts w:ascii="宋体" w:hAnsi="宋体" w:eastAsia="宋体" w:cs="宋体"/>
                <w:sz w:val="18"/>
                <w:szCs w:val="18"/>
              </w:rPr>
              <w:t>10,000,000.00</w:t>
            </w:r>
          </w:p>
        </w:tc>
        <w:tc>
          <w:tcPr>
            <w:tcW w:w="1205" w:type="dxa"/>
            <w:tcBorders>
              <w:top w:val="single" w:color="auto" w:sz="2" w:space="0"/>
              <w:left w:val="single" w:color="auto" w:sz="2" w:space="0"/>
              <w:bottom w:val="single" w:color="auto" w:sz="2" w:space="0"/>
              <w:right w:val="single" w:color="auto" w:sz="2" w:space="0"/>
            </w:tcBorders>
            <w:vAlign w:val="center"/>
          </w:tcPr>
          <w:p w14:paraId="3277FFCA">
            <w:pPr>
              <w:spacing w:before="0" w:after="0" w:line="240" w:lineRule="exact"/>
              <w:jc w:val="left"/>
              <w:rPr>
                <w:rFonts w:ascii="宋体" w:hAnsi="宋体" w:eastAsia="宋体" w:cs="宋体"/>
                <w:sz w:val="18"/>
                <w:szCs w:val="18"/>
              </w:rPr>
            </w:pPr>
            <w:r>
              <w:rPr>
                <w:rFonts w:ascii="宋体" w:hAnsi="宋体" w:eastAsia="宋体" w:cs="宋体"/>
                <w:sz w:val="18"/>
                <w:szCs w:val="18"/>
              </w:rPr>
              <w:t>福建省宁德市</w:t>
            </w:r>
          </w:p>
        </w:tc>
        <w:tc>
          <w:tcPr>
            <w:tcW w:w="1205" w:type="dxa"/>
            <w:tcBorders>
              <w:top w:val="single" w:color="auto" w:sz="2" w:space="0"/>
              <w:left w:val="single" w:color="auto" w:sz="2" w:space="0"/>
              <w:bottom w:val="single" w:color="auto" w:sz="2" w:space="0"/>
              <w:right w:val="single" w:color="auto" w:sz="2" w:space="0"/>
            </w:tcBorders>
            <w:vAlign w:val="center"/>
          </w:tcPr>
          <w:p w14:paraId="2DD3A180">
            <w:pPr>
              <w:spacing w:before="0" w:after="0" w:line="240" w:lineRule="exact"/>
              <w:jc w:val="left"/>
              <w:rPr>
                <w:rFonts w:ascii="宋体" w:hAnsi="宋体" w:eastAsia="宋体" w:cs="宋体"/>
                <w:sz w:val="18"/>
                <w:szCs w:val="18"/>
              </w:rPr>
            </w:pPr>
            <w:r>
              <w:rPr>
                <w:rFonts w:ascii="宋体" w:hAnsi="宋体" w:eastAsia="宋体" w:cs="宋体"/>
                <w:sz w:val="18"/>
                <w:szCs w:val="18"/>
              </w:rPr>
              <w:t>福建省宁德市</w:t>
            </w:r>
          </w:p>
        </w:tc>
        <w:tc>
          <w:tcPr>
            <w:tcW w:w="1205" w:type="dxa"/>
            <w:tcBorders>
              <w:top w:val="single" w:color="auto" w:sz="2" w:space="0"/>
              <w:left w:val="single" w:color="auto" w:sz="2" w:space="0"/>
              <w:bottom w:val="single" w:color="auto" w:sz="2" w:space="0"/>
              <w:right w:val="single" w:color="auto" w:sz="2" w:space="0"/>
            </w:tcBorders>
            <w:vAlign w:val="center"/>
          </w:tcPr>
          <w:p w14:paraId="0B9A322E">
            <w:pPr>
              <w:spacing w:before="0" w:after="0" w:line="240" w:lineRule="exact"/>
              <w:jc w:val="left"/>
              <w:rPr>
                <w:rFonts w:ascii="宋体" w:hAnsi="宋体" w:eastAsia="宋体" w:cs="宋体"/>
                <w:sz w:val="18"/>
                <w:szCs w:val="18"/>
              </w:rPr>
            </w:pPr>
            <w:r>
              <w:rPr>
                <w:rFonts w:ascii="宋体" w:hAnsi="宋体" w:eastAsia="宋体" w:cs="宋体"/>
                <w:sz w:val="18"/>
                <w:szCs w:val="18"/>
              </w:rPr>
              <w:t>医药销售</w:t>
            </w:r>
          </w:p>
        </w:tc>
        <w:tc>
          <w:tcPr>
            <w:tcW w:w="1205" w:type="dxa"/>
            <w:tcBorders>
              <w:top w:val="single" w:color="auto" w:sz="2" w:space="0"/>
              <w:left w:val="single" w:color="auto" w:sz="2" w:space="0"/>
              <w:bottom w:val="single" w:color="auto" w:sz="2" w:space="0"/>
              <w:right w:val="single" w:color="auto" w:sz="2" w:space="0"/>
            </w:tcBorders>
            <w:vAlign w:val="center"/>
          </w:tcPr>
          <w:p w14:paraId="4ECECB0D">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7972182E">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205" w:type="dxa"/>
            <w:tcBorders>
              <w:top w:val="single" w:color="auto" w:sz="2" w:space="0"/>
              <w:left w:val="single" w:color="auto" w:sz="2" w:space="0"/>
              <w:bottom w:val="single" w:color="auto" w:sz="2" w:space="0"/>
              <w:right w:val="single" w:color="auto" w:sz="2" w:space="0"/>
            </w:tcBorders>
            <w:vAlign w:val="center"/>
          </w:tcPr>
          <w:p w14:paraId="3661A0B6">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r w14:paraId="731A6C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77725D78">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福建广生医院有限公司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61F1610C">
            <w:pPr>
              <w:spacing w:before="0" w:after="0" w:line="240" w:lineRule="exact"/>
              <w:jc w:val="right"/>
              <w:rPr>
                <w:rFonts w:ascii="宋体" w:hAnsi="宋体" w:eastAsia="宋体" w:cs="宋体"/>
                <w:sz w:val="18"/>
                <w:szCs w:val="18"/>
              </w:rPr>
            </w:pPr>
            <w:r>
              <w:rPr>
                <w:rFonts w:ascii="宋体" w:hAnsi="宋体" w:eastAsia="宋体" w:cs="宋体"/>
                <w:sz w:val="18"/>
                <w:szCs w:val="18"/>
              </w:rPr>
              <w:t>100,000,000.00</w:t>
            </w:r>
          </w:p>
        </w:tc>
        <w:tc>
          <w:tcPr>
            <w:tcW w:w="1205" w:type="dxa"/>
            <w:tcBorders>
              <w:top w:val="single" w:color="auto" w:sz="2" w:space="0"/>
              <w:left w:val="single" w:color="auto" w:sz="2" w:space="0"/>
              <w:bottom w:val="single" w:color="auto" w:sz="2" w:space="0"/>
              <w:right w:val="single" w:color="auto" w:sz="2" w:space="0"/>
            </w:tcBorders>
            <w:vAlign w:val="center"/>
          </w:tcPr>
          <w:p w14:paraId="583469C1">
            <w:pPr>
              <w:spacing w:before="0" w:after="0" w:line="240" w:lineRule="exact"/>
              <w:jc w:val="left"/>
              <w:rPr>
                <w:rFonts w:ascii="宋体" w:hAnsi="宋体" w:eastAsia="宋体" w:cs="宋体"/>
                <w:sz w:val="18"/>
                <w:szCs w:val="18"/>
              </w:rPr>
            </w:pPr>
            <w:r>
              <w:rPr>
                <w:rFonts w:ascii="宋体" w:hAnsi="宋体" w:eastAsia="宋体" w:cs="宋体"/>
                <w:sz w:val="18"/>
                <w:szCs w:val="18"/>
              </w:rPr>
              <w:t>福建省长乐市</w:t>
            </w:r>
          </w:p>
        </w:tc>
        <w:tc>
          <w:tcPr>
            <w:tcW w:w="1205" w:type="dxa"/>
            <w:tcBorders>
              <w:top w:val="single" w:color="auto" w:sz="2" w:space="0"/>
              <w:left w:val="single" w:color="auto" w:sz="2" w:space="0"/>
              <w:bottom w:val="single" w:color="auto" w:sz="2" w:space="0"/>
              <w:right w:val="single" w:color="auto" w:sz="2" w:space="0"/>
            </w:tcBorders>
            <w:vAlign w:val="center"/>
          </w:tcPr>
          <w:p w14:paraId="66C27EF1">
            <w:pPr>
              <w:spacing w:before="0" w:after="0" w:line="240" w:lineRule="exact"/>
              <w:jc w:val="left"/>
              <w:rPr>
                <w:rFonts w:ascii="宋体" w:hAnsi="宋体" w:eastAsia="宋体" w:cs="宋体"/>
                <w:sz w:val="18"/>
                <w:szCs w:val="18"/>
              </w:rPr>
            </w:pPr>
            <w:r>
              <w:rPr>
                <w:rFonts w:ascii="宋体" w:hAnsi="宋体" w:eastAsia="宋体" w:cs="宋体"/>
                <w:sz w:val="18"/>
                <w:szCs w:val="18"/>
              </w:rPr>
              <w:t>福建省长乐市</w:t>
            </w:r>
          </w:p>
        </w:tc>
        <w:tc>
          <w:tcPr>
            <w:tcW w:w="1205" w:type="dxa"/>
            <w:tcBorders>
              <w:top w:val="single" w:color="auto" w:sz="2" w:space="0"/>
              <w:left w:val="single" w:color="auto" w:sz="2" w:space="0"/>
              <w:bottom w:val="single" w:color="auto" w:sz="2" w:space="0"/>
              <w:right w:val="single" w:color="auto" w:sz="2" w:space="0"/>
            </w:tcBorders>
            <w:vAlign w:val="center"/>
          </w:tcPr>
          <w:p w14:paraId="5300E043">
            <w:pPr>
              <w:spacing w:before="0" w:after="0" w:line="240" w:lineRule="exact"/>
              <w:jc w:val="left"/>
              <w:rPr>
                <w:rFonts w:ascii="宋体" w:hAnsi="宋体" w:eastAsia="宋体" w:cs="宋体"/>
                <w:sz w:val="18"/>
                <w:szCs w:val="18"/>
              </w:rPr>
            </w:pPr>
            <w:r>
              <w:rPr>
                <w:rFonts w:ascii="宋体" w:hAnsi="宋体" w:eastAsia="宋体" w:cs="宋体"/>
                <w:sz w:val="18"/>
                <w:szCs w:val="18"/>
              </w:rPr>
              <w:t>妇幼保健医疗服务</w:t>
            </w:r>
          </w:p>
        </w:tc>
        <w:tc>
          <w:tcPr>
            <w:tcW w:w="1205" w:type="dxa"/>
            <w:tcBorders>
              <w:top w:val="single" w:color="auto" w:sz="2" w:space="0"/>
              <w:left w:val="single" w:color="auto" w:sz="2" w:space="0"/>
              <w:bottom w:val="single" w:color="auto" w:sz="2" w:space="0"/>
              <w:right w:val="single" w:color="auto" w:sz="2" w:space="0"/>
            </w:tcBorders>
            <w:vAlign w:val="center"/>
          </w:tcPr>
          <w:p w14:paraId="60820A28">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205" w:type="dxa"/>
            <w:tcBorders>
              <w:top w:val="single" w:color="auto" w:sz="2" w:space="0"/>
              <w:left w:val="single" w:color="auto" w:sz="2" w:space="0"/>
              <w:bottom w:val="single" w:color="auto" w:sz="2" w:space="0"/>
              <w:right w:val="single" w:color="auto" w:sz="2" w:space="0"/>
            </w:tcBorders>
            <w:vAlign w:val="center"/>
          </w:tcPr>
          <w:p w14:paraId="52B2268E">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33374F6">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r w14:paraId="3D5702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66D9E96B">
            <w:pPr>
              <w:spacing w:before="0" w:after="0" w:line="240" w:lineRule="exact"/>
              <w:jc w:val="left"/>
              <w:rPr>
                <w:rFonts w:ascii="宋体" w:hAnsi="宋体" w:eastAsia="宋体" w:cs="宋体"/>
                <w:sz w:val="18"/>
                <w:szCs w:val="18"/>
              </w:rPr>
            </w:pPr>
            <w:r>
              <w:rPr>
                <w:rFonts w:ascii="宋体" w:hAnsi="宋体" w:eastAsia="宋体" w:cs="宋体"/>
                <w:sz w:val="18"/>
                <w:szCs w:val="18"/>
              </w:rPr>
              <w:t>福建华医互联网医院有限公司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0CB0A081">
            <w:pPr>
              <w:spacing w:before="0" w:after="0" w:line="240" w:lineRule="exact"/>
              <w:jc w:val="right"/>
              <w:rPr>
                <w:rFonts w:ascii="宋体" w:hAnsi="宋体" w:eastAsia="宋体" w:cs="宋体"/>
                <w:sz w:val="18"/>
                <w:szCs w:val="18"/>
              </w:rPr>
            </w:pPr>
            <w:r>
              <w:rPr>
                <w:rFonts w:ascii="宋体" w:hAnsi="宋体" w:eastAsia="宋体" w:cs="宋体"/>
                <w:sz w:val="18"/>
                <w:szCs w:val="18"/>
              </w:rPr>
              <w:t>100,000,000.00</w:t>
            </w:r>
          </w:p>
        </w:tc>
        <w:tc>
          <w:tcPr>
            <w:tcW w:w="1205" w:type="dxa"/>
            <w:tcBorders>
              <w:top w:val="single" w:color="auto" w:sz="2" w:space="0"/>
              <w:left w:val="single" w:color="auto" w:sz="2" w:space="0"/>
              <w:bottom w:val="single" w:color="auto" w:sz="2" w:space="0"/>
              <w:right w:val="single" w:color="auto" w:sz="2" w:space="0"/>
            </w:tcBorders>
            <w:vAlign w:val="center"/>
          </w:tcPr>
          <w:p w14:paraId="45BA7261">
            <w:pPr>
              <w:spacing w:before="0" w:after="0" w:line="240" w:lineRule="exact"/>
              <w:jc w:val="left"/>
              <w:rPr>
                <w:rFonts w:ascii="宋体" w:hAnsi="宋体" w:eastAsia="宋体" w:cs="宋体"/>
                <w:sz w:val="18"/>
                <w:szCs w:val="18"/>
              </w:rPr>
            </w:pPr>
            <w:r>
              <w:rPr>
                <w:rFonts w:ascii="宋体" w:hAnsi="宋体" w:eastAsia="宋体" w:cs="宋体"/>
                <w:sz w:val="18"/>
                <w:szCs w:val="18"/>
              </w:rPr>
              <w:t>福建省长乐市</w:t>
            </w:r>
          </w:p>
        </w:tc>
        <w:tc>
          <w:tcPr>
            <w:tcW w:w="1205" w:type="dxa"/>
            <w:tcBorders>
              <w:top w:val="single" w:color="auto" w:sz="2" w:space="0"/>
              <w:left w:val="single" w:color="auto" w:sz="2" w:space="0"/>
              <w:bottom w:val="single" w:color="auto" w:sz="2" w:space="0"/>
              <w:right w:val="single" w:color="auto" w:sz="2" w:space="0"/>
            </w:tcBorders>
            <w:vAlign w:val="center"/>
          </w:tcPr>
          <w:p w14:paraId="6AB5EFC6">
            <w:pPr>
              <w:spacing w:before="0" w:after="0" w:line="240" w:lineRule="exact"/>
              <w:jc w:val="left"/>
              <w:rPr>
                <w:rFonts w:ascii="宋体" w:hAnsi="宋体" w:eastAsia="宋体" w:cs="宋体"/>
                <w:sz w:val="18"/>
                <w:szCs w:val="18"/>
              </w:rPr>
            </w:pPr>
            <w:r>
              <w:rPr>
                <w:rFonts w:ascii="宋体" w:hAnsi="宋体" w:eastAsia="宋体" w:cs="宋体"/>
                <w:sz w:val="18"/>
                <w:szCs w:val="18"/>
              </w:rPr>
              <w:t>福建省长乐市</w:t>
            </w:r>
          </w:p>
        </w:tc>
        <w:tc>
          <w:tcPr>
            <w:tcW w:w="1205" w:type="dxa"/>
            <w:tcBorders>
              <w:top w:val="single" w:color="auto" w:sz="2" w:space="0"/>
              <w:left w:val="single" w:color="auto" w:sz="2" w:space="0"/>
              <w:bottom w:val="single" w:color="auto" w:sz="2" w:space="0"/>
              <w:right w:val="single" w:color="auto" w:sz="2" w:space="0"/>
            </w:tcBorders>
            <w:vAlign w:val="center"/>
          </w:tcPr>
          <w:p w14:paraId="46620957">
            <w:pPr>
              <w:spacing w:before="0" w:after="0" w:line="240" w:lineRule="exact"/>
              <w:jc w:val="left"/>
              <w:rPr>
                <w:rFonts w:ascii="宋体" w:hAnsi="宋体" w:eastAsia="宋体" w:cs="宋体"/>
                <w:sz w:val="18"/>
                <w:szCs w:val="18"/>
              </w:rPr>
            </w:pPr>
            <w:r>
              <w:rPr>
                <w:rFonts w:ascii="宋体" w:hAnsi="宋体" w:eastAsia="宋体" w:cs="宋体"/>
                <w:sz w:val="18"/>
                <w:szCs w:val="18"/>
              </w:rPr>
              <w:t>妇幼保健医疗服务</w:t>
            </w:r>
          </w:p>
        </w:tc>
        <w:tc>
          <w:tcPr>
            <w:tcW w:w="1205" w:type="dxa"/>
            <w:tcBorders>
              <w:top w:val="single" w:color="auto" w:sz="2" w:space="0"/>
              <w:left w:val="single" w:color="auto" w:sz="2" w:space="0"/>
              <w:bottom w:val="single" w:color="auto" w:sz="2" w:space="0"/>
              <w:right w:val="single" w:color="auto" w:sz="2" w:space="0"/>
            </w:tcBorders>
            <w:vAlign w:val="center"/>
          </w:tcPr>
          <w:p w14:paraId="11640360">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0492C4E">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205" w:type="dxa"/>
            <w:tcBorders>
              <w:top w:val="single" w:color="auto" w:sz="2" w:space="0"/>
              <w:left w:val="single" w:color="auto" w:sz="2" w:space="0"/>
              <w:bottom w:val="single" w:color="auto" w:sz="2" w:space="0"/>
              <w:right w:val="single" w:color="auto" w:sz="2" w:space="0"/>
            </w:tcBorders>
            <w:vAlign w:val="center"/>
          </w:tcPr>
          <w:p w14:paraId="3AE2E4C7">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r w14:paraId="086C51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59812128">
            <w:pPr>
              <w:spacing w:before="0" w:after="0" w:line="240" w:lineRule="exact"/>
              <w:jc w:val="left"/>
              <w:rPr>
                <w:rFonts w:ascii="宋体" w:hAnsi="宋体" w:eastAsia="宋体" w:cs="宋体"/>
                <w:sz w:val="18"/>
                <w:szCs w:val="18"/>
              </w:rPr>
            </w:pPr>
            <w:r>
              <w:rPr>
                <w:rFonts w:ascii="宋体" w:hAnsi="宋体" w:eastAsia="宋体" w:cs="宋体"/>
                <w:sz w:val="18"/>
                <w:szCs w:val="18"/>
              </w:rPr>
              <w:t>福建多嘿嘿男性健康咨询有限公司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754D71A8">
            <w:pPr>
              <w:spacing w:before="0" w:after="0" w:line="240" w:lineRule="exact"/>
              <w:jc w:val="right"/>
              <w:rPr>
                <w:rFonts w:ascii="宋体" w:hAnsi="宋体" w:eastAsia="宋体" w:cs="宋体"/>
                <w:sz w:val="18"/>
                <w:szCs w:val="18"/>
              </w:rPr>
            </w:pPr>
            <w:r>
              <w:rPr>
                <w:rFonts w:ascii="宋体" w:hAnsi="宋体" w:eastAsia="宋体" w:cs="宋体"/>
                <w:sz w:val="18"/>
                <w:szCs w:val="18"/>
              </w:rPr>
              <w:t>10,000,000.00</w:t>
            </w:r>
          </w:p>
        </w:tc>
        <w:tc>
          <w:tcPr>
            <w:tcW w:w="1205" w:type="dxa"/>
            <w:tcBorders>
              <w:top w:val="single" w:color="auto" w:sz="2" w:space="0"/>
              <w:left w:val="single" w:color="auto" w:sz="2" w:space="0"/>
              <w:bottom w:val="single" w:color="auto" w:sz="2" w:space="0"/>
              <w:right w:val="single" w:color="auto" w:sz="2" w:space="0"/>
            </w:tcBorders>
            <w:vAlign w:val="center"/>
          </w:tcPr>
          <w:p w14:paraId="06D903B4">
            <w:pPr>
              <w:spacing w:before="0" w:after="0" w:line="240" w:lineRule="exact"/>
              <w:jc w:val="left"/>
              <w:rPr>
                <w:rFonts w:ascii="宋体" w:hAnsi="宋体" w:eastAsia="宋体" w:cs="宋体"/>
                <w:sz w:val="18"/>
                <w:szCs w:val="18"/>
              </w:rPr>
            </w:pPr>
            <w:r>
              <w:rPr>
                <w:rFonts w:ascii="宋体" w:hAnsi="宋体" w:eastAsia="宋体" w:cs="宋体"/>
                <w:sz w:val="18"/>
                <w:szCs w:val="18"/>
              </w:rPr>
              <w:t>福建省宁德市</w:t>
            </w:r>
          </w:p>
        </w:tc>
        <w:tc>
          <w:tcPr>
            <w:tcW w:w="1205" w:type="dxa"/>
            <w:tcBorders>
              <w:top w:val="single" w:color="auto" w:sz="2" w:space="0"/>
              <w:left w:val="single" w:color="auto" w:sz="2" w:space="0"/>
              <w:bottom w:val="single" w:color="auto" w:sz="2" w:space="0"/>
              <w:right w:val="single" w:color="auto" w:sz="2" w:space="0"/>
            </w:tcBorders>
            <w:vAlign w:val="center"/>
          </w:tcPr>
          <w:p w14:paraId="66BDC4CE">
            <w:pPr>
              <w:spacing w:before="0" w:after="0" w:line="240" w:lineRule="exact"/>
              <w:jc w:val="left"/>
              <w:rPr>
                <w:rFonts w:ascii="宋体" w:hAnsi="宋体" w:eastAsia="宋体" w:cs="宋体"/>
                <w:sz w:val="18"/>
                <w:szCs w:val="18"/>
              </w:rPr>
            </w:pPr>
            <w:r>
              <w:rPr>
                <w:rFonts w:ascii="宋体" w:hAnsi="宋体" w:eastAsia="宋体" w:cs="宋体"/>
                <w:sz w:val="18"/>
                <w:szCs w:val="18"/>
              </w:rPr>
              <w:t>福建省宁德市</w:t>
            </w:r>
          </w:p>
        </w:tc>
        <w:tc>
          <w:tcPr>
            <w:tcW w:w="1205" w:type="dxa"/>
            <w:tcBorders>
              <w:top w:val="single" w:color="auto" w:sz="2" w:space="0"/>
              <w:left w:val="single" w:color="auto" w:sz="2" w:space="0"/>
              <w:bottom w:val="single" w:color="auto" w:sz="2" w:space="0"/>
              <w:right w:val="single" w:color="auto" w:sz="2" w:space="0"/>
            </w:tcBorders>
            <w:vAlign w:val="center"/>
          </w:tcPr>
          <w:p w14:paraId="3EE1F630">
            <w:pPr>
              <w:spacing w:before="0" w:after="0" w:line="240" w:lineRule="exact"/>
              <w:jc w:val="left"/>
              <w:rPr>
                <w:rFonts w:ascii="宋体" w:hAnsi="宋体" w:eastAsia="宋体" w:cs="宋体"/>
                <w:sz w:val="18"/>
                <w:szCs w:val="18"/>
              </w:rPr>
            </w:pPr>
            <w:r>
              <w:rPr>
                <w:rFonts w:ascii="宋体" w:hAnsi="宋体" w:eastAsia="宋体" w:cs="宋体"/>
                <w:sz w:val="18"/>
                <w:szCs w:val="18"/>
              </w:rPr>
              <w:t>健康咨询服务</w:t>
            </w:r>
          </w:p>
        </w:tc>
        <w:tc>
          <w:tcPr>
            <w:tcW w:w="1205" w:type="dxa"/>
            <w:tcBorders>
              <w:top w:val="single" w:color="auto" w:sz="2" w:space="0"/>
              <w:left w:val="single" w:color="auto" w:sz="2" w:space="0"/>
              <w:bottom w:val="single" w:color="auto" w:sz="2" w:space="0"/>
              <w:right w:val="single" w:color="auto" w:sz="2" w:space="0"/>
            </w:tcBorders>
            <w:vAlign w:val="center"/>
          </w:tcPr>
          <w:p w14:paraId="1F056051">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7ED1AA01">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205" w:type="dxa"/>
            <w:tcBorders>
              <w:top w:val="single" w:color="auto" w:sz="2" w:space="0"/>
              <w:left w:val="single" w:color="auto" w:sz="2" w:space="0"/>
              <w:bottom w:val="single" w:color="auto" w:sz="2" w:space="0"/>
              <w:right w:val="single" w:color="auto" w:sz="2" w:space="0"/>
            </w:tcBorders>
            <w:vAlign w:val="center"/>
          </w:tcPr>
          <w:p w14:paraId="3A347510">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r w14:paraId="492128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18A21460">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福建广生堂金塘药业</w:t>
            </w:r>
          </w:p>
          <w:p w14:paraId="260A2FD5">
            <w:pPr>
              <w:spacing w:before="0" w:after="0" w:line="240" w:lineRule="exact"/>
              <w:jc w:val="left"/>
              <w:rPr>
                <w:rFonts w:ascii="宋体" w:hAnsi="宋体" w:eastAsia="宋体" w:cs="宋体"/>
                <w:sz w:val="18"/>
                <w:szCs w:val="18"/>
              </w:rPr>
            </w:pPr>
            <w:r>
              <w:rPr>
                <w:rFonts w:ascii="宋体" w:hAnsi="宋体" w:eastAsia="宋体" w:cs="宋体"/>
                <w:sz w:val="18"/>
                <w:szCs w:val="18"/>
              </w:rPr>
              <w:t>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3839B1F7">
            <w:pPr>
              <w:spacing w:before="0" w:after="0" w:line="240" w:lineRule="exact"/>
              <w:jc w:val="right"/>
              <w:rPr>
                <w:rFonts w:ascii="宋体" w:hAnsi="宋体" w:eastAsia="宋体" w:cs="宋体"/>
                <w:sz w:val="18"/>
                <w:szCs w:val="18"/>
              </w:rPr>
            </w:pPr>
            <w:r>
              <w:rPr>
                <w:rFonts w:ascii="宋体" w:hAnsi="宋体" w:eastAsia="宋体" w:cs="宋体"/>
                <w:sz w:val="18"/>
                <w:szCs w:val="18"/>
              </w:rPr>
              <w:t>170,000,000.00</w:t>
            </w:r>
          </w:p>
        </w:tc>
        <w:tc>
          <w:tcPr>
            <w:tcW w:w="1205" w:type="dxa"/>
            <w:tcBorders>
              <w:top w:val="single" w:color="auto" w:sz="2" w:space="0"/>
              <w:left w:val="single" w:color="auto" w:sz="2" w:space="0"/>
              <w:bottom w:val="single" w:color="auto" w:sz="2" w:space="0"/>
              <w:right w:val="single" w:color="auto" w:sz="2" w:space="0"/>
            </w:tcBorders>
            <w:vAlign w:val="center"/>
          </w:tcPr>
          <w:p w14:paraId="206F0949">
            <w:pPr>
              <w:spacing w:before="0" w:after="0" w:line="240" w:lineRule="exact"/>
              <w:jc w:val="left"/>
              <w:rPr>
                <w:rFonts w:ascii="宋体" w:hAnsi="宋体" w:eastAsia="宋体" w:cs="宋体"/>
                <w:sz w:val="18"/>
                <w:szCs w:val="18"/>
              </w:rPr>
            </w:pPr>
            <w:r>
              <w:rPr>
                <w:rFonts w:ascii="宋体" w:hAnsi="宋体" w:eastAsia="宋体" w:cs="宋体"/>
                <w:sz w:val="18"/>
                <w:szCs w:val="18"/>
              </w:rPr>
              <w:t>福建省</w:t>
            </w:r>
          </w:p>
          <w:p w14:paraId="6A343D37">
            <w:pPr>
              <w:spacing w:before="0" w:after="0" w:line="240" w:lineRule="exact"/>
              <w:jc w:val="left"/>
              <w:rPr>
                <w:rFonts w:ascii="宋体" w:hAnsi="宋体" w:eastAsia="宋体" w:cs="宋体"/>
                <w:sz w:val="18"/>
                <w:szCs w:val="18"/>
              </w:rPr>
            </w:pPr>
            <w:r>
              <w:rPr>
                <w:rFonts w:ascii="宋体" w:hAnsi="宋体" w:eastAsia="宋体" w:cs="宋体"/>
                <w:sz w:val="18"/>
                <w:szCs w:val="18"/>
              </w:rPr>
              <w:t>邵武市</w:t>
            </w:r>
          </w:p>
        </w:tc>
        <w:tc>
          <w:tcPr>
            <w:tcW w:w="1205" w:type="dxa"/>
            <w:tcBorders>
              <w:top w:val="single" w:color="auto" w:sz="2" w:space="0"/>
              <w:left w:val="single" w:color="auto" w:sz="2" w:space="0"/>
              <w:bottom w:val="single" w:color="auto" w:sz="2" w:space="0"/>
              <w:right w:val="single" w:color="auto" w:sz="2" w:space="0"/>
            </w:tcBorders>
            <w:vAlign w:val="center"/>
          </w:tcPr>
          <w:p w14:paraId="13AF6860">
            <w:pPr>
              <w:spacing w:before="0" w:after="0" w:line="240" w:lineRule="exact"/>
              <w:jc w:val="left"/>
              <w:rPr>
                <w:rFonts w:ascii="宋体" w:hAnsi="宋体" w:eastAsia="宋体" w:cs="宋体"/>
                <w:sz w:val="18"/>
                <w:szCs w:val="18"/>
              </w:rPr>
            </w:pPr>
            <w:r>
              <w:rPr>
                <w:rFonts w:ascii="宋体" w:hAnsi="宋体" w:eastAsia="宋体" w:cs="宋体"/>
                <w:sz w:val="18"/>
                <w:szCs w:val="18"/>
              </w:rPr>
              <w:t>福建省</w:t>
            </w:r>
          </w:p>
          <w:p w14:paraId="21191305">
            <w:pPr>
              <w:spacing w:before="0" w:after="0" w:line="240" w:lineRule="exact"/>
              <w:jc w:val="left"/>
              <w:rPr>
                <w:rFonts w:ascii="宋体" w:hAnsi="宋体" w:eastAsia="宋体" w:cs="宋体"/>
                <w:sz w:val="18"/>
                <w:szCs w:val="18"/>
              </w:rPr>
            </w:pPr>
            <w:r>
              <w:rPr>
                <w:rFonts w:ascii="宋体" w:hAnsi="宋体" w:eastAsia="宋体" w:cs="宋体"/>
                <w:sz w:val="18"/>
                <w:szCs w:val="18"/>
              </w:rPr>
              <w:t>邵武市</w:t>
            </w:r>
          </w:p>
        </w:tc>
        <w:tc>
          <w:tcPr>
            <w:tcW w:w="1205" w:type="dxa"/>
            <w:tcBorders>
              <w:top w:val="single" w:color="auto" w:sz="2" w:space="0"/>
              <w:left w:val="single" w:color="auto" w:sz="2" w:space="0"/>
              <w:bottom w:val="single" w:color="auto" w:sz="2" w:space="0"/>
              <w:right w:val="single" w:color="auto" w:sz="2" w:space="0"/>
            </w:tcBorders>
            <w:vAlign w:val="center"/>
          </w:tcPr>
          <w:p w14:paraId="0F6AD961">
            <w:pPr>
              <w:spacing w:before="0" w:after="0" w:line="240" w:lineRule="exact"/>
              <w:jc w:val="left"/>
              <w:rPr>
                <w:rFonts w:ascii="宋体" w:hAnsi="宋体" w:eastAsia="宋体" w:cs="宋体"/>
                <w:sz w:val="18"/>
                <w:szCs w:val="18"/>
              </w:rPr>
            </w:pPr>
            <w:r>
              <w:rPr>
                <w:rFonts w:ascii="宋体" w:hAnsi="宋体" w:eastAsia="宋体" w:cs="宋体"/>
                <w:sz w:val="18"/>
                <w:szCs w:val="18"/>
              </w:rPr>
              <w:t>医药生产</w:t>
            </w:r>
          </w:p>
        </w:tc>
        <w:tc>
          <w:tcPr>
            <w:tcW w:w="1205" w:type="dxa"/>
            <w:tcBorders>
              <w:top w:val="single" w:color="auto" w:sz="2" w:space="0"/>
              <w:left w:val="single" w:color="auto" w:sz="2" w:space="0"/>
              <w:bottom w:val="single" w:color="auto" w:sz="2" w:space="0"/>
              <w:right w:val="single" w:color="auto" w:sz="2" w:space="0"/>
            </w:tcBorders>
            <w:vAlign w:val="center"/>
          </w:tcPr>
          <w:p w14:paraId="0E51868D">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205" w:type="dxa"/>
            <w:tcBorders>
              <w:top w:val="single" w:color="auto" w:sz="2" w:space="0"/>
              <w:left w:val="single" w:color="auto" w:sz="2" w:space="0"/>
              <w:bottom w:val="single" w:color="auto" w:sz="2" w:space="0"/>
              <w:right w:val="single" w:color="auto" w:sz="2" w:space="0"/>
            </w:tcBorders>
            <w:vAlign w:val="center"/>
          </w:tcPr>
          <w:p w14:paraId="54CFACD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4BDF8DB7">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r w14:paraId="3B5D5D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455C6077">
            <w:pPr>
              <w:spacing w:before="0" w:after="0" w:line="240" w:lineRule="exact"/>
              <w:jc w:val="left"/>
              <w:rPr>
                <w:rFonts w:ascii="宋体" w:hAnsi="宋体" w:eastAsia="宋体" w:cs="宋体"/>
                <w:sz w:val="18"/>
                <w:szCs w:val="18"/>
              </w:rPr>
            </w:pPr>
            <w:r>
              <w:rPr>
                <w:rFonts w:ascii="宋体" w:hAnsi="宋体" w:eastAsia="宋体" w:cs="宋体"/>
                <w:sz w:val="18"/>
                <w:szCs w:val="18"/>
              </w:rPr>
              <w:t>江苏中兴药业有限公司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725C2111">
            <w:pPr>
              <w:spacing w:before="0" w:after="0" w:line="240" w:lineRule="exact"/>
              <w:jc w:val="right"/>
              <w:rPr>
                <w:rFonts w:ascii="宋体" w:hAnsi="宋体" w:eastAsia="宋体" w:cs="宋体"/>
                <w:sz w:val="18"/>
                <w:szCs w:val="18"/>
              </w:rPr>
            </w:pPr>
            <w:r>
              <w:rPr>
                <w:rFonts w:ascii="宋体" w:hAnsi="宋体" w:eastAsia="宋体" w:cs="宋体"/>
                <w:sz w:val="18"/>
                <w:szCs w:val="18"/>
              </w:rPr>
              <w:t>64,285,714.00</w:t>
            </w:r>
          </w:p>
        </w:tc>
        <w:tc>
          <w:tcPr>
            <w:tcW w:w="1205" w:type="dxa"/>
            <w:tcBorders>
              <w:top w:val="single" w:color="auto" w:sz="2" w:space="0"/>
              <w:left w:val="single" w:color="auto" w:sz="2" w:space="0"/>
              <w:bottom w:val="single" w:color="auto" w:sz="2" w:space="0"/>
              <w:right w:val="single" w:color="auto" w:sz="2" w:space="0"/>
            </w:tcBorders>
            <w:vAlign w:val="center"/>
          </w:tcPr>
          <w:p w14:paraId="4C83167A">
            <w:pPr>
              <w:spacing w:before="0" w:after="0" w:line="240" w:lineRule="exact"/>
              <w:jc w:val="left"/>
              <w:rPr>
                <w:rFonts w:ascii="宋体" w:hAnsi="宋体" w:eastAsia="宋体" w:cs="宋体"/>
                <w:sz w:val="18"/>
                <w:szCs w:val="18"/>
              </w:rPr>
            </w:pPr>
            <w:r>
              <w:rPr>
                <w:rFonts w:ascii="宋体" w:hAnsi="宋体" w:eastAsia="宋体" w:cs="宋体"/>
                <w:sz w:val="18"/>
                <w:szCs w:val="18"/>
              </w:rPr>
              <w:t>江苏省镇江市</w:t>
            </w:r>
          </w:p>
        </w:tc>
        <w:tc>
          <w:tcPr>
            <w:tcW w:w="1205" w:type="dxa"/>
            <w:tcBorders>
              <w:top w:val="single" w:color="auto" w:sz="2" w:space="0"/>
              <w:left w:val="single" w:color="auto" w:sz="2" w:space="0"/>
              <w:bottom w:val="single" w:color="auto" w:sz="2" w:space="0"/>
              <w:right w:val="single" w:color="auto" w:sz="2" w:space="0"/>
            </w:tcBorders>
            <w:vAlign w:val="center"/>
          </w:tcPr>
          <w:p w14:paraId="7FC443E0">
            <w:pPr>
              <w:spacing w:before="0" w:after="0" w:line="240" w:lineRule="exact"/>
              <w:jc w:val="left"/>
              <w:rPr>
                <w:rFonts w:ascii="宋体" w:hAnsi="宋体" w:eastAsia="宋体" w:cs="宋体"/>
                <w:sz w:val="18"/>
                <w:szCs w:val="18"/>
              </w:rPr>
            </w:pPr>
            <w:r>
              <w:rPr>
                <w:rFonts w:ascii="宋体" w:hAnsi="宋体" w:eastAsia="宋体" w:cs="宋体"/>
                <w:sz w:val="18"/>
                <w:szCs w:val="18"/>
              </w:rPr>
              <w:t>江苏省镇江市</w:t>
            </w:r>
          </w:p>
        </w:tc>
        <w:tc>
          <w:tcPr>
            <w:tcW w:w="1205" w:type="dxa"/>
            <w:tcBorders>
              <w:top w:val="single" w:color="auto" w:sz="2" w:space="0"/>
              <w:left w:val="single" w:color="auto" w:sz="2" w:space="0"/>
              <w:bottom w:val="single" w:color="auto" w:sz="2" w:space="0"/>
              <w:right w:val="single" w:color="auto" w:sz="2" w:space="0"/>
            </w:tcBorders>
            <w:vAlign w:val="center"/>
          </w:tcPr>
          <w:p w14:paraId="101619A5">
            <w:pPr>
              <w:spacing w:before="0" w:after="0" w:line="240" w:lineRule="exact"/>
              <w:jc w:val="left"/>
              <w:rPr>
                <w:rFonts w:ascii="宋体" w:hAnsi="宋体" w:eastAsia="宋体" w:cs="宋体"/>
                <w:sz w:val="18"/>
                <w:szCs w:val="18"/>
              </w:rPr>
            </w:pPr>
            <w:r>
              <w:rPr>
                <w:rFonts w:ascii="宋体" w:hAnsi="宋体" w:eastAsia="宋体" w:cs="宋体"/>
                <w:sz w:val="18"/>
                <w:szCs w:val="18"/>
              </w:rPr>
              <w:t>中药制剂的生产与销售</w:t>
            </w:r>
          </w:p>
        </w:tc>
        <w:tc>
          <w:tcPr>
            <w:tcW w:w="1205" w:type="dxa"/>
            <w:tcBorders>
              <w:top w:val="single" w:color="auto" w:sz="2" w:space="0"/>
              <w:left w:val="single" w:color="auto" w:sz="2" w:space="0"/>
              <w:bottom w:val="single" w:color="auto" w:sz="2" w:space="0"/>
              <w:right w:val="single" w:color="auto" w:sz="2" w:space="0"/>
            </w:tcBorders>
            <w:vAlign w:val="center"/>
          </w:tcPr>
          <w:p w14:paraId="4183B3D9">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205" w:type="dxa"/>
            <w:tcBorders>
              <w:top w:val="single" w:color="auto" w:sz="2" w:space="0"/>
              <w:left w:val="single" w:color="auto" w:sz="2" w:space="0"/>
              <w:bottom w:val="single" w:color="auto" w:sz="2" w:space="0"/>
              <w:right w:val="single" w:color="auto" w:sz="2" w:space="0"/>
            </w:tcBorders>
            <w:vAlign w:val="center"/>
          </w:tcPr>
          <w:p w14:paraId="68CACEAD">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A6A9437">
            <w:pPr>
              <w:spacing w:before="0" w:after="0" w:line="240" w:lineRule="exact"/>
              <w:jc w:val="left"/>
              <w:rPr>
                <w:rFonts w:ascii="宋体" w:hAnsi="宋体" w:eastAsia="宋体" w:cs="宋体"/>
                <w:sz w:val="18"/>
                <w:szCs w:val="18"/>
              </w:rPr>
            </w:pPr>
            <w:r>
              <w:rPr>
                <w:rFonts w:ascii="宋体" w:hAnsi="宋体" w:eastAsia="宋体" w:cs="宋体"/>
                <w:sz w:val="18"/>
                <w:szCs w:val="18"/>
              </w:rPr>
              <w:t>非同一控制下合并取得</w:t>
            </w:r>
          </w:p>
        </w:tc>
      </w:tr>
      <w:tr w14:paraId="19739E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60C4FF38">
            <w:pPr>
              <w:spacing w:before="0" w:after="0" w:line="240" w:lineRule="exact"/>
              <w:jc w:val="left"/>
              <w:rPr>
                <w:rFonts w:ascii="宋体" w:hAnsi="宋体" w:eastAsia="宋体" w:cs="宋体"/>
                <w:sz w:val="18"/>
                <w:szCs w:val="18"/>
              </w:rPr>
            </w:pPr>
            <w:r>
              <w:rPr>
                <w:rFonts w:ascii="宋体" w:hAnsi="宋体" w:eastAsia="宋体" w:cs="宋体"/>
                <w:sz w:val="18"/>
                <w:szCs w:val="18"/>
              </w:rPr>
              <w:t>福建广生中霖生物科技有限公司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7C46AC87">
            <w:pPr>
              <w:spacing w:before="0" w:after="0" w:line="240" w:lineRule="exact"/>
              <w:jc w:val="right"/>
              <w:rPr>
                <w:rFonts w:ascii="宋体" w:hAnsi="宋体" w:eastAsia="宋体" w:cs="宋体"/>
                <w:sz w:val="18"/>
                <w:szCs w:val="18"/>
              </w:rPr>
            </w:pPr>
            <w:r>
              <w:rPr>
                <w:rFonts w:ascii="宋体" w:hAnsi="宋体" w:eastAsia="宋体" w:cs="宋体"/>
                <w:sz w:val="18"/>
                <w:szCs w:val="18"/>
              </w:rPr>
              <w:t>388,500,000.00</w:t>
            </w:r>
          </w:p>
        </w:tc>
        <w:tc>
          <w:tcPr>
            <w:tcW w:w="1205" w:type="dxa"/>
            <w:tcBorders>
              <w:top w:val="single" w:color="auto" w:sz="2" w:space="0"/>
              <w:left w:val="single" w:color="auto" w:sz="2" w:space="0"/>
              <w:bottom w:val="single" w:color="auto" w:sz="2" w:space="0"/>
              <w:right w:val="single" w:color="auto" w:sz="2" w:space="0"/>
            </w:tcBorders>
            <w:vAlign w:val="center"/>
          </w:tcPr>
          <w:p w14:paraId="6AEBABD0">
            <w:pPr>
              <w:spacing w:before="0" w:after="0" w:line="240" w:lineRule="exact"/>
              <w:jc w:val="left"/>
              <w:rPr>
                <w:rFonts w:ascii="宋体" w:hAnsi="宋体" w:eastAsia="宋体" w:cs="宋体"/>
                <w:sz w:val="18"/>
                <w:szCs w:val="18"/>
              </w:rPr>
            </w:pPr>
            <w:r>
              <w:rPr>
                <w:rFonts w:ascii="宋体" w:hAnsi="宋体" w:eastAsia="宋体" w:cs="宋体"/>
                <w:sz w:val="18"/>
                <w:szCs w:val="18"/>
              </w:rPr>
              <w:t>福建省宁德市</w:t>
            </w:r>
          </w:p>
        </w:tc>
        <w:tc>
          <w:tcPr>
            <w:tcW w:w="1205" w:type="dxa"/>
            <w:tcBorders>
              <w:top w:val="single" w:color="auto" w:sz="2" w:space="0"/>
              <w:left w:val="single" w:color="auto" w:sz="2" w:space="0"/>
              <w:bottom w:val="single" w:color="auto" w:sz="2" w:space="0"/>
              <w:right w:val="single" w:color="auto" w:sz="2" w:space="0"/>
            </w:tcBorders>
            <w:vAlign w:val="center"/>
          </w:tcPr>
          <w:p w14:paraId="39948D23">
            <w:pPr>
              <w:spacing w:before="0" w:after="0" w:line="240" w:lineRule="exact"/>
              <w:jc w:val="left"/>
              <w:rPr>
                <w:rFonts w:ascii="宋体" w:hAnsi="宋体" w:eastAsia="宋体" w:cs="宋体"/>
                <w:sz w:val="18"/>
                <w:szCs w:val="18"/>
              </w:rPr>
            </w:pPr>
            <w:r>
              <w:rPr>
                <w:rFonts w:ascii="宋体" w:hAnsi="宋体" w:eastAsia="宋体" w:cs="宋体"/>
                <w:sz w:val="18"/>
                <w:szCs w:val="18"/>
              </w:rPr>
              <w:t>福建省宁德市</w:t>
            </w:r>
          </w:p>
        </w:tc>
        <w:tc>
          <w:tcPr>
            <w:tcW w:w="1205" w:type="dxa"/>
            <w:tcBorders>
              <w:top w:val="single" w:color="auto" w:sz="2" w:space="0"/>
              <w:left w:val="single" w:color="auto" w:sz="2" w:space="0"/>
              <w:bottom w:val="single" w:color="auto" w:sz="2" w:space="0"/>
              <w:right w:val="single" w:color="auto" w:sz="2" w:space="0"/>
            </w:tcBorders>
            <w:vAlign w:val="center"/>
          </w:tcPr>
          <w:p w14:paraId="13D3BE1D">
            <w:pPr>
              <w:spacing w:before="0" w:after="0" w:line="240" w:lineRule="exact"/>
              <w:jc w:val="left"/>
              <w:rPr>
                <w:rFonts w:ascii="宋体" w:hAnsi="宋体" w:eastAsia="宋体" w:cs="宋体"/>
                <w:sz w:val="18"/>
                <w:szCs w:val="18"/>
              </w:rPr>
            </w:pPr>
            <w:r>
              <w:rPr>
                <w:rFonts w:ascii="宋体" w:hAnsi="宋体" w:eastAsia="宋体" w:cs="宋体"/>
                <w:sz w:val="18"/>
                <w:szCs w:val="18"/>
              </w:rPr>
              <w:t>医药研究和实验发展</w:t>
            </w:r>
          </w:p>
        </w:tc>
        <w:tc>
          <w:tcPr>
            <w:tcW w:w="1205" w:type="dxa"/>
            <w:tcBorders>
              <w:top w:val="single" w:color="auto" w:sz="2" w:space="0"/>
              <w:left w:val="single" w:color="auto" w:sz="2" w:space="0"/>
              <w:bottom w:val="single" w:color="auto" w:sz="2" w:space="0"/>
              <w:right w:val="single" w:color="auto" w:sz="2" w:space="0"/>
            </w:tcBorders>
            <w:vAlign w:val="center"/>
          </w:tcPr>
          <w:p w14:paraId="079889C4">
            <w:pPr>
              <w:spacing w:before="0" w:after="0" w:line="240" w:lineRule="exact"/>
              <w:jc w:val="right"/>
              <w:rPr>
                <w:rFonts w:ascii="宋体" w:hAnsi="宋体" w:eastAsia="宋体" w:cs="宋体"/>
                <w:sz w:val="18"/>
                <w:szCs w:val="18"/>
              </w:rPr>
            </w:pPr>
            <w:r>
              <w:rPr>
                <w:rFonts w:ascii="宋体" w:hAnsi="宋体" w:eastAsia="宋体" w:cs="宋体"/>
                <w:sz w:val="18"/>
                <w:szCs w:val="18"/>
              </w:rPr>
              <w:t>81.08%</w:t>
            </w:r>
          </w:p>
        </w:tc>
        <w:tc>
          <w:tcPr>
            <w:tcW w:w="1205" w:type="dxa"/>
            <w:tcBorders>
              <w:top w:val="single" w:color="auto" w:sz="2" w:space="0"/>
              <w:left w:val="single" w:color="auto" w:sz="2" w:space="0"/>
              <w:bottom w:val="single" w:color="auto" w:sz="2" w:space="0"/>
              <w:right w:val="single" w:color="auto" w:sz="2" w:space="0"/>
            </w:tcBorders>
            <w:vAlign w:val="center"/>
          </w:tcPr>
          <w:p w14:paraId="43310CB2">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020CA46">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r w14:paraId="69A9A5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042CE4F1">
            <w:pPr>
              <w:spacing w:before="0" w:after="0" w:line="240" w:lineRule="exact"/>
              <w:jc w:val="left"/>
              <w:rPr>
                <w:rFonts w:ascii="宋体" w:hAnsi="宋体" w:eastAsia="宋体" w:cs="宋体"/>
                <w:sz w:val="18"/>
                <w:szCs w:val="18"/>
              </w:rPr>
            </w:pPr>
            <w:r>
              <w:rPr>
                <w:rFonts w:ascii="宋体" w:hAnsi="宋体" w:eastAsia="宋体" w:cs="宋体"/>
                <w:sz w:val="18"/>
                <w:szCs w:val="18"/>
              </w:rPr>
              <w:t>广生中霖生物科技</w:t>
            </w:r>
          </w:p>
          <w:p w14:paraId="64C7F596">
            <w:pPr>
              <w:spacing w:before="0" w:after="0" w:line="240" w:lineRule="exact"/>
              <w:jc w:val="left"/>
              <w:rPr>
                <w:rFonts w:ascii="宋体" w:hAnsi="宋体" w:eastAsia="宋体" w:cs="宋体"/>
                <w:sz w:val="18"/>
                <w:szCs w:val="18"/>
              </w:rPr>
            </w:pPr>
            <w:r>
              <w:rPr>
                <w:rFonts w:ascii="宋体" w:hAnsi="宋体" w:eastAsia="宋体" w:cs="宋体"/>
                <w:sz w:val="18"/>
                <w:szCs w:val="18"/>
              </w:rPr>
              <w:t>（上海）有限公司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78289C05">
            <w:pPr>
              <w:spacing w:before="0" w:after="0" w:line="240" w:lineRule="exact"/>
              <w:jc w:val="right"/>
              <w:rPr>
                <w:rFonts w:ascii="宋体" w:hAnsi="宋体" w:eastAsia="宋体" w:cs="宋体"/>
                <w:sz w:val="18"/>
                <w:szCs w:val="18"/>
              </w:rPr>
            </w:pPr>
            <w:r>
              <w:rPr>
                <w:rFonts w:ascii="宋体" w:hAnsi="宋体" w:eastAsia="宋体" w:cs="宋体"/>
                <w:sz w:val="18"/>
                <w:szCs w:val="18"/>
              </w:rPr>
              <w:t>150,000,000.00</w:t>
            </w:r>
          </w:p>
        </w:tc>
        <w:tc>
          <w:tcPr>
            <w:tcW w:w="1205" w:type="dxa"/>
            <w:tcBorders>
              <w:top w:val="single" w:color="auto" w:sz="2" w:space="0"/>
              <w:left w:val="single" w:color="auto" w:sz="2" w:space="0"/>
              <w:bottom w:val="single" w:color="auto" w:sz="2" w:space="0"/>
              <w:right w:val="single" w:color="auto" w:sz="2" w:space="0"/>
            </w:tcBorders>
            <w:vAlign w:val="center"/>
          </w:tcPr>
          <w:p w14:paraId="472C3E25">
            <w:pPr>
              <w:spacing w:before="0" w:after="0" w:line="240" w:lineRule="exact"/>
              <w:jc w:val="left"/>
              <w:rPr>
                <w:rFonts w:ascii="宋体" w:hAnsi="宋体" w:eastAsia="宋体" w:cs="宋体"/>
                <w:sz w:val="18"/>
                <w:szCs w:val="18"/>
              </w:rPr>
            </w:pPr>
            <w:r>
              <w:rPr>
                <w:rFonts w:ascii="宋体" w:hAnsi="宋体" w:eastAsia="宋体" w:cs="宋体"/>
                <w:sz w:val="18"/>
                <w:szCs w:val="18"/>
              </w:rPr>
              <w:t>上海市</w:t>
            </w:r>
          </w:p>
        </w:tc>
        <w:tc>
          <w:tcPr>
            <w:tcW w:w="1205" w:type="dxa"/>
            <w:tcBorders>
              <w:top w:val="single" w:color="auto" w:sz="2" w:space="0"/>
              <w:left w:val="single" w:color="auto" w:sz="2" w:space="0"/>
              <w:bottom w:val="single" w:color="auto" w:sz="2" w:space="0"/>
              <w:right w:val="single" w:color="auto" w:sz="2" w:space="0"/>
            </w:tcBorders>
            <w:vAlign w:val="center"/>
          </w:tcPr>
          <w:p w14:paraId="20AA2A97">
            <w:pPr>
              <w:spacing w:before="0" w:after="0" w:line="240" w:lineRule="exact"/>
              <w:jc w:val="left"/>
              <w:rPr>
                <w:rFonts w:ascii="宋体" w:hAnsi="宋体" w:eastAsia="宋体" w:cs="宋体"/>
                <w:sz w:val="18"/>
                <w:szCs w:val="18"/>
              </w:rPr>
            </w:pPr>
            <w:r>
              <w:rPr>
                <w:rFonts w:ascii="宋体" w:hAnsi="宋体" w:eastAsia="宋体" w:cs="宋体"/>
                <w:sz w:val="18"/>
                <w:szCs w:val="18"/>
              </w:rPr>
              <w:t>上海市</w:t>
            </w:r>
          </w:p>
        </w:tc>
        <w:tc>
          <w:tcPr>
            <w:tcW w:w="1205" w:type="dxa"/>
            <w:tcBorders>
              <w:top w:val="single" w:color="auto" w:sz="2" w:space="0"/>
              <w:left w:val="single" w:color="auto" w:sz="2" w:space="0"/>
              <w:bottom w:val="single" w:color="auto" w:sz="2" w:space="0"/>
              <w:right w:val="single" w:color="auto" w:sz="2" w:space="0"/>
            </w:tcBorders>
            <w:vAlign w:val="center"/>
          </w:tcPr>
          <w:p w14:paraId="06700E83">
            <w:pPr>
              <w:spacing w:before="0" w:after="0" w:line="240" w:lineRule="exact"/>
              <w:jc w:val="left"/>
              <w:rPr>
                <w:rFonts w:ascii="宋体" w:hAnsi="宋体" w:eastAsia="宋体" w:cs="宋体"/>
                <w:sz w:val="18"/>
                <w:szCs w:val="18"/>
              </w:rPr>
            </w:pPr>
            <w:r>
              <w:rPr>
                <w:rFonts w:ascii="宋体" w:hAnsi="宋体" w:eastAsia="宋体" w:cs="宋体"/>
                <w:sz w:val="18"/>
                <w:szCs w:val="18"/>
              </w:rPr>
              <w:t>医药研究和实</w:t>
            </w:r>
          </w:p>
          <w:p w14:paraId="53889C5D">
            <w:pPr>
              <w:spacing w:before="0" w:after="0" w:line="240" w:lineRule="exact"/>
              <w:jc w:val="left"/>
              <w:rPr>
                <w:rFonts w:ascii="宋体" w:hAnsi="宋体" w:eastAsia="宋体" w:cs="宋体"/>
                <w:sz w:val="18"/>
                <w:szCs w:val="18"/>
              </w:rPr>
            </w:pPr>
            <w:r>
              <w:rPr>
                <w:rFonts w:ascii="宋体" w:hAnsi="宋体" w:eastAsia="宋体" w:cs="宋体"/>
                <w:sz w:val="18"/>
                <w:szCs w:val="18"/>
              </w:rPr>
              <w:t>验发展</w:t>
            </w:r>
          </w:p>
        </w:tc>
        <w:tc>
          <w:tcPr>
            <w:tcW w:w="1205" w:type="dxa"/>
            <w:tcBorders>
              <w:top w:val="single" w:color="auto" w:sz="2" w:space="0"/>
              <w:left w:val="single" w:color="auto" w:sz="2" w:space="0"/>
              <w:bottom w:val="single" w:color="auto" w:sz="2" w:space="0"/>
              <w:right w:val="single" w:color="auto" w:sz="2" w:space="0"/>
            </w:tcBorders>
            <w:vAlign w:val="center"/>
          </w:tcPr>
          <w:p w14:paraId="153413D7">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4ACD52A6">
            <w:pPr>
              <w:spacing w:before="0" w:after="0" w:line="240" w:lineRule="exact"/>
              <w:jc w:val="right"/>
              <w:rPr>
                <w:rFonts w:ascii="宋体" w:hAnsi="宋体" w:eastAsia="宋体" w:cs="宋体"/>
                <w:sz w:val="18"/>
                <w:szCs w:val="18"/>
              </w:rPr>
            </w:pPr>
            <w:r>
              <w:rPr>
                <w:rFonts w:ascii="宋体" w:hAnsi="宋体" w:eastAsia="宋体" w:cs="宋体"/>
                <w:sz w:val="18"/>
                <w:szCs w:val="18"/>
              </w:rPr>
              <w:t>81.08%</w:t>
            </w:r>
          </w:p>
        </w:tc>
        <w:tc>
          <w:tcPr>
            <w:tcW w:w="1205" w:type="dxa"/>
            <w:tcBorders>
              <w:top w:val="single" w:color="auto" w:sz="2" w:space="0"/>
              <w:left w:val="single" w:color="auto" w:sz="2" w:space="0"/>
              <w:bottom w:val="single" w:color="auto" w:sz="2" w:space="0"/>
              <w:right w:val="single" w:color="auto" w:sz="2" w:space="0"/>
            </w:tcBorders>
            <w:vAlign w:val="center"/>
          </w:tcPr>
          <w:p w14:paraId="2B303F3E">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r w14:paraId="366D32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7D45451C">
            <w:pPr>
              <w:spacing w:before="0" w:after="0" w:line="240" w:lineRule="exact"/>
              <w:jc w:val="left"/>
              <w:rPr>
                <w:rFonts w:ascii="宋体" w:hAnsi="宋体" w:eastAsia="宋体" w:cs="宋体"/>
                <w:sz w:val="18"/>
                <w:szCs w:val="18"/>
              </w:rPr>
            </w:pPr>
            <w:r>
              <w:rPr>
                <w:rFonts w:ascii="宋体" w:hAnsi="宋体" w:eastAsia="宋体" w:cs="宋体"/>
                <w:sz w:val="18"/>
                <w:szCs w:val="18"/>
              </w:rPr>
              <w:t>北京广生中霖生物科技有限公司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7191AAED">
            <w:pPr>
              <w:spacing w:before="0" w:after="0" w:line="240" w:lineRule="exact"/>
              <w:jc w:val="right"/>
              <w:rPr>
                <w:rFonts w:ascii="宋体" w:hAnsi="宋体" w:eastAsia="宋体" w:cs="宋体"/>
                <w:sz w:val="18"/>
                <w:szCs w:val="18"/>
              </w:rPr>
            </w:pPr>
            <w:r>
              <w:rPr>
                <w:rFonts w:ascii="宋体" w:hAnsi="宋体" w:eastAsia="宋体" w:cs="宋体"/>
                <w:sz w:val="18"/>
                <w:szCs w:val="18"/>
              </w:rPr>
              <w:t>90,000,000.00</w:t>
            </w:r>
          </w:p>
        </w:tc>
        <w:tc>
          <w:tcPr>
            <w:tcW w:w="1205" w:type="dxa"/>
            <w:tcBorders>
              <w:top w:val="single" w:color="auto" w:sz="2" w:space="0"/>
              <w:left w:val="single" w:color="auto" w:sz="2" w:space="0"/>
              <w:bottom w:val="single" w:color="auto" w:sz="2" w:space="0"/>
              <w:right w:val="single" w:color="auto" w:sz="2" w:space="0"/>
            </w:tcBorders>
            <w:vAlign w:val="center"/>
          </w:tcPr>
          <w:p w14:paraId="12BA3481">
            <w:pPr>
              <w:spacing w:before="0" w:after="0" w:line="240" w:lineRule="exact"/>
              <w:jc w:val="left"/>
              <w:rPr>
                <w:rFonts w:ascii="宋体" w:hAnsi="宋体" w:eastAsia="宋体" w:cs="宋体"/>
                <w:sz w:val="18"/>
                <w:szCs w:val="18"/>
              </w:rPr>
            </w:pPr>
            <w:r>
              <w:rPr>
                <w:rFonts w:ascii="宋体" w:hAnsi="宋体" w:eastAsia="宋体" w:cs="宋体"/>
                <w:sz w:val="18"/>
                <w:szCs w:val="18"/>
              </w:rPr>
              <w:t>北京市</w:t>
            </w:r>
          </w:p>
        </w:tc>
        <w:tc>
          <w:tcPr>
            <w:tcW w:w="1205" w:type="dxa"/>
            <w:tcBorders>
              <w:top w:val="single" w:color="auto" w:sz="2" w:space="0"/>
              <w:left w:val="single" w:color="auto" w:sz="2" w:space="0"/>
              <w:bottom w:val="single" w:color="auto" w:sz="2" w:space="0"/>
              <w:right w:val="single" w:color="auto" w:sz="2" w:space="0"/>
            </w:tcBorders>
            <w:vAlign w:val="center"/>
          </w:tcPr>
          <w:p w14:paraId="625B053A">
            <w:pPr>
              <w:spacing w:before="0" w:after="0" w:line="240" w:lineRule="exact"/>
              <w:jc w:val="left"/>
              <w:rPr>
                <w:rFonts w:ascii="宋体" w:hAnsi="宋体" w:eastAsia="宋体" w:cs="宋体"/>
                <w:sz w:val="18"/>
                <w:szCs w:val="18"/>
              </w:rPr>
            </w:pPr>
            <w:r>
              <w:rPr>
                <w:rFonts w:ascii="宋体" w:hAnsi="宋体" w:eastAsia="宋体" w:cs="宋体"/>
                <w:sz w:val="18"/>
                <w:szCs w:val="18"/>
              </w:rPr>
              <w:t>北京市</w:t>
            </w:r>
          </w:p>
        </w:tc>
        <w:tc>
          <w:tcPr>
            <w:tcW w:w="1205" w:type="dxa"/>
            <w:tcBorders>
              <w:top w:val="single" w:color="auto" w:sz="2" w:space="0"/>
              <w:left w:val="single" w:color="auto" w:sz="2" w:space="0"/>
              <w:bottom w:val="single" w:color="auto" w:sz="2" w:space="0"/>
              <w:right w:val="single" w:color="auto" w:sz="2" w:space="0"/>
            </w:tcBorders>
            <w:vAlign w:val="center"/>
          </w:tcPr>
          <w:p w14:paraId="74FD5357">
            <w:pPr>
              <w:spacing w:before="0" w:after="0" w:line="240" w:lineRule="exact"/>
              <w:jc w:val="left"/>
              <w:rPr>
                <w:rFonts w:ascii="宋体" w:hAnsi="宋体" w:eastAsia="宋体" w:cs="宋体"/>
                <w:sz w:val="18"/>
                <w:szCs w:val="18"/>
              </w:rPr>
            </w:pPr>
            <w:r>
              <w:rPr>
                <w:rFonts w:ascii="宋体" w:hAnsi="宋体" w:eastAsia="宋体" w:cs="宋体"/>
                <w:sz w:val="18"/>
                <w:szCs w:val="18"/>
              </w:rPr>
              <w:t>医药研究和实验发展</w:t>
            </w:r>
          </w:p>
        </w:tc>
        <w:tc>
          <w:tcPr>
            <w:tcW w:w="1205" w:type="dxa"/>
            <w:tcBorders>
              <w:top w:val="single" w:color="auto" w:sz="2" w:space="0"/>
              <w:left w:val="single" w:color="auto" w:sz="2" w:space="0"/>
              <w:bottom w:val="single" w:color="auto" w:sz="2" w:space="0"/>
              <w:right w:val="single" w:color="auto" w:sz="2" w:space="0"/>
            </w:tcBorders>
            <w:vAlign w:val="center"/>
          </w:tcPr>
          <w:p w14:paraId="7F05F0B4">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DC0AFE1">
            <w:pPr>
              <w:spacing w:before="0" w:after="0" w:line="240" w:lineRule="exact"/>
              <w:jc w:val="right"/>
              <w:rPr>
                <w:rFonts w:ascii="宋体" w:hAnsi="宋体" w:eastAsia="宋体" w:cs="宋体"/>
                <w:sz w:val="18"/>
                <w:szCs w:val="18"/>
              </w:rPr>
            </w:pPr>
            <w:r>
              <w:rPr>
                <w:rFonts w:ascii="宋体" w:hAnsi="宋体" w:eastAsia="宋体" w:cs="宋体"/>
                <w:sz w:val="18"/>
                <w:szCs w:val="18"/>
              </w:rPr>
              <w:t>81.08%</w:t>
            </w:r>
          </w:p>
        </w:tc>
        <w:tc>
          <w:tcPr>
            <w:tcW w:w="1205" w:type="dxa"/>
            <w:tcBorders>
              <w:top w:val="single" w:color="auto" w:sz="2" w:space="0"/>
              <w:left w:val="single" w:color="auto" w:sz="2" w:space="0"/>
              <w:bottom w:val="single" w:color="auto" w:sz="2" w:space="0"/>
              <w:right w:val="single" w:color="auto" w:sz="2" w:space="0"/>
            </w:tcBorders>
            <w:vAlign w:val="center"/>
          </w:tcPr>
          <w:p w14:paraId="22B4BA60">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r w14:paraId="6A3B4C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6FB640BF">
            <w:pPr>
              <w:spacing w:before="0" w:after="0" w:line="240" w:lineRule="exact"/>
              <w:jc w:val="left"/>
              <w:rPr>
                <w:rFonts w:ascii="宋体" w:hAnsi="宋体" w:eastAsia="宋体" w:cs="宋体"/>
                <w:sz w:val="18"/>
                <w:szCs w:val="18"/>
              </w:rPr>
            </w:pPr>
            <w:r>
              <w:rPr>
                <w:rFonts w:ascii="宋体" w:hAnsi="宋体" w:eastAsia="宋体" w:cs="宋体"/>
                <w:sz w:val="18"/>
                <w:szCs w:val="18"/>
              </w:rPr>
              <w:t>广喆来药业（福建）有限公司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37EC365D">
            <w:pPr>
              <w:spacing w:before="0" w:after="0" w:line="240" w:lineRule="exact"/>
              <w:jc w:val="right"/>
              <w:rPr>
                <w:rFonts w:ascii="宋体" w:hAnsi="宋体" w:eastAsia="宋体" w:cs="宋体"/>
                <w:sz w:val="18"/>
                <w:szCs w:val="18"/>
              </w:rPr>
            </w:pPr>
            <w:r>
              <w:rPr>
                <w:rFonts w:ascii="宋体" w:hAnsi="宋体" w:eastAsia="宋体" w:cs="宋体"/>
                <w:sz w:val="18"/>
                <w:szCs w:val="18"/>
              </w:rPr>
              <w:t>50,000,000.00</w:t>
            </w:r>
          </w:p>
        </w:tc>
        <w:tc>
          <w:tcPr>
            <w:tcW w:w="1205" w:type="dxa"/>
            <w:tcBorders>
              <w:top w:val="single" w:color="auto" w:sz="2" w:space="0"/>
              <w:left w:val="single" w:color="auto" w:sz="2" w:space="0"/>
              <w:bottom w:val="single" w:color="auto" w:sz="2" w:space="0"/>
              <w:right w:val="single" w:color="auto" w:sz="2" w:space="0"/>
            </w:tcBorders>
            <w:vAlign w:val="center"/>
          </w:tcPr>
          <w:p w14:paraId="40E625FE">
            <w:pPr>
              <w:spacing w:before="0" w:after="0" w:line="240" w:lineRule="exact"/>
              <w:jc w:val="left"/>
              <w:rPr>
                <w:rFonts w:ascii="宋体" w:hAnsi="宋体" w:eastAsia="宋体" w:cs="宋体"/>
                <w:sz w:val="18"/>
                <w:szCs w:val="18"/>
              </w:rPr>
            </w:pPr>
            <w:r>
              <w:rPr>
                <w:rFonts w:ascii="宋体" w:hAnsi="宋体" w:eastAsia="宋体" w:cs="宋体"/>
                <w:sz w:val="18"/>
                <w:szCs w:val="18"/>
              </w:rPr>
              <w:t>福建省宁德市</w:t>
            </w:r>
          </w:p>
        </w:tc>
        <w:tc>
          <w:tcPr>
            <w:tcW w:w="1205" w:type="dxa"/>
            <w:tcBorders>
              <w:top w:val="single" w:color="auto" w:sz="2" w:space="0"/>
              <w:left w:val="single" w:color="auto" w:sz="2" w:space="0"/>
              <w:bottom w:val="single" w:color="auto" w:sz="2" w:space="0"/>
              <w:right w:val="single" w:color="auto" w:sz="2" w:space="0"/>
            </w:tcBorders>
            <w:vAlign w:val="center"/>
          </w:tcPr>
          <w:p w14:paraId="22ADA261">
            <w:pPr>
              <w:spacing w:before="0" w:after="0" w:line="240" w:lineRule="exact"/>
              <w:jc w:val="left"/>
              <w:rPr>
                <w:rFonts w:ascii="宋体" w:hAnsi="宋体" w:eastAsia="宋体" w:cs="宋体"/>
                <w:sz w:val="18"/>
                <w:szCs w:val="18"/>
              </w:rPr>
            </w:pPr>
            <w:r>
              <w:rPr>
                <w:rFonts w:ascii="宋体" w:hAnsi="宋体" w:eastAsia="宋体" w:cs="宋体"/>
                <w:sz w:val="18"/>
                <w:szCs w:val="18"/>
              </w:rPr>
              <w:t>福建省宁德市</w:t>
            </w:r>
          </w:p>
        </w:tc>
        <w:tc>
          <w:tcPr>
            <w:tcW w:w="1205" w:type="dxa"/>
            <w:tcBorders>
              <w:top w:val="single" w:color="auto" w:sz="2" w:space="0"/>
              <w:left w:val="single" w:color="auto" w:sz="2" w:space="0"/>
              <w:bottom w:val="single" w:color="auto" w:sz="2" w:space="0"/>
              <w:right w:val="single" w:color="auto" w:sz="2" w:space="0"/>
            </w:tcBorders>
            <w:vAlign w:val="center"/>
          </w:tcPr>
          <w:p w14:paraId="5822C94E">
            <w:pPr>
              <w:spacing w:before="0" w:after="0" w:line="240" w:lineRule="exact"/>
              <w:jc w:val="left"/>
              <w:rPr>
                <w:rFonts w:ascii="宋体" w:hAnsi="宋体" w:eastAsia="宋体" w:cs="宋体"/>
                <w:sz w:val="18"/>
                <w:szCs w:val="18"/>
              </w:rPr>
            </w:pPr>
            <w:r>
              <w:rPr>
                <w:rFonts w:ascii="宋体" w:hAnsi="宋体" w:eastAsia="宋体" w:cs="宋体"/>
                <w:sz w:val="18"/>
                <w:szCs w:val="18"/>
              </w:rPr>
              <w:t>医药销售</w:t>
            </w:r>
          </w:p>
        </w:tc>
        <w:tc>
          <w:tcPr>
            <w:tcW w:w="1205" w:type="dxa"/>
            <w:tcBorders>
              <w:top w:val="single" w:color="auto" w:sz="2" w:space="0"/>
              <w:left w:val="single" w:color="auto" w:sz="2" w:space="0"/>
              <w:bottom w:val="single" w:color="auto" w:sz="2" w:space="0"/>
              <w:right w:val="single" w:color="auto" w:sz="2" w:space="0"/>
            </w:tcBorders>
            <w:vAlign w:val="center"/>
          </w:tcPr>
          <w:p w14:paraId="57739FFC">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205" w:type="dxa"/>
            <w:tcBorders>
              <w:top w:val="single" w:color="auto" w:sz="2" w:space="0"/>
              <w:left w:val="single" w:color="auto" w:sz="2" w:space="0"/>
              <w:bottom w:val="single" w:color="auto" w:sz="2" w:space="0"/>
              <w:right w:val="single" w:color="auto" w:sz="2" w:space="0"/>
            </w:tcBorders>
            <w:vAlign w:val="center"/>
          </w:tcPr>
          <w:p w14:paraId="102F47ED">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F14654E">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r w14:paraId="2A53AA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49BB3E30">
            <w:pPr>
              <w:spacing w:before="0" w:after="0" w:line="240" w:lineRule="exact"/>
              <w:jc w:val="left"/>
              <w:rPr>
                <w:rFonts w:ascii="宋体" w:hAnsi="宋体" w:eastAsia="宋体" w:cs="宋体"/>
                <w:sz w:val="18"/>
                <w:szCs w:val="18"/>
              </w:rPr>
            </w:pPr>
            <w:r>
              <w:rPr>
                <w:rFonts w:ascii="宋体" w:hAnsi="宋体" w:eastAsia="宋体" w:cs="宋体"/>
                <w:sz w:val="18"/>
                <w:szCs w:val="18"/>
              </w:rPr>
              <w:t>广福来（北京）国际生物技术有限公司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62FC3CA4">
            <w:pPr>
              <w:spacing w:before="0" w:after="0" w:line="240" w:lineRule="exact"/>
              <w:jc w:val="right"/>
              <w:rPr>
                <w:rFonts w:ascii="宋体" w:hAnsi="宋体" w:eastAsia="宋体" w:cs="宋体"/>
                <w:sz w:val="18"/>
                <w:szCs w:val="18"/>
              </w:rPr>
            </w:pPr>
            <w:r>
              <w:rPr>
                <w:rFonts w:ascii="宋体" w:hAnsi="宋体" w:eastAsia="宋体" w:cs="宋体"/>
                <w:sz w:val="18"/>
                <w:szCs w:val="18"/>
              </w:rPr>
              <w:t>50,000,000.00</w:t>
            </w:r>
          </w:p>
        </w:tc>
        <w:tc>
          <w:tcPr>
            <w:tcW w:w="1205" w:type="dxa"/>
            <w:tcBorders>
              <w:top w:val="single" w:color="auto" w:sz="2" w:space="0"/>
              <w:left w:val="single" w:color="auto" w:sz="2" w:space="0"/>
              <w:bottom w:val="single" w:color="auto" w:sz="2" w:space="0"/>
              <w:right w:val="single" w:color="auto" w:sz="2" w:space="0"/>
            </w:tcBorders>
            <w:vAlign w:val="center"/>
          </w:tcPr>
          <w:p w14:paraId="7CA1774B">
            <w:pPr>
              <w:spacing w:before="0" w:after="0" w:line="240" w:lineRule="exact"/>
              <w:jc w:val="left"/>
              <w:rPr>
                <w:rFonts w:ascii="宋体" w:hAnsi="宋体" w:eastAsia="宋体" w:cs="宋体"/>
                <w:sz w:val="18"/>
                <w:szCs w:val="18"/>
              </w:rPr>
            </w:pPr>
            <w:r>
              <w:rPr>
                <w:rFonts w:ascii="宋体" w:hAnsi="宋体" w:eastAsia="宋体" w:cs="宋体"/>
                <w:sz w:val="18"/>
                <w:szCs w:val="18"/>
              </w:rPr>
              <w:t>北京市</w:t>
            </w:r>
          </w:p>
        </w:tc>
        <w:tc>
          <w:tcPr>
            <w:tcW w:w="1205" w:type="dxa"/>
            <w:tcBorders>
              <w:top w:val="single" w:color="auto" w:sz="2" w:space="0"/>
              <w:left w:val="single" w:color="auto" w:sz="2" w:space="0"/>
              <w:bottom w:val="single" w:color="auto" w:sz="2" w:space="0"/>
              <w:right w:val="single" w:color="auto" w:sz="2" w:space="0"/>
            </w:tcBorders>
            <w:vAlign w:val="center"/>
          </w:tcPr>
          <w:p w14:paraId="2E501DAB">
            <w:pPr>
              <w:spacing w:before="0" w:after="0" w:line="240" w:lineRule="exact"/>
              <w:jc w:val="left"/>
              <w:rPr>
                <w:rFonts w:ascii="宋体" w:hAnsi="宋体" w:eastAsia="宋体" w:cs="宋体"/>
                <w:sz w:val="18"/>
                <w:szCs w:val="18"/>
              </w:rPr>
            </w:pPr>
            <w:r>
              <w:rPr>
                <w:rFonts w:ascii="宋体" w:hAnsi="宋体" w:eastAsia="宋体" w:cs="宋体"/>
                <w:sz w:val="18"/>
                <w:szCs w:val="18"/>
              </w:rPr>
              <w:t>北京市</w:t>
            </w:r>
          </w:p>
        </w:tc>
        <w:tc>
          <w:tcPr>
            <w:tcW w:w="1205" w:type="dxa"/>
            <w:tcBorders>
              <w:top w:val="single" w:color="auto" w:sz="2" w:space="0"/>
              <w:left w:val="single" w:color="auto" w:sz="2" w:space="0"/>
              <w:bottom w:val="single" w:color="auto" w:sz="2" w:space="0"/>
              <w:right w:val="single" w:color="auto" w:sz="2" w:space="0"/>
            </w:tcBorders>
            <w:vAlign w:val="center"/>
          </w:tcPr>
          <w:p w14:paraId="0687F543">
            <w:pPr>
              <w:spacing w:before="0" w:after="0" w:line="240" w:lineRule="exact"/>
              <w:jc w:val="left"/>
              <w:rPr>
                <w:rFonts w:ascii="宋体" w:hAnsi="宋体" w:eastAsia="宋体" w:cs="宋体"/>
                <w:sz w:val="18"/>
                <w:szCs w:val="18"/>
              </w:rPr>
            </w:pPr>
            <w:r>
              <w:rPr>
                <w:rFonts w:ascii="宋体" w:hAnsi="宋体" w:eastAsia="宋体" w:cs="宋体"/>
                <w:sz w:val="18"/>
                <w:szCs w:val="18"/>
              </w:rPr>
              <w:t>技术服务及进出口</w:t>
            </w:r>
          </w:p>
        </w:tc>
        <w:tc>
          <w:tcPr>
            <w:tcW w:w="1205" w:type="dxa"/>
            <w:tcBorders>
              <w:top w:val="single" w:color="auto" w:sz="2" w:space="0"/>
              <w:left w:val="single" w:color="auto" w:sz="2" w:space="0"/>
              <w:bottom w:val="single" w:color="auto" w:sz="2" w:space="0"/>
              <w:right w:val="single" w:color="auto" w:sz="2" w:space="0"/>
            </w:tcBorders>
            <w:vAlign w:val="center"/>
          </w:tcPr>
          <w:p w14:paraId="7350326B">
            <w:pPr>
              <w:spacing w:before="0" w:after="0" w:line="240" w:lineRule="exact"/>
              <w:jc w:val="right"/>
              <w:rPr>
                <w:rFonts w:ascii="宋体" w:hAnsi="宋体" w:eastAsia="宋体" w:cs="宋体"/>
                <w:sz w:val="18"/>
                <w:szCs w:val="18"/>
              </w:rPr>
            </w:pPr>
            <w:r>
              <w:rPr>
                <w:rFonts w:ascii="宋体" w:hAnsi="宋体" w:eastAsia="宋体" w:cs="宋体"/>
                <w:sz w:val="18"/>
                <w:szCs w:val="18"/>
              </w:rPr>
              <w:t>70.00%</w:t>
            </w:r>
          </w:p>
        </w:tc>
        <w:tc>
          <w:tcPr>
            <w:tcW w:w="1205" w:type="dxa"/>
            <w:tcBorders>
              <w:top w:val="single" w:color="auto" w:sz="2" w:space="0"/>
              <w:left w:val="single" w:color="auto" w:sz="2" w:space="0"/>
              <w:bottom w:val="single" w:color="auto" w:sz="2" w:space="0"/>
              <w:right w:val="single" w:color="auto" w:sz="2" w:space="0"/>
            </w:tcBorders>
            <w:vAlign w:val="center"/>
          </w:tcPr>
          <w:p w14:paraId="77D3678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522F57E">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r w14:paraId="24BF57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6CDD43F9">
            <w:pPr>
              <w:spacing w:before="0" w:after="0" w:line="240" w:lineRule="exact"/>
              <w:jc w:val="left"/>
              <w:rPr>
                <w:rFonts w:ascii="宋体" w:hAnsi="宋体" w:eastAsia="宋体" w:cs="宋体"/>
                <w:sz w:val="18"/>
                <w:szCs w:val="18"/>
              </w:rPr>
            </w:pPr>
            <w:r>
              <w:rPr>
                <w:rFonts w:ascii="宋体" w:hAnsi="宋体" w:eastAsia="宋体" w:cs="宋体"/>
                <w:sz w:val="18"/>
                <w:szCs w:val="18"/>
              </w:rPr>
              <w:t>广生堂药业（漳州）有限公司</w:t>
            </w:r>
          </w:p>
        </w:tc>
        <w:tc>
          <w:tcPr>
            <w:tcW w:w="1205" w:type="dxa"/>
            <w:tcBorders>
              <w:top w:val="single" w:color="auto" w:sz="2" w:space="0"/>
              <w:left w:val="single" w:color="auto" w:sz="2" w:space="0"/>
              <w:bottom w:val="single" w:color="auto" w:sz="2" w:space="0"/>
              <w:right w:val="single" w:color="auto" w:sz="2" w:space="0"/>
            </w:tcBorders>
            <w:vAlign w:val="center"/>
          </w:tcPr>
          <w:p w14:paraId="72506FD7">
            <w:pPr>
              <w:spacing w:before="0" w:after="0" w:line="240" w:lineRule="exact"/>
              <w:jc w:val="right"/>
              <w:rPr>
                <w:rFonts w:ascii="宋体" w:hAnsi="宋体" w:eastAsia="宋体" w:cs="宋体"/>
                <w:sz w:val="18"/>
                <w:szCs w:val="18"/>
              </w:rPr>
            </w:pPr>
            <w:r>
              <w:rPr>
                <w:rFonts w:ascii="宋体" w:hAnsi="宋体" w:eastAsia="宋体" w:cs="宋体"/>
                <w:sz w:val="18"/>
                <w:szCs w:val="18"/>
              </w:rPr>
              <w:t>49,000,000.00</w:t>
            </w:r>
          </w:p>
        </w:tc>
        <w:tc>
          <w:tcPr>
            <w:tcW w:w="1205" w:type="dxa"/>
            <w:tcBorders>
              <w:top w:val="single" w:color="auto" w:sz="2" w:space="0"/>
              <w:left w:val="single" w:color="auto" w:sz="2" w:space="0"/>
              <w:bottom w:val="single" w:color="auto" w:sz="2" w:space="0"/>
              <w:right w:val="single" w:color="auto" w:sz="2" w:space="0"/>
            </w:tcBorders>
            <w:vAlign w:val="center"/>
          </w:tcPr>
          <w:p w14:paraId="4244616A">
            <w:pPr>
              <w:spacing w:before="0" w:after="0" w:line="240" w:lineRule="exact"/>
              <w:jc w:val="left"/>
              <w:rPr>
                <w:rFonts w:ascii="宋体" w:hAnsi="宋体" w:eastAsia="宋体" w:cs="宋体"/>
                <w:sz w:val="18"/>
                <w:szCs w:val="18"/>
              </w:rPr>
            </w:pPr>
            <w:r>
              <w:rPr>
                <w:rFonts w:ascii="宋体" w:hAnsi="宋体" w:eastAsia="宋体" w:cs="宋体"/>
                <w:sz w:val="18"/>
                <w:szCs w:val="18"/>
              </w:rPr>
              <w:t>漳州市</w:t>
            </w:r>
          </w:p>
        </w:tc>
        <w:tc>
          <w:tcPr>
            <w:tcW w:w="1205" w:type="dxa"/>
            <w:tcBorders>
              <w:top w:val="single" w:color="auto" w:sz="2" w:space="0"/>
              <w:left w:val="single" w:color="auto" w:sz="2" w:space="0"/>
              <w:bottom w:val="single" w:color="auto" w:sz="2" w:space="0"/>
              <w:right w:val="single" w:color="auto" w:sz="2" w:space="0"/>
            </w:tcBorders>
            <w:vAlign w:val="center"/>
          </w:tcPr>
          <w:p w14:paraId="24BFBCBE">
            <w:pPr>
              <w:spacing w:before="0" w:after="0" w:line="240" w:lineRule="exact"/>
              <w:jc w:val="left"/>
              <w:rPr>
                <w:rFonts w:ascii="宋体" w:hAnsi="宋体" w:eastAsia="宋体" w:cs="宋体"/>
                <w:sz w:val="18"/>
                <w:szCs w:val="18"/>
              </w:rPr>
            </w:pPr>
            <w:r>
              <w:rPr>
                <w:rFonts w:ascii="宋体" w:hAnsi="宋体" w:eastAsia="宋体" w:cs="宋体"/>
                <w:sz w:val="18"/>
                <w:szCs w:val="18"/>
              </w:rPr>
              <w:t>漳州市</w:t>
            </w:r>
          </w:p>
        </w:tc>
        <w:tc>
          <w:tcPr>
            <w:tcW w:w="1205" w:type="dxa"/>
            <w:tcBorders>
              <w:top w:val="single" w:color="auto" w:sz="2" w:space="0"/>
              <w:left w:val="single" w:color="auto" w:sz="2" w:space="0"/>
              <w:bottom w:val="single" w:color="auto" w:sz="2" w:space="0"/>
              <w:right w:val="single" w:color="auto" w:sz="2" w:space="0"/>
            </w:tcBorders>
            <w:vAlign w:val="center"/>
          </w:tcPr>
          <w:p w14:paraId="374B89B3">
            <w:pPr>
              <w:spacing w:before="0" w:after="0" w:line="240" w:lineRule="exact"/>
              <w:jc w:val="left"/>
              <w:rPr>
                <w:rFonts w:ascii="宋体" w:hAnsi="宋体" w:eastAsia="宋体" w:cs="宋体"/>
                <w:sz w:val="18"/>
                <w:szCs w:val="18"/>
              </w:rPr>
            </w:pPr>
            <w:r>
              <w:rPr>
                <w:rFonts w:ascii="宋体" w:hAnsi="宋体" w:eastAsia="宋体" w:cs="宋体"/>
                <w:sz w:val="18"/>
                <w:szCs w:val="18"/>
              </w:rPr>
              <w:t>医药销售</w:t>
            </w:r>
          </w:p>
        </w:tc>
        <w:tc>
          <w:tcPr>
            <w:tcW w:w="1205" w:type="dxa"/>
            <w:tcBorders>
              <w:top w:val="single" w:color="auto" w:sz="2" w:space="0"/>
              <w:left w:val="single" w:color="auto" w:sz="2" w:space="0"/>
              <w:bottom w:val="single" w:color="auto" w:sz="2" w:space="0"/>
              <w:right w:val="single" w:color="auto" w:sz="2" w:space="0"/>
            </w:tcBorders>
            <w:vAlign w:val="center"/>
          </w:tcPr>
          <w:p w14:paraId="2340FF93">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205" w:type="dxa"/>
            <w:tcBorders>
              <w:top w:val="single" w:color="auto" w:sz="2" w:space="0"/>
              <w:left w:val="single" w:color="auto" w:sz="2" w:space="0"/>
              <w:bottom w:val="single" w:color="auto" w:sz="2" w:space="0"/>
              <w:right w:val="single" w:color="auto" w:sz="2" w:space="0"/>
            </w:tcBorders>
            <w:vAlign w:val="center"/>
          </w:tcPr>
          <w:p w14:paraId="60DC991E">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2E38B2C">
            <w:pPr>
              <w:spacing w:before="0" w:after="0" w:line="240" w:lineRule="exact"/>
              <w:jc w:val="left"/>
              <w:rPr>
                <w:rFonts w:ascii="宋体" w:hAnsi="宋体" w:eastAsia="宋体" w:cs="宋体"/>
                <w:sz w:val="18"/>
                <w:szCs w:val="18"/>
              </w:rPr>
            </w:pPr>
            <w:r>
              <w:rPr>
                <w:rFonts w:ascii="宋体" w:hAnsi="宋体" w:eastAsia="宋体" w:cs="宋体"/>
                <w:sz w:val="18"/>
                <w:szCs w:val="18"/>
              </w:rPr>
              <w:t>设立</w:t>
            </w:r>
          </w:p>
        </w:tc>
      </w:tr>
    </w:tbl>
    <w:p w14:paraId="7D270AF0">
      <w:pPr>
        <w:spacing w:before="100" w:after="100" w:line="240" w:lineRule="exact"/>
        <w:jc w:val="left"/>
        <w:rPr>
          <w:rFonts w:ascii="宋体" w:hAnsi="宋体" w:eastAsia="宋体" w:cs="宋体"/>
          <w:sz w:val="18"/>
          <w:szCs w:val="18"/>
        </w:rPr>
      </w:pPr>
      <w:r>
        <w:rPr>
          <w:rFonts w:ascii="宋体" w:hAnsi="宋体" w:eastAsia="宋体" w:cs="宋体"/>
          <w:sz w:val="18"/>
          <w:szCs w:val="18"/>
        </w:rPr>
        <w:t>在子公司的持股比例不同于表决权比例的说明：</w:t>
      </w:r>
    </w:p>
    <w:p w14:paraId="04401390">
      <w:pPr>
        <w:spacing w:before="100" w:after="100" w:line="240" w:lineRule="exact"/>
        <w:jc w:val="left"/>
        <w:rPr>
          <w:rFonts w:ascii="宋体" w:hAnsi="宋体" w:eastAsia="宋体" w:cs="宋体"/>
          <w:sz w:val="18"/>
          <w:szCs w:val="18"/>
        </w:rPr>
      </w:pPr>
      <w:r>
        <w:rPr>
          <w:rFonts w:ascii="宋体" w:hAnsi="宋体" w:eastAsia="宋体" w:cs="宋体"/>
          <w:sz w:val="18"/>
          <w:szCs w:val="18"/>
        </w:rPr>
        <w:t>持有半数或以下表决权但仍控制被投资单位、以及持有半数以上表决权但不控制被投资单位的依据：</w:t>
      </w:r>
    </w:p>
    <w:p w14:paraId="0F666C01">
      <w:pPr>
        <w:spacing w:before="100" w:after="100" w:line="240" w:lineRule="exact"/>
        <w:jc w:val="left"/>
        <w:rPr>
          <w:rFonts w:ascii="宋体" w:hAnsi="宋体" w:eastAsia="宋体" w:cs="宋体"/>
          <w:sz w:val="18"/>
          <w:szCs w:val="18"/>
        </w:rPr>
      </w:pPr>
      <w:r>
        <w:rPr>
          <w:rFonts w:ascii="宋体" w:hAnsi="宋体" w:eastAsia="宋体" w:cs="宋体"/>
          <w:sz w:val="18"/>
          <w:szCs w:val="18"/>
        </w:rPr>
        <w:t>对于纳入合并范围的重要的结构化主体，控制的依据：</w:t>
      </w:r>
    </w:p>
    <w:p w14:paraId="58F0C0AD">
      <w:pPr>
        <w:spacing w:before="100" w:after="100" w:line="240" w:lineRule="exact"/>
        <w:jc w:val="left"/>
        <w:rPr>
          <w:rFonts w:ascii="宋体" w:hAnsi="宋体" w:eastAsia="宋体" w:cs="宋体"/>
          <w:sz w:val="18"/>
          <w:szCs w:val="18"/>
        </w:rPr>
      </w:pPr>
      <w:r>
        <w:rPr>
          <w:rFonts w:ascii="宋体" w:hAnsi="宋体" w:eastAsia="宋体" w:cs="宋体"/>
          <w:sz w:val="18"/>
          <w:szCs w:val="18"/>
        </w:rPr>
        <w:t>确定公司是代理人还是委托人的依据：</w:t>
      </w:r>
    </w:p>
    <w:p w14:paraId="56E2E3F5">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3F2467F">
      <w:pPr>
        <w:keepNext/>
        <w:keepLines/>
        <w:spacing w:before="300" w:after="300" w:line="280" w:lineRule="exact"/>
        <w:jc w:val="left"/>
        <w:outlineLvl w:val="3"/>
        <w:rPr>
          <w:rFonts w:ascii="宋体" w:hAnsi="宋体" w:eastAsia="宋体" w:cs="宋体"/>
          <w:b/>
          <w:bCs/>
          <w:sz w:val="18"/>
          <w:szCs w:val="18"/>
        </w:rPr>
      </w:pPr>
      <w:bookmarkStart w:id="481" w:name="_Toc989364"/>
      <w:r>
        <w:rPr>
          <w:rFonts w:ascii="宋体" w:hAnsi="宋体" w:eastAsia="宋体" w:cs="宋体"/>
          <w:b/>
          <w:bCs/>
          <w:sz w:val="18"/>
          <w:szCs w:val="18"/>
        </w:rPr>
        <w:t>（2） 重要的非全资子公司</w:t>
      </w:r>
      <w:bookmarkEnd w:id="481"/>
    </w:p>
    <w:p w14:paraId="7E9B750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6D1365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D1A2073">
            <w:pPr>
              <w:spacing w:before="40" w:after="40" w:line="240" w:lineRule="exact"/>
              <w:jc w:val="center"/>
              <w:rPr>
                <w:rFonts w:ascii="宋体" w:hAnsi="宋体" w:eastAsia="宋体" w:cs="宋体"/>
                <w:sz w:val="18"/>
                <w:szCs w:val="18"/>
              </w:rPr>
            </w:pPr>
            <w:r>
              <w:rPr>
                <w:rFonts w:ascii="宋体" w:hAnsi="宋体" w:eastAsia="宋体" w:cs="宋体"/>
                <w:sz w:val="18"/>
                <w:szCs w:val="18"/>
              </w:rPr>
              <w:t>子公司名称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1CFBE6B">
            <w:pPr>
              <w:spacing w:before="40" w:after="40" w:line="240" w:lineRule="exact"/>
              <w:jc w:val="center"/>
              <w:rPr>
                <w:rFonts w:ascii="宋体" w:hAnsi="宋体" w:eastAsia="宋体" w:cs="宋体"/>
                <w:sz w:val="18"/>
                <w:szCs w:val="18"/>
              </w:rPr>
            </w:pPr>
            <w:r>
              <w:rPr>
                <w:rFonts w:ascii="宋体" w:hAnsi="宋体" w:eastAsia="宋体" w:cs="宋体"/>
                <w:sz w:val="18"/>
                <w:szCs w:val="18"/>
              </w:rPr>
              <w:t>少数股东持股比例</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5046C54">
            <w:pPr>
              <w:spacing w:before="40" w:after="40" w:line="240" w:lineRule="exact"/>
              <w:jc w:val="center"/>
              <w:rPr>
                <w:rFonts w:ascii="宋体" w:hAnsi="宋体" w:eastAsia="宋体" w:cs="宋体"/>
                <w:sz w:val="18"/>
                <w:szCs w:val="18"/>
              </w:rPr>
            </w:pPr>
            <w:r>
              <w:rPr>
                <w:rFonts w:ascii="宋体" w:hAnsi="宋体" w:eastAsia="宋体" w:cs="宋体"/>
                <w:sz w:val="18"/>
                <w:szCs w:val="18"/>
              </w:rPr>
              <w:t>本期归属于少数股东的损益</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C892FDE">
            <w:pPr>
              <w:spacing w:before="40" w:after="40" w:line="240" w:lineRule="exact"/>
              <w:jc w:val="center"/>
              <w:rPr>
                <w:rFonts w:ascii="宋体" w:hAnsi="宋体" w:eastAsia="宋体" w:cs="宋体"/>
                <w:sz w:val="18"/>
                <w:szCs w:val="18"/>
              </w:rPr>
            </w:pPr>
            <w:r>
              <w:rPr>
                <w:rFonts w:ascii="宋体" w:hAnsi="宋体" w:eastAsia="宋体" w:cs="宋体"/>
                <w:sz w:val="18"/>
                <w:szCs w:val="18"/>
              </w:rPr>
              <w:t>本期向少数股东宣告分派的股利</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50CF160">
            <w:pPr>
              <w:spacing w:before="40" w:after="40" w:line="240" w:lineRule="exact"/>
              <w:jc w:val="center"/>
              <w:rPr>
                <w:rFonts w:ascii="宋体" w:hAnsi="宋体" w:eastAsia="宋体" w:cs="宋体"/>
                <w:sz w:val="18"/>
                <w:szCs w:val="18"/>
              </w:rPr>
            </w:pPr>
            <w:r>
              <w:rPr>
                <w:rFonts w:ascii="宋体" w:hAnsi="宋体" w:eastAsia="宋体" w:cs="宋体"/>
                <w:sz w:val="18"/>
                <w:szCs w:val="18"/>
              </w:rPr>
              <w:t>期末少数股东权益余额</w:t>
            </w:r>
          </w:p>
        </w:tc>
      </w:tr>
      <w:tr w14:paraId="544DC2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0E12A657">
            <w:pPr>
              <w:spacing w:before="0" w:after="0" w:line="240" w:lineRule="exact"/>
              <w:jc w:val="left"/>
              <w:rPr>
                <w:rFonts w:ascii="宋体" w:hAnsi="宋体" w:eastAsia="宋体" w:cs="宋体"/>
                <w:sz w:val="18"/>
                <w:szCs w:val="18"/>
              </w:rPr>
            </w:pPr>
            <w:r>
              <w:rPr>
                <w:rFonts w:ascii="宋体" w:hAnsi="宋体" w:eastAsia="宋体" w:cs="宋体"/>
                <w:sz w:val="18"/>
                <w:szCs w:val="18"/>
              </w:rPr>
              <w:t>福建广生中霖生物科技有限公司</w:t>
            </w:r>
          </w:p>
        </w:tc>
        <w:tc>
          <w:tcPr>
            <w:tcW w:w="1928" w:type="dxa"/>
            <w:tcBorders>
              <w:top w:val="single" w:color="auto" w:sz="2" w:space="0"/>
              <w:left w:val="single" w:color="auto" w:sz="2" w:space="0"/>
              <w:bottom w:val="single" w:color="auto" w:sz="2" w:space="0"/>
              <w:right w:val="single" w:color="auto" w:sz="2" w:space="0"/>
            </w:tcBorders>
            <w:vAlign w:val="center"/>
          </w:tcPr>
          <w:p w14:paraId="1908BE18">
            <w:pPr>
              <w:spacing w:before="0" w:after="0" w:line="240" w:lineRule="exact"/>
              <w:jc w:val="right"/>
              <w:rPr>
                <w:rFonts w:ascii="宋体" w:hAnsi="宋体" w:eastAsia="宋体" w:cs="宋体"/>
                <w:sz w:val="18"/>
                <w:szCs w:val="18"/>
              </w:rPr>
            </w:pPr>
            <w:r>
              <w:rPr>
                <w:rFonts w:ascii="宋体" w:hAnsi="宋体" w:eastAsia="宋体" w:cs="宋体"/>
                <w:sz w:val="18"/>
                <w:szCs w:val="18"/>
              </w:rPr>
              <w:t>18.92%</w:t>
            </w:r>
          </w:p>
        </w:tc>
        <w:tc>
          <w:tcPr>
            <w:tcW w:w="1928" w:type="dxa"/>
            <w:tcBorders>
              <w:top w:val="single" w:color="auto" w:sz="2" w:space="0"/>
              <w:left w:val="single" w:color="auto" w:sz="2" w:space="0"/>
              <w:bottom w:val="single" w:color="auto" w:sz="2" w:space="0"/>
              <w:right w:val="single" w:color="auto" w:sz="2" w:space="0"/>
            </w:tcBorders>
            <w:vAlign w:val="center"/>
          </w:tcPr>
          <w:p w14:paraId="3E6C8963">
            <w:pPr>
              <w:spacing w:before="0" w:after="0" w:line="240" w:lineRule="exact"/>
              <w:jc w:val="right"/>
              <w:rPr>
                <w:rFonts w:ascii="宋体" w:hAnsi="宋体" w:eastAsia="宋体" w:cs="宋体"/>
                <w:sz w:val="18"/>
                <w:szCs w:val="18"/>
              </w:rPr>
            </w:pPr>
            <w:r>
              <w:rPr>
                <w:rFonts w:ascii="宋体" w:hAnsi="宋体" w:eastAsia="宋体" w:cs="宋体"/>
                <w:sz w:val="18"/>
                <w:szCs w:val="18"/>
              </w:rPr>
              <w:t>-16,162,681.16</w:t>
            </w:r>
          </w:p>
        </w:tc>
        <w:tc>
          <w:tcPr>
            <w:tcW w:w="1928" w:type="dxa"/>
            <w:tcBorders>
              <w:top w:val="single" w:color="auto" w:sz="2" w:space="0"/>
              <w:left w:val="single" w:color="auto" w:sz="2" w:space="0"/>
              <w:bottom w:val="single" w:color="auto" w:sz="2" w:space="0"/>
              <w:right w:val="single" w:color="auto" w:sz="2" w:space="0"/>
            </w:tcBorders>
            <w:vAlign w:val="center"/>
          </w:tcPr>
          <w:p w14:paraId="7993F6A7">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63CEF11C">
            <w:pPr>
              <w:spacing w:before="0" w:after="0" w:line="240" w:lineRule="exact"/>
              <w:jc w:val="right"/>
              <w:rPr>
                <w:rFonts w:ascii="宋体" w:hAnsi="宋体" w:eastAsia="宋体" w:cs="宋体"/>
                <w:sz w:val="18"/>
                <w:szCs w:val="18"/>
              </w:rPr>
            </w:pPr>
            <w:r>
              <w:rPr>
                <w:rFonts w:ascii="宋体" w:hAnsi="宋体" w:eastAsia="宋体" w:cs="宋体"/>
                <w:sz w:val="18"/>
                <w:szCs w:val="18"/>
              </w:rPr>
              <w:t>36,599,097.85</w:t>
            </w:r>
          </w:p>
        </w:tc>
      </w:tr>
    </w:tbl>
    <w:p w14:paraId="2E9C236B">
      <w:pPr>
        <w:spacing w:before="100" w:after="100" w:line="240" w:lineRule="exact"/>
        <w:jc w:val="left"/>
        <w:rPr>
          <w:rFonts w:ascii="宋体" w:hAnsi="宋体" w:eastAsia="宋体" w:cs="宋体"/>
          <w:sz w:val="18"/>
          <w:szCs w:val="18"/>
        </w:rPr>
      </w:pPr>
      <w:r>
        <w:rPr>
          <w:rFonts w:ascii="宋体" w:hAnsi="宋体" w:eastAsia="宋体" w:cs="宋体"/>
          <w:sz w:val="18"/>
          <w:szCs w:val="18"/>
        </w:rPr>
        <w:t>子公司少数股东的持股比例不同于表决权比例的说明：</w:t>
      </w:r>
    </w:p>
    <w:p w14:paraId="1206FBD0">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B083890">
      <w:pPr>
        <w:keepNext/>
        <w:keepLines/>
        <w:spacing w:before="300" w:after="300" w:line="280" w:lineRule="exact"/>
        <w:jc w:val="left"/>
        <w:outlineLvl w:val="3"/>
        <w:rPr>
          <w:rFonts w:ascii="宋体" w:hAnsi="宋体" w:eastAsia="宋体" w:cs="宋体"/>
          <w:b/>
          <w:bCs/>
          <w:sz w:val="18"/>
          <w:szCs w:val="18"/>
        </w:rPr>
      </w:pPr>
      <w:bookmarkStart w:id="482" w:name="_Toc989365"/>
      <w:r>
        <w:rPr>
          <w:rFonts w:ascii="宋体" w:hAnsi="宋体" w:eastAsia="宋体" w:cs="宋体"/>
          <w:b/>
          <w:bCs/>
          <w:sz w:val="18"/>
          <w:szCs w:val="18"/>
        </w:rPr>
        <w:t>（3） 重要非全资子公司的主要财务信息</w:t>
      </w:r>
      <w:bookmarkEnd w:id="482"/>
    </w:p>
    <w:p w14:paraId="08B8F33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41"/>
        <w:gridCol w:w="741"/>
        <w:gridCol w:w="741"/>
        <w:gridCol w:w="741"/>
        <w:gridCol w:w="741"/>
        <w:gridCol w:w="741"/>
        <w:gridCol w:w="741"/>
        <w:gridCol w:w="741"/>
        <w:gridCol w:w="741"/>
        <w:gridCol w:w="741"/>
        <w:gridCol w:w="741"/>
        <w:gridCol w:w="741"/>
        <w:gridCol w:w="741"/>
      </w:tblGrid>
      <w:tr w14:paraId="7F0867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92D6C2D">
            <w:pPr>
              <w:spacing w:before="40" w:after="40" w:line="240" w:lineRule="exact"/>
              <w:jc w:val="center"/>
              <w:rPr>
                <w:rFonts w:ascii="宋体" w:hAnsi="宋体" w:eastAsia="宋体" w:cs="宋体"/>
                <w:sz w:val="18"/>
                <w:szCs w:val="18"/>
              </w:rPr>
            </w:pPr>
            <w:r>
              <w:rPr>
                <w:rFonts w:ascii="宋体" w:hAnsi="宋体" w:eastAsia="宋体" w:cs="宋体"/>
                <w:sz w:val="18"/>
                <w:szCs w:val="18"/>
              </w:rPr>
              <w:t>子公司名称</w:t>
            </w:r>
          </w:p>
        </w:tc>
        <w:tc>
          <w:tcPr>
            <w:tcW w:w="444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7AD3D191">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44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14:paraId="3B06BA8C">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1B2941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A6A85BE"/>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3E98EEF">
            <w:pPr>
              <w:spacing w:before="40" w:after="40" w:line="240" w:lineRule="exact"/>
              <w:jc w:val="center"/>
              <w:rPr>
                <w:rFonts w:ascii="宋体" w:hAnsi="宋体" w:eastAsia="宋体" w:cs="宋体"/>
                <w:sz w:val="18"/>
                <w:szCs w:val="18"/>
              </w:rPr>
            </w:pPr>
            <w:r>
              <w:rPr>
                <w:rFonts w:ascii="宋体" w:hAnsi="宋体" w:eastAsia="宋体" w:cs="宋体"/>
                <w:sz w:val="18"/>
                <w:szCs w:val="18"/>
              </w:rPr>
              <w:t>流动资产</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B8ADD39">
            <w:pPr>
              <w:spacing w:before="40" w:after="40" w:line="240" w:lineRule="exact"/>
              <w:jc w:val="center"/>
              <w:rPr>
                <w:rFonts w:ascii="宋体" w:hAnsi="宋体" w:eastAsia="宋体" w:cs="宋体"/>
                <w:sz w:val="18"/>
                <w:szCs w:val="18"/>
              </w:rPr>
            </w:pPr>
            <w:r>
              <w:rPr>
                <w:rFonts w:ascii="宋体" w:hAnsi="宋体" w:eastAsia="宋体" w:cs="宋体"/>
                <w:sz w:val="18"/>
                <w:szCs w:val="18"/>
              </w:rPr>
              <w:t>非流动资产</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5B7F41A">
            <w:pPr>
              <w:spacing w:before="40" w:after="40" w:line="240" w:lineRule="exact"/>
              <w:jc w:val="center"/>
              <w:rPr>
                <w:rFonts w:ascii="宋体" w:hAnsi="宋体" w:eastAsia="宋体" w:cs="宋体"/>
                <w:sz w:val="18"/>
                <w:szCs w:val="18"/>
              </w:rPr>
            </w:pPr>
            <w:r>
              <w:rPr>
                <w:rFonts w:ascii="宋体" w:hAnsi="宋体" w:eastAsia="宋体" w:cs="宋体"/>
                <w:sz w:val="18"/>
                <w:szCs w:val="18"/>
              </w:rPr>
              <w:t>资产合计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478B6A6D">
            <w:pPr>
              <w:spacing w:before="40" w:after="40" w:line="240" w:lineRule="exact"/>
              <w:jc w:val="center"/>
              <w:rPr>
                <w:rFonts w:ascii="宋体" w:hAnsi="宋体" w:eastAsia="宋体" w:cs="宋体"/>
                <w:sz w:val="18"/>
                <w:szCs w:val="18"/>
              </w:rPr>
            </w:pPr>
            <w:r>
              <w:rPr>
                <w:rFonts w:ascii="宋体" w:hAnsi="宋体" w:eastAsia="宋体" w:cs="宋体"/>
                <w:sz w:val="18"/>
                <w:szCs w:val="18"/>
              </w:rPr>
              <w:t>流动负债</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7F9352C">
            <w:pPr>
              <w:spacing w:before="40" w:after="40" w:line="240" w:lineRule="exact"/>
              <w:jc w:val="center"/>
              <w:rPr>
                <w:rFonts w:ascii="宋体" w:hAnsi="宋体" w:eastAsia="宋体" w:cs="宋体"/>
                <w:sz w:val="18"/>
                <w:szCs w:val="18"/>
              </w:rPr>
            </w:pPr>
            <w:r>
              <w:rPr>
                <w:rFonts w:ascii="宋体" w:hAnsi="宋体" w:eastAsia="宋体" w:cs="宋体"/>
                <w:sz w:val="18"/>
                <w:szCs w:val="18"/>
              </w:rPr>
              <w:t>非流动负债</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0429D34">
            <w:pPr>
              <w:spacing w:before="40" w:after="40" w:line="240" w:lineRule="exact"/>
              <w:jc w:val="center"/>
              <w:rPr>
                <w:rFonts w:ascii="宋体" w:hAnsi="宋体" w:eastAsia="宋体" w:cs="宋体"/>
                <w:sz w:val="18"/>
                <w:szCs w:val="18"/>
              </w:rPr>
            </w:pPr>
            <w:r>
              <w:rPr>
                <w:rFonts w:ascii="宋体" w:hAnsi="宋体" w:eastAsia="宋体" w:cs="宋体"/>
                <w:sz w:val="18"/>
                <w:szCs w:val="18"/>
              </w:rPr>
              <w:t>负债合计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FF61087">
            <w:pPr>
              <w:spacing w:before="40" w:after="40" w:line="240" w:lineRule="exact"/>
              <w:jc w:val="center"/>
              <w:rPr>
                <w:rFonts w:ascii="宋体" w:hAnsi="宋体" w:eastAsia="宋体" w:cs="宋体"/>
                <w:sz w:val="18"/>
                <w:szCs w:val="18"/>
              </w:rPr>
            </w:pPr>
            <w:r>
              <w:rPr>
                <w:rFonts w:ascii="宋体" w:hAnsi="宋体" w:eastAsia="宋体" w:cs="宋体"/>
                <w:sz w:val="18"/>
                <w:szCs w:val="18"/>
              </w:rPr>
              <w:t>流动资产</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9462465">
            <w:pPr>
              <w:spacing w:before="40" w:after="40" w:line="240" w:lineRule="exact"/>
              <w:jc w:val="center"/>
              <w:rPr>
                <w:rFonts w:ascii="宋体" w:hAnsi="宋体" w:eastAsia="宋体" w:cs="宋体"/>
                <w:sz w:val="18"/>
                <w:szCs w:val="18"/>
              </w:rPr>
            </w:pPr>
            <w:r>
              <w:rPr>
                <w:rFonts w:ascii="宋体" w:hAnsi="宋体" w:eastAsia="宋体" w:cs="宋体"/>
                <w:sz w:val="18"/>
                <w:szCs w:val="18"/>
              </w:rPr>
              <w:t>非流动资产</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596A7AF">
            <w:pPr>
              <w:spacing w:before="40" w:after="40" w:line="240" w:lineRule="exact"/>
              <w:jc w:val="center"/>
              <w:rPr>
                <w:rFonts w:ascii="宋体" w:hAnsi="宋体" w:eastAsia="宋体" w:cs="宋体"/>
                <w:sz w:val="18"/>
                <w:szCs w:val="18"/>
              </w:rPr>
            </w:pPr>
            <w:r>
              <w:rPr>
                <w:rFonts w:ascii="宋体" w:hAnsi="宋体" w:eastAsia="宋体" w:cs="宋体"/>
                <w:sz w:val="18"/>
                <w:szCs w:val="18"/>
              </w:rPr>
              <w:t>资产合计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79AD524">
            <w:pPr>
              <w:spacing w:before="40" w:after="40" w:line="240" w:lineRule="exact"/>
              <w:jc w:val="center"/>
              <w:rPr>
                <w:rFonts w:ascii="宋体" w:hAnsi="宋体" w:eastAsia="宋体" w:cs="宋体"/>
                <w:sz w:val="18"/>
                <w:szCs w:val="18"/>
              </w:rPr>
            </w:pPr>
            <w:r>
              <w:rPr>
                <w:rFonts w:ascii="宋体" w:hAnsi="宋体" w:eastAsia="宋体" w:cs="宋体"/>
                <w:sz w:val="18"/>
                <w:szCs w:val="18"/>
              </w:rPr>
              <w:t>流动负债</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F9CCAA9">
            <w:pPr>
              <w:spacing w:before="40" w:after="40" w:line="240" w:lineRule="exact"/>
              <w:jc w:val="center"/>
              <w:rPr>
                <w:rFonts w:ascii="宋体" w:hAnsi="宋体" w:eastAsia="宋体" w:cs="宋体"/>
                <w:sz w:val="18"/>
                <w:szCs w:val="18"/>
              </w:rPr>
            </w:pPr>
            <w:r>
              <w:rPr>
                <w:rFonts w:ascii="宋体" w:hAnsi="宋体" w:eastAsia="宋体" w:cs="宋体"/>
                <w:sz w:val="18"/>
                <w:szCs w:val="18"/>
              </w:rPr>
              <w:t>非流动负债</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B5F29C0">
            <w:pPr>
              <w:spacing w:before="40" w:after="40" w:line="240" w:lineRule="exact"/>
              <w:jc w:val="center"/>
              <w:rPr>
                <w:rFonts w:ascii="宋体" w:hAnsi="宋体" w:eastAsia="宋体" w:cs="宋体"/>
                <w:sz w:val="18"/>
                <w:szCs w:val="18"/>
              </w:rPr>
            </w:pPr>
            <w:r>
              <w:rPr>
                <w:rFonts w:ascii="宋体" w:hAnsi="宋体" w:eastAsia="宋体" w:cs="宋体"/>
                <w:sz w:val="18"/>
                <w:szCs w:val="18"/>
              </w:rPr>
              <w:t>负债合计</w:t>
            </w:r>
          </w:p>
        </w:tc>
      </w:tr>
      <w:tr w14:paraId="219785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71F45EFB">
            <w:pPr>
              <w:spacing w:before="0" w:after="0" w:line="240" w:lineRule="exact"/>
              <w:jc w:val="left"/>
              <w:rPr>
                <w:rFonts w:ascii="宋体" w:hAnsi="宋体" w:eastAsia="宋体" w:cs="宋体"/>
                <w:sz w:val="18"/>
                <w:szCs w:val="18"/>
              </w:rPr>
            </w:pPr>
            <w:r>
              <w:rPr>
                <w:rFonts w:ascii="宋体" w:hAnsi="宋体" w:eastAsia="宋体" w:cs="宋体"/>
                <w:sz w:val="18"/>
                <w:szCs w:val="18"/>
              </w:rPr>
              <w:t>福建广生中霖生物科技有限公司</w:t>
            </w:r>
          </w:p>
        </w:tc>
        <w:tc>
          <w:tcPr>
            <w:tcW w:w="741" w:type="dxa"/>
            <w:tcBorders>
              <w:top w:val="single" w:color="auto" w:sz="2" w:space="0"/>
              <w:left w:val="single" w:color="auto" w:sz="2" w:space="0"/>
              <w:bottom w:val="single" w:color="auto" w:sz="2" w:space="0"/>
              <w:right w:val="single" w:color="auto" w:sz="2" w:space="0"/>
            </w:tcBorders>
            <w:vAlign w:val="center"/>
          </w:tcPr>
          <w:p w14:paraId="021BF571">
            <w:pPr>
              <w:spacing w:before="0" w:after="0" w:line="240" w:lineRule="exact"/>
              <w:jc w:val="right"/>
              <w:rPr>
                <w:rFonts w:ascii="宋体" w:hAnsi="宋体" w:eastAsia="宋体" w:cs="宋体"/>
                <w:sz w:val="18"/>
                <w:szCs w:val="18"/>
              </w:rPr>
            </w:pPr>
            <w:r>
              <w:rPr>
                <w:rFonts w:ascii="宋体" w:hAnsi="宋体" w:eastAsia="宋体" w:cs="宋体"/>
                <w:sz w:val="18"/>
                <w:szCs w:val="18"/>
              </w:rPr>
              <w:t>87,419,511.57</w:t>
            </w:r>
          </w:p>
        </w:tc>
        <w:tc>
          <w:tcPr>
            <w:tcW w:w="741" w:type="dxa"/>
            <w:tcBorders>
              <w:top w:val="single" w:color="auto" w:sz="2" w:space="0"/>
              <w:left w:val="single" w:color="auto" w:sz="2" w:space="0"/>
              <w:bottom w:val="single" w:color="auto" w:sz="2" w:space="0"/>
              <w:right w:val="single" w:color="auto" w:sz="2" w:space="0"/>
            </w:tcBorders>
            <w:vAlign w:val="center"/>
          </w:tcPr>
          <w:p w14:paraId="39A4D1F3">
            <w:pPr>
              <w:spacing w:before="0" w:after="0" w:line="240" w:lineRule="exact"/>
              <w:jc w:val="right"/>
              <w:rPr>
                <w:rFonts w:ascii="宋体" w:hAnsi="宋体" w:eastAsia="宋体" w:cs="宋体"/>
                <w:sz w:val="18"/>
                <w:szCs w:val="18"/>
              </w:rPr>
            </w:pPr>
            <w:r>
              <w:rPr>
                <w:rFonts w:ascii="宋体" w:hAnsi="宋体" w:eastAsia="宋体" w:cs="宋体"/>
                <w:sz w:val="18"/>
                <w:szCs w:val="18"/>
              </w:rPr>
              <w:t>425,926,522.10</w:t>
            </w:r>
          </w:p>
        </w:tc>
        <w:tc>
          <w:tcPr>
            <w:tcW w:w="741" w:type="dxa"/>
            <w:tcBorders>
              <w:top w:val="single" w:color="auto" w:sz="2" w:space="0"/>
              <w:left w:val="single" w:color="auto" w:sz="2" w:space="0"/>
              <w:bottom w:val="single" w:color="auto" w:sz="2" w:space="0"/>
              <w:right w:val="single" w:color="auto" w:sz="2" w:space="0"/>
            </w:tcBorders>
            <w:vAlign w:val="center"/>
          </w:tcPr>
          <w:p w14:paraId="3AD2078C">
            <w:pPr>
              <w:spacing w:before="0" w:after="0" w:line="240" w:lineRule="exact"/>
              <w:jc w:val="right"/>
              <w:rPr>
                <w:rFonts w:ascii="宋体" w:hAnsi="宋体" w:eastAsia="宋体" w:cs="宋体"/>
                <w:sz w:val="18"/>
                <w:szCs w:val="18"/>
              </w:rPr>
            </w:pPr>
            <w:r>
              <w:rPr>
                <w:rFonts w:ascii="宋体" w:hAnsi="宋体" w:eastAsia="宋体" w:cs="宋体"/>
                <w:sz w:val="18"/>
                <w:szCs w:val="18"/>
              </w:rPr>
              <w:t>513,346,033.67</w:t>
            </w:r>
          </w:p>
        </w:tc>
        <w:tc>
          <w:tcPr>
            <w:tcW w:w="741" w:type="dxa"/>
            <w:tcBorders>
              <w:top w:val="single" w:color="auto" w:sz="2" w:space="0"/>
              <w:left w:val="single" w:color="auto" w:sz="2" w:space="0"/>
              <w:bottom w:val="single" w:color="auto" w:sz="2" w:space="0"/>
              <w:right w:val="single" w:color="auto" w:sz="2" w:space="0"/>
            </w:tcBorders>
            <w:vAlign w:val="center"/>
          </w:tcPr>
          <w:p w14:paraId="14343C34">
            <w:pPr>
              <w:spacing w:before="0" w:after="0" w:line="240" w:lineRule="exact"/>
              <w:jc w:val="right"/>
              <w:rPr>
                <w:rFonts w:ascii="宋体" w:hAnsi="宋体" w:eastAsia="宋体" w:cs="宋体"/>
                <w:sz w:val="18"/>
                <w:szCs w:val="18"/>
              </w:rPr>
            </w:pPr>
            <w:r>
              <w:rPr>
                <w:rFonts w:ascii="宋体" w:hAnsi="宋体" w:eastAsia="宋体" w:cs="宋体"/>
                <w:sz w:val="18"/>
                <w:szCs w:val="18"/>
              </w:rPr>
              <w:t>289,014,817.74</w:t>
            </w:r>
          </w:p>
        </w:tc>
        <w:tc>
          <w:tcPr>
            <w:tcW w:w="741" w:type="dxa"/>
            <w:tcBorders>
              <w:top w:val="single" w:color="auto" w:sz="2" w:space="0"/>
              <w:left w:val="single" w:color="auto" w:sz="2" w:space="0"/>
              <w:bottom w:val="single" w:color="auto" w:sz="2" w:space="0"/>
              <w:right w:val="single" w:color="auto" w:sz="2" w:space="0"/>
            </w:tcBorders>
            <w:vAlign w:val="center"/>
          </w:tcPr>
          <w:p w14:paraId="3AC88DDB">
            <w:pPr>
              <w:spacing w:before="0" w:after="0" w:line="240" w:lineRule="exact"/>
              <w:jc w:val="right"/>
              <w:rPr>
                <w:rFonts w:ascii="宋体" w:hAnsi="宋体" w:eastAsia="宋体" w:cs="宋体"/>
                <w:sz w:val="18"/>
                <w:szCs w:val="18"/>
              </w:rPr>
            </w:pPr>
            <w:r>
              <w:rPr>
                <w:rFonts w:ascii="宋体" w:hAnsi="宋体" w:eastAsia="宋体" w:cs="宋体"/>
                <w:sz w:val="18"/>
                <w:szCs w:val="18"/>
              </w:rPr>
              <w:t>30,878,562.78</w:t>
            </w:r>
          </w:p>
        </w:tc>
        <w:tc>
          <w:tcPr>
            <w:tcW w:w="741" w:type="dxa"/>
            <w:tcBorders>
              <w:top w:val="single" w:color="auto" w:sz="2" w:space="0"/>
              <w:left w:val="single" w:color="auto" w:sz="2" w:space="0"/>
              <w:bottom w:val="single" w:color="auto" w:sz="2" w:space="0"/>
              <w:right w:val="single" w:color="auto" w:sz="2" w:space="0"/>
            </w:tcBorders>
            <w:vAlign w:val="center"/>
          </w:tcPr>
          <w:p w14:paraId="33F9A489">
            <w:pPr>
              <w:spacing w:before="0" w:after="0" w:line="240" w:lineRule="exact"/>
              <w:jc w:val="right"/>
              <w:rPr>
                <w:rFonts w:ascii="宋体" w:hAnsi="宋体" w:eastAsia="宋体" w:cs="宋体"/>
                <w:sz w:val="18"/>
                <w:szCs w:val="18"/>
              </w:rPr>
            </w:pPr>
            <w:r>
              <w:rPr>
                <w:rFonts w:ascii="宋体" w:hAnsi="宋体" w:eastAsia="宋体" w:cs="宋体"/>
                <w:sz w:val="18"/>
                <w:szCs w:val="18"/>
              </w:rPr>
              <w:t>319,893,380.52</w:t>
            </w:r>
          </w:p>
        </w:tc>
        <w:tc>
          <w:tcPr>
            <w:tcW w:w="741" w:type="dxa"/>
            <w:tcBorders>
              <w:top w:val="single" w:color="auto" w:sz="2" w:space="0"/>
              <w:left w:val="single" w:color="auto" w:sz="2" w:space="0"/>
              <w:bottom w:val="single" w:color="auto" w:sz="2" w:space="0"/>
              <w:right w:val="single" w:color="auto" w:sz="2" w:space="0"/>
            </w:tcBorders>
            <w:vAlign w:val="center"/>
          </w:tcPr>
          <w:p w14:paraId="1A1DB648">
            <w:pPr>
              <w:spacing w:before="0" w:after="0" w:line="240" w:lineRule="exact"/>
              <w:jc w:val="right"/>
              <w:rPr>
                <w:rFonts w:ascii="宋体" w:hAnsi="宋体" w:eastAsia="宋体" w:cs="宋体"/>
                <w:sz w:val="18"/>
                <w:szCs w:val="18"/>
              </w:rPr>
            </w:pPr>
            <w:r>
              <w:rPr>
                <w:rFonts w:ascii="宋体" w:hAnsi="宋体" w:eastAsia="宋体" w:cs="宋体"/>
                <w:sz w:val="18"/>
                <w:szCs w:val="18"/>
              </w:rPr>
              <w:t>83,399,774.91</w:t>
            </w:r>
          </w:p>
        </w:tc>
        <w:tc>
          <w:tcPr>
            <w:tcW w:w="741" w:type="dxa"/>
            <w:tcBorders>
              <w:top w:val="single" w:color="auto" w:sz="2" w:space="0"/>
              <w:left w:val="single" w:color="auto" w:sz="2" w:space="0"/>
              <w:bottom w:val="single" w:color="auto" w:sz="2" w:space="0"/>
              <w:right w:val="single" w:color="auto" w:sz="2" w:space="0"/>
            </w:tcBorders>
            <w:vAlign w:val="center"/>
          </w:tcPr>
          <w:p w14:paraId="2BBA26B8">
            <w:pPr>
              <w:spacing w:before="0" w:after="0" w:line="240" w:lineRule="exact"/>
              <w:jc w:val="right"/>
              <w:rPr>
                <w:rFonts w:ascii="宋体" w:hAnsi="宋体" w:eastAsia="宋体" w:cs="宋体"/>
                <w:sz w:val="18"/>
                <w:szCs w:val="18"/>
              </w:rPr>
            </w:pPr>
            <w:r>
              <w:rPr>
                <w:rFonts w:ascii="宋体" w:hAnsi="宋体" w:eastAsia="宋体" w:cs="宋体"/>
                <w:sz w:val="18"/>
                <w:szCs w:val="18"/>
              </w:rPr>
              <w:t>456,308,833.11</w:t>
            </w:r>
          </w:p>
        </w:tc>
        <w:tc>
          <w:tcPr>
            <w:tcW w:w="741" w:type="dxa"/>
            <w:tcBorders>
              <w:top w:val="single" w:color="auto" w:sz="2" w:space="0"/>
              <w:left w:val="single" w:color="auto" w:sz="2" w:space="0"/>
              <w:bottom w:val="single" w:color="auto" w:sz="2" w:space="0"/>
              <w:right w:val="single" w:color="auto" w:sz="2" w:space="0"/>
            </w:tcBorders>
            <w:vAlign w:val="center"/>
          </w:tcPr>
          <w:p w14:paraId="3C01A336">
            <w:pPr>
              <w:spacing w:before="0" w:after="0" w:line="240" w:lineRule="exact"/>
              <w:jc w:val="right"/>
              <w:rPr>
                <w:rFonts w:ascii="宋体" w:hAnsi="宋体" w:eastAsia="宋体" w:cs="宋体"/>
                <w:sz w:val="18"/>
                <w:szCs w:val="18"/>
              </w:rPr>
            </w:pPr>
            <w:r>
              <w:rPr>
                <w:rFonts w:ascii="宋体" w:hAnsi="宋体" w:eastAsia="宋体" w:cs="宋体"/>
                <w:sz w:val="18"/>
                <w:szCs w:val="18"/>
              </w:rPr>
              <w:t>539,708,608.02</w:t>
            </w:r>
          </w:p>
        </w:tc>
        <w:tc>
          <w:tcPr>
            <w:tcW w:w="741" w:type="dxa"/>
            <w:tcBorders>
              <w:top w:val="single" w:color="auto" w:sz="2" w:space="0"/>
              <w:left w:val="single" w:color="auto" w:sz="2" w:space="0"/>
              <w:bottom w:val="single" w:color="auto" w:sz="2" w:space="0"/>
              <w:right w:val="single" w:color="auto" w:sz="2" w:space="0"/>
            </w:tcBorders>
            <w:vAlign w:val="center"/>
          </w:tcPr>
          <w:p w14:paraId="3F0A584E">
            <w:pPr>
              <w:spacing w:before="0" w:after="0" w:line="240" w:lineRule="exact"/>
              <w:jc w:val="right"/>
              <w:rPr>
                <w:rFonts w:ascii="宋体" w:hAnsi="宋体" w:eastAsia="宋体" w:cs="宋体"/>
                <w:sz w:val="18"/>
                <w:szCs w:val="18"/>
              </w:rPr>
            </w:pPr>
            <w:r>
              <w:rPr>
                <w:rFonts w:ascii="宋体" w:hAnsi="宋体" w:eastAsia="宋体" w:cs="宋体"/>
                <w:sz w:val="18"/>
                <w:szCs w:val="18"/>
              </w:rPr>
              <w:t>260,699,605.87</w:t>
            </w:r>
          </w:p>
        </w:tc>
        <w:tc>
          <w:tcPr>
            <w:tcW w:w="741" w:type="dxa"/>
            <w:tcBorders>
              <w:top w:val="single" w:color="auto" w:sz="2" w:space="0"/>
              <w:left w:val="single" w:color="auto" w:sz="2" w:space="0"/>
              <w:bottom w:val="single" w:color="auto" w:sz="2" w:space="0"/>
              <w:right w:val="single" w:color="auto" w:sz="2" w:space="0"/>
            </w:tcBorders>
            <w:vAlign w:val="center"/>
          </w:tcPr>
          <w:p w14:paraId="5313E567">
            <w:pPr>
              <w:spacing w:before="0" w:after="0" w:line="240" w:lineRule="exact"/>
              <w:jc w:val="right"/>
              <w:rPr>
                <w:rFonts w:ascii="宋体" w:hAnsi="宋体" w:eastAsia="宋体" w:cs="宋体"/>
                <w:sz w:val="18"/>
                <w:szCs w:val="18"/>
              </w:rPr>
            </w:pPr>
            <w:r>
              <w:rPr>
                <w:rFonts w:ascii="宋体" w:hAnsi="宋体" w:eastAsia="宋体" w:cs="宋体"/>
                <w:sz w:val="18"/>
                <w:szCs w:val="18"/>
              </w:rPr>
              <w:t>125,034.28</w:t>
            </w:r>
          </w:p>
        </w:tc>
        <w:tc>
          <w:tcPr>
            <w:tcW w:w="741" w:type="dxa"/>
            <w:tcBorders>
              <w:top w:val="single" w:color="auto" w:sz="2" w:space="0"/>
              <w:left w:val="single" w:color="auto" w:sz="2" w:space="0"/>
              <w:bottom w:val="single" w:color="auto" w:sz="2" w:space="0"/>
              <w:right w:val="single" w:color="auto" w:sz="2" w:space="0"/>
            </w:tcBorders>
            <w:vAlign w:val="center"/>
          </w:tcPr>
          <w:p w14:paraId="1D06C7E8">
            <w:pPr>
              <w:spacing w:before="0" w:after="0" w:line="240" w:lineRule="exact"/>
              <w:jc w:val="right"/>
              <w:rPr>
                <w:rFonts w:ascii="宋体" w:hAnsi="宋体" w:eastAsia="宋体" w:cs="宋体"/>
                <w:sz w:val="18"/>
                <w:szCs w:val="18"/>
              </w:rPr>
            </w:pPr>
            <w:r>
              <w:rPr>
                <w:rFonts w:ascii="宋体" w:hAnsi="宋体" w:eastAsia="宋体" w:cs="宋体"/>
                <w:sz w:val="18"/>
                <w:szCs w:val="18"/>
              </w:rPr>
              <w:t>260,824,640.15</w:t>
            </w:r>
          </w:p>
        </w:tc>
      </w:tr>
    </w:tbl>
    <w:p w14:paraId="553EFCA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0C1EB8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4D1BCAB">
            <w:pPr>
              <w:spacing w:before="40" w:after="40" w:line="240" w:lineRule="exact"/>
              <w:jc w:val="center"/>
              <w:rPr>
                <w:rFonts w:ascii="宋体" w:hAnsi="宋体" w:eastAsia="宋体" w:cs="宋体"/>
                <w:sz w:val="18"/>
                <w:szCs w:val="18"/>
              </w:rPr>
            </w:pPr>
            <w:r>
              <w:rPr>
                <w:rFonts w:ascii="宋体" w:hAnsi="宋体" w:eastAsia="宋体" w:cs="宋体"/>
                <w:sz w:val="18"/>
                <w:szCs w:val="18"/>
              </w:rPr>
              <w:t>子公司名称</w:t>
            </w:r>
          </w:p>
        </w:tc>
        <w:tc>
          <w:tcPr>
            <w:tcW w:w="4284"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317C5241">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4284"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206623EF">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4C50B6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E2898EA"/>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3897060">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85D2174">
            <w:pPr>
              <w:spacing w:before="40" w:after="40" w:line="240" w:lineRule="exact"/>
              <w:jc w:val="center"/>
              <w:rPr>
                <w:rFonts w:ascii="宋体" w:hAnsi="宋体" w:eastAsia="宋体" w:cs="宋体"/>
                <w:sz w:val="18"/>
                <w:szCs w:val="18"/>
              </w:rPr>
            </w:pPr>
            <w:r>
              <w:rPr>
                <w:rFonts w:ascii="宋体" w:hAnsi="宋体" w:eastAsia="宋体" w:cs="宋体"/>
                <w:sz w:val="18"/>
                <w:szCs w:val="18"/>
              </w:rPr>
              <w:t>净利润</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E020D8A">
            <w:pPr>
              <w:spacing w:before="40" w:after="40" w:line="240" w:lineRule="exact"/>
              <w:jc w:val="center"/>
              <w:rPr>
                <w:rFonts w:ascii="宋体" w:hAnsi="宋体" w:eastAsia="宋体" w:cs="宋体"/>
                <w:sz w:val="18"/>
                <w:szCs w:val="18"/>
              </w:rPr>
            </w:pPr>
            <w:r>
              <w:rPr>
                <w:rFonts w:ascii="宋体" w:hAnsi="宋体" w:eastAsia="宋体" w:cs="宋体"/>
                <w:sz w:val="18"/>
                <w:szCs w:val="18"/>
              </w:rPr>
              <w:t>综合收益总额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BEC8D5E">
            <w:pPr>
              <w:spacing w:before="40" w:after="40" w:line="240" w:lineRule="exact"/>
              <w:jc w:val="center"/>
              <w:rPr>
                <w:rFonts w:ascii="宋体" w:hAnsi="宋体" w:eastAsia="宋体" w:cs="宋体"/>
                <w:sz w:val="18"/>
                <w:szCs w:val="18"/>
              </w:rPr>
            </w:pPr>
            <w:r>
              <w:rPr>
                <w:rFonts w:ascii="宋体" w:hAnsi="宋体" w:eastAsia="宋体" w:cs="宋体"/>
                <w:sz w:val="18"/>
                <w:szCs w:val="18"/>
              </w:rPr>
              <w:t>经营活动现金流量</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6F1A14E">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CC37CB8">
            <w:pPr>
              <w:spacing w:before="40" w:after="40" w:line="240" w:lineRule="exact"/>
              <w:jc w:val="center"/>
              <w:rPr>
                <w:rFonts w:ascii="宋体" w:hAnsi="宋体" w:eastAsia="宋体" w:cs="宋体"/>
                <w:sz w:val="18"/>
                <w:szCs w:val="18"/>
              </w:rPr>
            </w:pPr>
            <w:r>
              <w:rPr>
                <w:rFonts w:ascii="宋体" w:hAnsi="宋体" w:eastAsia="宋体" w:cs="宋体"/>
                <w:sz w:val="18"/>
                <w:szCs w:val="18"/>
              </w:rPr>
              <w:t>净利润</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68F7C1B">
            <w:pPr>
              <w:spacing w:before="40" w:after="40" w:line="240" w:lineRule="exact"/>
              <w:jc w:val="center"/>
              <w:rPr>
                <w:rFonts w:ascii="宋体" w:hAnsi="宋体" w:eastAsia="宋体" w:cs="宋体"/>
                <w:sz w:val="18"/>
                <w:szCs w:val="18"/>
              </w:rPr>
            </w:pPr>
            <w:r>
              <w:rPr>
                <w:rFonts w:ascii="宋体" w:hAnsi="宋体" w:eastAsia="宋体" w:cs="宋体"/>
                <w:sz w:val="18"/>
                <w:szCs w:val="18"/>
              </w:rPr>
              <w:t>综合收益总额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0CEA824">
            <w:pPr>
              <w:spacing w:before="40" w:after="40" w:line="240" w:lineRule="exact"/>
              <w:jc w:val="center"/>
              <w:rPr>
                <w:rFonts w:ascii="宋体" w:hAnsi="宋体" w:eastAsia="宋体" w:cs="宋体"/>
                <w:sz w:val="18"/>
                <w:szCs w:val="18"/>
              </w:rPr>
            </w:pPr>
            <w:r>
              <w:rPr>
                <w:rFonts w:ascii="宋体" w:hAnsi="宋体" w:eastAsia="宋体" w:cs="宋体"/>
                <w:sz w:val="18"/>
                <w:szCs w:val="18"/>
              </w:rPr>
              <w:t>经营活动现金流量</w:t>
            </w:r>
          </w:p>
        </w:tc>
      </w:tr>
      <w:tr w14:paraId="47A26A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65BE88A0">
            <w:pPr>
              <w:spacing w:before="0" w:after="0" w:line="240" w:lineRule="exact"/>
              <w:jc w:val="left"/>
              <w:rPr>
                <w:rFonts w:ascii="宋体" w:hAnsi="宋体" w:eastAsia="宋体" w:cs="宋体"/>
                <w:sz w:val="18"/>
                <w:szCs w:val="18"/>
              </w:rPr>
            </w:pPr>
            <w:r>
              <w:rPr>
                <w:rFonts w:ascii="宋体" w:hAnsi="宋体" w:eastAsia="宋体" w:cs="宋体"/>
                <w:sz w:val="18"/>
                <w:szCs w:val="18"/>
              </w:rPr>
              <w:t>福建广生中霖生物科技有限公司</w:t>
            </w:r>
          </w:p>
        </w:tc>
        <w:tc>
          <w:tcPr>
            <w:tcW w:w="1071" w:type="dxa"/>
            <w:tcBorders>
              <w:top w:val="single" w:color="auto" w:sz="2" w:space="0"/>
              <w:left w:val="single" w:color="auto" w:sz="2" w:space="0"/>
              <w:bottom w:val="single" w:color="auto" w:sz="2" w:space="0"/>
              <w:right w:val="single" w:color="auto" w:sz="2" w:space="0"/>
            </w:tcBorders>
            <w:vAlign w:val="center"/>
          </w:tcPr>
          <w:p w14:paraId="2CF9449B">
            <w:pPr>
              <w:spacing w:before="0" w:after="0" w:line="240" w:lineRule="exact"/>
              <w:jc w:val="right"/>
              <w:rPr>
                <w:rFonts w:ascii="宋体" w:hAnsi="宋体" w:eastAsia="宋体" w:cs="宋体"/>
                <w:sz w:val="18"/>
                <w:szCs w:val="18"/>
              </w:rPr>
            </w:pPr>
            <w:r>
              <w:rPr>
                <w:rFonts w:ascii="宋体" w:hAnsi="宋体" w:eastAsia="宋体" w:cs="宋体"/>
                <w:sz w:val="18"/>
                <w:szCs w:val="18"/>
              </w:rPr>
              <w:t>28,907,238.51</w:t>
            </w:r>
          </w:p>
        </w:tc>
        <w:tc>
          <w:tcPr>
            <w:tcW w:w="1071" w:type="dxa"/>
            <w:tcBorders>
              <w:top w:val="single" w:color="auto" w:sz="2" w:space="0"/>
              <w:left w:val="single" w:color="auto" w:sz="2" w:space="0"/>
              <w:bottom w:val="single" w:color="auto" w:sz="2" w:space="0"/>
              <w:right w:val="single" w:color="auto" w:sz="2" w:space="0"/>
            </w:tcBorders>
            <w:vAlign w:val="center"/>
          </w:tcPr>
          <w:p w14:paraId="6A522F2F">
            <w:pPr>
              <w:spacing w:before="0" w:after="0" w:line="240" w:lineRule="exact"/>
              <w:jc w:val="right"/>
              <w:rPr>
                <w:rFonts w:ascii="宋体" w:hAnsi="宋体" w:eastAsia="宋体" w:cs="宋体"/>
                <w:sz w:val="18"/>
                <w:szCs w:val="18"/>
              </w:rPr>
            </w:pPr>
            <w:r>
              <w:rPr>
                <w:rFonts w:ascii="宋体" w:hAnsi="宋体" w:eastAsia="宋体" w:cs="宋体"/>
                <w:sz w:val="18"/>
                <w:szCs w:val="18"/>
              </w:rPr>
              <w:t>-85,431,314.72</w:t>
            </w:r>
          </w:p>
        </w:tc>
        <w:tc>
          <w:tcPr>
            <w:tcW w:w="1071" w:type="dxa"/>
            <w:tcBorders>
              <w:top w:val="single" w:color="auto" w:sz="2" w:space="0"/>
              <w:left w:val="single" w:color="auto" w:sz="2" w:space="0"/>
              <w:bottom w:val="single" w:color="auto" w:sz="2" w:space="0"/>
              <w:right w:val="single" w:color="auto" w:sz="2" w:space="0"/>
            </w:tcBorders>
            <w:vAlign w:val="center"/>
          </w:tcPr>
          <w:p w14:paraId="79F39FA1">
            <w:pPr>
              <w:spacing w:before="0" w:after="0" w:line="240" w:lineRule="exact"/>
              <w:jc w:val="right"/>
              <w:rPr>
                <w:rFonts w:ascii="宋体" w:hAnsi="宋体" w:eastAsia="宋体" w:cs="宋体"/>
                <w:sz w:val="18"/>
                <w:szCs w:val="18"/>
              </w:rPr>
            </w:pPr>
            <w:r>
              <w:rPr>
                <w:rFonts w:ascii="宋体" w:hAnsi="宋体" w:eastAsia="宋体" w:cs="宋体"/>
                <w:sz w:val="18"/>
                <w:szCs w:val="18"/>
              </w:rPr>
              <w:t>-85,431,314.72</w:t>
            </w:r>
          </w:p>
        </w:tc>
        <w:tc>
          <w:tcPr>
            <w:tcW w:w="1071" w:type="dxa"/>
            <w:tcBorders>
              <w:top w:val="single" w:color="auto" w:sz="2" w:space="0"/>
              <w:left w:val="single" w:color="auto" w:sz="2" w:space="0"/>
              <w:bottom w:val="single" w:color="auto" w:sz="2" w:space="0"/>
              <w:right w:val="single" w:color="auto" w:sz="2" w:space="0"/>
            </w:tcBorders>
            <w:vAlign w:val="center"/>
          </w:tcPr>
          <w:p w14:paraId="5E37F75C">
            <w:pPr>
              <w:spacing w:before="0" w:after="0" w:line="240" w:lineRule="exact"/>
              <w:jc w:val="right"/>
              <w:rPr>
                <w:rFonts w:ascii="宋体" w:hAnsi="宋体" w:eastAsia="宋体" w:cs="宋体"/>
                <w:sz w:val="18"/>
                <w:szCs w:val="18"/>
              </w:rPr>
            </w:pPr>
            <w:r>
              <w:rPr>
                <w:rFonts w:ascii="宋体" w:hAnsi="宋体" w:eastAsia="宋体" w:cs="宋体"/>
                <w:sz w:val="18"/>
                <w:szCs w:val="18"/>
              </w:rPr>
              <w:t>55,759,123.83</w:t>
            </w:r>
          </w:p>
        </w:tc>
        <w:tc>
          <w:tcPr>
            <w:tcW w:w="1071" w:type="dxa"/>
            <w:tcBorders>
              <w:top w:val="single" w:color="auto" w:sz="2" w:space="0"/>
              <w:left w:val="single" w:color="auto" w:sz="2" w:space="0"/>
              <w:bottom w:val="single" w:color="auto" w:sz="2" w:space="0"/>
              <w:right w:val="single" w:color="auto" w:sz="2" w:space="0"/>
            </w:tcBorders>
            <w:vAlign w:val="center"/>
          </w:tcPr>
          <w:p w14:paraId="3F15F205">
            <w:pPr>
              <w:spacing w:before="0" w:after="0" w:line="240" w:lineRule="exact"/>
              <w:jc w:val="right"/>
              <w:rPr>
                <w:rFonts w:ascii="宋体" w:hAnsi="宋体" w:eastAsia="宋体" w:cs="宋体"/>
                <w:sz w:val="18"/>
                <w:szCs w:val="18"/>
              </w:rPr>
            </w:pPr>
            <w:r>
              <w:rPr>
                <w:rFonts w:ascii="宋体" w:hAnsi="宋体" w:eastAsia="宋体" w:cs="宋体"/>
                <w:sz w:val="18"/>
                <w:szCs w:val="18"/>
              </w:rPr>
              <w:t>43,820,696.30</w:t>
            </w:r>
          </w:p>
        </w:tc>
        <w:tc>
          <w:tcPr>
            <w:tcW w:w="1071" w:type="dxa"/>
            <w:tcBorders>
              <w:top w:val="single" w:color="auto" w:sz="2" w:space="0"/>
              <w:left w:val="single" w:color="auto" w:sz="2" w:space="0"/>
              <w:bottom w:val="single" w:color="auto" w:sz="2" w:space="0"/>
              <w:right w:val="single" w:color="auto" w:sz="2" w:space="0"/>
            </w:tcBorders>
            <w:vAlign w:val="center"/>
          </w:tcPr>
          <w:p w14:paraId="52D7D1F7">
            <w:pPr>
              <w:spacing w:before="0" w:after="0" w:line="240" w:lineRule="exact"/>
              <w:jc w:val="right"/>
              <w:rPr>
                <w:rFonts w:ascii="宋体" w:hAnsi="宋体" w:eastAsia="宋体" w:cs="宋体"/>
                <w:sz w:val="18"/>
                <w:szCs w:val="18"/>
              </w:rPr>
            </w:pPr>
            <w:r>
              <w:rPr>
                <w:rFonts w:ascii="宋体" w:hAnsi="宋体" w:eastAsia="宋体" w:cs="宋体"/>
                <w:sz w:val="18"/>
                <w:szCs w:val="18"/>
              </w:rPr>
              <w:t>-142,963,081.71</w:t>
            </w:r>
          </w:p>
        </w:tc>
        <w:tc>
          <w:tcPr>
            <w:tcW w:w="1071" w:type="dxa"/>
            <w:tcBorders>
              <w:top w:val="single" w:color="auto" w:sz="2" w:space="0"/>
              <w:left w:val="single" w:color="auto" w:sz="2" w:space="0"/>
              <w:bottom w:val="single" w:color="auto" w:sz="2" w:space="0"/>
              <w:right w:val="single" w:color="auto" w:sz="2" w:space="0"/>
            </w:tcBorders>
            <w:vAlign w:val="center"/>
          </w:tcPr>
          <w:p w14:paraId="731E7282">
            <w:pPr>
              <w:spacing w:before="0" w:after="0" w:line="240" w:lineRule="exact"/>
              <w:jc w:val="right"/>
              <w:rPr>
                <w:rFonts w:ascii="宋体" w:hAnsi="宋体" w:eastAsia="宋体" w:cs="宋体"/>
                <w:sz w:val="18"/>
                <w:szCs w:val="18"/>
              </w:rPr>
            </w:pPr>
            <w:r>
              <w:rPr>
                <w:rFonts w:ascii="宋体" w:hAnsi="宋体" w:eastAsia="宋体" w:cs="宋体"/>
                <w:sz w:val="18"/>
                <w:szCs w:val="18"/>
              </w:rPr>
              <w:t>-142,963,081.71</w:t>
            </w:r>
          </w:p>
        </w:tc>
        <w:tc>
          <w:tcPr>
            <w:tcW w:w="1071" w:type="dxa"/>
            <w:tcBorders>
              <w:top w:val="single" w:color="auto" w:sz="2" w:space="0"/>
              <w:left w:val="single" w:color="auto" w:sz="2" w:space="0"/>
              <w:bottom w:val="single" w:color="auto" w:sz="2" w:space="0"/>
              <w:right w:val="single" w:color="auto" w:sz="2" w:space="0"/>
            </w:tcBorders>
            <w:vAlign w:val="center"/>
          </w:tcPr>
          <w:p w14:paraId="383127BD">
            <w:pPr>
              <w:spacing w:before="0" w:after="0" w:line="240" w:lineRule="exact"/>
              <w:jc w:val="right"/>
              <w:rPr>
                <w:rFonts w:ascii="宋体" w:hAnsi="宋体" w:eastAsia="宋体" w:cs="宋体"/>
                <w:sz w:val="18"/>
                <w:szCs w:val="18"/>
              </w:rPr>
            </w:pPr>
            <w:r>
              <w:rPr>
                <w:rFonts w:ascii="宋体" w:hAnsi="宋体" w:eastAsia="宋体" w:cs="宋体"/>
                <w:sz w:val="18"/>
                <w:szCs w:val="18"/>
              </w:rPr>
              <w:t>-150,873,628.09</w:t>
            </w:r>
          </w:p>
        </w:tc>
      </w:tr>
    </w:tbl>
    <w:p w14:paraId="4196CECB">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EDBEB03">
      <w:pPr>
        <w:keepNext/>
        <w:keepLines/>
        <w:spacing w:before="300" w:after="300" w:line="280" w:lineRule="exact"/>
        <w:jc w:val="left"/>
        <w:outlineLvl w:val="3"/>
        <w:rPr>
          <w:rFonts w:ascii="宋体" w:hAnsi="宋体" w:eastAsia="宋体" w:cs="宋体"/>
          <w:b/>
          <w:bCs/>
          <w:sz w:val="18"/>
          <w:szCs w:val="18"/>
        </w:rPr>
      </w:pPr>
      <w:bookmarkStart w:id="483" w:name="_Toc989366"/>
      <w:r>
        <w:rPr>
          <w:rFonts w:ascii="宋体" w:hAnsi="宋体" w:eastAsia="宋体" w:cs="宋体"/>
          <w:b/>
          <w:bCs/>
          <w:sz w:val="18"/>
          <w:szCs w:val="18"/>
        </w:rPr>
        <w:t>（4） 使用企业集团资产和清偿企业集团债务的重大限制</w:t>
      </w:r>
      <w:bookmarkEnd w:id="483"/>
    </w:p>
    <w:p w14:paraId="1E87C282">
      <w:pPr>
        <w:keepNext/>
        <w:keepLines/>
        <w:spacing w:before="300" w:after="300" w:line="280" w:lineRule="exact"/>
        <w:jc w:val="left"/>
        <w:outlineLvl w:val="3"/>
        <w:rPr>
          <w:rFonts w:ascii="宋体" w:hAnsi="宋体" w:eastAsia="宋体" w:cs="宋体"/>
          <w:b/>
          <w:bCs/>
          <w:sz w:val="18"/>
          <w:szCs w:val="18"/>
        </w:rPr>
      </w:pPr>
      <w:bookmarkStart w:id="484" w:name="_Toc989367"/>
      <w:r>
        <w:rPr>
          <w:rFonts w:ascii="宋体" w:hAnsi="宋体" w:eastAsia="宋体" w:cs="宋体"/>
          <w:b/>
          <w:bCs/>
          <w:sz w:val="18"/>
          <w:szCs w:val="18"/>
        </w:rPr>
        <w:t>（5） 向纳入合并财务报表范围的结构化主体提供的财务支持或其他支持</w:t>
      </w:r>
      <w:bookmarkEnd w:id="484"/>
    </w:p>
    <w:p w14:paraId="28D3EC88">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BB4AF5B">
      <w:pPr>
        <w:keepNext/>
        <w:keepLines/>
        <w:spacing w:before="300" w:after="300" w:line="280" w:lineRule="exact"/>
        <w:jc w:val="left"/>
        <w:outlineLvl w:val="2"/>
        <w:rPr>
          <w:rFonts w:ascii="宋体" w:hAnsi="宋体" w:eastAsia="宋体" w:cs="宋体"/>
          <w:b/>
          <w:bCs/>
          <w:sz w:val="21"/>
          <w:szCs w:val="21"/>
        </w:rPr>
      </w:pPr>
      <w:bookmarkStart w:id="485" w:name="_Toc989368"/>
      <w:r>
        <w:rPr>
          <w:rFonts w:ascii="宋体" w:hAnsi="宋体" w:eastAsia="宋体" w:cs="宋体"/>
          <w:b/>
          <w:bCs/>
          <w:sz w:val="21"/>
          <w:szCs w:val="21"/>
        </w:rPr>
        <w:t>2、在子公司的所有者权益份额发生变化且仍控制子公司的交易</w:t>
      </w:r>
      <w:bookmarkEnd w:id="485"/>
    </w:p>
    <w:p w14:paraId="07D7F748">
      <w:pPr>
        <w:keepNext/>
        <w:keepLines/>
        <w:spacing w:before="300" w:after="300" w:line="280" w:lineRule="exact"/>
        <w:jc w:val="left"/>
        <w:outlineLvl w:val="3"/>
        <w:rPr>
          <w:rFonts w:ascii="宋体" w:hAnsi="宋体" w:eastAsia="宋体" w:cs="宋体"/>
          <w:b/>
          <w:bCs/>
          <w:sz w:val="18"/>
          <w:szCs w:val="18"/>
        </w:rPr>
      </w:pPr>
      <w:bookmarkStart w:id="486" w:name="_Toc989369"/>
      <w:r>
        <w:rPr>
          <w:rFonts w:ascii="宋体" w:hAnsi="宋体" w:eastAsia="宋体" w:cs="宋体"/>
          <w:b/>
          <w:bCs/>
          <w:sz w:val="18"/>
          <w:szCs w:val="18"/>
        </w:rPr>
        <w:t>（1） 在子公司所有者权益份额发生变化的情况说明</w:t>
      </w:r>
      <w:bookmarkEnd w:id="486"/>
    </w:p>
    <w:p w14:paraId="78D99B95">
      <w:pPr>
        <w:keepNext/>
        <w:keepLines/>
        <w:spacing w:before="300" w:after="300" w:line="280" w:lineRule="exact"/>
        <w:jc w:val="left"/>
        <w:outlineLvl w:val="3"/>
        <w:rPr>
          <w:rFonts w:ascii="宋体" w:hAnsi="宋体" w:eastAsia="宋体" w:cs="宋体"/>
          <w:b/>
          <w:bCs/>
          <w:sz w:val="18"/>
          <w:szCs w:val="18"/>
        </w:rPr>
      </w:pPr>
      <w:bookmarkStart w:id="487" w:name="_Toc989370"/>
      <w:r>
        <w:rPr>
          <w:rFonts w:ascii="宋体" w:hAnsi="宋体" w:eastAsia="宋体" w:cs="宋体"/>
          <w:b/>
          <w:bCs/>
          <w:sz w:val="18"/>
          <w:szCs w:val="18"/>
        </w:rPr>
        <w:t>（2） 交易对于少数股东权益及归属于母公司所有者权益的影响</w:t>
      </w:r>
      <w:bookmarkEnd w:id="487"/>
    </w:p>
    <w:p w14:paraId="6950C63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701565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0676C77"/>
        </w:tc>
        <w:tc>
          <w:tcPr>
            <w:tcW w:w="4820" w:type="dxa"/>
            <w:tcBorders>
              <w:top w:val="single" w:color="auto" w:sz="2" w:space="0"/>
              <w:left w:val="single" w:color="auto" w:sz="2" w:space="0"/>
              <w:bottom w:val="single" w:color="auto" w:sz="2" w:space="0"/>
              <w:right w:val="single" w:color="auto" w:sz="2" w:space="0"/>
            </w:tcBorders>
            <w:vAlign w:val="center"/>
          </w:tcPr>
          <w:p w14:paraId="67D72AE0">
            <w:pPr>
              <w:spacing w:before="0" w:after="0" w:line="240" w:lineRule="exact"/>
              <w:jc w:val="center"/>
              <w:rPr>
                <w:rFonts w:ascii="宋体" w:hAnsi="宋体" w:eastAsia="宋体" w:cs="宋体"/>
                <w:sz w:val="18"/>
                <w:szCs w:val="18"/>
              </w:rPr>
            </w:pPr>
          </w:p>
        </w:tc>
      </w:tr>
      <w:tr w14:paraId="017B33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00A4269D">
            <w:pPr>
              <w:spacing w:before="40" w:after="40" w:line="240" w:lineRule="exact"/>
              <w:jc w:val="left"/>
              <w:rPr>
                <w:rFonts w:ascii="宋体" w:hAnsi="宋体" w:eastAsia="宋体" w:cs="宋体"/>
                <w:sz w:val="18"/>
                <w:szCs w:val="18"/>
              </w:rPr>
            </w:pPr>
            <w:r>
              <w:rPr>
                <w:rFonts w:ascii="宋体" w:hAnsi="宋体" w:eastAsia="宋体" w:cs="宋体"/>
                <w:sz w:val="18"/>
                <w:szCs w:val="18"/>
              </w:rPr>
              <w:t>购买成本/处置对价</w:t>
            </w:r>
          </w:p>
        </w:tc>
        <w:tc>
          <w:tcPr>
            <w:tcW w:w="4820" w:type="dxa"/>
            <w:tcBorders>
              <w:top w:val="single" w:color="auto" w:sz="2" w:space="0"/>
              <w:left w:val="single" w:color="auto" w:sz="2" w:space="0"/>
              <w:bottom w:val="single" w:color="auto" w:sz="2" w:space="0"/>
              <w:right w:val="single" w:color="auto" w:sz="2" w:space="0"/>
            </w:tcBorders>
            <w:vAlign w:val="center"/>
          </w:tcPr>
          <w:p w14:paraId="60D4D24F">
            <w:pPr>
              <w:spacing w:before="0" w:after="0" w:line="240" w:lineRule="exact"/>
              <w:jc w:val="right"/>
              <w:rPr>
                <w:rFonts w:ascii="宋体" w:hAnsi="宋体" w:eastAsia="宋体" w:cs="宋体"/>
                <w:sz w:val="18"/>
                <w:szCs w:val="18"/>
              </w:rPr>
            </w:pPr>
          </w:p>
        </w:tc>
      </w:tr>
      <w:tr w14:paraId="1DBE67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B41037C">
            <w:pPr>
              <w:spacing w:before="40" w:after="40" w:line="240" w:lineRule="exact"/>
              <w:jc w:val="left"/>
              <w:rPr>
                <w:rFonts w:ascii="宋体" w:hAnsi="宋体" w:eastAsia="宋体" w:cs="宋体"/>
                <w:sz w:val="18"/>
                <w:szCs w:val="18"/>
              </w:rPr>
            </w:pPr>
            <w:r>
              <w:rPr>
                <w:rFonts w:ascii="宋体" w:hAnsi="宋体" w:eastAsia="宋体" w:cs="宋体"/>
                <w:sz w:val="18"/>
                <w:szCs w:val="18"/>
              </w:rPr>
              <w:t>--现金</w:t>
            </w:r>
          </w:p>
        </w:tc>
        <w:tc>
          <w:tcPr>
            <w:tcW w:w="4820" w:type="dxa"/>
            <w:tcBorders>
              <w:top w:val="single" w:color="auto" w:sz="2" w:space="0"/>
              <w:left w:val="single" w:color="auto" w:sz="2" w:space="0"/>
              <w:bottom w:val="single" w:color="auto" w:sz="2" w:space="0"/>
              <w:right w:val="single" w:color="auto" w:sz="2" w:space="0"/>
            </w:tcBorders>
            <w:vAlign w:val="center"/>
          </w:tcPr>
          <w:p w14:paraId="7F0B7721">
            <w:pPr>
              <w:spacing w:before="0" w:after="0" w:line="240" w:lineRule="exact"/>
              <w:jc w:val="right"/>
              <w:rPr>
                <w:rFonts w:ascii="宋体" w:hAnsi="宋体" w:eastAsia="宋体" w:cs="宋体"/>
                <w:sz w:val="18"/>
                <w:szCs w:val="18"/>
              </w:rPr>
            </w:pPr>
          </w:p>
        </w:tc>
      </w:tr>
      <w:tr w14:paraId="584351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8274553">
            <w:pPr>
              <w:spacing w:before="40" w:after="40" w:line="240" w:lineRule="exact"/>
              <w:jc w:val="left"/>
              <w:rPr>
                <w:rFonts w:ascii="宋体" w:hAnsi="宋体" w:eastAsia="宋体" w:cs="宋体"/>
                <w:sz w:val="18"/>
                <w:szCs w:val="18"/>
              </w:rPr>
            </w:pPr>
            <w:r>
              <w:rPr>
                <w:rFonts w:ascii="宋体" w:hAnsi="宋体" w:eastAsia="宋体" w:cs="宋体"/>
                <w:sz w:val="18"/>
                <w:szCs w:val="18"/>
              </w:rPr>
              <w:t>--非现金资产的公允价值</w:t>
            </w:r>
          </w:p>
        </w:tc>
        <w:tc>
          <w:tcPr>
            <w:tcW w:w="4820" w:type="dxa"/>
            <w:tcBorders>
              <w:top w:val="single" w:color="auto" w:sz="2" w:space="0"/>
              <w:left w:val="single" w:color="auto" w:sz="2" w:space="0"/>
              <w:bottom w:val="single" w:color="auto" w:sz="2" w:space="0"/>
              <w:right w:val="single" w:color="auto" w:sz="2" w:space="0"/>
            </w:tcBorders>
            <w:vAlign w:val="center"/>
          </w:tcPr>
          <w:p w14:paraId="0841BC2F">
            <w:pPr>
              <w:spacing w:before="0" w:after="0" w:line="240" w:lineRule="exact"/>
              <w:jc w:val="right"/>
              <w:rPr>
                <w:rFonts w:ascii="宋体" w:hAnsi="宋体" w:eastAsia="宋体" w:cs="宋体"/>
                <w:sz w:val="18"/>
                <w:szCs w:val="18"/>
              </w:rPr>
            </w:pPr>
          </w:p>
        </w:tc>
      </w:tr>
      <w:tr w14:paraId="5EB8DC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1FD8780E">
            <w:pPr>
              <w:spacing w:before="0" w:after="0" w:line="240" w:lineRule="exact"/>
              <w:jc w:val="left"/>
              <w:rPr>
                <w:rFonts w:ascii="宋体" w:hAnsi="宋体" w:eastAsia="宋体" w:cs="宋体"/>
                <w:sz w:val="18"/>
                <w:szCs w:val="18"/>
              </w:rPr>
            </w:pPr>
          </w:p>
        </w:tc>
        <w:tc>
          <w:tcPr>
            <w:tcW w:w="4820" w:type="dxa"/>
            <w:tcBorders>
              <w:top w:val="single" w:color="auto" w:sz="2" w:space="0"/>
              <w:left w:val="single" w:color="auto" w:sz="2" w:space="0"/>
              <w:bottom w:val="single" w:color="auto" w:sz="2" w:space="0"/>
              <w:right w:val="single" w:color="auto" w:sz="2" w:space="0"/>
            </w:tcBorders>
            <w:vAlign w:val="center"/>
          </w:tcPr>
          <w:p w14:paraId="1E237843">
            <w:pPr>
              <w:spacing w:before="0" w:after="0" w:line="240" w:lineRule="exact"/>
              <w:jc w:val="right"/>
              <w:rPr>
                <w:rFonts w:ascii="宋体" w:hAnsi="宋体" w:eastAsia="宋体" w:cs="宋体"/>
                <w:sz w:val="18"/>
                <w:szCs w:val="18"/>
              </w:rPr>
            </w:pPr>
          </w:p>
        </w:tc>
      </w:tr>
      <w:tr w14:paraId="573968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8D8CE09">
            <w:pPr>
              <w:spacing w:before="40" w:after="40" w:line="240" w:lineRule="exact"/>
              <w:jc w:val="left"/>
              <w:rPr>
                <w:rFonts w:ascii="宋体" w:hAnsi="宋体" w:eastAsia="宋体" w:cs="宋体"/>
                <w:sz w:val="18"/>
                <w:szCs w:val="18"/>
              </w:rPr>
            </w:pPr>
            <w:r>
              <w:rPr>
                <w:rFonts w:ascii="宋体" w:hAnsi="宋体" w:eastAsia="宋体" w:cs="宋体"/>
                <w:sz w:val="18"/>
                <w:szCs w:val="18"/>
              </w:rPr>
              <w:t>购买成本/处置对价合计</w:t>
            </w:r>
          </w:p>
        </w:tc>
        <w:tc>
          <w:tcPr>
            <w:tcW w:w="4820" w:type="dxa"/>
            <w:tcBorders>
              <w:top w:val="single" w:color="auto" w:sz="2" w:space="0"/>
              <w:left w:val="single" w:color="auto" w:sz="2" w:space="0"/>
              <w:bottom w:val="single" w:color="auto" w:sz="2" w:space="0"/>
              <w:right w:val="single" w:color="auto" w:sz="2" w:space="0"/>
            </w:tcBorders>
            <w:vAlign w:val="center"/>
          </w:tcPr>
          <w:p w14:paraId="0F947B91">
            <w:pPr>
              <w:spacing w:before="0" w:after="0" w:line="240" w:lineRule="exact"/>
              <w:jc w:val="right"/>
              <w:rPr>
                <w:rFonts w:ascii="宋体" w:hAnsi="宋体" w:eastAsia="宋体" w:cs="宋体"/>
                <w:sz w:val="18"/>
                <w:szCs w:val="18"/>
              </w:rPr>
            </w:pPr>
          </w:p>
        </w:tc>
      </w:tr>
      <w:tr w14:paraId="5FF46F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6C51110">
            <w:pPr>
              <w:spacing w:before="40" w:after="40" w:line="240" w:lineRule="exact"/>
              <w:jc w:val="left"/>
              <w:rPr>
                <w:rFonts w:ascii="宋体" w:hAnsi="宋体" w:eastAsia="宋体" w:cs="宋体"/>
                <w:sz w:val="18"/>
                <w:szCs w:val="18"/>
              </w:rPr>
            </w:pPr>
            <w:r>
              <w:rPr>
                <w:rFonts w:ascii="宋体" w:hAnsi="宋体" w:eastAsia="宋体" w:cs="宋体"/>
                <w:sz w:val="18"/>
                <w:szCs w:val="18"/>
              </w:rPr>
              <w:t>减：按取得/处置的股权比例计算的子公司净资产份额</w:t>
            </w:r>
          </w:p>
        </w:tc>
        <w:tc>
          <w:tcPr>
            <w:tcW w:w="4820" w:type="dxa"/>
            <w:tcBorders>
              <w:top w:val="single" w:color="auto" w:sz="2" w:space="0"/>
              <w:left w:val="single" w:color="auto" w:sz="2" w:space="0"/>
              <w:bottom w:val="single" w:color="auto" w:sz="2" w:space="0"/>
              <w:right w:val="single" w:color="auto" w:sz="2" w:space="0"/>
            </w:tcBorders>
            <w:vAlign w:val="center"/>
          </w:tcPr>
          <w:p w14:paraId="5976BAE8">
            <w:pPr>
              <w:spacing w:before="0" w:after="0" w:line="240" w:lineRule="exact"/>
              <w:jc w:val="right"/>
              <w:rPr>
                <w:rFonts w:ascii="宋体" w:hAnsi="宋体" w:eastAsia="宋体" w:cs="宋体"/>
                <w:sz w:val="18"/>
                <w:szCs w:val="18"/>
              </w:rPr>
            </w:pPr>
          </w:p>
        </w:tc>
      </w:tr>
      <w:tr w14:paraId="3B3E59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D7AE156">
            <w:pPr>
              <w:spacing w:before="40" w:after="40" w:line="240" w:lineRule="exact"/>
              <w:jc w:val="left"/>
              <w:rPr>
                <w:rFonts w:ascii="宋体" w:hAnsi="宋体" w:eastAsia="宋体" w:cs="宋体"/>
                <w:sz w:val="18"/>
                <w:szCs w:val="18"/>
              </w:rPr>
            </w:pPr>
            <w:r>
              <w:rPr>
                <w:rFonts w:ascii="宋体" w:hAnsi="宋体" w:eastAsia="宋体" w:cs="宋体"/>
                <w:sz w:val="18"/>
                <w:szCs w:val="18"/>
              </w:rPr>
              <w:t>差额</w:t>
            </w:r>
          </w:p>
        </w:tc>
        <w:tc>
          <w:tcPr>
            <w:tcW w:w="4820" w:type="dxa"/>
            <w:tcBorders>
              <w:top w:val="single" w:color="auto" w:sz="2" w:space="0"/>
              <w:left w:val="single" w:color="auto" w:sz="2" w:space="0"/>
              <w:bottom w:val="single" w:color="auto" w:sz="2" w:space="0"/>
              <w:right w:val="single" w:color="auto" w:sz="2" w:space="0"/>
            </w:tcBorders>
            <w:vAlign w:val="center"/>
          </w:tcPr>
          <w:p w14:paraId="7599295B">
            <w:pPr>
              <w:spacing w:before="0" w:after="0" w:line="240" w:lineRule="exact"/>
              <w:jc w:val="right"/>
              <w:rPr>
                <w:rFonts w:ascii="宋体" w:hAnsi="宋体" w:eastAsia="宋体" w:cs="宋体"/>
                <w:sz w:val="18"/>
                <w:szCs w:val="18"/>
              </w:rPr>
            </w:pPr>
          </w:p>
        </w:tc>
      </w:tr>
      <w:tr w14:paraId="2B1055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74A61D08">
            <w:pPr>
              <w:spacing w:before="40" w:after="40" w:line="240" w:lineRule="exact"/>
              <w:jc w:val="left"/>
              <w:rPr>
                <w:rFonts w:ascii="宋体" w:hAnsi="宋体" w:eastAsia="宋体" w:cs="宋体"/>
                <w:sz w:val="18"/>
                <w:szCs w:val="18"/>
              </w:rPr>
            </w:pPr>
            <w:r>
              <w:rPr>
                <w:rFonts w:ascii="宋体" w:hAnsi="宋体" w:eastAsia="宋体" w:cs="宋体"/>
                <w:sz w:val="18"/>
                <w:szCs w:val="18"/>
              </w:rPr>
              <w:t>其中：调整资本公积</w:t>
            </w:r>
          </w:p>
        </w:tc>
        <w:tc>
          <w:tcPr>
            <w:tcW w:w="4820" w:type="dxa"/>
            <w:tcBorders>
              <w:top w:val="single" w:color="auto" w:sz="2" w:space="0"/>
              <w:left w:val="single" w:color="auto" w:sz="2" w:space="0"/>
              <w:bottom w:val="single" w:color="auto" w:sz="2" w:space="0"/>
              <w:right w:val="single" w:color="auto" w:sz="2" w:space="0"/>
            </w:tcBorders>
            <w:vAlign w:val="center"/>
          </w:tcPr>
          <w:p w14:paraId="4273FEBE">
            <w:pPr>
              <w:spacing w:before="0" w:after="0" w:line="240" w:lineRule="exact"/>
              <w:jc w:val="right"/>
              <w:rPr>
                <w:rFonts w:ascii="宋体" w:hAnsi="宋体" w:eastAsia="宋体" w:cs="宋体"/>
                <w:sz w:val="18"/>
                <w:szCs w:val="18"/>
              </w:rPr>
            </w:pPr>
          </w:p>
        </w:tc>
      </w:tr>
      <w:tr w14:paraId="3BA36E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FB14D9C">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调整盈余公积</w:t>
            </w:r>
          </w:p>
        </w:tc>
        <w:tc>
          <w:tcPr>
            <w:tcW w:w="4820" w:type="dxa"/>
            <w:tcBorders>
              <w:top w:val="single" w:color="auto" w:sz="2" w:space="0"/>
              <w:left w:val="single" w:color="auto" w:sz="2" w:space="0"/>
              <w:bottom w:val="single" w:color="auto" w:sz="2" w:space="0"/>
              <w:right w:val="single" w:color="auto" w:sz="2" w:space="0"/>
            </w:tcBorders>
            <w:vAlign w:val="center"/>
          </w:tcPr>
          <w:p w14:paraId="67DC6FED">
            <w:pPr>
              <w:spacing w:before="0" w:after="0" w:line="240" w:lineRule="exact"/>
              <w:jc w:val="right"/>
              <w:rPr>
                <w:rFonts w:ascii="宋体" w:hAnsi="宋体" w:eastAsia="宋体" w:cs="宋体"/>
                <w:sz w:val="18"/>
                <w:szCs w:val="18"/>
              </w:rPr>
            </w:pPr>
          </w:p>
        </w:tc>
      </w:tr>
      <w:tr w14:paraId="3CB372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AFA5E5E">
            <w:pPr>
              <w:spacing w:before="40" w:after="40" w:line="240" w:lineRule="exact"/>
              <w:ind w:firstLine="540" w:firstLineChars="300"/>
              <w:jc w:val="left"/>
              <w:rPr>
                <w:rFonts w:ascii="宋体" w:hAnsi="宋体" w:eastAsia="宋体" w:cs="宋体"/>
                <w:sz w:val="18"/>
                <w:szCs w:val="18"/>
              </w:rPr>
            </w:pPr>
            <w:r>
              <w:rPr>
                <w:rFonts w:ascii="宋体" w:hAnsi="宋体" w:eastAsia="宋体" w:cs="宋体"/>
                <w:sz w:val="18"/>
                <w:szCs w:val="18"/>
              </w:rPr>
              <w:t>调整未分配利润</w:t>
            </w:r>
          </w:p>
        </w:tc>
        <w:tc>
          <w:tcPr>
            <w:tcW w:w="4820" w:type="dxa"/>
            <w:tcBorders>
              <w:top w:val="single" w:color="auto" w:sz="2" w:space="0"/>
              <w:left w:val="single" w:color="auto" w:sz="2" w:space="0"/>
              <w:bottom w:val="single" w:color="auto" w:sz="2" w:space="0"/>
              <w:right w:val="single" w:color="auto" w:sz="2" w:space="0"/>
            </w:tcBorders>
            <w:vAlign w:val="center"/>
          </w:tcPr>
          <w:p w14:paraId="273F1CD9">
            <w:pPr>
              <w:spacing w:before="0" w:after="0" w:line="240" w:lineRule="exact"/>
              <w:jc w:val="right"/>
              <w:rPr>
                <w:rFonts w:ascii="宋体" w:hAnsi="宋体" w:eastAsia="宋体" w:cs="宋体"/>
                <w:sz w:val="18"/>
                <w:szCs w:val="18"/>
              </w:rPr>
            </w:pPr>
          </w:p>
        </w:tc>
      </w:tr>
    </w:tbl>
    <w:p w14:paraId="3D767E5E">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CAC9435">
      <w:pPr>
        <w:keepNext/>
        <w:keepLines/>
        <w:spacing w:before="300" w:after="300" w:line="280" w:lineRule="exact"/>
        <w:jc w:val="left"/>
        <w:outlineLvl w:val="2"/>
        <w:rPr>
          <w:rFonts w:ascii="宋体" w:hAnsi="宋体" w:eastAsia="宋体" w:cs="宋体"/>
          <w:b/>
          <w:bCs/>
          <w:sz w:val="21"/>
          <w:szCs w:val="21"/>
        </w:rPr>
      </w:pPr>
      <w:bookmarkStart w:id="488" w:name="_Toc989371"/>
      <w:r>
        <w:rPr>
          <w:rFonts w:ascii="宋体" w:hAnsi="宋体" w:eastAsia="宋体" w:cs="宋体"/>
          <w:b/>
          <w:bCs/>
          <w:sz w:val="21"/>
          <w:szCs w:val="21"/>
        </w:rPr>
        <w:t>3、在合营安排或联营企业中的权益</w:t>
      </w:r>
      <w:bookmarkEnd w:id="488"/>
    </w:p>
    <w:p w14:paraId="542405DD">
      <w:pPr>
        <w:keepNext/>
        <w:keepLines/>
        <w:spacing w:before="300" w:after="300" w:line="280" w:lineRule="exact"/>
        <w:jc w:val="left"/>
        <w:outlineLvl w:val="3"/>
        <w:rPr>
          <w:rFonts w:ascii="宋体" w:hAnsi="宋体" w:eastAsia="宋体" w:cs="宋体"/>
          <w:b/>
          <w:bCs/>
          <w:sz w:val="21"/>
          <w:szCs w:val="21"/>
        </w:rPr>
      </w:pPr>
      <w:bookmarkStart w:id="489" w:name="_Toc989372"/>
      <w:r>
        <w:rPr>
          <w:rFonts w:ascii="宋体" w:hAnsi="宋体" w:eastAsia="宋体" w:cs="宋体"/>
          <w:b/>
          <w:bCs/>
          <w:sz w:val="21"/>
          <w:szCs w:val="21"/>
        </w:rPr>
        <w:t>（1） 重要的合营企业或联营企业</w:t>
      </w:r>
      <w:bookmarkEnd w:id="489"/>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0EB174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57DFBF4">
            <w:pPr>
              <w:spacing w:before="40" w:after="40" w:line="240" w:lineRule="exact"/>
              <w:jc w:val="center"/>
              <w:rPr>
                <w:rFonts w:ascii="宋体" w:hAnsi="宋体" w:eastAsia="宋体" w:cs="宋体"/>
                <w:sz w:val="18"/>
                <w:szCs w:val="18"/>
              </w:rPr>
            </w:pPr>
            <w:r>
              <w:rPr>
                <w:rFonts w:ascii="宋体" w:hAnsi="宋体" w:eastAsia="宋体" w:cs="宋体"/>
                <w:sz w:val="18"/>
                <w:szCs w:val="18"/>
              </w:rPr>
              <w:t>合营企业或联营企业名称</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0B9BC77">
            <w:pPr>
              <w:spacing w:before="40" w:after="40" w:line="240" w:lineRule="exact"/>
              <w:jc w:val="center"/>
              <w:rPr>
                <w:rFonts w:ascii="宋体" w:hAnsi="宋体" w:eastAsia="宋体" w:cs="宋体"/>
                <w:sz w:val="18"/>
                <w:szCs w:val="18"/>
              </w:rPr>
            </w:pPr>
            <w:r>
              <w:rPr>
                <w:rFonts w:ascii="宋体" w:hAnsi="宋体" w:eastAsia="宋体" w:cs="宋体"/>
                <w:sz w:val="18"/>
                <w:szCs w:val="18"/>
              </w:rPr>
              <w:t>主要经营地</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85FEDBB">
            <w:pPr>
              <w:spacing w:before="40" w:after="40" w:line="240" w:lineRule="exact"/>
              <w:jc w:val="center"/>
              <w:rPr>
                <w:rFonts w:ascii="宋体" w:hAnsi="宋体" w:eastAsia="宋体" w:cs="宋体"/>
                <w:sz w:val="18"/>
                <w:szCs w:val="18"/>
              </w:rPr>
            </w:pPr>
            <w:r>
              <w:rPr>
                <w:rFonts w:ascii="宋体" w:hAnsi="宋体" w:eastAsia="宋体" w:cs="宋体"/>
                <w:sz w:val="18"/>
                <w:szCs w:val="18"/>
              </w:rPr>
              <w:t>注册地</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1744207">
            <w:pPr>
              <w:spacing w:before="40" w:after="40" w:line="240" w:lineRule="exact"/>
              <w:jc w:val="center"/>
              <w:rPr>
                <w:rFonts w:ascii="宋体" w:hAnsi="宋体" w:eastAsia="宋体" w:cs="宋体"/>
                <w:sz w:val="18"/>
                <w:szCs w:val="18"/>
              </w:rPr>
            </w:pPr>
            <w:r>
              <w:rPr>
                <w:rFonts w:ascii="宋体" w:hAnsi="宋体" w:eastAsia="宋体" w:cs="宋体"/>
                <w:sz w:val="18"/>
                <w:szCs w:val="18"/>
              </w:rPr>
              <w:t>业务性质</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40F5B6AF">
            <w:pPr>
              <w:spacing w:before="40" w:after="40" w:line="240" w:lineRule="exact"/>
              <w:jc w:val="center"/>
              <w:rPr>
                <w:rFonts w:ascii="宋体" w:hAnsi="宋体" w:eastAsia="宋体" w:cs="宋体"/>
                <w:sz w:val="18"/>
                <w:szCs w:val="18"/>
              </w:rPr>
            </w:pPr>
            <w:r>
              <w:rPr>
                <w:rFonts w:ascii="宋体" w:hAnsi="宋体" w:eastAsia="宋体" w:cs="宋体"/>
                <w:sz w:val="18"/>
                <w:szCs w:val="18"/>
              </w:rPr>
              <w:t>持股比例</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AC6C179">
            <w:pPr>
              <w:spacing w:before="40" w:after="40" w:line="240" w:lineRule="exact"/>
              <w:jc w:val="center"/>
              <w:rPr>
                <w:rFonts w:ascii="宋体" w:hAnsi="宋体" w:eastAsia="宋体" w:cs="宋体"/>
                <w:sz w:val="18"/>
                <w:szCs w:val="18"/>
              </w:rPr>
            </w:pPr>
            <w:r>
              <w:rPr>
                <w:rFonts w:ascii="宋体" w:hAnsi="宋体" w:eastAsia="宋体" w:cs="宋体"/>
                <w:sz w:val="18"/>
                <w:szCs w:val="18"/>
              </w:rPr>
              <w:t>对合营企业或联营企业投资的会计处理方法</w:t>
            </w:r>
          </w:p>
        </w:tc>
      </w:tr>
      <w:tr w14:paraId="445026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EF1ADAC"/>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EC35762"/>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079EDA8"/>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7DC57FD"/>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97800DF">
            <w:pPr>
              <w:spacing w:before="40" w:after="40" w:line="240" w:lineRule="exact"/>
              <w:jc w:val="center"/>
              <w:rPr>
                <w:rFonts w:ascii="宋体" w:hAnsi="宋体" w:eastAsia="宋体" w:cs="宋体"/>
                <w:sz w:val="18"/>
                <w:szCs w:val="18"/>
              </w:rPr>
            </w:pPr>
            <w:r>
              <w:rPr>
                <w:rFonts w:ascii="宋体" w:hAnsi="宋体" w:eastAsia="宋体" w:cs="宋体"/>
                <w:sz w:val="18"/>
                <w:szCs w:val="18"/>
              </w:rPr>
              <w:t>直接</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0762DE1">
            <w:pPr>
              <w:spacing w:before="40" w:after="40" w:line="240" w:lineRule="exact"/>
              <w:jc w:val="center"/>
              <w:rPr>
                <w:rFonts w:ascii="宋体" w:hAnsi="宋体" w:eastAsia="宋体" w:cs="宋体"/>
                <w:sz w:val="18"/>
                <w:szCs w:val="18"/>
              </w:rPr>
            </w:pPr>
            <w:r>
              <w:rPr>
                <w:rFonts w:ascii="宋体" w:hAnsi="宋体" w:eastAsia="宋体" w:cs="宋体"/>
                <w:sz w:val="18"/>
                <w:szCs w:val="18"/>
              </w:rPr>
              <w:t>间接</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0237B0A"/>
        </w:tc>
      </w:tr>
      <w:tr w14:paraId="7E58A0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46EA803E">
            <w:pPr>
              <w:spacing w:before="0" w:after="0" w:line="240" w:lineRule="exact"/>
              <w:jc w:val="left"/>
              <w:rPr>
                <w:rFonts w:ascii="宋体" w:hAnsi="宋体" w:eastAsia="宋体" w:cs="宋体"/>
                <w:sz w:val="18"/>
                <w:szCs w:val="18"/>
              </w:rPr>
            </w:pPr>
            <w:r>
              <w:rPr>
                <w:rFonts w:ascii="宋体" w:hAnsi="宋体" w:eastAsia="宋体" w:cs="宋体"/>
                <w:sz w:val="18"/>
                <w:szCs w:val="18"/>
              </w:rPr>
              <w:t>福建博奥医学检验所有限公司</w:t>
            </w:r>
          </w:p>
        </w:tc>
        <w:tc>
          <w:tcPr>
            <w:tcW w:w="1377" w:type="dxa"/>
            <w:tcBorders>
              <w:top w:val="single" w:color="auto" w:sz="2" w:space="0"/>
              <w:left w:val="single" w:color="auto" w:sz="2" w:space="0"/>
              <w:bottom w:val="single" w:color="auto" w:sz="2" w:space="0"/>
              <w:right w:val="single" w:color="auto" w:sz="2" w:space="0"/>
            </w:tcBorders>
            <w:vAlign w:val="center"/>
          </w:tcPr>
          <w:p w14:paraId="46F85DE6">
            <w:pPr>
              <w:spacing w:before="0" w:after="0" w:line="240" w:lineRule="exact"/>
              <w:jc w:val="left"/>
              <w:rPr>
                <w:rFonts w:ascii="宋体" w:hAnsi="宋体" w:eastAsia="宋体" w:cs="宋体"/>
                <w:sz w:val="18"/>
                <w:szCs w:val="18"/>
              </w:rPr>
            </w:pPr>
            <w:r>
              <w:rPr>
                <w:rFonts w:ascii="宋体" w:hAnsi="宋体" w:eastAsia="宋体" w:cs="宋体"/>
                <w:sz w:val="18"/>
                <w:szCs w:val="18"/>
              </w:rPr>
              <w:t>福建福州</w:t>
            </w:r>
          </w:p>
        </w:tc>
        <w:tc>
          <w:tcPr>
            <w:tcW w:w="1377" w:type="dxa"/>
            <w:tcBorders>
              <w:top w:val="single" w:color="auto" w:sz="2" w:space="0"/>
              <w:left w:val="single" w:color="auto" w:sz="2" w:space="0"/>
              <w:bottom w:val="single" w:color="auto" w:sz="2" w:space="0"/>
              <w:right w:val="single" w:color="auto" w:sz="2" w:space="0"/>
            </w:tcBorders>
            <w:vAlign w:val="center"/>
          </w:tcPr>
          <w:p w14:paraId="64B6FF54">
            <w:pPr>
              <w:spacing w:before="0" w:after="0" w:line="240" w:lineRule="exact"/>
              <w:jc w:val="left"/>
              <w:rPr>
                <w:rFonts w:ascii="宋体" w:hAnsi="宋体" w:eastAsia="宋体" w:cs="宋体"/>
                <w:sz w:val="18"/>
                <w:szCs w:val="18"/>
              </w:rPr>
            </w:pPr>
            <w:r>
              <w:rPr>
                <w:rFonts w:ascii="宋体" w:hAnsi="宋体" w:eastAsia="宋体" w:cs="宋体"/>
                <w:sz w:val="18"/>
                <w:szCs w:val="18"/>
              </w:rPr>
              <w:t>福建福州</w:t>
            </w:r>
          </w:p>
        </w:tc>
        <w:tc>
          <w:tcPr>
            <w:tcW w:w="1377" w:type="dxa"/>
            <w:tcBorders>
              <w:top w:val="single" w:color="auto" w:sz="2" w:space="0"/>
              <w:left w:val="single" w:color="auto" w:sz="2" w:space="0"/>
              <w:bottom w:val="single" w:color="auto" w:sz="2" w:space="0"/>
              <w:right w:val="single" w:color="auto" w:sz="2" w:space="0"/>
            </w:tcBorders>
            <w:vAlign w:val="center"/>
          </w:tcPr>
          <w:p w14:paraId="27AE656F">
            <w:pPr>
              <w:spacing w:before="0" w:after="0" w:line="240" w:lineRule="exact"/>
              <w:jc w:val="left"/>
              <w:rPr>
                <w:rFonts w:ascii="宋体" w:hAnsi="宋体" w:eastAsia="宋体" w:cs="宋体"/>
                <w:sz w:val="18"/>
                <w:szCs w:val="18"/>
              </w:rPr>
            </w:pPr>
            <w:r>
              <w:rPr>
                <w:rFonts w:ascii="宋体" w:hAnsi="宋体" w:eastAsia="宋体" w:cs="宋体"/>
                <w:sz w:val="18"/>
                <w:szCs w:val="18"/>
              </w:rPr>
              <w:t>临床检验服务、生物科学技术研究服务、对医疗业的投资</w:t>
            </w:r>
          </w:p>
        </w:tc>
        <w:tc>
          <w:tcPr>
            <w:tcW w:w="1377" w:type="dxa"/>
            <w:tcBorders>
              <w:top w:val="single" w:color="auto" w:sz="2" w:space="0"/>
              <w:left w:val="single" w:color="auto" w:sz="2" w:space="0"/>
              <w:bottom w:val="single" w:color="auto" w:sz="2" w:space="0"/>
              <w:right w:val="single" w:color="auto" w:sz="2" w:space="0"/>
            </w:tcBorders>
            <w:vAlign w:val="center"/>
          </w:tcPr>
          <w:p w14:paraId="6F8BBE68">
            <w:pPr>
              <w:spacing w:before="0" w:after="0" w:line="240" w:lineRule="exact"/>
              <w:jc w:val="right"/>
              <w:rPr>
                <w:rFonts w:ascii="宋体" w:hAnsi="宋体" w:eastAsia="宋体" w:cs="宋体"/>
                <w:sz w:val="18"/>
                <w:szCs w:val="18"/>
              </w:rPr>
            </w:pPr>
            <w:r>
              <w:rPr>
                <w:rFonts w:ascii="宋体" w:hAnsi="宋体" w:eastAsia="宋体" w:cs="宋体"/>
                <w:sz w:val="18"/>
                <w:szCs w:val="18"/>
              </w:rPr>
              <w:t>49.00%</w:t>
            </w:r>
          </w:p>
        </w:tc>
        <w:tc>
          <w:tcPr>
            <w:tcW w:w="1377" w:type="dxa"/>
            <w:tcBorders>
              <w:top w:val="single" w:color="auto" w:sz="2" w:space="0"/>
              <w:left w:val="single" w:color="auto" w:sz="2" w:space="0"/>
              <w:bottom w:val="single" w:color="auto" w:sz="2" w:space="0"/>
              <w:right w:val="single" w:color="auto" w:sz="2" w:space="0"/>
            </w:tcBorders>
            <w:vAlign w:val="center"/>
          </w:tcPr>
          <w:p w14:paraId="2649673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ECABE55">
            <w:pPr>
              <w:spacing w:before="0" w:after="0" w:line="240" w:lineRule="exact"/>
              <w:jc w:val="left"/>
              <w:rPr>
                <w:rFonts w:ascii="宋体" w:hAnsi="宋体" w:eastAsia="宋体" w:cs="宋体"/>
                <w:sz w:val="18"/>
                <w:szCs w:val="18"/>
              </w:rPr>
            </w:pPr>
            <w:r>
              <w:rPr>
                <w:rFonts w:ascii="宋体" w:hAnsi="宋体" w:eastAsia="宋体" w:cs="宋体"/>
                <w:sz w:val="18"/>
                <w:szCs w:val="18"/>
              </w:rPr>
              <w:t>权益法</w:t>
            </w:r>
          </w:p>
        </w:tc>
      </w:tr>
      <w:tr w14:paraId="31F9EC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7B78DDDF">
            <w:pPr>
              <w:spacing w:before="0" w:after="0" w:line="240" w:lineRule="exact"/>
              <w:jc w:val="left"/>
              <w:rPr>
                <w:rFonts w:ascii="宋体" w:hAnsi="宋体" w:eastAsia="宋体" w:cs="宋体"/>
                <w:sz w:val="18"/>
                <w:szCs w:val="18"/>
              </w:rPr>
            </w:pPr>
            <w:r>
              <w:rPr>
                <w:rFonts w:ascii="宋体" w:hAnsi="宋体" w:eastAsia="宋体" w:cs="宋体"/>
                <w:sz w:val="18"/>
                <w:szCs w:val="18"/>
              </w:rPr>
              <w:t>福建广明方医药投资研发中心（有限合伙）</w:t>
            </w:r>
          </w:p>
        </w:tc>
        <w:tc>
          <w:tcPr>
            <w:tcW w:w="1377" w:type="dxa"/>
            <w:tcBorders>
              <w:top w:val="single" w:color="auto" w:sz="2" w:space="0"/>
              <w:left w:val="single" w:color="auto" w:sz="2" w:space="0"/>
              <w:bottom w:val="single" w:color="auto" w:sz="2" w:space="0"/>
              <w:right w:val="single" w:color="auto" w:sz="2" w:space="0"/>
            </w:tcBorders>
            <w:vAlign w:val="center"/>
          </w:tcPr>
          <w:p w14:paraId="7CEC74DE">
            <w:pPr>
              <w:spacing w:before="0" w:after="0" w:line="240" w:lineRule="exact"/>
              <w:jc w:val="left"/>
              <w:rPr>
                <w:rFonts w:ascii="宋体" w:hAnsi="宋体" w:eastAsia="宋体" w:cs="宋体"/>
                <w:sz w:val="18"/>
                <w:szCs w:val="18"/>
              </w:rPr>
            </w:pPr>
            <w:r>
              <w:rPr>
                <w:rFonts w:ascii="宋体" w:hAnsi="宋体" w:eastAsia="宋体" w:cs="宋体"/>
                <w:sz w:val="18"/>
                <w:szCs w:val="18"/>
              </w:rPr>
              <w:t>福建福州</w:t>
            </w:r>
          </w:p>
        </w:tc>
        <w:tc>
          <w:tcPr>
            <w:tcW w:w="1377" w:type="dxa"/>
            <w:tcBorders>
              <w:top w:val="single" w:color="auto" w:sz="2" w:space="0"/>
              <w:left w:val="single" w:color="auto" w:sz="2" w:space="0"/>
              <w:bottom w:val="single" w:color="auto" w:sz="2" w:space="0"/>
              <w:right w:val="single" w:color="auto" w:sz="2" w:space="0"/>
            </w:tcBorders>
            <w:vAlign w:val="center"/>
          </w:tcPr>
          <w:p w14:paraId="7E814862">
            <w:pPr>
              <w:spacing w:before="0" w:after="0" w:line="240" w:lineRule="exact"/>
              <w:jc w:val="left"/>
              <w:rPr>
                <w:rFonts w:ascii="宋体" w:hAnsi="宋体" w:eastAsia="宋体" w:cs="宋体"/>
                <w:sz w:val="18"/>
                <w:szCs w:val="18"/>
              </w:rPr>
            </w:pPr>
            <w:r>
              <w:rPr>
                <w:rFonts w:ascii="宋体" w:hAnsi="宋体" w:eastAsia="宋体" w:cs="宋体"/>
                <w:sz w:val="18"/>
                <w:szCs w:val="18"/>
              </w:rPr>
              <w:t>福建福州</w:t>
            </w:r>
          </w:p>
        </w:tc>
        <w:tc>
          <w:tcPr>
            <w:tcW w:w="1377" w:type="dxa"/>
            <w:tcBorders>
              <w:top w:val="single" w:color="auto" w:sz="2" w:space="0"/>
              <w:left w:val="single" w:color="auto" w:sz="2" w:space="0"/>
              <w:bottom w:val="single" w:color="auto" w:sz="2" w:space="0"/>
              <w:right w:val="single" w:color="auto" w:sz="2" w:space="0"/>
            </w:tcBorders>
            <w:vAlign w:val="center"/>
          </w:tcPr>
          <w:p w14:paraId="5B352DAA">
            <w:pPr>
              <w:spacing w:before="0" w:after="0" w:line="240" w:lineRule="exact"/>
              <w:jc w:val="left"/>
              <w:rPr>
                <w:rFonts w:ascii="宋体" w:hAnsi="宋体" w:eastAsia="宋体" w:cs="宋体"/>
                <w:sz w:val="18"/>
                <w:szCs w:val="18"/>
              </w:rPr>
            </w:pPr>
            <w:r>
              <w:rPr>
                <w:rFonts w:ascii="宋体" w:hAnsi="宋体" w:eastAsia="宋体" w:cs="宋体"/>
                <w:sz w:val="18"/>
                <w:szCs w:val="18"/>
              </w:rPr>
              <w:t>药品及医疗器械的研发</w:t>
            </w:r>
          </w:p>
        </w:tc>
        <w:tc>
          <w:tcPr>
            <w:tcW w:w="1377" w:type="dxa"/>
            <w:tcBorders>
              <w:top w:val="single" w:color="auto" w:sz="2" w:space="0"/>
              <w:left w:val="single" w:color="auto" w:sz="2" w:space="0"/>
              <w:bottom w:val="single" w:color="auto" w:sz="2" w:space="0"/>
              <w:right w:val="single" w:color="auto" w:sz="2" w:space="0"/>
            </w:tcBorders>
            <w:vAlign w:val="center"/>
          </w:tcPr>
          <w:p w14:paraId="0856CA73">
            <w:pPr>
              <w:spacing w:before="0" w:after="0" w:line="240" w:lineRule="exact"/>
              <w:jc w:val="right"/>
              <w:rPr>
                <w:rFonts w:ascii="宋体" w:hAnsi="宋体" w:eastAsia="宋体" w:cs="宋体"/>
                <w:sz w:val="18"/>
                <w:szCs w:val="18"/>
              </w:rPr>
            </w:pPr>
            <w:r>
              <w:rPr>
                <w:rFonts w:ascii="宋体" w:hAnsi="宋体" w:eastAsia="宋体" w:cs="宋体"/>
                <w:sz w:val="18"/>
                <w:szCs w:val="18"/>
              </w:rPr>
              <w:t>50.00%</w:t>
            </w:r>
          </w:p>
        </w:tc>
        <w:tc>
          <w:tcPr>
            <w:tcW w:w="1377" w:type="dxa"/>
            <w:tcBorders>
              <w:top w:val="single" w:color="auto" w:sz="2" w:space="0"/>
              <w:left w:val="single" w:color="auto" w:sz="2" w:space="0"/>
              <w:bottom w:val="single" w:color="auto" w:sz="2" w:space="0"/>
              <w:right w:val="single" w:color="auto" w:sz="2" w:space="0"/>
            </w:tcBorders>
            <w:vAlign w:val="center"/>
          </w:tcPr>
          <w:p w14:paraId="5D57AD8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CB0C095">
            <w:pPr>
              <w:spacing w:before="0" w:after="0" w:line="240" w:lineRule="exact"/>
              <w:jc w:val="left"/>
              <w:rPr>
                <w:rFonts w:ascii="宋体" w:hAnsi="宋体" w:eastAsia="宋体" w:cs="宋体"/>
                <w:sz w:val="18"/>
                <w:szCs w:val="18"/>
              </w:rPr>
            </w:pPr>
            <w:r>
              <w:rPr>
                <w:rFonts w:ascii="宋体" w:hAnsi="宋体" w:eastAsia="宋体" w:cs="宋体"/>
                <w:sz w:val="18"/>
                <w:szCs w:val="18"/>
              </w:rPr>
              <w:t>权益法</w:t>
            </w:r>
          </w:p>
        </w:tc>
      </w:tr>
      <w:tr w14:paraId="4801D3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27346D70">
            <w:pPr>
              <w:spacing w:before="0" w:after="0" w:line="240" w:lineRule="exact"/>
              <w:jc w:val="left"/>
              <w:rPr>
                <w:rFonts w:ascii="宋体" w:hAnsi="宋体" w:eastAsia="宋体" w:cs="宋体"/>
                <w:sz w:val="18"/>
                <w:szCs w:val="18"/>
              </w:rPr>
            </w:pPr>
            <w:r>
              <w:rPr>
                <w:rFonts w:ascii="宋体" w:hAnsi="宋体" w:eastAsia="宋体" w:cs="宋体"/>
                <w:sz w:val="18"/>
                <w:szCs w:val="18"/>
              </w:rPr>
              <w:t>莆田博奥医学检验有限公司</w:t>
            </w:r>
          </w:p>
        </w:tc>
        <w:tc>
          <w:tcPr>
            <w:tcW w:w="1377" w:type="dxa"/>
            <w:tcBorders>
              <w:top w:val="single" w:color="auto" w:sz="2" w:space="0"/>
              <w:left w:val="single" w:color="auto" w:sz="2" w:space="0"/>
              <w:bottom w:val="single" w:color="auto" w:sz="2" w:space="0"/>
              <w:right w:val="single" w:color="auto" w:sz="2" w:space="0"/>
            </w:tcBorders>
            <w:vAlign w:val="center"/>
          </w:tcPr>
          <w:p w14:paraId="3748E005">
            <w:pPr>
              <w:spacing w:before="0" w:after="0" w:line="240" w:lineRule="exact"/>
              <w:jc w:val="left"/>
              <w:rPr>
                <w:rFonts w:ascii="宋体" w:hAnsi="宋体" w:eastAsia="宋体" w:cs="宋体"/>
                <w:sz w:val="18"/>
                <w:szCs w:val="18"/>
              </w:rPr>
            </w:pPr>
            <w:r>
              <w:rPr>
                <w:rFonts w:ascii="宋体" w:hAnsi="宋体" w:eastAsia="宋体" w:cs="宋体"/>
                <w:sz w:val="18"/>
                <w:szCs w:val="18"/>
              </w:rPr>
              <w:t>福建莆田</w:t>
            </w:r>
          </w:p>
        </w:tc>
        <w:tc>
          <w:tcPr>
            <w:tcW w:w="1377" w:type="dxa"/>
            <w:tcBorders>
              <w:top w:val="single" w:color="auto" w:sz="2" w:space="0"/>
              <w:left w:val="single" w:color="auto" w:sz="2" w:space="0"/>
              <w:bottom w:val="single" w:color="auto" w:sz="2" w:space="0"/>
              <w:right w:val="single" w:color="auto" w:sz="2" w:space="0"/>
            </w:tcBorders>
            <w:vAlign w:val="center"/>
          </w:tcPr>
          <w:p w14:paraId="69B61EEE">
            <w:pPr>
              <w:spacing w:before="0" w:after="0" w:line="240" w:lineRule="exact"/>
              <w:jc w:val="left"/>
              <w:rPr>
                <w:rFonts w:ascii="宋体" w:hAnsi="宋体" w:eastAsia="宋体" w:cs="宋体"/>
                <w:sz w:val="18"/>
                <w:szCs w:val="18"/>
              </w:rPr>
            </w:pPr>
            <w:r>
              <w:rPr>
                <w:rFonts w:ascii="宋体" w:hAnsi="宋体" w:eastAsia="宋体" w:cs="宋体"/>
                <w:sz w:val="18"/>
                <w:szCs w:val="18"/>
              </w:rPr>
              <w:t>福建莆田</w:t>
            </w:r>
          </w:p>
        </w:tc>
        <w:tc>
          <w:tcPr>
            <w:tcW w:w="1377" w:type="dxa"/>
            <w:tcBorders>
              <w:top w:val="single" w:color="auto" w:sz="2" w:space="0"/>
              <w:left w:val="single" w:color="auto" w:sz="2" w:space="0"/>
              <w:bottom w:val="single" w:color="auto" w:sz="2" w:space="0"/>
              <w:right w:val="single" w:color="auto" w:sz="2" w:space="0"/>
            </w:tcBorders>
            <w:vAlign w:val="center"/>
          </w:tcPr>
          <w:p w14:paraId="00FAC772">
            <w:pPr>
              <w:spacing w:before="0" w:after="0" w:line="240" w:lineRule="exact"/>
              <w:jc w:val="left"/>
              <w:rPr>
                <w:rFonts w:ascii="宋体" w:hAnsi="宋体" w:eastAsia="宋体" w:cs="宋体"/>
                <w:sz w:val="18"/>
                <w:szCs w:val="18"/>
              </w:rPr>
            </w:pPr>
            <w:r>
              <w:rPr>
                <w:rFonts w:ascii="宋体" w:hAnsi="宋体" w:eastAsia="宋体" w:cs="宋体"/>
                <w:sz w:val="18"/>
                <w:szCs w:val="18"/>
              </w:rPr>
              <w:t>医学检验、医学研究和试验发</w:t>
            </w:r>
          </w:p>
        </w:tc>
        <w:tc>
          <w:tcPr>
            <w:tcW w:w="1377" w:type="dxa"/>
            <w:tcBorders>
              <w:top w:val="single" w:color="auto" w:sz="2" w:space="0"/>
              <w:left w:val="single" w:color="auto" w:sz="2" w:space="0"/>
              <w:bottom w:val="single" w:color="auto" w:sz="2" w:space="0"/>
              <w:right w:val="single" w:color="auto" w:sz="2" w:space="0"/>
            </w:tcBorders>
            <w:vAlign w:val="center"/>
          </w:tcPr>
          <w:p w14:paraId="0D38F08A">
            <w:pPr>
              <w:spacing w:before="0" w:after="0" w:line="240" w:lineRule="exact"/>
              <w:jc w:val="right"/>
              <w:rPr>
                <w:rFonts w:ascii="宋体" w:hAnsi="宋体" w:eastAsia="宋体" w:cs="宋体"/>
                <w:sz w:val="18"/>
                <w:szCs w:val="18"/>
              </w:rPr>
            </w:pPr>
            <w:r>
              <w:rPr>
                <w:rFonts w:ascii="宋体" w:hAnsi="宋体" w:eastAsia="宋体" w:cs="宋体"/>
                <w:sz w:val="18"/>
                <w:szCs w:val="18"/>
              </w:rPr>
              <w:t>39.20%</w:t>
            </w:r>
          </w:p>
        </w:tc>
        <w:tc>
          <w:tcPr>
            <w:tcW w:w="1377" w:type="dxa"/>
            <w:tcBorders>
              <w:top w:val="single" w:color="auto" w:sz="2" w:space="0"/>
              <w:left w:val="single" w:color="auto" w:sz="2" w:space="0"/>
              <w:bottom w:val="single" w:color="auto" w:sz="2" w:space="0"/>
              <w:right w:val="single" w:color="auto" w:sz="2" w:space="0"/>
            </w:tcBorders>
            <w:vAlign w:val="center"/>
          </w:tcPr>
          <w:p w14:paraId="7DED820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45B1963">
            <w:pPr>
              <w:spacing w:before="0" w:after="0" w:line="240" w:lineRule="exact"/>
              <w:jc w:val="left"/>
              <w:rPr>
                <w:rFonts w:ascii="宋体" w:hAnsi="宋体" w:eastAsia="宋体" w:cs="宋体"/>
                <w:sz w:val="18"/>
                <w:szCs w:val="18"/>
              </w:rPr>
            </w:pPr>
            <w:r>
              <w:rPr>
                <w:rFonts w:ascii="宋体" w:hAnsi="宋体" w:eastAsia="宋体" w:cs="宋体"/>
                <w:sz w:val="18"/>
                <w:szCs w:val="18"/>
              </w:rPr>
              <w:t>权益法</w:t>
            </w:r>
          </w:p>
        </w:tc>
      </w:tr>
    </w:tbl>
    <w:p w14:paraId="7A7C7C71">
      <w:pPr>
        <w:spacing w:before="100" w:after="100" w:line="240" w:lineRule="exact"/>
        <w:jc w:val="left"/>
        <w:rPr>
          <w:rFonts w:ascii="宋体" w:hAnsi="宋体" w:eastAsia="宋体" w:cs="宋体"/>
          <w:sz w:val="18"/>
          <w:szCs w:val="18"/>
        </w:rPr>
      </w:pPr>
      <w:r>
        <w:rPr>
          <w:rFonts w:ascii="宋体" w:hAnsi="宋体" w:eastAsia="宋体" w:cs="宋体"/>
          <w:sz w:val="18"/>
          <w:szCs w:val="18"/>
        </w:rPr>
        <w:t>在合营企业或联营企业的持股比例不同于表决权比例的说明：</w:t>
      </w:r>
    </w:p>
    <w:p w14:paraId="3AEB686F">
      <w:pPr>
        <w:pStyle w:val="2"/>
        <w:keepNext w:val="0"/>
        <w:keepLines w:val="0"/>
        <w:widowControl/>
        <w:suppressLineNumbers w:val="0"/>
        <w:spacing w:before="0" w:beforeAutospacing="0" w:after="0" w:afterAutospacing="0" w:line="360" w:lineRule="auto"/>
        <w:ind w:left="0" w:right="0"/>
        <w:jc w:val="both"/>
        <w:rPr>
          <w:rFonts w:hint="eastAsia" w:ascii="宋体" w:hAnsi="宋体" w:eastAsia="宋体" w:cs="宋体"/>
          <w:sz w:val="21"/>
          <w:szCs w:val="21"/>
        </w:rPr>
      </w:pPr>
      <w:r>
        <w:rPr>
          <w:rFonts w:hint="eastAsia" w:ascii="宋体" w:hAnsi="宋体" w:eastAsia="宋体" w:cs="宋体"/>
          <w:sz w:val="21"/>
          <w:szCs w:val="21"/>
        </w:rPr>
        <w:t>1、在合营企业或联营企业的持股比例不同于表决权比例的说明</w:t>
      </w:r>
    </w:p>
    <w:p w14:paraId="0235F1A8">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根据福建广明方医药投资研发中心（有限合伙）入伙协议，公司为有限合伙人，认缴出资4,000万元，认缴比例50%；深圳物明投资管理有限公司为普通合伙人，认缴出资5万元，认缴比例0.0625%；深圳格物致知三号投资企业（有限合伙）为有限合伙人，认缴出资3,995万元，认缴比例49.9375%。合伙协议同时约定，投资委员会由三名委员组成，由普通合伙人和两个有限合伙人分别委派一位人员担任。对于投资决策委员会所议事项，投资决策委员会委员一人一票，所议事项的决策应经全体投资决策委员会三分之二以上委员同意后方可做出。因此，公司在福建广明方医药投资研发中心（有限合伙）的表决权比例（三分之一）低于持股比例（50%）。截至2024年12月31日，广生堂实际出资比例62.5%。</w:t>
      </w:r>
    </w:p>
    <w:p w14:paraId="50BFC0E7">
      <w:pPr>
        <w:pStyle w:val="2"/>
        <w:keepNext w:val="0"/>
        <w:keepLines w:val="0"/>
        <w:widowControl/>
        <w:suppressLineNumbers w:val="0"/>
        <w:spacing w:before="0" w:beforeAutospacing="0" w:after="0" w:afterAutospacing="0" w:line="360" w:lineRule="auto"/>
        <w:ind w:left="0" w:right="0"/>
        <w:jc w:val="both"/>
        <w:rPr>
          <w:rFonts w:hint="eastAsia" w:ascii="宋体" w:hAnsi="宋体" w:eastAsia="宋体" w:cs="宋体"/>
          <w:sz w:val="21"/>
          <w:szCs w:val="21"/>
        </w:rPr>
      </w:pPr>
      <w:r>
        <w:rPr>
          <w:rFonts w:hint="eastAsia" w:ascii="宋体" w:hAnsi="宋体" w:eastAsia="宋体" w:cs="宋体"/>
          <w:sz w:val="21"/>
          <w:szCs w:val="21"/>
        </w:rPr>
        <w:t>2、其他说明</w:t>
      </w:r>
    </w:p>
    <w:p w14:paraId="7C4F0E2E">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莆田博奥医学检验有限公司注册资本1,000万元，其中北京博奥晶典生物技术有限公司出资人民币408万元，占注册资本金的40.8%；莆田市医疗健康产业投资有限公司出资人民币200万元，占注册资本金的20%；福建广生堂药业股份有限公司出资人民币392万元，占注册资本金的39.2%。至2024年12月31日，实际出资920万元，其中北京博奥晶典生物技术有限公司出资人民币408万元，占实缴资本的44.35%；莆田市医疗健康产业投资有限公司出资人民币120万元，占实缴资本的13.04%；福建广生堂药业股份有限公司出资人民币392万元，占实缴资本的42.61%。</w:t>
      </w:r>
    </w:p>
    <w:p w14:paraId="4215EDA0">
      <w:pPr>
        <w:spacing w:before="100" w:after="100" w:line="240" w:lineRule="exact"/>
        <w:jc w:val="left"/>
        <w:rPr>
          <w:rFonts w:ascii="宋体" w:hAnsi="宋体" w:eastAsia="宋体" w:cs="宋体"/>
          <w:sz w:val="18"/>
          <w:szCs w:val="18"/>
        </w:rPr>
      </w:pPr>
      <w:r>
        <w:rPr>
          <w:rFonts w:ascii="宋体" w:hAnsi="宋体" w:eastAsia="宋体" w:cs="宋体"/>
          <w:sz w:val="18"/>
          <w:szCs w:val="18"/>
        </w:rPr>
        <w:t>持有20%以下表决权但具有重大影响，或者持有20%或以上表决权但不具有重大影响的依据：</w:t>
      </w:r>
    </w:p>
    <w:p w14:paraId="6AFEAB19">
      <w:pPr>
        <w:keepNext/>
        <w:keepLines/>
        <w:spacing w:before="300" w:after="300" w:line="280" w:lineRule="exact"/>
        <w:jc w:val="left"/>
        <w:outlineLvl w:val="3"/>
        <w:rPr>
          <w:rFonts w:ascii="宋体" w:hAnsi="宋体" w:eastAsia="宋体" w:cs="宋体"/>
          <w:b/>
          <w:bCs/>
          <w:sz w:val="21"/>
          <w:szCs w:val="21"/>
        </w:rPr>
      </w:pPr>
      <w:bookmarkStart w:id="490" w:name="_Toc989373"/>
      <w:r>
        <w:rPr>
          <w:rFonts w:ascii="宋体" w:hAnsi="宋体" w:eastAsia="宋体" w:cs="宋体"/>
          <w:b/>
          <w:bCs/>
          <w:sz w:val="21"/>
          <w:szCs w:val="21"/>
        </w:rPr>
        <w:t>（2） 重要合营企业的主要财务信息</w:t>
      </w:r>
      <w:bookmarkEnd w:id="490"/>
    </w:p>
    <w:p w14:paraId="3DF21FA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6A88BF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CE2B292"/>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7A4998BA">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期末余额/本期发生额</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1A5DFF7B">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期初余额/上期发生额</w:t>
            </w:r>
          </w:p>
        </w:tc>
      </w:tr>
      <w:tr w14:paraId="69F1DE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3AC1CA6"/>
        </w:tc>
        <w:tc>
          <w:tcPr>
            <w:tcW w:w="1377" w:type="dxa"/>
            <w:tcBorders>
              <w:top w:val="single" w:color="auto" w:sz="2" w:space="0"/>
              <w:left w:val="single" w:color="auto" w:sz="2" w:space="0"/>
              <w:bottom w:val="single" w:color="auto" w:sz="2" w:space="0"/>
              <w:right w:val="single" w:color="auto" w:sz="2" w:space="0"/>
            </w:tcBorders>
            <w:vAlign w:val="center"/>
          </w:tcPr>
          <w:p w14:paraId="5F0482F5">
            <w:pPr>
              <w:spacing w:before="0" w:after="0" w:line="240" w:lineRule="exact"/>
              <w:jc w:val="center"/>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065B7F0">
            <w:pPr>
              <w:spacing w:before="0" w:after="0" w:line="240" w:lineRule="exact"/>
              <w:jc w:val="center"/>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115E6A0">
            <w:pPr>
              <w:spacing w:before="0" w:after="0" w:line="240" w:lineRule="exact"/>
              <w:jc w:val="center"/>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72A1DC5">
            <w:pPr>
              <w:spacing w:before="0" w:after="0" w:line="240" w:lineRule="exact"/>
              <w:jc w:val="center"/>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F779C6F">
            <w:pPr>
              <w:spacing w:before="0" w:after="0" w:line="240" w:lineRule="exact"/>
              <w:jc w:val="center"/>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0DFC43F">
            <w:pPr>
              <w:spacing w:before="0" w:after="0" w:line="240" w:lineRule="exact"/>
              <w:jc w:val="center"/>
              <w:rPr>
                <w:rFonts w:ascii="宋体" w:hAnsi="宋体" w:eastAsia="宋体" w:cs="宋体"/>
                <w:sz w:val="18"/>
                <w:szCs w:val="18"/>
              </w:rPr>
            </w:pPr>
          </w:p>
        </w:tc>
      </w:tr>
      <w:tr w14:paraId="376C45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E14F4D0">
            <w:pPr>
              <w:spacing w:before="40" w:after="40" w:line="240" w:lineRule="exact"/>
              <w:jc w:val="left"/>
              <w:rPr>
                <w:rFonts w:ascii="宋体" w:hAnsi="宋体" w:eastAsia="宋体" w:cs="宋体"/>
                <w:sz w:val="18"/>
                <w:szCs w:val="18"/>
              </w:rPr>
            </w:pPr>
            <w:r>
              <w:rPr>
                <w:rFonts w:ascii="宋体" w:hAnsi="宋体" w:eastAsia="宋体" w:cs="宋体"/>
                <w:sz w:val="18"/>
                <w:szCs w:val="18"/>
              </w:rPr>
              <w:t>流动资产</w:t>
            </w:r>
          </w:p>
        </w:tc>
        <w:tc>
          <w:tcPr>
            <w:tcW w:w="1377" w:type="dxa"/>
            <w:tcBorders>
              <w:top w:val="single" w:color="auto" w:sz="2" w:space="0"/>
              <w:left w:val="single" w:color="auto" w:sz="2" w:space="0"/>
              <w:bottom w:val="single" w:color="auto" w:sz="2" w:space="0"/>
              <w:right w:val="single" w:color="auto" w:sz="2" w:space="0"/>
            </w:tcBorders>
            <w:vAlign w:val="center"/>
          </w:tcPr>
          <w:p w14:paraId="3C8B523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99B55C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C3594F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7180BC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CBDC0C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99157CF">
            <w:pPr>
              <w:spacing w:before="0" w:after="0" w:line="240" w:lineRule="exact"/>
              <w:jc w:val="right"/>
              <w:rPr>
                <w:rFonts w:ascii="宋体" w:hAnsi="宋体" w:eastAsia="宋体" w:cs="宋体"/>
                <w:sz w:val="18"/>
                <w:szCs w:val="18"/>
              </w:rPr>
            </w:pPr>
          </w:p>
        </w:tc>
      </w:tr>
      <w:tr w14:paraId="5DB219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FDD197E">
            <w:pPr>
              <w:spacing w:before="40" w:after="40" w:line="240" w:lineRule="exact"/>
              <w:jc w:val="left"/>
              <w:rPr>
                <w:rFonts w:ascii="宋体" w:hAnsi="宋体" w:eastAsia="宋体" w:cs="宋体"/>
                <w:sz w:val="18"/>
                <w:szCs w:val="18"/>
              </w:rPr>
            </w:pPr>
            <w:r>
              <w:rPr>
                <w:rFonts w:ascii="宋体" w:hAnsi="宋体" w:eastAsia="宋体" w:cs="宋体"/>
                <w:sz w:val="18"/>
                <w:szCs w:val="18"/>
              </w:rPr>
              <w:t>其中：现金和现金等价物</w:t>
            </w:r>
          </w:p>
        </w:tc>
        <w:tc>
          <w:tcPr>
            <w:tcW w:w="1377" w:type="dxa"/>
            <w:tcBorders>
              <w:top w:val="single" w:color="auto" w:sz="2" w:space="0"/>
              <w:left w:val="single" w:color="auto" w:sz="2" w:space="0"/>
              <w:bottom w:val="single" w:color="auto" w:sz="2" w:space="0"/>
              <w:right w:val="single" w:color="auto" w:sz="2" w:space="0"/>
            </w:tcBorders>
            <w:vAlign w:val="center"/>
          </w:tcPr>
          <w:p w14:paraId="6D4CA9A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AEF3CD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D16A6C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A53323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B6B75C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D384B52">
            <w:pPr>
              <w:spacing w:before="0" w:after="0" w:line="240" w:lineRule="exact"/>
              <w:jc w:val="right"/>
              <w:rPr>
                <w:rFonts w:ascii="宋体" w:hAnsi="宋体" w:eastAsia="宋体" w:cs="宋体"/>
                <w:sz w:val="18"/>
                <w:szCs w:val="18"/>
              </w:rPr>
            </w:pPr>
          </w:p>
        </w:tc>
      </w:tr>
      <w:tr w14:paraId="052A68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9F98374">
            <w:pPr>
              <w:spacing w:before="40" w:after="40" w:line="240" w:lineRule="exact"/>
              <w:jc w:val="left"/>
              <w:rPr>
                <w:rFonts w:ascii="宋体" w:hAnsi="宋体" w:eastAsia="宋体" w:cs="宋体"/>
                <w:sz w:val="18"/>
                <w:szCs w:val="18"/>
              </w:rPr>
            </w:pPr>
            <w:r>
              <w:rPr>
                <w:rFonts w:ascii="宋体" w:hAnsi="宋体" w:eastAsia="宋体" w:cs="宋体"/>
                <w:sz w:val="18"/>
                <w:szCs w:val="18"/>
              </w:rPr>
              <w:t>非流动资产</w:t>
            </w:r>
          </w:p>
        </w:tc>
        <w:tc>
          <w:tcPr>
            <w:tcW w:w="1377" w:type="dxa"/>
            <w:tcBorders>
              <w:top w:val="single" w:color="auto" w:sz="2" w:space="0"/>
              <w:left w:val="single" w:color="auto" w:sz="2" w:space="0"/>
              <w:bottom w:val="single" w:color="auto" w:sz="2" w:space="0"/>
              <w:right w:val="single" w:color="auto" w:sz="2" w:space="0"/>
            </w:tcBorders>
            <w:vAlign w:val="center"/>
          </w:tcPr>
          <w:p w14:paraId="2253A49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633E74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6A3253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857A63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FAAC86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5CE79BA">
            <w:pPr>
              <w:spacing w:before="0" w:after="0" w:line="240" w:lineRule="exact"/>
              <w:jc w:val="right"/>
              <w:rPr>
                <w:rFonts w:ascii="宋体" w:hAnsi="宋体" w:eastAsia="宋体" w:cs="宋体"/>
                <w:sz w:val="18"/>
                <w:szCs w:val="18"/>
              </w:rPr>
            </w:pPr>
          </w:p>
        </w:tc>
      </w:tr>
      <w:tr w14:paraId="7D318A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9ED92A2">
            <w:pPr>
              <w:spacing w:before="40" w:after="40" w:line="240" w:lineRule="exact"/>
              <w:jc w:val="left"/>
              <w:rPr>
                <w:rFonts w:ascii="宋体" w:hAnsi="宋体" w:eastAsia="宋体" w:cs="宋体"/>
                <w:sz w:val="18"/>
                <w:szCs w:val="18"/>
              </w:rPr>
            </w:pPr>
            <w:r>
              <w:rPr>
                <w:rFonts w:ascii="宋体" w:hAnsi="宋体" w:eastAsia="宋体" w:cs="宋体"/>
                <w:sz w:val="18"/>
                <w:szCs w:val="18"/>
              </w:rPr>
              <w:t>资产合计</w:t>
            </w:r>
          </w:p>
        </w:tc>
        <w:tc>
          <w:tcPr>
            <w:tcW w:w="1377" w:type="dxa"/>
            <w:tcBorders>
              <w:top w:val="single" w:color="auto" w:sz="2" w:space="0"/>
              <w:left w:val="single" w:color="auto" w:sz="2" w:space="0"/>
              <w:bottom w:val="single" w:color="auto" w:sz="2" w:space="0"/>
              <w:right w:val="single" w:color="auto" w:sz="2" w:space="0"/>
            </w:tcBorders>
            <w:vAlign w:val="center"/>
          </w:tcPr>
          <w:p w14:paraId="78F3EFD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774F33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19A0CE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BCCEE5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EFD2C0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AA12974">
            <w:pPr>
              <w:spacing w:before="0" w:after="0" w:line="240" w:lineRule="exact"/>
              <w:jc w:val="right"/>
              <w:rPr>
                <w:rFonts w:ascii="宋体" w:hAnsi="宋体" w:eastAsia="宋体" w:cs="宋体"/>
                <w:sz w:val="18"/>
                <w:szCs w:val="18"/>
              </w:rPr>
            </w:pPr>
          </w:p>
        </w:tc>
      </w:tr>
      <w:tr w14:paraId="6709A5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4C2872F">
            <w:pPr>
              <w:spacing w:before="40" w:after="40" w:line="240" w:lineRule="exact"/>
              <w:jc w:val="left"/>
              <w:rPr>
                <w:rFonts w:ascii="宋体" w:hAnsi="宋体" w:eastAsia="宋体" w:cs="宋体"/>
                <w:sz w:val="18"/>
                <w:szCs w:val="18"/>
              </w:rPr>
            </w:pPr>
            <w:r>
              <w:rPr>
                <w:rFonts w:ascii="宋体" w:hAnsi="宋体" w:eastAsia="宋体" w:cs="宋体"/>
                <w:sz w:val="18"/>
                <w:szCs w:val="18"/>
              </w:rPr>
              <w:t>流动负债</w:t>
            </w:r>
          </w:p>
        </w:tc>
        <w:tc>
          <w:tcPr>
            <w:tcW w:w="1377" w:type="dxa"/>
            <w:tcBorders>
              <w:top w:val="single" w:color="auto" w:sz="2" w:space="0"/>
              <w:left w:val="single" w:color="auto" w:sz="2" w:space="0"/>
              <w:bottom w:val="single" w:color="auto" w:sz="2" w:space="0"/>
              <w:right w:val="single" w:color="auto" w:sz="2" w:space="0"/>
            </w:tcBorders>
            <w:vAlign w:val="center"/>
          </w:tcPr>
          <w:p w14:paraId="433D3E0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951B9E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125098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ADDF27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D657A8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54C3F19">
            <w:pPr>
              <w:spacing w:before="0" w:after="0" w:line="240" w:lineRule="exact"/>
              <w:jc w:val="right"/>
              <w:rPr>
                <w:rFonts w:ascii="宋体" w:hAnsi="宋体" w:eastAsia="宋体" w:cs="宋体"/>
                <w:sz w:val="18"/>
                <w:szCs w:val="18"/>
              </w:rPr>
            </w:pPr>
          </w:p>
        </w:tc>
      </w:tr>
      <w:tr w14:paraId="2C2C86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3D997F0">
            <w:pPr>
              <w:spacing w:before="40" w:after="40" w:line="240" w:lineRule="exact"/>
              <w:jc w:val="left"/>
              <w:rPr>
                <w:rFonts w:ascii="宋体" w:hAnsi="宋体" w:eastAsia="宋体" w:cs="宋体"/>
                <w:sz w:val="18"/>
                <w:szCs w:val="18"/>
              </w:rPr>
            </w:pPr>
            <w:r>
              <w:rPr>
                <w:rFonts w:ascii="宋体" w:hAnsi="宋体" w:eastAsia="宋体" w:cs="宋体"/>
                <w:sz w:val="18"/>
                <w:szCs w:val="18"/>
              </w:rPr>
              <w:t>非流动负债</w:t>
            </w:r>
          </w:p>
        </w:tc>
        <w:tc>
          <w:tcPr>
            <w:tcW w:w="1377" w:type="dxa"/>
            <w:tcBorders>
              <w:top w:val="single" w:color="auto" w:sz="2" w:space="0"/>
              <w:left w:val="single" w:color="auto" w:sz="2" w:space="0"/>
              <w:bottom w:val="single" w:color="auto" w:sz="2" w:space="0"/>
              <w:right w:val="single" w:color="auto" w:sz="2" w:space="0"/>
            </w:tcBorders>
            <w:vAlign w:val="center"/>
          </w:tcPr>
          <w:p w14:paraId="3959A47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DA88F0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188239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CE0AF9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8C0671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9728557">
            <w:pPr>
              <w:spacing w:before="0" w:after="0" w:line="240" w:lineRule="exact"/>
              <w:jc w:val="right"/>
              <w:rPr>
                <w:rFonts w:ascii="宋体" w:hAnsi="宋体" w:eastAsia="宋体" w:cs="宋体"/>
                <w:sz w:val="18"/>
                <w:szCs w:val="18"/>
              </w:rPr>
            </w:pPr>
          </w:p>
        </w:tc>
      </w:tr>
      <w:tr w14:paraId="2AD35D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3B3E97D">
            <w:pPr>
              <w:spacing w:before="40" w:after="40" w:line="240" w:lineRule="exact"/>
              <w:jc w:val="left"/>
              <w:rPr>
                <w:rFonts w:ascii="宋体" w:hAnsi="宋体" w:eastAsia="宋体" w:cs="宋体"/>
                <w:sz w:val="18"/>
                <w:szCs w:val="18"/>
              </w:rPr>
            </w:pPr>
            <w:r>
              <w:rPr>
                <w:rFonts w:ascii="宋体" w:hAnsi="宋体" w:eastAsia="宋体" w:cs="宋体"/>
                <w:sz w:val="18"/>
                <w:szCs w:val="18"/>
              </w:rPr>
              <w:t>负债合计</w:t>
            </w:r>
          </w:p>
        </w:tc>
        <w:tc>
          <w:tcPr>
            <w:tcW w:w="1377" w:type="dxa"/>
            <w:tcBorders>
              <w:top w:val="single" w:color="auto" w:sz="2" w:space="0"/>
              <w:left w:val="single" w:color="auto" w:sz="2" w:space="0"/>
              <w:bottom w:val="single" w:color="auto" w:sz="2" w:space="0"/>
              <w:right w:val="single" w:color="auto" w:sz="2" w:space="0"/>
            </w:tcBorders>
            <w:vAlign w:val="center"/>
          </w:tcPr>
          <w:p w14:paraId="3F3687F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EA2CCA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3D5515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A259C8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AB1F3F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8A7EA41">
            <w:pPr>
              <w:spacing w:before="0" w:after="0" w:line="240" w:lineRule="exact"/>
              <w:jc w:val="right"/>
              <w:rPr>
                <w:rFonts w:ascii="宋体" w:hAnsi="宋体" w:eastAsia="宋体" w:cs="宋体"/>
                <w:sz w:val="18"/>
                <w:szCs w:val="18"/>
              </w:rPr>
            </w:pPr>
          </w:p>
        </w:tc>
      </w:tr>
      <w:tr w14:paraId="4169E1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524C889">
            <w:pPr>
              <w:spacing w:before="40" w:after="40" w:line="240" w:lineRule="exact"/>
              <w:jc w:val="left"/>
              <w:rPr>
                <w:rFonts w:ascii="宋体" w:hAnsi="宋体" w:eastAsia="宋体" w:cs="宋体"/>
                <w:sz w:val="18"/>
                <w:szCs w:val="18"/>
              </w:rPr>
            </w:pPr>
            <w:r>
              <w:rPr>
                <w:rFonts w:ascii="宋体" w:hAnsi="宋体" w:eastAsia="宋体" w:cs="宋体"/>
                <w:sz w:val="18"/>
                <w:szCs w:val="18"/>
              </w:rPr>
              <w:t>少数股东权益</w:t>
            </w:r>
          </w:p>
        </w:tc>
        <w:tc>
          <w:tcPr>
            <w:tcW w:w="1377" w:type="dxa"/>
            <w:tcBorders>
              <w:top w:val="single" w:color="auto" w:sz="2" w:space="0"/>
              <w:left w:val="single" w:color="auto" w:sz="2" w:space="0"/>
              <w:bottom w:val="single" w:color="auto" w:sz="2" w:space="0"/>
              <w:right w:val="single" w:color="auto" w:sz="2" w:space="0"/>
            </w:tcBorders>
            <w:vAlign w:val="center"/>
          </w:tcPr>
          <w:p w14:paraId="56F489F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FCDBB1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A1F27A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C9E08F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9F1C19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F1266AA">
            <w:pPr>
              <w:spacing w:before="0" w:after="0" w:line="240" w:lineRule="exact"/>
              <w:jc w:val="right"/>
              <w:rPr>
                <w:rFonts w:ascii="宋体" w:hAnsi="宋体" w:eastAsia="宋体" w:cs="宋体"/>
                <w:sz w:val="18"/>
                <w:szCs w:val="18"/>
              </w:rPr>
            </w:pPr>
          </w:p>
        </w:tc>
      </w:tr>
      <w:tr w14:paraId="3C71BD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0D8B7AC">
            <w:pPr>
              <w:spacing w:before="40" w:after="40" w:line="240" w:lineRule="exact"/>
              <w:jc w:val="left"/>
              <w:rPr>
                <w:rFonts w:ascii="宋体" w:hAnsi="宋体" w:eastAsia="宋体" w:cs="宋体"/>
                <w:sz w:val="18"/>
                <w:szCs w:val="18"/>
              </w:rPr>
            </w:pPr>
            <w:r>
              <w:rPr>
                <w:rFonts w:ascii="宋体" w:hAnsi="宋体" w:eastAsia="宋体" w:cs="宋体"/>
                <w:sz w:val="18"/>
                <w:szCs w:val="18"/>
              </w:rPr>
              <w:t>归属于母公司股东权益</w:t>
            </w:r>
          </w:p>
        </w:tc>
        <w:tc>
          <w:tcPr>
            <w:tcW w:w="1377" w:type="dxa"/>
            <w:tcBorders>
              <w:top w:val="single" w:color="auto" w:sz="2" w:space="0"/>
              <w:left w:val="single" w:color="auto" w:sz="2" w:space="0"/>
              <w:bottom w:val="single" w:color="auto" w:sz="2" w:space="0"/>
              <w:right w:val="single" w:color="auto" w:sz="2" w:space="0"/>
            </w:tcBorders>
            <w:vAlign w:val="center"/>
          </w:tcPr>
          <w:p w14:paraId="71A286B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87245E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82B068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0A1ED4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031449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150537F">
            <w:pPr>
              <w:spacing w:before="0" w:after="0" w:line="240" w:lineRule="exact"/>
              <w:jc w:val="right"/>
              <w:rPr>
                <w:rFonts w:ascii="宋体" w:hAnsi="宋体" w:eastAsia="宋体" w:cs="宋体"/>
                <w:sz w:val="18"/>
                <w:szCs w:val="18"/>
              </w:rPr>
            </w:pPr>
          </w:p>
        </w:tc>
      </w:tr>
      <w:tr w14:paraId="058A64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AA5B836">
            <w:pPr>
              <w:spacing w:before="40" w:after="40" w:line="240" w:lineRule="exact"/>
              <w:jc w:val="left"/>
              <w:rPr>
                <w:rFonts w:ascii="宋体" w:hAnsi="宋体" w:eastAsia="宋体" w:cs="宋体"/>
                <w:sz w:val="18"/>
                <w:szCs w:val="18"/>
              </w:rPr>
            </w:pPr>
            <w:r>
              <w:rPr>
                <w:rFonts w:ascii="宋体" w:hAnsi="宋体" w:eastAsia="宋体" w:cs="宋体"/>
                <w:sz w:val="18"/>
                <w:szCs w:val="18"/>
              </w:rPr>
              <w:t>按持股比例计算的净资产份额</w:t>
            </w:r>
          </w:p>
        </w:tc>
        <w:tc>
          <w:tcPr>
            <w:tcW w:w="1377" w:type="dxa"/>
            <w:tcBorders>
              <w:top w:val="single" w:color="auto" w:sz="2" w:space="0"/>
              <w:left w:val="single" w:color="auto" w:sz="2" w:space="0"/>
              <w:bottom w:val="single" w:color="auto" w:sz="2" w:space="0"/>
              <w:right w:val="single" w:color="auto" w:sz="2" w:space="0"/>
            </w:tcBorders>
            <w:vAlign w:val="center"/>
          </w:tcPr>
          <w:p w14:paraId="08DA138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F5F2A4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BBE573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C00E3E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98221E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11EC2CF">
            <w:pPr>
              <w:spacing w:before="0" w:after="0" w:line="240" w:lineRule="exact"/>
              <w:jc w:val="right"/>
              <w:rPr>
                <w:rFonts w:ascii="宋体" w:hAnsi="宋体" w:eastAsia="宋体" w:cs="宋体"/>
                <w:sz w:val="18"/>
                <w:szCs w:val="18"/>
              </w:rPr>
            </w:pPr>
          </w:p>
        </w:tc>
      </w:tr>
      <w:tr w14:paraId="21F4BA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B3CECA9">
            <w:pPr>
              <w:spacing w:before="40" w:after="40" w:line="240" w:lineRule="exact"/>
              <w:jc w:val="left"/>
              <w:rPr>
                <w:rFonts w:ascii="宋体" w:hAnsi="宋体" w:eastAsia="宋体" w:cs="宋体"/>
                <w:sz w:val="18"/>
                <w:szCs w:val="18"/>
              </w:rPr>
            </w:pPr>
            <w:r>
              <w:rPr>
                <w:rFonts w:ascii="宋体" w:hAnsi="宋体" w:eastAsia="宋体" w:cs="宋体"/>
                <w:sz w:val="18"/>
                <w:szCs w:val="18"/>
              </w:rPr>
              <w:t>调整事项</w:t>
            </w:r>
          </w:p>
        </w:tc>
        <w:tc>
          <w:tcPr>
            <w:tcW w:w="1377" w:type="dxa"/>
            <w:tcBorders>
              <w:top w:val="single" w:color="auto" w:sz="2" w:space="0"/>
              <w:left w:val="single" w:color="auto" w:sz="2" w:space="0"/>
              <w:bottom w:val="single" w:color="auto" w:sz="2" w:space="0"/>
              <w:right w:val="single" w:color="auto" w:sz="2" w:space="0"/>
            </w:tcBorders>
            <w:vAlign w:val="center"/>
          </w:tcPr>
          <w:p w14:paraId="6BA93CF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722EE9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97C46F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D83C83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BA3FEE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602E75F">
            <w:pPr>
              <w:spacing w:before="0" w:after="0" w:line="240" w:lineRule="exact"/>
              <w:jc w:val="right"/>
              <w:rPr>
                <w:rFonts w:ascii="宋体" w:hAnsi="宋体" w:eastAsia="宋体" w:cs="宋体"/>
                <w:sz w:val="18"/>
                <w:szCs w:val="18"/>
              </w:rPr>
            </w:pPr>
          </w:p>
        </w:tc>
      </w:tr>
      <w:tr w14:paraId="128E10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320525B">
            <w:pPr>
              <w:spacing w:before="40" w:after="40" w:line="240" w:lineRule="exact"/>
              <w:jc w:val="left"/>
              <w:rPr>
                <w:rFonts w:ascii="宋体" w:hAnsi="宋体" w:eastAsia="宋体" w:cs="宋体"/>
                <w:sz w:val="18"/>
                <w:szCs w:val="18"/>
              </w:rPr>
            </w:pPr>
            <w:r>
              <w:rPr>
                <w:rFonts w:ascii="宋体" w:hAnsi="宋体" w:eastAsia="宋体" w:cs="宋体"/>
                <w:sz w:val="18"/>
                <w:szCs w:val="18"/>
              </w:rPr>
              <w:t>--商誉</w:t>
            </w:r>
          </w:p>
        </w:tc>
        <w:tc>
          <w:tcPr>
            <w:tcW w:w="1377" w:type="dxa"/>
            <w:tcBorders>
              <w:top w:val="single" w:color="auto" w:sz="2" w:space="0"/>
              <w:left w:val="single" w:color="auto" w:sz="2" w:space="0"/>
              <w:bottom w:val="single" w:color="auto" w:sz="2" w:space="0"/>
              <w:right w:val="single" w:color="auto" w:sz="2" w:space="0"/>
            </w:tcBorders>
            <w:vAlign w:val="center"/>
          </w:tcPr>
          <w:p w14:paraId="6B56AD8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6560C7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E67130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809EB6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E13F07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87CB6F8">
            <w:pPr>
              <w:spacing w:before="0" w:after="0" w:line="240" w:lineRule="exact"/>
              <w:jc w:val="right"/>
              <w:rPr>
                <w:rFonts w:ascii="宋体" w:hAnsi="宋体" w:eastAsia="宋体" w:cs="宋体"/>
                <w:sz w:val="18"/>
                <w:szCs w:val="18"/>
              </w:rPr>
            </w:pPr>
          </w:p>
        </w:tc>
      </w:tr>
      <w:tr w14:paraId="15919F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A8544EF">
            <w:pPr>
              <w:spacing w:before="40" w:after="40" w:line="240" w:lineRule="exact"/>
              <w:jc w:val="left"/>
              <w:rPr>
                <w:rFonts w:ascii="宋体" w:hAnsi="宋体" w:eastAsia="宋体" w:cs="宋体"/>
                <w:sz w:val="18"/>
                <w:szCs w:val="18"/>
              </w:rPr>
            </w:pPr>
            <w:r>
              <w:rPr>
                <w:rFonts w:ascii="宋体" w:hAnsi="宋体" w:eastAsia="宋体" w:cs="宋体"/>
                <w:sz w:val="18"/>
                <w:szCs w:val="18"/>
              </w:rPr>
              <w:t>--内部交易未实现利润</w:t>
            </w:r>
          </w:p>
        </w:tc>
        <w:tc>
          <w:tcPr>
            <w:tcW w:w="1377" w:type="dxa"/>
            <w:tcBorders>
              <w:top w:val="single" w:color="auto" w:sz="2" w:space="0"/>
              <w:left w:val="single" w:color="auto" w:sz="2" w:space="0"/>
              <w:bottom w:val="single" w:color="auto" w:sz="2" w:space="0"/>
              <w:right w:val="single" w:color="auto" w:sz="2" w:space="0"/>
            </w:tcBorders>
            <w:vAlign w:val="center"/>
          </w:tcPr>
          <w:p w14:paraId="7023F8B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97170C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40A4AC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417237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675C62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23ACB91">
            <w:pPr>
              <w:spacing w:before="0" w:after="0" w:line="240" w:lineRule="exact"/>
              <w:jc w:val="right"/>
              <w:rPr>
                <w:rFonts w:ascii="宋体" w:hAnsi="宋体" w:eastAsia="宋体" w:cs="宋体"/>
                <w:sz w:val="18"/>
                <w:szCs w:val="18"/>
              </w:rPr>
            </w:pPr>
          </w:p>
        </w:tc>
      </w:tr>
      <w:tr w14:paraId="633C19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B42C944">
            <w:pPr>
              <w:spacing w:before="40" w:after="40" w:line="240" w:lineRule="exact"/>
              <w:jc w:val="left"/>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vAlign w:val="center"/>
          </w:tcPr>
          <w:p w14:paraId="57DC9E1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EB00D6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DC1DDC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B2C6FC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27B0EF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142584E">
            <w:pPr>
              <w:spacing w:before="0" w:after="0" w:line="240" w:lineRule="exact"/>
              <w:jc w:val="right"/>
              <w:rPr>
                <w:rFonts w:ascii="宋体" w:hAnsi="宋体" w:eastAsia="宋体" w:cs="宋体"/>
                <w:sz w:val="18"/>
                <w:szCs w:val="18"/>
              </w:rPr>
            </w:pPr>
          </w:p>
        </w:tc>
      </w:tr>
      <w:tr w14:paraId="6EC840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B90AA53">
            <w:pPr>
              <w:spacing w:before="40" w:after="40" w:line="240" w:lineRule="exact"/>
              <w:jc w:val="left"/>
              <w:rPr>
                <w:rFonts w:ascii="宋体" w:hAnsi="宋体" w:eastAsia="宋体" w:cs="宋体"/>
                <w:sz w:val="18"/>
                <w:szCs w:val="18"/>
              </w:rPr>
            </w:pPr>
            <w:r>
              <w:rPr>
                <w:rFonts w:ascii="宋体" w:hAnsi="宋体" w:eastAsia="宋体" w:cs="宋体"/>
                <w:sz w:val="18"/>
                <w:szCs w:val="18"/>
              </w:rPr>
              <w:t>对合营企业权益投资的账面价值</w:t>
            </w:r>
          </w:p>
        </w:tc>
        <w:tc>
          <w:tcPr>
            <w:tcW w:w="1377" w:type="dxa"/>
            <w:tcBorders>
              <w:top w:val="single" w:color="auto" w:sz="2" w:space="0"/>
              <w:left w:val="single" w:color="auto" w:sz="2" w:space="0"/>
              <w:bottom w:val="single" w:color="auto" w:sz="2" w:space="0"/>
              <w:right w:val="single" w:color="auto" w:sz="2" w:space="0"/>
            </w:tcBorders>
            <w:vAlign w:val="center"/>
          </w:tcPr>
          <w:p w14:paraId="5426299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463325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50C384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BBD949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00387D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A3D0D78">
            <w:pPr>
              <w:spacing w:before="0" w:after="0" w:line="240" w:lineRule="exact"/>
              <w:jc w:val="right"/>
              <w:rPr>
                <w:rFonts w:ascii="宋体" w:hAnsi="宋体" w:eastAsia="宋体" w:cs="宋体"/>
                <w:sz w:val="18"/>
                <w:szCs w:val="18"/>
              </w:rPr>
            </w:pPr>
          </w:p>
        </w:tc>
      </w:tr>
      <w:tr w14:paraId="043002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CD1610F">
            <w:pPr>
              <w:spacing w:before="40" w:after="40" w:line="240" w:lineRule="exact"/>
              <w:jc w:val="left"/>
              <w:rPr>
                <w:rFonts w:ascii="宋体" w:hAnsi="宋体" w:eastAsia="宋体" w:cs="宋体"/>
                <w:sz w:val="18"/>
                <w:szCs w:val="18"/>
              </w:rPr>
            </w:pPr>
            <w:r>
              <w:rPr>
                <w:rFonts w:ascii="宋体" w:hAnsi="宋体" w:eastAsia="宋体" w:cs="宋体"/>
                <w:sz w:val="18"/>
                <w:szCs w:val="18"/>
              </w:rPr>
              <w:t>存在公开报价的合营企业权益投资的公允价值</w:t>
            </w:r>
          </w:p>
        </w:tc>
        <w:tc>
          <w:tcPr>
            <w:tcW w:w="1377" w:type="dxa"/>
            <w:tcBorders>
              <w:top w:val="single" w:color="auto" w:sz="2" w:space="0"/>
              <w:left w:val="single" w:color="auto" w:sz="2" w:space="0"/>
              <w:bottom w:val="single" w:color="auto" w:sz="2" w:space="0"/>
              <w:right w:val="single" w:color="auto" w:sz="2" w:space="0"/>
            </w:tcBorders>
            <w:vAlign w:val="center"/>
          </w:tcPr>
          <w:p w14:paraId="39EFA02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1B5E0A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EF49D9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375D85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97D593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27358B2">
            <w:pPr>
              <w:spacing w:before="0" w:after="0" w:line="240" w:lineRule="exact"/>
              <w:jc w:val="right"/>
              <w:rPr>
                <w:rFonts w:ascii="宋体" w:hAnsi="宋体" w:eastAsia="宋体" w:cs="宋体"/>
                <w:sz w:val="18"/>
                <w:szCs w:val="18"/>
              </w:rPr>
            </w:pPr>
          </w:p>
        </w:tc>
      </w:tr>
      <w:tr w14:paraId="3469BF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36C13B1">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w:t>
            </w:r>
          </w:p>
        </w:tc>
        <w:tc>
          <w:tcPr>
            <w:tcW w:w="1377" w:type="dxa"/>
            <w:tcBorders>
              <w:top w:val="single" w:color="auto" w:sz="2" w:space="0"/>
              <w:left w:val="single" w:color="auto" w:sz="2" w:space="0"/>
              <w:bottom w:val="single" w:color="auto" w:sz="2" w:space="0"/>
              <w:right w:val="single" w:color="auto" w:sz="2" w:space="0"/>
            </w:tcBorders>
            <w:vAlign w:val="center"/>
          </w:tcPr>
          <w:p w14:paraId="1777029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3D7BB4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1D9DBB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79F07A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F30171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2C2B107">
            <w:pPr>
              <w:spacing w:before="0" w:after="0" w:line="240" w:lineRule="exact"/>
              <w:jc w:val="right"/>
              <w:rPr>
                <w:rFonts w:ascii="宋体" w:hAnsi="宋体" w:eastAsia="宋体" w:cs="宋体"/>
                <w:sz w:val="18"/>
                <w:szCs w:val="18"/>
              </w:rPr>
            </w:pPr>
          </w:p>
        </w:tc>
      </w:tr>
      <w:tr w14:paraId="098079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D7AA29D">
            <w:pPr>
              <w:spacing w:before="40" w:after="40" w:line="240" w:lineRule="exact"/>
              <w:jc w:val="left"/>
              <w:rPr>
                <w:rFonts w:ascii="宋体" w:hAnsi="宋体" w:eastAsia="宋体" w:cs="宋体"/>
                <w:sz w:val="18"/>
                <w:szCs w:val="18"/>
              </w:rPr>
            </w:pPr>
            <w:r>
              <w:rPr>
                <w:rFonts w:ascii="宋体" w:hAnsi="宋体" w:eastAsia="宋体" w:cs="宋体"/>
                <w:sz w:val="18"/>
                <w:szCs w:val="18"/>
              </w:rPr>
              <w:t>财务费用</w:t>
            </w:r>
          </w:p>
        </w:tc>
        <w:tc>
          <w:tcPr>
            <w:tcW w:w="1377" w:type="dxa"/>
            <w:tcBorders>
              <w:top w:val="single" w:color="auto" w:sz="2" w:space="0"/>
              <w:left w:val="single" w:color="auto" w:sz="2" w:space="0"/>
              <w:bottom w:val="single" w:color="auto" w:sz="2" w:space="0"/>
              <w:right w:val="single" w:color="auto" w:sz="2" w:space="0"/>
            </w:tcBorders>
            <w:vAlign w:val="center"/>
          </w:tcPr>
          <w:p w14:paraId="439E585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1571E6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E00455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7DDDFE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0A4B23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6E0CCD8">
            <w:pPr>
              <w:spacing w:before="0" w:after="0" w:line="240" w:lineRule="exact"/>
              <w:jc w:val="right"/>
              <w:rPr>
                <w:rFonts w:ascii="宋体" w:hAnsi="宋体" w:eastAsia="宋体" w:cs="宋体"/>
                <w:sz w:val="18"/>
                <w:szCs w:val="18"/>
              </w:rPr>
            </w:pPr>
          </w:p>
        </w:tc>
      </w:tr>
      <w:tr w14:paraId="7622EC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5B43128">
            <w:pPr>
              <w:spacing w:before="40" w:after="40" w:line="240" w:lineRule="exact"/>
              <w:jc w:val="left"/>
              <w:rPr>
                <w:rFonts w:ascii="宋体" w:hAnsi="宋体" w:eastAsia="宋体" w:cs="宋体"/>
                <w:sz w:val="18"/>
                <w:szCs w:val="18"/>
              </w:rPr>
            </w:pPr>
            <w:r>
              <w:rPr>
                <w:rFonts w:ascii="宋体" w:hAnsi="宋体" w:eastAsia="宋体" w:cs="宋体"/>
                <w:sz w:val="18"/>
                <w:szCs w:val="18"/>
              </w:rPr>
              <w:t>所得税费用</w:t>
            </w:r>
          </w:p>
        </w:tc>
        <w:tc>
          <w:tcPr>
            <w:tcW w:w="1377" w:type="dxa"/>
            <w:tcBorders>
              <w:top w:val="single" w:color="auto" w:sz="2" w:space="0"/>
              <w:left w:val="single" w:color="auto" w:sz="2" w:space="0"/>
              <w:bottom w:val="single" w:color="auto" w:sz="2" w:space="0"/>
              <w:right w:val="single" w:color="auto" w:sz="2" w:space="0"/>
            </w:tcBorders>
            <w:vAlign w:val="center"/>
          </w:tcPr>
          <w:p w14:paraId="1BF29A3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D0566D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A1418A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799A49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2B039C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3516271">
            <w:pPr>
              <w:spacing w:before="0" w:after="0" w:line="240" w:lineRule="exact"/>
              <w:jc w:val="right"/>
              <w:rPr>
                <w:rFonts w:ascii="宋体" w:hAnsi="宋体" w:eastAsia="宋体" w:cs="宋体"/>
                <w:sz w:val="18"/>
                <w:szCs w:val="18"/>
              </w:rPr>
            </w:pPr>
          </w:p>
        </w:tc>
      </w:tr>
      <w:tr w14:paraId="4BA086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A155FB4">
            <w:pPr>
              <w:spacing w:before="40" w:after="40" w:line="240" w:lineRule="exact"/>
              <w:jc w:val="left"/>
              <w:rPr>
                <w:rFonts w:ascii="宋体" w:hAnsi="宋体" w:eastAsia="宋体" w:cs="宋体"/>
                <w:sz w:val="18"/>
                <w:szCs w:val="18"/>
              </w:rPr>
            </w:pPr>
            <w:r>
              <w:rPr>
                <w:rFonts w:ascii="宋体" w:hAnsi="宋体" w:eastAsia="宋体" w:cs="宋体"/>
                <w:sz w:val="18"/>
                <w:szCs w:val="18"/>
              </w:rPr>
              <w:t>净利润</w:t>
            </w:r>
          </w:p>
        </w:tc>
        <w:tc>
          <w:tcPr>
            <w:tcW w:w="1377" w:type="dxa"/>
            <w:tcBorders>
              <w:top w:val="single" w:color="auto" w:sz="2" w:space="0"/>
              <w:left w:val="single" w:color="auto" w:sz="2" w:space="0"/>
              <w:bottom w:val="single" w:color="auto" w:sz="2" w:space="0"/>
              <w:right w:val="single" w:color="auto" w:sz="2" w:space="0"/>
            </w:tcBorders>
            <w:vAlign w:val="center"/>
          </w:tcPr>
          <w:p w14:paraId="5CAC7DC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878AEF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A24AA1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E6DBF7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4048C3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3F3E556">
            <w:pPr>
              <w:spacing w:before="0" w:after="0" w:line="240" w:lineRule="exact"/>
              <w:jc w:val="right"/>
              <w:rPr>
                <w:rFonts w:ascii="宋体" w:hAnsi="宋体" w:eastAsia="宋体" w:cs="宋体"/>
                <w:sz w:val="18"/>
                <w:szCs w:val="18"/>
              </w:rPr>
            </w:pPr>
          </w:p>
        </w:tc>
      </w:tr>
      <w:tr w14:paraId="7D2590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8478895">
            <w:pPr>
              <w:spacing w:before="40" w:after="40" w:line="240" w:lineRule="exact"/>
              <w:jc w:val="left"/>
              <w:rPr>
                <w:rFonts w:ascii="宋体" w:hAnsi="宋体" w:eastAsia="宋体" w:cs="宋体"/>
                <w:sz w:val="18"/>
                <w:szCs w:val="18"/>
              </w:rPr>
            </w:pPr>
            <w:r>
              <w:rPr>
                <w:rFonts w:ascii="宋体" w:hAnsi="宋体" w:eastAsia="宋体" w:cs="宋体"/>
                <w:sz w:val="18"/>
                <w:szCs w:val="18"/>
              </w:rPr>
              <w:t>终止经营的净利润</w:t>
            </w:r>
          </w:p>
        </w:tc>
        <w:tc>
          <w:tcPr>
            <w:tcW w:w="1377" w:type="dxa"/>
            <w:tcBorders>
              <w:top w:val="single" w:color="auto" w:sz="2" w:space="0"/>
              <w:left w:val="single" w:color="auto" w:sz="2" w:space="0"/>
              <w:bottom w:val="single" w:color="auto" w:sz="2" w:space="0"/>
              <w:right w:val="single" w:color="auto" w:sz="2" w:space="0"/>
            </w:tcBorders>
            <w:vAlign w:val="center"/>
          </w:tcPr>
          <w:p w14:paraId="1DAE074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A3399C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F3EDB8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8F7D22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040AED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F643EFD">
            <w:pPr>
              <w:spacing w:before="0" w:after="0" w:line="240" w:lineRule="exact"/>
              <w:jc w:val="right"/>
              <w:rPr>
                <w:rFonts w:ascii="宋体" w:hAnsi="宋体" w:eastAsia="宋体" w:cs="宋体"/>
                <w:sz w:val="18"/>
                <w:szCs w:val="18"/>
              </w:rPr>
            </w:pPr>
          </w:p>
        </w:tc>
      </w:tr>
      <w:tr w14:paraId="7D53A8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52191F3">
            <w:pPr>
              <w:spacing w:before="40" w:after="40" w:line="240" w:lineRule="exact"/>
              <w:jc w:val="left"/>
              <w:rPr>
                <w:rFonts w:ascii="宋体" w:hAnsi="宋体" w:eastAsia="宋体" w:cs="宋体"/>
                <w:sz w:val="18"/>
                <w:szCs w:val="18"/>
              </w:rPr>
            </w:pPr>
            <w:r>
              <w:rPr>
                <w:rFonts w:ascii="宋体" w:hAnsi="宋体" w:eastAsia="宋体" w:cs="宋体"/>
                <w:sz w:val="18"/>
                <w:szCs w:val="18"/>
              </w:rPr>
              <w:t>其他综合收益</w:t>
            </w:r>
          </w:p>
        </w:tc>
        <w:tc>
          <w:tcPr>
            <w:tcW w:w="1377" w:type="dxa"/>
            <w:tcBorders>
              <w:top w:val="single" w:color="auto" w:sz="2" w:space="0"/>
              <w:left w:val="single" w:color="auto" w:sz="2" w:space="0"/>
              <w:bottom w:val="single" w:color="auto" w:sz="2" w:space="0"/>
              <w:right w:val="single" w:color="auto" w:sz="2" w:space="0"/>
            </w:tcBorders>
            <w:vAlign w:val="center"/>
          </w:tcPr>
          <w:p w14:paraId="6E54480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3F4ABC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60F763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BEA4DE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1BB733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F174CDB">
            <w:pPr>
              <w:spacing w:before="0" w:after="0" w:line="240" w:lineRule="exact"/>
              <w:jc w:val="right"/>
              <w:rPr>
                <w:rFonts w:ascii="宋体" w:hAnsi="宋体" w:eastAsia="宋体" w:cs="宋体"/>
                <w:sz w:val="18"/>
                <w:szCs w:val="18"/>
              </w:rPr>
            </w:pPr>
          </w:p>
        </w:tc>
      </w:tr>
      <w:tr w14:paraId="272BDF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86EEC3A">
            <w:pPr>
              <w:spacing w:before="40" w:after="40" w:line="240" w:lineRule="exact"/>
              <w:jc w:val="left"/>
              <w:rPr>
                <w:rFonts w:ascii="宋体" w:hAnsi="宋体" w:eastAsia="宋体" w:cs="宋体"/>
                <w:sz w:val="18"/>
                <w:szCs w:val="18"/>
              </w:rPr>
            </w:pPr>
            <w:r>
              <w:rPr>
                <w:rFonts w:ascii="宋体" w:hAnsi="宋体" w:eastAsia="宋体" w:cs="宋体"/>
                <w:sz w:val="18"/>
                <w:szCs w:val="18"/>
              </w:rPr>
              <w:t>综合收益总额</w:t>
            </w:r>
          </w:p>
        </w:tc>
        <w:tc>
          <w:tcPr>
            <w:tcW w:w="1377" w:type="dxa"/>
            <w:tcBorders>
              <w:top w:val="single" w:color="auto" w:sz="2" w:space="0"/>
              <w:left w:val="single" w:color="auto" w:sz="2" w:space="0"/>
              <w:bottom w:val="single" w:color="auto" w:sz="2" w:space="0"/>
              <w:right w:val="single" w:color="auto" w:sz="2" w:space="0"/>
            </w:tcBorders>
            <w:vAlign w:val="center"/>
          </w:tcPr>
          <w:p w14:paraId="24A9CB5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435F0D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FBFD49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BCB34A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CF5E15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7B8F68C">
            <w:pPr>
              <w:spacing w:before="0" w:after="0" w:line="240" w:lineRule="exact"/>
              <w:jc w:val="right"/>
              <w:rPr>
                <w:rFonts w:ascii="宋体" w:hAnsi="宋体" w:eastAsia="宋体" w:cs="宋体"/>
                <w:sz w:val="18"/>
                <w:szCs w:val="18"/>
              </w:rPr>
            </w:pPr>
          </w:p>
        </w:tc>
      </w:tr>
      <w:tr w14:paraId="536E50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21595B13">
            <w:pPr>
              <w:spacing w:before="0" w:after="0" w:line="240" w:lineRule="exact"/>
              <w:jc w:val="lef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E9FED2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090656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7C1A17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5A3B99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36F5EF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829EDEF">
            <w:pPr>
              <w:spacing w:before="0" w:after="0" w:line="240" w:lineRule="exact"/>
              <w:jc w:val="right"/>
              <w:rPr>
                <w:rFonts w:ascii="宋体" w:hAnsi="宋体" w:eastAsia="宋体" w:cs="宋体"/>
                <w:sz w:val="18"/>
                <w:szCs w:val="18"/>
              </w:rPr>
            </w:pPr>
          </w:p>
        </w:tc>
      </w:tr>
      <w:tr w14:paraId="1537EC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403317B">
            <w:pPr>
              <w:spacing w:before="40" w:after="40" w:line="240" w:lineRule="exact"/>
              <w:jc w:val="left"/>
              <w:rPr>
                <w:rFonts w:ascii="宋体" w:hAnsi="宋体" w:eastAsia="宋体" w:cs="宋体"/>
                <w:sz w:val="18"/>
                <w:szCs w:val="18"/>
              </w:rPr>
            </w:pPr>
            <w:r>
              <w:rPr>
                <w:rFonts w:ascii="宋体" w:hAnsi="宋体" w:eastAsia="宋体" w:cs="宋体"/>
                <w:sz w:val="18"/>
                <w:szCs w:val="18"/>
              </w:rPr>
              <w:t>本年度收到的来自合营企业的股利</w:t>
            </w:r>
          </w:p>
        </w:tc>
        <w:tc>
          <w:tcPr>
            <w:tcW w:w="1377" w:type="dxa"/>
            <w:tcBorders>
              <w:top w:val="single" w:color="auto" w:sz="2" w:space="0"/>
              <w:left w:val="single" w:color="auto" w:sz="2" w:space="0"/>
              <w:bottom w:val="single" w:color="auto" w:sz="2" w:space="0"/>
              <w:right w:val="single" w:color="auto" w:sz="2" w:space="0"/>
            </w:tcBorders>
            <w:vAlign w:val="center"/>
          </w:tcPr>
          <w:p w14:paraId="77707F3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E7F852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E709DA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2A023D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C19929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C2F5B4E">
            <w:pPr>
              <w:spacing w:before="0" w:after="0" w:line="240" w:lineRule="exact"/>
              <w:jc w:val="right"/>
              <w:rPr>
                <w:rFonts w:ascii="宋体" w:hAnsi="宋体" w:eastAsia="宋体" w:cs="宋体"/>
                <w:sz w:val="18"/>
                <w:szCs w:val="18"/>
              </w:rPr>
            </w:pPr>
          </w:p>
        </w:tc>
      </w:tr>
    </w:tbl>
    <w:p w14:paraId="3CA9F89A">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E3AD27B">
      <w:pPr>
        <w:keepNext/>
        <w:keepLines/>
        <w:spacing w:before="300" w:after="300" w:line="280" w:lineRule="exact"/>
        <w:jc w:val="left"/>
        <w:outlineLvl w:val="3"/>
        <w:rPr>
          <w:rFonts w:ascii="宋体" w:hAnsi="宋体" w:eastAsia="宋体" w:cs="宋体"/>
          <w:b/>
          <w:bCs/>
          <w:sz w:val="21"/>
          <w:szCs w:val="21"/>
        </w:rPr>
      </w:pPr>
      <w:bookmarkStart w:id="491" w:name="_Toc989374"/>
      <w:r>
        <w:rPr>
          <w:rFonts w:ascii="宋体" w:hAnsi="宋体" w:eastAsia="宋体" w:cs="宋体"/>
          <w:b/>
          <w:bCs/>
          <w:sz w:val="21"/>
          <w:szCs w:val="21"/>
        </w:rPr>
        <w:t>（3） 重要联营企业的主要财务信息</w:t>
      </w:r>
      <w:bookmarkEnd w:id="491"/>
    </w:p>
    <w:p w14:paraId="7589836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1B8F23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D99857B"/>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05DC0C39">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期末余额/本期发生额</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4718D718">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期初余额/上期发生额</w:t>
            </w:r>
          </w:p>
        </w:tc>
      </w:tr>
      <w:tr w14:paraId="285B2C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D2BA4A6"/>
        </w:tc>
        <w:tc>
          <w:tcPr>
            <w:tcW w:w="1377" w:type="dxa"/>
            <w:tcBorders>
              <w:top w:val="single" w:color="auto" w:sz="2" w:space="0"/>
              <w:left w:val="single" w:color="auto" w:sz="2" w:space="0"/>
              <w:bottom w:val="single" w:color="auto" w:sz="2" w:space="0"/>
              <w:right w:val="single" w:color="auto" w:sz="2" w:space="0"/>
            </w:tcBorders>
            <w:vAlign w:val="center"/>
          </w:tcPr>
          <w:p w14:paraId="234AA78B">
            <w:pPr>
              <w:spacing w:before="0" w:after="0" w:line="240" w:lineRule="exact"/>
              <w:jc w:val="center"/>
              <w:rPr>
                <w:rFonts w:ascii="宋体" w:hAnsi="宋体" w:eastAsia="宋体" w:cs="宋体"/>
                <w:sz w:val="18"/>
                <w:szCs w:val="18"/>
              </w:rPr>
            </w:pPr>
            <w:r>
              <w:rPr>
                <w:rFonts w:ascii="宋体" w:hAnsi="宋体" w:eastAsia="宋体" w:cs="宋体"/>
                <w:sz w:val="18"/>
                <w:szCs w:val="18"/>
              </w:rPr>
              <w:t>福建博奥医学检验所有限公司</w:t>
            </w:r>
          </w:p>
        </w:tc>
        <w:tc>
          <w:tcPr>
            <w:tcW w:w="1377" w:type="dxa"/>
            <w:tcBorders>
              <w:top w:val="single" w:color="auto" w:sz="2" w:space="0"/>
              <w:left w:val="single" w:color="auto" w:sz="2" w:space="0"/>
              <w:bottom w:val="single" w:color="auto" w:sz="2" w:space="0"/>
              <w:right w:val="single" w:color="auto" w:sz="2" w:space="0"/>
            </w:tcBorders>
            <w:vAlign w:val="center"/>
          </w:tcPr>
          <w:p w14:paraId="28A9E797">
            <w:pPr>
              <w:spacing w:before="0" w:after="0" w:line="240" w:lineRule="exact"/>
              <w:jc w:val="center"/>
              <w:rPr>
                <w:rFonts w:ascii="宋体" w:hAnsi="宋体" w:eastAsia="宋体" w:cs="宋体"/>
                <w:sz w:val="18"/>
                <w:szCs w:val="18"/>
              </w:rPr>
            </w:pPr>
            <w:r>
              <w:rPr>
                <w:rFonts w:ascii="宋体" w:hAnsi="宋体" w:eastAsia="宋体" w:cs="宋体"/>
                <w:sz w:val="18"/>
                <w:szCs w:val="18"/>
              </w:rPr>
              <w:t>福建广明方医药投资研发中心（有限合伙）</w:t>
            </w:r>
          </w:p>
        </w:tc>
        <w:tc>
          <w:tcPr>
            <w:tcW w:w="1377" w:type="dxa"/>
            <w:tcBorders>
              <w:top w:val="single" w:color="auto" w:sz="2" w:space="0"/>
              <w:left w:val="single" w:color="auto" w:sz="2" w:space="0"/>
              <w:bottom w:val="single" w:color="auto" w:sz="2" w:space="0"/>
              <w:right w:val="single" w:color="auto" w:sz="2" w:space="0"/>
            </w:tcBorders>
            <w:vAlign w:val="center"/>
          </w:tcPr>
          <w:p w14:paraId="20E71405">
            <w:pPr>
              <w:spacing w:before="0" w:after="0" w:line="240" w:lineRule="exact"/>
              <w:jc w:val="center"/>
              <w:rPr>
                <w:rFonts w:ascii="宋体" w:hAnsi="宋体" w:eastAsia="宋体" w:cs="宋体"/>
                <w:sz w:val="18"/>
                <w:szCs w:val="18"/>
              </w:rPr>
            </w:pPr>
            <w:r>
              <w:rPr>
                <w:rFonts w:ascii="宋体" w:hAnsi="宋体" w:eastAsia="宋体" w:cs="宋体"/>
                <w:sz w:val="18"/>
                <w:szCs w:val="18"/>
              </w:rPr>
              <w:t>莆田博奥医学检验有限公司</w:t>
            </w:r>
          </w:p>
        </w:tc>
        <w:tc>
          <w:tcPr>
            <w:tcW w:w="1377" w:type="dxa"/>
            <w:tcBorders>
              <w:top w:val="single" w:color="auto" w:sz="2" w:space="0"/>
              <w:left w:val="single" w:color="auto" w:sz="2" w:space="0"/>
              <w:bottom w:val="single" w:color="auto" w:sz="2" w:space="0"/>
              <w:right w:val="single" w:color="auto" w:sz="2" w:space="0"/>
            </w:tcBorders>
            <w:vAlign w:val="center"/>
          </w:tcPr>
          <w:p w14:paraId="29088620">
            <w:pPr>
              <w:spacing w:before="0" w:after="0" w:line="240" w:lineRule="exact"/>
              <w:jc w:val="center"/>
              <w:rPr>
                <w:rFonts w:ascii="宋体" w:hAnsi="宋体" w:eastAsia="宋体" w:cs="宋体"/>
                <w:sz w:val="18"/>
                <w:szCs w:val="18"/>
              </w:rPr>
            </w:pPr>
            <w:r>
              <w:rPr>
                <w:rFonts w:ascii="宋体" w:hAnsi="宋体" w:eastAsia="宋体" w:cs="宋体"/>
                <w:sz w:val="18"/>
                <w:szCs w:val="18"/>
              </w:rPr>
              <w:t>福建博奥医学检验所有限公司</w:t>
            </w:r>
          </w:p>
        </w:tc>
        <w:tc>
          <w:tcPr>
            <w:tcW w:w="1377" w:type="dxa"/>
            <w:tcBorders>
              <w:top w:val="single" w:color="auto" w:sz="2" w:space="0"/>
              <w:left w:val="single" w:color="auto" w:sz="2" w:space="0"/>
              <w:bottom w:val="single" w:color="auto" w:sz="2" w:space="0"/>
              <w:right w:val="single" w:color="auto" w:sz="2" w:space="0"/>
            </w:tcBorders>
            <w:vAlign w:val="center"/>
          </w:tcPr>
          <w:p w14:paraId="6BA94F08">
            <w:pPr>
              <w:spacing w:before="0" w:after="0" w:line="240" w:lineRule="exact"/>
              <w:jc w:val="center"/>
              <w:rPr>
                <w:rFonts w:ascii="宋体" w:hAnsi="宋体" w:eastAsia="宋体" w:cs="宋体"/>
                <w:sz w:val="18"/>
                <w:szCs w:val="18"/>
              </w:rPr>
            </w:pPr>
            <w:r>
              <w:rPr>
                <w:rFonts w:ascii="宋体" w:hAnsi="宋体" w:eastAsia="宋体" w:cs="宋体"/>
                <w:sz w:val="18"/>
                <w:szCs w:val="18"/>
              </w:rPr>
              <w:t>福建广明方医药投资研发中心（有限合伙）</w:t>
            </w:r>
          </w:p>
        </w:tc>
        <w:tc>
          <w:tcPr>
            <w:tcW w:w="1377" w:type="dxa"/>
            <w:tcBorders>
              <w:top w:val="single" w:color="auto" w:sz="2" w:space="0"/>
              <w:left w:val="single" w:color="auto" w:sz="2" w:space="0"/>
              <w:bottom w:val="single" w:color="auto" w:sz="2" w:space="0"/>
              <w:right w:val="single" w:color="auto" w:sz="2" w:space="0"/>
            </w:tcBorders>
            <w:vAlign w:val="center"/>
          </w:tcPr>
          <w:p w14:paraId="37F34D91">
            <w:pPr>
              <w:spacing w:before="0" w:after="0" w:line="240" w:lineRule="exact"/>
              <w:jc w:val="center"/>
              <w:rPr>
                <w:rFonts w:ascii="宋体" w:hAnsi="宋体" w:eastAsia="宋体" w:cs="宋体"/>
                <w:sz w:val="18"/>
                <w:szCs w:val="18"/>
              </w:rPr>
            </w:pPr>
            <w:r>
              <w:rPr>
                <w:rFonts w:ascii="宋体" w:hAnsi="宋体" w:eastAsia="宋体" w:cs="宋体"/>
                <w:sz w:val="18"/>
                <w:szCs w:val="18"/>
              </w:rPr>
              <w:t>莆田博奥医学检验有限公司</w:t>
            </w:r>
          </w:p>
        </w:tc>
      </w:tr>
      <w:tr w14:paraId="3F901F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DD4252D">
            <w:pPr>
              <w:spacing w:before="40" w:after="40" w:line="240" w:lineRule="exact"/>
              <w:jc w:val="left"/>
              <w:rPr>
                <w:rFonts w:ascii="宋体" w:hAnsi="宋体" w:eastAsia="宋体" w:cs="宋体"/>
                <w:sz w:val="18"/>
                <w:szCs w:val="18"/>
              </w:rPr>
            </w:pPr>
            <w:r>
              <w:rPr>
                <w:rFonts w:ascii="宋体" w:hAnsi="宋体" w:eastAsia="宋体" w:cs="宋体"/>
                <w:sz w:val="18"/>
                <w:szCs w:val="18"/>
              </w:rPr>
              <w:t>流动资产</w:t>
            </w:r>
          </w:p>
        </w:tc>
        <w:tc>
          <w:tcPr>
            <w:tcW w:w="1377" w:type="dxa"/>
            <w:tcBorders>
              <w:top w:val="single" w:color="auto" w:sz="2" w:space="0"/>
              <w:left w:val="single" w:color="auto" w:sz="2" w:space="0"/>
              <w:bottom w:val="single" w:color="auto" w:sz="2" w:space="0"/>
              <w:right w:val="single" w:color="auto" w:sz="2" w:space="0"/>
            </w:tcBorders>
            <w:vAlign w:val="center"/>
          </w:tcPr>
          <w:p w14:paraId="40791E91">
            <w:pPr>
              <w:spacing w:before="0" w:after="0" w:line="240" w:lineRule="exact"/>
              <w:jc w:val="right"/>
              <w:rPr>
                <w:rFonts w:ascii="宋体" w:hAnsi="宋体" w:eastAsia="宋体" w:cs="宋体"/>
                <w:sz w:val="18"/>
                <w:szCs w:val="18"/>
              </w:rPr>
            </w:pPr>
            <w:r>
              <w:rPr>
                <w:rFonts w:ascii="宋体" w:hAnsi="宋体" w:eastAsia="宋体" w:cs="宋体"/>
                <w:sz w:val="18"/>
                <w:szCs w:val="18"/>
              </w:rPr>
              <w:t>87,825,847.82</w:t>
            </w:r>
          </w:p>
        </w:tc>
        <w:tc>
          <w:tcPr>
            <w:tcW w:w="1377" w:type="dxa"/>
            <w:tcBorders>
              <w:top w:val="single" w:color="auto" w:sz="2" w:space="0"/>
              <w:left w:val="single" w:color="auto" w:sz="2" w:space="0"/>
              <w:bottom w:val="single" w:color="auto" w:sz="2" w:space="0"/>
              <w:right w:val="single" w:color="auto" w:sz="2" w:space="0"/>
            </w:tcBorders>
            <w:vAlign w:val="center"/>
          </w:tcPr>
          <w:p w14:paraId="2665AB31">
            <w:pPr>
              <w:spacing w:before="0" w:after="0" w:line="240" w:lineRule="exact"/>
              <w:jc w:val="right"/>
              <w:rPr>
                <w:rFonts w:ascii="宋体" w:hAnsi="宋体" w:eastAsia="宋体" w:cs="宋体"/>
                <w:sz w:val="18"/>
                <w:szCs w:val="18"/>
              </w:rPr>
            </w:pPr>
            <w:r>
              <w:rPr>
                <w:rFonts w:ascii="宋体" w:hAnsi="宋体" w:eastAsia="宋体" w:cs="宋体"/>
                <w:sz w:val="18"/>
                <w:szCs w:val="18"/>
              </w:rPr>
              <w:t>5,773,138.36</w:t>
            </w:r>
          </w:p>
        </w:tc>
        <w:tc>
          <w:tcPr>
            <w:tcW w:w="1377" w:type="dxa"/>
            <w:tcBorders>
              <w:top w:val="single" w:color="auto" w:sz="2" w:space="0"/>
              <w:left w:val="single" w:color="auto" w:sz="2" w:space="0"/>
              <w:bottom w:val="single" w:color="auto" w:sz="2" w:space="0"/>
              <w:right w:val="single" w:color="auto" w:sz="2" w:space="0"/>
            </w:tcBorders>
            <w:vAlign w:val="center"/>
          </w:tcPr>
          <w:p w14:paraId="3F741622">
            <w:pPr>
              <w:spacing w:before="0" w:after="0" w:line="240" w:lineRule="exact"/>
              <w:jc w:val="right"/>
              <w:rPr>
                <w:rFonts w:ascii="宋体" w:hAnsi="宋体" w:eastAsia="宋体" w:cs="宋体"/>
                <w:sz w:val="18"/>
                <w:szCs w:val="18"/>
              </w:rPr>
            </w:pPr>
            <w:r>
              <w:rPr>
                <w:rFonts w:ascii="宋体" w:hAnsi="宋体" w:eastAsia="宋体" w:cs="宋体"/>
                <w:sz w:val="18"/>
                <w:szCs w:val="18"/>
              </w:rPr>
              <w:t>19,408,073.70</w:t>
            </w:r>
          </w:p>
        </w:tc>
        <w:tc>
          <w:tcPr>
            <w:tcW w:w="1377" w:type="dxa"/>
            <w:tcBorders>
              <w:top w:val="single" w:color="auto" w:sz="2" w:space="0"/>
              <w:left w:val="single" w:color="auto" w:sz="2" w:space="0"/>
              <w:bottom w:val="single" w:color="auto" w:sz="2" w:space="0"/>
              <w:right w:val="single" w:color="auto" w:sz="2" w:space="0"/>
            </w:tcBorders>
            <w:vAlign w:val="center"/>
          </w:tcPr>
          <w:p w14:paraId="1105FEF0">
            <w:pPr>
              <w:spacing w:before="0" w:after="0" w:line="240" w:lineRule="exact"/>
              <w:jc w:val="right"/>
              <w:rPr>
                <w:rFonts w:ascii="宋体" w:hAnsi="宋体" w:eastAsia="宋体" w:cs="宋体"/>
                <w:sz w:val="18"/>
                <w:szCs w:val="18"/>
              </w:rPr>
            </w:pPr>
            <w:r>
              <w:rPr>
                <w:rFonts w:ascii="宋体" w:hAnsi="宋体" w:eastAsia="宋体" w:cs="宋体"/>
                <w:sz w:val="18"/>
                <w:szCs w:val="18"/>
              </w:rPr>
              <w:t>208,311,224.04</w:t>
            </w:r>
          </w:p>
        </w:tc>
        <w:tc>
          <w:tcPr>
            <w:tcW w:w="1377" w:type="dxa"/>
            <w:tcBorders>
              <w:top w:val="single" w:color="auto" w:sz="2" w:space="0"/>
              <w:left w:val="single" w:color="auto" w:sz="2" w:space="0"/>
              <w:bottom w:val="single" w:color="auto" w:sz="2" w:space="0"/>
              <w:right w:val="single" w:color="auto" w:sz="2" w:space="0"/>
            </w:tcBorders>
            <w:vAlign w:val="center"/>
          </w:tcPr>
          <w:p w14:paraId="4EE02BEF">
            <w:pPr>
              <w:spacing w:before="0" w:after="0" w:line="240" w:lineRule="exact"/>
              <w:jc w:val="right"/>
              <w:rPr>
                <w:rFonts w:ascii="宋体" w:hAnsi="宋体" w:eastAsia="宋体" w:cs="宋体"/>
                <w:sz w:val="18"/>
                <w:szCs w:val="18"/>
              </w:rPr>
            </w:pPr>
            <w:r>
              <w:rPr>
                <w:rFonts w:ascii="宋体" w:hAnsi="宋体" w:eastAsia="宋体" w:cs="宋体"/>
                <w:sz w:val="18"/>
                <w:szCs w:val="18"/>
              </w:rPr>
              <w:t>5,773,120.38</w:t>
            </w:r>
          </w:p>
        </w:tc>
        <w:tc>
          <w:tcPr>
            <w:tcW w:w="1377" w:type="dxa"/>
            <w:tcBorders>
              <w:top w:val="single" w:color="auto" w:sz="2" w:space="0"/>
              <w:left w:val="single" w:color="auto" w:sz="2" w:space="0"/>
              <w:bottom w:val="single" w:color="auto" w:sz="2" w:space="0"/>
              <w:right w:val="single" w:color="auto" w:sz="2" w:space="0"/>
            </w:tcBorders>
            <w:vAlign w:val="center"/>
          </w:tcPr>
          <w:p w14:paraId="12303A94">
            <w:pPr>
              <w:spacing w:before="0" w:after="0" w:line="240" w:lineRule="exact"/>
              <w:jc w:val="right"/>
              <w:rPr>
                <w:rFonts w:ascii="宋体" w:hAnsi="宋体" w:eastAsia="宋体" w:cs="宋体"/>
                <w:sz w:val="18"/>
                <w:szCs w:val="18"/>
              </w:rPr>
            </w:pPr>
            <w:r>
              <w:rPr>
                <w:rFonts w:ascii="宋体" w:hAnsi="宋体" w:eastAsia="宋体" w:cs="宋体"/>
                <w:sz w:val="18"/>
                <w:szCs w:val="18"/>
              </w:rPr>
              <w:t>25,486,994.38</w:t>
            </w:r>
          </w:p>
        </w:tc>
      </w:tr>
      <w:tr w14:paraId="667543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65E7675">
            <w:pPr>
              <w:spacing w:before="40" w:after="40" w:line="240" w:lineRule="exact"/>
              <w:jc w:val="left"/>
              <w:rPr>
                <w:rFonts w:ascii="宋体" w:hAnsi="宋体" w:eastAsia="宋体" w:cs="宋体"/>
                <w:sz w:val="18"/>
                <w:szCs w:val="18"/>
              </w:rPr>
            </w:pPr>
            <w:r>
              <w:rPr>
                <w:rFonts w:ascii="宋体" w:hAnsi="宋体" w:eastAsia="宋体" w:cs="宋体"/>
                <w:sz w:val="18"/>
                <w:szCs w:val="18"/>
              </w:rPr>
              <w:t>非流动资产</w:t>
            </w:r>
          </w:p>
        </w:tc>
        <w:tc>
          <w:tcPr>
            <w:tcW w:w="1377" w:type="dxa"/>
            <w:tcBorders>
              <w:top w:val="single" w:color="auto" w:sz="2" w:space="0"/>
              <w:left w:val="single" w:color="auto" w:sz="2" w:space="0"/>
              <w:bottom w:val="single" w:color="auto" w:sz="2" w:space="0"/>
              <w:right w:val="single" w:color="auto" w:sz="2" w:space="0"/>
            </w:tcBorders>
            <w:vAlign w:val="center"/>
          </w:tcPr>
          <w:p w14:paraId="77AADE5C">
            <w:pPr>
              <w:spacing w:before="0" w:after="0" w:line="240" w:lineRule="exact"/>
              <w:jc w:val="right"/>
              <w:rPr>
                <w:rFonts w:ascii="宋体" w:hAnsi="宋体" w:eastAsia="宋体" w:cs="宋体"/>
                <w:sz w:val="18"/>
                <w:szCs w:val="18"/>
              </w:rPr>
            </w:pPr>
            <w:r>
              <w:rPr>
                <w:rFonts w:ascii="宋体" w:hAnsi="宋体" w:eastAsia="宋体" w:cs="宋体"/>
                <w:sz w:val="18"/>
                <w:szCs w:val="18"/>
              </w:rPr>
              <w:t>6,216,333.82</w:t>
            </w:r>
          </w:p>
        </w:tc>
        <w:tc>
          <w:tcPr>
            <w:tcW w:w="1377" w:type="dxa"/>
            <w:tcBorders>
              <w:top w:val="single" w:color="auto" w:sz="2" w:space="0"/>
              <w:left w:val="single" w:color="auto" w:sz="2" w:space="0"/>
              <w:bottom w:val="single" w:color="auto" w:sz="2" w:space="0"/>
              <w:right w:val="single" w:color="auto" w:sz="2" w:space="0"/>
            </w:tcBorders>
            <w:vAlign w:val="center"/>
          </w:tcPr>
          <w:p w14:paraId="33EBEB1E">
            <w:pPr>
              <w:spacing w:before="0" w:after="0" w:line="240" w:lineRule="exact"/>
              <w:jc w:val="right"/>
              <w:rPr>
                <w:rFonts w:ascii="宋体" w:hAnsi="宋体" w:eastAsia="宋体" w:cs="宋体"/>
                <w:sz w:val="18"/>
                <w:szCs w:val="18"/>
              </w:rPr>
            </w:pPr>
            <w:r>
              <w:rPr>
                <w:rFonts w:ascii="宋体" w:hAnsi="宋体" w:eastAsia="宋体" w:cs="宋体"/>
                <w:sz w:val="18"/>
                <w:szCs w:val="18"/>
              </w:rPr>
              <w:t>58,227,713.83</w:t>
            </w:r>
          </w:p>
        </w:tc>
        <w:tc>
          <w:tcPr>
            <w:tcW w:w="1377" w:type="dxa"/>
            <w:tcBorders>
              <w:top w:val="single" w:color="auto" w:sz="2" w:space="0"/>
              <w:left w:val="single" w:color="auto" w:sz="2" w:space="0"/>
              <w:bottom w:val="single" w:color="auto" w:sz="2" w:space="0"/>
              <w:right w:val="single" w:color="auto" w:sz="2" w:space="0"/>
            </w:tcBorders>
            <w:vAlign w:val="center"/>
          </w:tcPr>
          <w:p w14:paraId="3808C4D7">
            <w:pPr>
              <w:spacing w:before="0" w:after="0" w:line="240" w:lineRule="exact"/>
              <w:jc w:val="right"/>
              <w:rPr>
                <w:rFonts w:ascii="宋体" w:hAnsi="宋体" w:eastAsia="宋体" w:cs="宋体"/>
                <w:sz w:val="18"/>
                <w:szCs w:val="18"/>
              </w:rPr>
            </w:pPr>
            <w:r>
              <w:rPr>
                <w:rFonts w:ascii="宋体" w:hAnsi="宋体" w:eastAsia="宋体" w:cs="宋体"/>
                <w:sz w:val="18"/>
                <w:szCs w:val="18"/>
              </w:rPr>
              <w:t>1,487,489.00</w:t>
            </w:r>
          </w:p>
        </w:tc>
        <w:tc>
          <w:tcPr>
            <w:tcW w:w="1377" w:type="dxa"/>
            <w:tcBorders>
              <w:top w:val="single" w:color="auto" w:sz="2" w:space="0"/>
              <w:left w:val="single" w:color="auto" w:sz="2" w:space="0"/>
              <w:bottom w:val="single" w:color="auto" w:sz="2" w:space="0"/>
              <w:right w:val="single" w:color="auto" w:sz="2" w:space="0"/>
            </w:tcBorders>
            <w:vAlign w:val="center"/>
          </w:tcPr>
          <w:p w14:paraId="3B45C7AB">
            <w:pPr>
              <w:spacing w:before="0" w:after="0" w:line="240" w:lineRule="exact"/>
              <w:jc w:val="right"/>
              <w:rPr>
                <w:rFonts w:ascii="宋体" w:hAnsi="宋体" w:eastAsia="宋体" w:cs="宋体"/>
                <w:sz w:val="18"/>
                <w:szCs w:val="18"/>
              </w:rPr>
            </w:pPr>
            <w:r>
              <w:rPr>
                <w:rFonts w:ascii="宋体" w:hAnsi="宋体" w:eastAsia="宋体" w:cs="宋体"/>
                <w:sz w:val="18"/>
                <w:szCs w:val="18"/>
              </w:rPr>
              <w:t>12,927,047.74</w:t>
            </w:r>
          </w:p>
        </w:tc>
        <w:tc>
          <w:tcPr>
            <w:tcW w:w="1377" w:type="dxa"/>
            <w:tcBorders>
              <w:top w:val="single" w:color="auto" w:sz="2" w:space="0"/>
              <w:left w:val="single" w:color="auto" w:sz="2" w:space="0"/>
              <w:bottom w:val="single" w:color="auto" w:sz="2" w:space="0"/>
              <w:right w:val="single" w:color="auto" w:sz="2" w:space="0"/>
            </w:tcBorders>
            <w:vAlign w:val="center"/>
          </w:tcPr>
          <w:p w14:paraId="7DCB3C7A">
            <w:pPr>
              <w:spacing w:before="0" w:after="0" w:line="240" w:lineRule="exact"/>
              <w:jc w:val="right"/>
              <w:rPr>
                <w:rFonts w:ascii="宋体" w:hAnsi="宋体" w:eastAsia="宋体" w:cs="宋体"/>
                <w:sz w:val="18"/>
                <w:szCs w:val="18"/>
              </w:rPr>
            </w:pPr>
            <w:r>
              <w:rPr>
                <w:rFonts w:ascii="宋体" w:hAnsi="宋体" w:eastAsia="宋体" w:cs="宋体"/>
                <w:sz w:val="18"/>
                <w:szCs w:val="18"/>
              </w:rPr>
              <w:t>58,227,713.83</w:t>
            </w:r>
          </w:p>
        </w:tc>
        <w:tc>
          <w:tcPr>
            <w:tcW w:w="1377" w:type="dxa"/>
            <w:tcBorders>
              <w:top w:val="single" w:color="auto" w:sz="2" w:space="0"/>
              <w:left w:val="single" w:color="auto" w:sz="2" w:space="0"/>
              <w:bottom w:val="single" w:color="auto" w:sz="2" w:space="0"/>
              <w:right w:val="single" w:color="auto" w:sz="2" w:space="0"/>
            </w:tcBorders>
            <w:vAlign w:val="center"/>
          </w:tcPr>
          <w:p w14:paraId="6051B1B4">
            <w:pPr>
              <w:spacing w:before="0" w:after="0" w:line="240" w:lineRule="exact"/>
              <w:jc w:val="right"/>
              <w:rPr>
                <w:rFonts w:ascii="宋体" w:hAnsi="宋体" w:eastAsia="宋体" w:cs="宋体"/>
                <w:sz w:val="18"/>
                <w:szCs w:val="18"/>
              </w:rPr>
            </w:pPr>
            <w:r>
              <w:rPr>
                <w:rFonts w:ascii="宋体" w:hAnsi="宋体" w:eastAsia="宋体" w:cs="宋体"/>
                <w:sz w:val="18"/>
                <w:szCs w:val="18"/>
              </w:rPr>
              <w:t>4,860,815.50</w:t>
            </w:r>
          </w:p>
        </w:tc>
      </w:tr>
      <w:tr w14:paraId="0DC130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A33DE05">
            <w:pPr>
              <w:spacing w:before="40" w:after="40" w:line="240" w:lineRule="exact"/>
              <w:jc w:val="left"/>
              <w:rPr>
                <w:rFonts w:ascii="宋体" w:hAnsi="宋体" w:eastAsia="宋体" w:cs="宋体"/>
                <w:sz w:val="18"/>
                <w:szCs w:val="18"/>
              </w:rPr>
            </w:pPr>
            <w:r>
              <w:rPr>
                <w:rFonts w:ascii="宋体" w:hAnsi="宋体" w:eastAsia="宋体" w:cs="宋体"/>
                <w:sz w:val="18"/>
                <w:szCs w:val="18"/>
              </w:rPr>
              <w:t>资产合计</w:t>
            </w:r>
          </w:p>
        </w:tc>
        <w:tc>
          <w:tcPr>
            <w:tcW w:w="1377" w:type="dxa"/>
            <w:tcBorders>
              <w:top w:val="single" w:color="auto" w:sz="2" w:space="0"/>
              <w:left w:val="single" w:color="auto" w:sz="2" w:space="0"/>
              <w:bottom w:val="single" w:color="auto" w:sz="2" w:space="0"/>
              <w:right w:val="single" w:color="auto" w:sz="2" w:space="0"/>
            </w:tcBorders>
            <w:vAlign w:val="center"/>
          </w:tcPr>
          <w:p w14:paraId="25E679E8">
            <w:pPr>
              <w:spacing w:before="0" w:after="0" w:line="240" w:lineRule="exact"/>
              <w:jc w:val="right"/>
              <w:rPr>
                <w:rFonts w:ascii="宋体" w:hAnsi="宋体" w:eastAsia="宋体" w:cs="宋体"/>
                <w:sz w:val="18"/>
                <w:szCs w:val="18"/>
              </w:rPr>
            </w:pPr>
            <w:r>
              <w:rPr>
                <w:rFonts w:ascii="宋体" w:hAnsi="宋体" w:eastAsia="宋体" w:cs="宋体"/>
                <w:sz w:val="18"/>
                <w:szCs w:val="18"/>
              </w:rPr>
              <w:t>94,042,181.64</w:t>
            </w:r>
          </w:p>
        </w:tc>
        <w:tc>
          <w:tcPr>
            <w:tcW w:w="1377" w:type="dxa"/>
            <w:tcBorders>
              <w:top w:val="single" w:color="auto" w:sz="2" w:space="0"/>
              <w:left w:val="single" w:color="auto" w:sz="2" w:space="0"/>
              <w:bottom w:val="single" w:color="auto" w:sz="2" w:space="0"/>
              <w:right w:val="single" w:color="auto" w:sz="2" w:space="0"/>
            </w:tcBorders>
            <w:vAlign w:val="center"/>
          </w:tcPr>
          <w:p w14:paraId="1A28F281">
            <w:pPr>
              <w:spacing w:before="0" w:after="0" w:line="240" w:lineRule="exact"/>
              <w:jc w:val="right"/>
              <w:rPr>
                <w:rFonts w:ascii="宋体" w:hAnsi="宋体" w:eastAsia="宋体" w:cs="宋体"/>
                <w:sz w:val="18"/>
                <w:szCs w:val="18"/>
              </w:rPr>
            </w:pPr>
            <w:r>
              <w:rPr>
                <w:rFonts w:ascii="宋体" w:hAnsi="宋体" w:eastAsia="宋体" w:cs="宋体"/>
                <w:sz w:val="18"/>
                <w:szCs w:val="18"/>
              </w:rPr>
              <w:t>64,000,852.19</w:t>
            </w:r>
          </w:p>
        </w:tc>
        <w:tc>
          <w:tcPr>
            <w:tcW w:w="1377" w:type="dxa"/>
            <w:tcBorders>
              <w:top w:val="single" w:color="auto" w:sz="2" w:space="0"/>
              <w:left w:val="single" w:color="auto" w:sz="2" w:space="0"/>
              <w:bottom w:val="single" w:color="auto" w:sz="2" w:space="0"/>
              <w:right w:val="single" w:color="auto" w:sz="2" w:space="0"/>
            </w:tcBorders>
            <w:vAlign w:val="center"/>
          </w:tcPr>
          <w:p w14:paraId="620BFB5F">
            <w:pPr>
              <w:spacing w:before="0" w:after="0" w:line="240" w:lineRule="exact"/>
              <w:jc w:val="right"/>
              <w:rPr>
                <w:rFonts w:ascii="宋体" w:hAnsi="宋体" w:eastAsia="宋体" w:cs="宋体"/>
                <w:sz w:val="18"/>
                <w:szCs w:val="18"/>
              </w:rPr>
            </w:pPr>
            <w:r>
              <w:rPr>
                <w:rFonts w:ascii="宋体" w:hAnsi="宋体" w:eastAsia="宋体" w:cs="宋体"/>
                <w:sz w:val="18"/>
                <w:szCs w:val="18"/>
              </w:rPr>
              <w:t>20,895,562.70</w:t>
            </w:r>
          </w:p>
        </w:tc>
        <w:tc>
          <w:tcPr>
            <w:tcW w:w="1377" w:type="dxa"/>
            <w:tcBorders>
              <w:top w:val="single" w:color="auto" w:sz="2" w:space="0"/>
              <w:left w:val="single" w:color="auto" w:sz="2" w:space="0"/>
              <w:bottom w:val="single" w:color="auto" w:sz="2" w:space="0"/>
              <w:right w:val="single" w:color="auto" w:sz="2" w:space="0"/>
            </w:tcBorders>
            <w:vAlign w:val="center"/>
          </w:tcPr>
          <w:p w14:paraId="6DE159DB">
            <w:pPr>
              <w:spacing w:before="0" w:after="0" w:line="240" w:lineRule="exact"/>
              <w:jc w:val="right"/>
              <w:rPr>
                <w:rFonts w:ascii="宋体" w:hAnsi="宋体" w:eastAsia="宋体" w:cs="宋体"/>
                <w:sz w:val="18"/>
                <w:szCs w:val="18"/>
              </w:rPr>
            </w:pPr>
            <w:r>
              <w:rPr>
                <w:rFonts w:ascii="宋体" w:hAnsi="宋体" w:eastAsia="宋体" w:cs="宋体"/>
                <w:sz w:val="18"/>
                <w:szCs w:val="18"/>
              </w:rPr>
              <w:t>221,238,271.78</w:t>
            </w:r>
          </w:p>
        </w:tc>
        <w:tc>
          <w:tcPr>
            <w:tcW w:w="1377" w:type="dxa"/>
            <w:tcBorders>
              <w:top w:val="single" w:color="auto" w:sz="2" w:space="0"/>
              <w:left w:val="single" w:color="auto" w:sz="2" w:space="0"/>
              <w:bottom w:val="single" w:color="auto" w:sz="2" w:space="0"/>
              <w:right w:val="single" w:color="auto" w:sz="2" w:space="0"/>
            </w:tcBorders>
            <w:vAlign w:val="center"/>
          </w:tcPr>
          <w:p w14:paraId="4EB69BE2">
            <w:pPr>
              <w:spacing w:before="0" w:after="0" w:line="240" w:lineRule="exact"/>
              <w:jc w:val="right"/>
              <w:rPr>
                <w:rFonts w:ascii="宋体" w:hAnsi="宋体" w:eastAsia="宋体" w:cs="宋体"/>
                <w:sz w:val="18"/>
                <w:szCs w:val="18"/>
              </w:rPr>
            </w:pPr>
            <w:r>
              <w:rPr>
                <w:rFonts w:ascii="宋体" w:hAnsi="宋体" w:eastAsia="宋体" w:cs="宋体"/>
                <w:sz w:val="18"/>
                <w:szCs w:val="18"/>
              </w:rPr>
              <w:t>64,000,834.21</w:t>
            </w:r>
          </w:p>
        </w:tc>
        <w:tc>
          <w:tcPr>
            <w:tcW w:w="1377" w:type="dxa"/>
            <w:tcBorders>
              <w:top w:val="single" w:color="auto" w:sz="2" w:space="0"/>
              <w:left w:val="single" w:color="auto" w:sz="2" w:space="0"/>
              <w:bottom w:val="single" w:color="auto" w:sz="2" w:space="0"/>
              <w:right w:val="single" w:color="auto" w:sz="2" w:space="0"/>
            </w:tcBorders>
            <w:vAlign w:val="center"/>
          </w:tcPr>
          <w:p w14:paraId="064B4590">
            <w:pPr>
              <w:spacing w:before="0" w:after="0" w:line="240" w:lineRule="exact"/>
              <w:jc w:val="right"/>
              <w:rPr>
                <w:rFonts w:ascii="宋体" w:hAnsi="宋体" w:eastAsia="宋体" w:cs="宋体"/>
                <w:sz w:val="18"/>
                <w:szCs w:val="18"/>
              </w:rPr>
            </w:pPr>
            <w:r>
              <w:rPr>
                <w:rFonts w:ascii="宋体" w:hAnsi="宋体" w:eastAsia="宋体" w:cs="宋体"/>
                <w:sz w:val="18"/>
                <w:szCs w:val="18"/>
              </w:rPr>
              <w:t>30,347,809.88</w:t>
            </w:r>
          </w:p>
        </w:tc>
      </w:tr>
      <w:tr w14:paraId="17F301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B5B8B5B">
            <w:pPr>
              <w:spacing w:before="40" w:after="40" w:line="240" w:lineRule="exact"/>
              <w:jc w:val="left"/>
              <w:rPr>
                <w:rFonts w:ascii="宋体" w:hAnsi="宋体" w:eastAsia="宋体" w:cs="宋体"/>
                <w:sz w:val="18"/>
                <w:szCs w:val="18"/>
              </w:rPr>
            </w:pPr>
            <w:r>
              <w:rPr>
                <w:rFonts w:ascii="宋体" w:hAnsi="宋体" w:eastAsia="宋体" w:cs="宋体"/>
                <w:sz w:val="18"/>
                <w:szCs w:val="18"/>
              </w:rPr>
              <w:t>流动负债</w:t>
            </w:r>
          </w:p>
        </w:tc>
        <w:tc>
          <w:tcPr>
            <w:tcW w:w="1377" w:type="dxa"/>
            <w:tcBorders>
              <w:top w:val="single" w:color="auto" w:sz="2" w:space="0"/>
              <w:left w:val="single" w:color="auto" w:sz="2" w:space="0"/>
              <w:bottom w:val="single" w:color="auto" w:sz="2" w:space="0"/>
              <w:right w:val="single" w:color="auto" w:sz="2" w:space="0"/>
            </w:tcBorders>
            <w:vAlign w:val="center"/>
          </w:tcPr>
          <w:p w14:paraId="2F23FCDC">
            <w:pPr>
              <w:spacing w:before="0" w:after="0" w:line="240" w:lineRule="exact"/>
              <w:jc w:val="right"/>
              <w:rPr>
                <w:rFonts w:ascii="宋体" w:hAnsi="宋体" w:eastAsia="宋体" w:cs="宋体"/>
                <w:sz w:val="18"/>
                <w:szCs w:val="18"/>
              </w:rPr>
            </w:pPr>
            <w:r>
              <w:rPr>
                <w:rFonts w:ascii="宋体" w:hAnsi="宋体" w:eastAsia="宋体" w:cs="宋体"/>
                <w:sz w:val="18"/>
                <w:szCs w:val="18"/>
              </w:rPr>
              <w:t>25,665,315.86</w:t>
            </w:r>
          </w:p>
        </w:tc>
        <w:tc>
          <w:tcPr>
            <w:tcW w:w="1377" w:type="dxa"/>
            <w:tcBorders>
              <w:top w:val="single" w:color="auto" w:sz="2" w:space="0"/>
              <w:left w:val="single" w:color="auto" w:sz="2" w:space="0"/>
              <w:bottom w:val="single" w:color="auto" w:sz="2" w:space="0"/>
              <w:right w:val="single" w:color="auto" w:sz="2" w:space="0"/>
            </w:tcBorders>
            <w:vAlign w:val="center"/>
          </w:tcPr>
          <w:p w14:paraId="2A62D1A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35B7B58">
            <w:pPr>
              <w:spacing w:before="0" w:after="0" w:line="240" w:lineRule="exact"/>
              <w:jc w:val="right"/>
              <w:rPr>
                <w:rFonts w:ascii="宋体" w:hAnsi="宋体" w:eastAsia="宋体" w:cs="宋体"/>
                <w:sz w:val="18"/>
                <w:szCs w:val="18"/>
              </w:rPr>
            </w:pPr>
            <w:r>
              <w:rPr>
                <w:rFonts w:ascii="宋体" w:hAnsi="宋体" w:eastAsia="宋体" w:cs="宋体"/>
                <w:sz w:val="18"/>
                <w:szCs w:val="18"/>
              </w:rPr>
              <w:t>2,338,202.06</w:t>
            </w:r>
          </w:p>
        </w:tc>
        <w:tc>
          <w:tcPr>
            <w:tcW w:w="1377" w:type="dxa"/>
            <w:tcBorders>
              <w:top w:val="single" w:color="auto" w:sz="2" w:space="0"/>
              <w:left w:val="single" w:color="auto" w:sz="2" w:space="0"/>
              <w:bottom w:val="single" w:color="auto" w:sz="2" w:space="0"/>
              <w:right w:val="single" w:color="auto" w:sz="2" w:space="0"/>
            </w:tcBorders>
            <w:vAlign w:val="center"/>
          </w:tcPr>
          <w:p w14:paraId="29BE3E7C">
            <w:pPr>
              <w:spacing w:before="0" w:after="0" w:line="240" w:lineRule="exact"/>
              <w:jc w:val="right"/>
              <w:rPr>
                <w:rFonts w:ascii="宋体" w:hAnsi="宋体" w:eastAsia="宋体" w:cs="宋体"/>
                <w:sz w:val="18"/>
                <w:szCs w:val="18"/>
              </w:rPr>
            </w:pPr>
            <w:r>
              <w:rPr>
                <w:rFonts w:ascii="宋体" w:hAnsi="宋体" w:eastAsia="宋体" w:cs="宋体"/>
                <w:sz w:val="18"/>
                <w:szCs w:val="18"/>
              </w:rPr>
              <w:t>86,633,923.28</w:t>
            </w:r>
          </w:p>
        </w:tc>
        <w:tc>
          <w:tcPr>
            <w:tcW w:w="1377" w:type="dxa"/>
            <w:tcBorders>
              <w:top w:val="single" w:color="auto" w:sz="2" w:space="0"/>
              <w:left w:val="single" w:color="auto" w:sz="2" w:space="0"/>
              <w:bottom w:val="single" w:color="auto" w:sz="2" w:space="0"/>
              <w:right w:val="single" w:color="auto" w:sz="2" w:space="0"/>
            </w:tcBorders>
            <w:vAlign w:val="center"/>
          </w:tcPr>
          <w:p w14:paraId="79F4C25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D1DB288">
            <w:pPr>
              <w:spacing w:before="0" w:after="0" w:line="240" w:lineRule="exact"/>
              <w:jc w:val="right"/>
              <w:rPr>
                <w:rFonts w:ascii="宋体" w:hAnsi="宋体" w:eastAsia="宋体" w:cs="宋体"/>
                <w:sz w:val="18"/>
                <w:szCs w:val="18"/>
              </w:rPr>
            </w:pPr>
            <w:r>
              <w:rPr>
                <w:rFonts w:ascii="宋体" w:hAnsi="宋体" w:eastAsia="宋体" w:cs="宋体"/>
                <w:sz w:val="18"/>
                <w:szCs w:val="18"/>
              </w:rPr>
              <w:t>3,839,702.32</w:t>
            </w:r>
          </w:p>
        </w:tc>
      </w:tr>
      <w:tr w14:paraId="1AB0C0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F0DC6DD">
            <w:pPr>
              <w:spacing w:before="40" w:after="40" w:line="240" w:lineRule="exact"/>
              <w:jc w:val="left"/>
              <w:rPr>
                <w:rFonts w:ascii="宋体" w:hAnsi="宋体" w:eastAsia="宋体" w:cs="宋体"/>
                <w:sz w:val="18"/>
                <w:szCs w:val="18"/>
              </w:rPr>
            </w:pPr>
            <w:r>
              <w:rPr>
                <w:rFonts w:ascii="宋体" w:hAnsi="宋体" w:eastAsia="宋体" w:cs="宋体"/>
                <w:sz w:val="18"/>
                <w:szCs w:val="18"/>
              </w:rPr>
              <w:t>非流动负债</w:t>
            </w:r>
          </w:p>
        </w:tc>
        <w:tc>
          <w:tcPr>
            <w:tcW w:w="1377" w:type="dxa"/>
            <w:tcBorders>
              <w:top w:val="single" w:color="auto" w:sz="2" w:space="0"/>
              <w:left w:val="single" w:color="auto" w:sz="2" w:space="0"/>
              <w:bottom w:val="single" w:color="auto" w:sz="2" w:space="0"/>
              <w:right w:val="single" w:color="auto" w:sz="2" w:space="0"/>
            </w:tcBorders>
            <w:vAlign w:val="center"/>
          </w:tcPr>
          <w:p w14:paraId="1691C78F">
            <w:pPr>
              <w:spacing w:before="0" w:after="0" w:line="240" w:lineRule="exact"/>
              <w:jc w:val="right"/>
              <w:rPr>
                <w:rFonts w:ascii="宋体" w:hAnsi="宋体" w:eastAsia="宋体" w:cs="宋体"/>
                <w:sz w:val="18"/>
                <w:szCs w:val="18"/>
              </w:rPr>
            </w:pPr>
            <w:r>
              <w:rPr>
                <w:rFonts w:ascii="宋体" w:hAnsi="宋体" w:eastAsia="宋体" w:cs="宋体"/>
                <w:sz w:val="18"/>
                <w:szCs w:val="18"/>
              </w:rPr>
              <w:t>273,165.60</w:t>
            </w:r>
          </w:p>
        </w:tc>
        <w:tc>
          <w:tcPr>
            <w:tcW w:w="1377" w:type="dxa"/>
            <w:tcBorders>
              <w:top w:val="single" w:color="auto" w:sz="2" w:space="0"/>
              <w:left w:val="single" w:color="auto" w:sz="2" w:space="0"/>
              <w:bottom w:val="single" w:color="auto" w:sz="2" w:space="0"/>
              <w:right w:val="single" w:color="auto" w:sz="2" w:space="0"/>
            </w:tcBorders>
            <w:vAlign w:val="center"/>
          </w:tcPr>
          <w:p w14:paraId="35C00FC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DF74CFC">
            <w:pPr>
              <w:spacing w:before="0" w:after="0" w:line="240" w:lineRule="exact"/>
              <w:jc w:val="right"/>
              <w:rPr>
                <w:rFonts w:ascii="宋体" w:hAnsi="宋体" w:eastAsia="宋体" w:cs="宋体"/>
                <w:sz w:val="18"/>
                <w:szCs w:val="18"/>
              </w:rPr>
            </w:pPr>
            <w:r>
              <w:rPr>
                <w:rFonts w:ascii="宋体" w:hAnsi="宋体" w:eastAsia="宋体" w:cs="宋体"/>
                <w:sz w:val="18"/>
                <w:szCs w:val="18"/>
              </w:rPr>
              <w:t>1,994,447.12</w:t>
            </w:r>
          </w:p>
        </w:tc>
        <w:tc>
          <w:tcPr>
            <w:tcW w:w="1377" w:type="dxa"/>
            <w:tcBorders>
              <w:top w:val="single" w:color="auto" w:sz="2" w:space="0"/>
              <w:left w:val="single" w:color="auto" w:sz="2" w:space="0"/>
              <w:bottom w:val="single" w:color="auto" w:sz="2" w:space="0"/>
              <w:right w:val="single" w:color="auto" w:sz="2" w:space="0"/>
            </w:tcBorders>
            <w:vAlign w:val="center"/>
          </w:tcPr>
          <w:p w14:paraId="0FDC38E3">
            <w:pPr>
              <w:spacing w:before="0" w:after="0" w:line="240" w:lineRule="exact"/>
              <w:jc w:val="right"/>
              <w:rPr>
                <w:rFonts w:ascii="宋体" w:hAnsi="宋体" w:eastAsia="宋体" w:cs="宋体"/>
                <w:sz w:val="18"/>
                <w:szCs w:val="18"/>
              </w:rPr>
            </w:pPr>
            <w:r>
              <w:rPr>
                <w:rFonts w:ascii="宋体" w:hAnsi="宋体" w:eastAsia="宋体" w:cs="宋体"/>
                <w:sz w:val="18"/>
                <w:szCs w:val="18"/>
              </w:rPr>
              <w:t>14,573,879.08</w:t>
            </w:r>
          </w:p>
        </w:tc>
        <w:tc>
          <w:tcPr>
            <w:tcW w:w="1377" w:type="dxa"/>
            <w:tcBorders>
              <w:top w:val="single" w:color="auto" w:sz="2" w:space="0"/>
              <w:left w:val="single" w:color="auto" w:sz="2" w:space="0"/>
              <w:bottom w:val="single" w:color="auto" w:sz="2" w:space="0"/>
              <w:right w:val="single" w:color="auto" w:sz="2" w:space="0"/>
            </w:tcBorders>
            <w:vAlign w:val="center"/>
          </w:tcPr>
          <w:p w14:paraId="57F82A2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C8EBE8B">
            <w:pPr>
              <w:spacing w:before="0" w:after="0" w:line="240" w:lineRule="exact"/>
              <w:jc w:val="right"/>
              <w:rPr>
                <w:rFonts w:ascii="宋体" w:hAnsi="宋体" w:eastAsia="宋体" w:cs="宋体"/>
                <w:sz w:val="18"/>
                <w:szCs w:val="18"/>
              </w:rPr>
            </w:pPr>
            <w:r>
              <w:rPr>
                <w:rFonts w:ascii="宋体" w:hAnsi="宋体" w:eastAsia="宋体" w:cs="宋体"/>
                <w:sz w:val="18"/>
                <w:szCs w:val="18"/>
              </w:rPr>
              <w:t>1,804,526.81</w:t>
            </w:r>
          </w:p>
        </w:tc>
      </w:tr>
      <w:tr w14:paraId="0A95E5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E20E557">
            <w:pPr>
              <w:spacing w:before="40" w:after="40" w:line="240" w:lineRule="exact"/>
              <w:jc w:val="left"/>
              <w:rPr>
                <w:rFonts w:ascii="宋体" w:hAnsi="宋体" w:eastAsia="宋体" w:cs="宋体"/>
                <w:sz w:val="18"/>
                <w:szCs w:val="18"/>
              </w:rPr>
            </w:pPr>
            <w:r>
              <w:rPr>
                <w:rFonts w:ascii="宋体" w:hAnsi="宋体" w:eastAsia="宋体" w:cs="宋体"/>
                <w:sz w:val="18"/>
                <w:szCs w:val="18"/>
              </w:rPr>
              <w:t>负债合计</w:t>
            </w:r>
          </w:p>
        </w:tc>
        <w:tc>
          <w:tcPr>
            <w:tcW w:w="1377" w:type="dxa"/>
            <w:tcBorders>
              <w:top w:val="single" w:color="auto" w:sz="2" w:space="0"/>
              <w:left w:val="single" w:color="auto" w:sz="2" w:space="0"/>
              <w:bottom w:val="single" w:color="auto" w:sz="2" w:space="0"/>
              <w:right w:val="single" w:color="auto" w:sz="2" w:space="0"/>
            </w:tcBorders>
            <w:vAlign w:val="center"/>
          </w:tcPr>
          <w:p w14:paraId="65A3AF3F">
            <w:pPr>
              <w:spacing w:before="0" w:after="0" w:line="240" w:lineRule="exact"/>
              <w:jc w:val="right"/>
              <w:rPr>
                <w:rFonts w:ascii="宋体" w:hAnsi="宋体" w:eastAsia="宋体" w:cs="宋体"/>
                <w:sz w:val="18"/>
                <w:szCs w:val="18"/>
              </w:rPr>
            </w:pPr>
            <w:r>
              <w:rPr>
                <w:rFonts w:ascii="宋体" w:hAnsi="宋体" w:eastAsia="宋体" w:cs="宋体"/>
                <w:sz w:val="18"/>
                <w:szCs w:val="18"/>
              </w:rPr>
              <w:t>25,938,481.46</w:t>
            </w:r>
          </w:p>
        </w:tc>
        <w:tc>
          <w:tcPr>
            <w:tcW w:w="1377" w:type="dxa"/>
            <w:tcBorders>
              <w:top w:val="single" w:color="auto" w:sz="2" w:space="0"/>
              <w:left w:val="single" w:color="auto" w:sz="2" w:space="0"/>
              <w:bottom w:val="single" w:color="auto" w:sz="2" w:space="0"/>
              <w:right w:val="single" w:color="auto" w:sz="2" w:space="0"/>
            </w:tcBorders>
            <w:vAlign w:val="center"/>
          </w:tcPr>
          <w:p w14:paraId="2E8B21E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73BEE3F">
            <w:pPr>
              <w:spacing w:before="0" w:after="0" w:line="240" w:lineRule="exact"/>
              <w:jc w:val="right"/>
              <w:rPr>
                <w:rFonts w:ascii="宋体" w:hAnsi="宋体" w:eastAsia="宋体" w:cs="宋体"/>
                <w:sz w:val="18"/>
                <w:szCs w:val="18"/>
              </w:rPr>
            </w:pPr>
            <w:r>
              <w:rPr>
                <w:rFonts w:ascii="宋体" w:hAnsi="宋体" w:eastAsia="宋体" w:cs="宋体"/>
                <w:sz w:val="18"/>
                <w:szCs w:val="18"/>
              </w:rPr>
              <w:t>4,332,649.18</w:t>
            </w:r>
          </w:p>
        </w:tc>
        <w:tc>
          <w:tcPr>
            <w:tcW w:w="1377" w:type="dxa"/>
            <w:tcBorders>
              <w:top w:val="single" w:color="auto" w:sz="2" w:space="0"/>
              <w:left w:val="single" w:color="auto" w:sz="2" w:space="0"/>
              <w:bottom w:val="single" w:color="auto" w:sz="2" w:space="0"/>
              <w:right w:val="single" w:color="auto" w:sz="2" w:space="0"/>
            </w:tcBorders>
            <w:vAlign w:val="center"/>
          </w:tcPr>
          <w:p w14:paraId="3082D834">
            <w:pPr>
              <w:spacing w:before="0" w:after="0" w:line="240" w:lineRule="exact"/>
              <w:jc w:val="right"/>
              <w:rPr>
                <w:rFonts w:ascii="宋体" w:hAnsi="宋体" w:eastAsia="宋体" w:cs="宋体"/>
                <w:sz w:val="18"/>
                <w:szCs w:val="18"/>
              </w:rPr>
            </w:pPr>
            <w:r>
              <w:rPr>
                <w:rFonts w:ascii="宋体" w:hAnsi="宋体" w:eastAsia="宋体" w:cs="宋体"/>
                <w:sz w:val="18"/>
                <w:szCs w:val="18"/>
              </w:rPr>
              <w:t>101,207,802.36</w:t>
            </w:r>
          </w:p>
        </w:tc>
        <w:tc>
          <w:tcPr>
            <w:tcW w:w="1377" w:type="dxa"/>
            <w:tcBorders>
              <w:top w:val="single" w:color="auto" w:sz="2" w:space="0"/>
              <w:left w:val="single" w:color="auto" w:sz="2" w:space="0"/>
              <w:bottom w:val="single" w:color="auto" w:sz="2" w:space="0"/>
              <w:right w:val="single" w:color="auto" w:sz="2" w:space="0"/>
            </w:tcBorders>
            <w:vAlign w:val="center"/>
          </w:tcPr>
          <w:p w14:paraId="0232D43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010F014">
            <w:pPr>
              <w:spacing w:before="0" w:after="0" w:line="240" w:lineRule="exact"/>
              <w:jc w:val="right"/>
              <w:rPr>
                <w:rFonts w:ascii="宋体" w:hAnsi="宋体" w:eastAsia="宋体" w:cs="宋体"/>
                <w:sz w:val="18"/>
                <w:szCs w:val="18"/>
              </w:rPr>
            </w:pPr>
            <w:r>
              <w:rPr>
                <w:rFonts w:ascii="宋体" w:hAnsi="宋体" w:eastAsia="宋体" w:cs="宋体"/>
                <w:sz w:val="18"/>
                <w:szCs w:val="18"/>
              </w:rPr>
              <w:t>5,644,229.13</w:t>
            </w:r>
          </w:p>
        </w:tc>
      </w:tr>
      <w:tr w14:paraId="6D01E7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75C21239">
            <w:pPr>
              <w:spacing w:before="0" w:after="0" w:line="240" w:lineRule="exact"/>
              <w:jc w:val="lef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E75085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BA3B28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AE60B9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AEB8A4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A0E7DC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10CA116">
            <w:pPr>
              <w:spacing w:before="0" w:after="0" w:line="240" w:lineRule="exact"/>
              <w:jc w:val="right"/>
              <w:rPr>
                <w:rFonts w:ascii="宋体" w:hAnsi="宋体" w:eastAsia="宋体" w:cs="宋体"/>
                <w:sz w:val="18"/>
                <w:szCs w:val="18"/>
              </w:rPr>
            </w:pPr>
          </w:p>
        </w:tc>
      </w:tr>
      <w:tr w14:paraId="1A6DC6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816B409">
            <w:pPr>
              <w:spacing w:before="40" w:after="40" w:line="240" w:lineRule="exact"/>
              <w:jc w:val="left"/>
              <w:rPr>
                <w:rFonts w:ascii="宋体" w:hAnsi="宋体" w:eastAsia="宋体" w:cs="宋体"/>
                <w:sz w:val="18"/>
                <w:szCs w:val="18"/>
              </w:rPr>
            </w:pPr>
            <w:r>
              <w:rPr>
                <w:rFonts w:ascii="宋体" w:hAnsi="宋体" w:eastAsia="宋体" w:cs="宋体"/>
                <w:sz w:val="18"/>
                <w:szCs w:val="18"/>
              </w:rPr>
              <w:t>少数股东权益</w:t>
            </w:r>
          </w:p>
        </w:tc>
        <w:tc>
          <w:tcPr>
            <w:tcW w:w="1377" w:type="dxa"/>
            <w:tcBorders>
              <w:top w:val="single" w:color="auto" w:sz="2" w:space="0"/>
              <w:left w:val="single" w:color="auto" w:sz="2" w:space="0"/>
              <w:bottom w:val="single" w:color="auto" w:sz="2" w:space="0"/>
              <w:right w:val="single" w:color="auto" w:sz="2" w:space="0"/>
            </w:tcBorders>
            <w:vAlign w:val="center"/>
          </w:tcPr>
          <w:p w14:paraId="62264CF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08F892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97108A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5F6860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204561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A2DE533">
            <w:pPr>
              <w:spacing w:before="0" w:after="0" w:line="240" w:lineRule="exact"/>
              <w:jc w:val="right"/>
              <w:rPr>
                <w:rFonts w:ascii="宋体" w:hAnsi="宋体" w:eastAsia="宋体" w:cs="宋体"/>
                <w:sz w:val="18"/>
                <w:szCs w:val="18"/>
              </w:rPr>
            </w:pPr>
          </w:p>
        </w:tc>
      </w:tr>
      <w:tr w14:paraId="7B8472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5C16423">
            <w:pPr>
              <w:spacing w:before="40" w:after="40" w:line="240" w:lineRule="exact"/>
              <w:jc w:val="left"/>
              <w:rPr>
                <w:rFonts w:ascii="宋体" w:hAnsi="宋体" w:eastAsia="宋体" w:cs="宋体"/>
                <w:sz w:val="18"/>
                <w:szCs w:val="18"/>
              </w:rPr>
            </w:pPr>
            <w:r>
              <w:rPr>
                <w:rFonts w:ascii="宋体" w:hAnsi="宋体" w:eastAsia="宋体" w:cs="宋体"/>
                <w:sz w:val="18"/>
                <w:szCs w:val="18"/>
              </w:rPr>
              <w:t>归属于母公司股东权益</w:t>
            </w:r>
          </w:p>
        </w:tc>
        <w:tc>
          <w:tcPr>
            <w:tcW w:w="1377" w:type="dxa"/>
            <w:tcBorders>
              <w:top w:val="single" w:color="auto" w:sz="2" w:space="0"/>
              <w:left w:val="single" w:color="auto" w:sz="2" w:space="0"/>
              <w:bottom w:val="single" w:color="auto" w:sz="2" w:space="0"/>
              <w:right w:val="single" w:color="auto" w:sz="2" w:space="0"/>
            </w:tcBorders>
            <w:vAlign w:val="center"/>
          </w:tcPr>
          <w:p w14:paraId="4C6897B7">
            <w:pPr>
              <w:spacing w:before="0" w:after="0" w:line="240" w:lineRule="exact"/>
              <w:jc w:val="right"/>
              <w:rPr>
                <w:rFonts w:ascii="宋体" w:hAnsi="宋体" w:eastAsia="宋体" w:cs="宋体"/>
                <w:sz w:val="18"/>
                <w:szCs w:val="18"/>
              </w:rPr>
            </w:pPr>
            <w:r>
              <w:rPr>
                <w:rFonts w:ascii="宋体" w:hAnsi="宋体" w:eastAsia="宋体" w:cs="宋体"/>
                <w:sz w:val="18"/>
                <w:szCs w:val="18"/>
              </w:rPr>
              <w:t>68,103,700.18</w:t>
            </w:r>
          </w:p>
        </w:tc>
        <w:tc>
          <w:tcPr>
            <w:tcW w:w="1377" w:type="dxa"/>
            <w:tcBorders>
              <w:top w:val="single" w:color="auto" w:sz="2" w:space="0"/>
              <w:left w:val="single" w:color="auto" w:sz="2" w:space="0"/>
              <w:bottom w:val="single" w:color="auto" w:sz="2" w:space="0"/>
              <w:right w:val="single" w:color="auto" w:sz="2" w:space="0"/>
            </w:tcBorders>
            <w:vAlign w:val="center"/>
          </w:tcPr>
          <w:p w14:paraId="34E2F309">
            <w:pPr>
              <w:spacing w:before="0" w:after="0" w:line="240" w:lineRule="exact"/>
              <w:jc w:val="right"/>
              <w:rPr>
                <w:rFonts w:ascii="宋体" w:hAnsi="宋体" w:eastAsia="宋体" w:cs="宋体"/>
                <w:sz w:val="18"/>
                <w:szCs w:val="18"/>
              </w:rPr>
            </w:pPr>
            <w:r>
              <w:rPr>
                <w:rFonts w:ascii="宋体" w:hAnsi="宋体" w:eastAsia="宋体" w:cs="宋体"/>
                <w:sz w:val="18"/>
                <w:szCs w:val="18"/>
              </w:rPr>
              <w:t>64,000,852.19</w:t>
            </w:r>
          </w:p>
        </w:tc>
        <w:tc>
          <w:tcPr>
            <w:tcW w:w="1377" w:type="dxa"/>
            <w:tcBorders>
              <w:top w:val="single" w:color="auto" w:sz="2" w:space="0"/>
              <w:left w:val="single" w:color="auto" w:sz="2" w:space="0"/>
              <w:bottom w:val="single" w:color="auto" w:sz="2" w:space="0"/>
              <w:right w:val="single" w:color="auto" w:sz="2" w:space="0"/>
            </w:tcBorders>
            <w:vAlign w:val="center"/>
          </w:tcPr>
          <w:p w14:paraId="4580755A">
            <w:pPr>
              <w:spacing w:before="0" w:after="0" w:line="240" w:lineRule="exact"/>
              <w:jc w:val="right"/>
              <w:rPr>
                <w:rFonts w:ascii="宋体" w:hAnsi="宋体" w:eastAsia="宋体" w:cs="宋体"/>
                <w:sz w:val="18"/>
                <w:szCs w:val="18"/>
              </w:rPr>
            </w:pPr>
            <w:r>
              <w:rPr>
                <w:rFonts w:ascii="宋体" w:hAnsi="宋体" w:eastAsia="宋体" w:cs="宋体"/>
                <w:sz w:val="18"/>
                <w:szCs w:val="18"/>
              </w:rPr>
              <w:t>16,562,913.52</w:t>
            </w:r>
          </w:p>
        </w:tc>
        <w:tc>
          <w:tcPr>
            <w:tcW w:w="1377" w:type="dxa"/>
            <w:tcBorders>
              <w:top w:val="single" w:color="auto" w:sz="2" w:space="0"/>
              <w:left w:val="single" w:color="auto" w:sz="2" w:space="0"/>
              <w:bottom w:val="single" w:color="auto" w:sz="2" w:space="0"/>
              <w:right w:val="single" w:color="auto" w:sz="2" w:space="0"/>
            </w:tcBorders>
            <w:vAlign w:val="center"/>
          </w:tcPr>
          <w:p w14:paraId="74A5CFF9">
            <w:pPr>
              <w:spacing w:before="0" w:after="0" w:line="240" w:lineRule="exact"/>
              <w:jc w:val="right"/>
              <w:rPr>
                <w:rFonts w:ascii="宋体" w:hAnsi="宋体" w:eastAsia="宋体" w:cs="宋体"/>
                <w:sz w:val="18"/>
                <w:szCs w:val="18"/>
              </w:rPr>
            </w:pPr>
            <w:r>
              <w:rPr>
                <w:rFonts w:ascii="宋体" w:hAnsi="宋体" w:eastAsia="宋体" w:cs="宋体"/>
                <w:sz w:val="18"/>
                <w:szCs w:val="18"/>
              </w:rPr>
              <w:t>120,030,469.42</w:t>
            </w:r>
          </w:p>
        </w:tc>
        <w:tc>
          <w:tcPr>
            <w:tcW w:w="1377" w:type="dxa"/>
            <w:tcBorders>
              <w:top w:val="single" w:color="auto" w:sz="2" w:space="0"/>
              <w:left w:val="single" w:color="auto" w:sz="2" w:space="0"/>
              <w:bottom w:val="single" w:color="auto" w:sz="2" w:space="0"/>
              <w:right w:val="single" w:color="auto" w:sz="2" w:space="0"/>
            </w:tcBorders>
            <w:vAlign w:val="center"/>
          </w:tcPr>
          <w:p w14:paraId="1144EE4E">
            <w:pPr>
              <w:spacing w:before="0" w:after="0" w:line="240" w:lineRule="exact"/>
              <w:jc w:val="right"/>
              <w:rPr>
                <w:rFonts w:ascii="宋体" w:hAnsi="宋体" w:eastAsia="宋体" w:cs="宋体"/>
                <w:sz w:val="18"/>
                <w:szCs w:val="18"/>
              </w:rPr>
            </w:pPr>
            <w:r>
              <w:rPr>
                <w:rFonts w:ascii="宋体" w:hAnsi="宋体" w:eastAsia="宋体" w:cs="宋体"/>
                <w:sz w:val="18"/>
                <w:szCs w:val="18"/>
              </w:rPr>
              <w:t>64,000,834.21</w:t>
            </w:r>
          </w:p>
        </w:tc>
        <w:tc>
          <w:tcPr>
            <w:tcW w:w="1377" w:type="dxa"/>
            <w:tcBorders>
              <w:top w:val="single" w:color="auto" w:sz="2" w:space="0"/>
              <w:left w:val="single" w:color="auto" w:sz="2" w:space="0"/>
              <w:bottom w:val="single" w:color="auto" w:sz="2" w:space="0"/>
              <w:right w:val="single" w:color="auto" w:sz="2" w:space="0"/>
            </w:tcBorders>
            <w:vAlign w:val="center"/>
          </w:tcPr>
          <w:p w14:paraId="16EF96E3">
            <w:pPr>
              <w:spacing w:before="0" w:after="0" w:line="240" w:lineRule="exact"/>
              <w:jc w:val="right"/>
              <w:rPr>
                <w:rFonts w:ascii="宋体" w:hAnsi="宋体" w:eastAsia="宋体" w:cs="宋体"/>
                <w:sz w:val="18"/>
                <w:szCs w:val="18"/>
              </w:rPr>
            </w:pPr>
            <w:r>
              <w:rPr>
                <w:rFonts w:ascii="宋体" w:hAnsi="宋体" w:eastAsia="宋体" w:cs="宋体"/>
                <w:sz w:val="18"/>
                <w:szCs w:val="18"/>
              </w:rPr>
              <w:t>24,703,580.75</w:t>
            </w:r>
          </w:p>
        </w:tc>
      </w:tr>
      <w:tr w14:paraId="65D588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A65398E">
            <w:pPr>
              <w:spacing w:before="40" w:after="40" w:line="240" w:lineRule="exact"/>
              <w:jc w:val="left"/>
              <w:rPr>
                <w:rFonts w:ascii="宋体" w:hAnsi="宋体" w:eastAsia="宋体" w:cs="宋体"/>
                <w:sz w:val="18"/>
                <w:szCs w:val="18"/>
              </w:rPr>
            </w:pPr>
            <w:r>
              <w:rPr>
                <w:rFonts w:ascii="宋体" w:hAnsi="宋体" w:eastAsia="宋体" w:cs="宋体"/>
                <w:sz w:val="18"/>
                <w:szCs w:val="18"/>
              </w:rPr>
              <w:t>按持股比例计算的净资产份额</w:t>
            </w:r>
          </w:p>
        </w:tc>
        <w:tc>
          <w:tcPr>
            <w:tcW w:w="1377" w:type="dxa"/>
            <w:tcBorders>
              <w:top w:val="single" w:color="auto" w:sz="2" w:space="0"/>
              <w:left w:val="single" w:color="auto" w:sz="2" w:space="0"/>
              <w:bottom w:val="single" w:color="auto" w:sz="2" w:space="0"/>
              <w:right w:val="single" w:color="auto" w:sz="2" w:space="0"/>
            </w:tcBorders>
            <w:vAlign w:val="center"/>
          </w:tcPr>
          <w:p w14:paraId="54D53FDE">
            <w:pPr>
              <w:spacing w:before="0" w:after="0" w:line="240" w:lineRule="exact"/>
              <w:jc w:val="right"/>
              <w:rPr>
                <w:rFonts w:ascii="宋体" w:hAnsi="宋体" w:eastAsia="宋体" w:cs="宋体"/>
                <w:sz w:val="18"/>
                <w:szCs w:val="18"/>
              </w:rPr>
            </w:pPr>
            <w:r>
              <w:rPr>
                <w:rFonts w:ascii="宋体" w:hAnsi="宋体" w:eastAsia="宋体" w:cs="宋体"/>
                <w:sz w:val="18"/>
                <w:szCs w:val="18"/>
              </w:rPr>
              <w:t>33,370,813.09</w:t>
            </w:r>
          </w:p>
        </w:tc>
        <w:tc>
          <w:tcPr>
            <w:tcW w:w="1377" w:type="dxa"/>
            <w:tcBorders>
              <w:top w:val="single" w:color="auto" w:sz="2" w:space="0"/>
              <w:left w:val="single" w:color="auto" w:sz="2" w:space="0"/>
              <w:bottom w:val="single" w:color="auto" w:sz="2" w:space="0"/>
              <w:right w:val="single" w:color="auto" w:sz="2" w:space="0"/>
            </w:tcBorders>
            <w:vAlign w:val="center"/>
          </w:tcPr>
          <w:p w14:paraId="12608967">
            <w:pPr>
              <w:spacing w:before="0" w:after="0" w:line="240" w:lineRule="exact"/>
              <w:jc w:val="right"/>
              <w:rPr>
                <w:rFonts w:ascii="宋体" w:hAnsi="宋体" w:eastAsia="宋体" w:cs="宋体"/>
                <w:sz w:val="18"/>
                <w:szCs w:val="18"/>
              </w:rPr>
            </w:pPr>
            <w:r>
              <w:rPr>
                <w:rFonts w:ascii="宋体" w:hAnsi="宋体" w:eastAsia="宋体" w:cs="宋体"/>
                <w:sz w:val="18"/>
                <w:szCs w:val="18"/>
              </w:rPr>
              <w:t>40,000,532.62</w:t>
            </w:r>
          </w:p>
        </w:tc>
        <w:tc>
          <w:tcPr>
            <w:tcW w:w="1377" w:type="dxa"/>
            <w:tcBorders>
              <w:top w:val="single" w:color="auto" w:sz="2" w:space="0"/>
              <w:left w:val="single" w:color="auto" w:sz="2" w:space="0"/>
              <w:bottom w:val="single" w:color="auto" w:sz="2" w:space="0"/>
              <w:right w:val="single" w:color="auto" w:sz="2" w:space="0"/>
            </w:tcBorders>
            <w:vAlign w:val="center"/>
          </w:tcPr>
          <w:p w14:paraId="70B5D666">
            <w:pPr>
              <w:spacing w:before="0" w:after="0" w:line="240" w:lineRule="exact"/>
              <w:jc w:val="right"/>
              <w:rPr>
                <w:rFonts w:ascii="宋体" w:hAnsi="宋体" w:eastAsia="宋体" w:cs="宋体"/>
                <w:sz w:val="18"/>
                <w:szCs w:val="18"/>
              </w:rPr>
            </w:pPr>
            <w:r>
              <w:rPr>
                <w:rFonts w:ascii="宋体" w:hAnsi="宋体" w:eastAsia="宋体" w:cs="宋体"/>
                <w:sz w:val="18"/>
                <w:szCs w:val="18"/>
              </w:rPr>
              <w:t>6,492,662.10</w:t>
            </w:r>
          </w:p>
        </w:tc>
        <w:tc>
          <w:tcPr>
            <w:tcW w:w="1377" w:type="dxa"/>
            <w:tcBorders>
              <w:top w:val="single" w:color="auto" w:sz="2" w:space="0"/>
              <w:left w:val="single" w:color="auto" w:sz="2" w:space="0"/>
              <w:bottom w:val="single" w:color="auto" w:sz="2" w:space="0"/>
              <w:right w:val="single" w:color="auto" w:sz="2" w:space="0"/>
            </w:tcBorders>
            <w:vAlign w:val="center"/>
          </w:tcPr>
          <w:p w14:paraId="3DA0430A">
            <w:pPr>
              <w:spacing w:before="0" w:after="0" w:line="240" w:lineRule="exact"/>
              <w:jc w:val="right"/>
              <w:rPr>
                <w:rFonts w:ascii="宋体" w:hAnsi="宋体" w:eastAsia="宋体" w:cs="宋体"/>
                <w:sz w:val="18"/>
                <w:szCs w:val="18"/>
              </w:rPr>
            </w:pPr>
            <w:r>
              <w:rPr>
                <w:rFonts w:ascii="宋体" w:hAnsi="宋体" w:eastAsia="宋体" w:cs="宋体"/>
                <w:sz w:val="18"/>
                <w:szCs w:val="18"/>
              </w:rPr>
              <w:t>58,814,930.02</w:t>
            </w:r>
          </w:p>
        </w:tc>
        <w:tc>
          <w:tcPr>
            <w:tcW w:w="1377" w:type="dxa"/>
            <w:tcBorders>
              <w:top w:val="single" w:color="auto" w:sz="2" w:space="0"/>
              <w:left w:val="single" w:color="auto" w:sz="2" w:space="0"/>
              <w:bottom w:val="single" w:color="auto" w:sz="2" w:space="0"/>
              <w:right w:val="single" w:color="auto" w:sz="2" w:space="0"/>
            </w:tcBorders>
            <w:vAlign w:val="center"/>
          </w:tcPr>
          <w:p w14:paraId="54C33ED4">
            <w:pPr>
              <w:spacing w:before="0" w:after="0" w:line="240" w:lineRule="exact"/>
              <w:jc w:val="right"/>
              <w:rPr>
                <w:rFonts w:ascii="宋体" w:hAnsi="宋体" w:eastAsia="宋体" w:cs="宋体"/>
                <w:sz w:val="18"/>
                <w:szCs w:val="18"/>
              </w:rPr>
            </w:pPr>
            <w:r>
              <w:rPr>
                <w:rFonts w:ascii="宋体" w:hAnsi="宋体" w:eastAsia="宋体" w:cs="宋体"/>
                <w:sz w:val="18"/>
                <w:szCs w:val="18"/>
              </w:rPr>
              <w:t>32,000,417.11</w:t>
            </w:r>
          </w:p>
        </w:tc>
        <w:tc>
          <w:tcPr>
            <w:tcW w:w="1377" w:type="dxa"/>
            <w:tcBorders>
              <w:top w:val="single" w:color="auto" w:sz="2" w:space="0"/>
              <w:left w:val="single" w:color="auto" w:sz="2" w:space="0"/>
              <w:bottom w:val="single" w:color="auto" w:sz="2" w:space="0"/>
              <w:right w:val="single" w:color="auto" w:sz="2" w:space="0"/>
            </w:tcBorders>
            <w:vAlign w:val="center"/>
          </w:tcPr>
          <w:p w14:paraId="05123616">
            <w:pPr>
              <w:spacing w:before="0" w:after="0" w:line="240" w:lineRule="exact"/>
              <w:jc w:val="right"/>
              <w:rPr>
                <w:rFonts w:ascii="宋体" w:hAnsi="宋体" w:eastAsia="宋体" w:cs="宋体"/>
                <w:sz w:val="18"/>
                <w:szCs w:val="18"/>
              </w:rPr>
            </w:pPr>
            <w:r>
              <w:rPr>
                <w:rFonts w:ascii="宋体" w:hAnsi="宋体" w:eastAsia="宋体" w:cs="宋体"/>
                <w:sz w:val="18"/>
                <w:szCs w:val="18"/>
              </w:rPr>
              <w:t>9,683,803.65</w:t>
            </w:r>
          </w:p>
        </w:tc>
      </w:tr>
      <w:tr w14:paraId="40339B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7DD09B4">
            <w:pPr>
              <w:spacing w:before="40" w:after="40" w:line="240" w:lineRule="exact"/>
              <w:jc w:val="left"/>
              <w:rPr>
                <w:rFonts w:ascii="宋体" w:hAnsi="宋体" w:eastAsia="宋体" w:cs="宋体"/>
                <w:sz w:val="18"/>
                <w:szCs w:val="18"/>
              </w:rPr>
            </w:pPr>
            <w:r>
              <w:rPr>
                <w:rFonts w:ascii="宋体" w:hAnsi="宋体" w:eastAsia="宋体" w:cs="宋体"/>
                <w:sz w:val="18"/>
                <w:szCs w:val="18"/>
              </w:rPr>
              <w:t>调整事项</w:t>
            </w:r>
          </w:p>
        </w:tc>
        <w:tc>
          <w:tcPr>
            <w:tcW w:w="1377" w:type="dxa"/>
            <w:tcBorders>
              <w:top w:val="single" w:color="auto" w:sz="2" w:space="0"/>
              <w:left w:val="single" w:color="auto" w:sz="2" w:space="0"/>
              <w:bottom w:val="single" w:color="auto" w:sz="2" w:space="0"/>
              <w:right w:val="single" w:color="auto" w:sz="2" w:space="0"/>
            </w:tcBorders>
            <w:vAlign w:val="center"/>
          </w:tcPr>
          <w:p w14:paraId="3A62384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D4BD8C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BC5077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D2FFAA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C1619C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5FF236F">
            <w:pPr>
              <w:spacing w:before="0" w:after="0" w:line="240" w:lineRule="exact"/>
              <w:jc w:val="right"/>
              <w:rPr>
                <w:rFonts w:ascii="宋体" w:hAnsi="宋体" w:eastAsia="宋体" w:cs="宋体"/>
                <w:sz w:val="18"/>
                <w:szCs w:val="18"/>
              </w:rPr>
            </w:pPr>
          </w:p>
        </w:tc>
      </w:tr>
      <w:tr w14:paraId="6CB1F4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69022CF">
            <w:pPr>
              <w:spacing w:before="40" w:after="40" w:line="240" w:lineRule="exact"/>
              <w:jc w:val="left"/>
              <w:rPr>
                <w:rFonts w:ascii="宋体" w:hAnsi="宋体" w:eastAsia="宋体" w:cs="宋体"/>
                <w:sz w:val="18"/>
                <w:szCs w:val="18"/>
              </w:rPr>
            </w:pPr>
            <w:r>
              <w:rPr>
                <w:rFonts w:ascii="宋体" w:hAnsi="宋体" w:eastAsia="宋体" w:cs="宋体"/>
                <w:sz w:val="18"/>
                <w:szCs w:val="18"/>
              </w:rPr>
              <w:t>--商誉</w:t>
            </w:r>
          </w:p>
        </w:tc>
        <w:tc>
          <w:tcPr>
            <w:tcW w:w="1377" w:type="dxa"/>
            <w:tcBorders>
              <w:top w:val="single" w:color="auto" w:sz="2" w:space="0"/>
              <w:left w:val="single" w:color="auto" w:sz="2" w:space="0"/>
              <w:bottom w:val="single" w:color="auto" w:sz="2" w:space="0"/>
              <w:right w:val="single" w:color="auto" w:sz="2" w:space="0"/>
            </w:tcBorders>
            <w:vAlign w:val="center"/>
          </w:tcPr>
          <w:p w14:paraId="5F0C987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894BF4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AF5C44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D9C064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27A479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6FD72BF">
            <w:pPr>
              <w:spacing w:before="0" w:after="0" w:line="240" w:lineRule="exact"/>
              <w:jc w:val="right"/>
              <w:rPr>
                <w:rFonts w:ascii="宋体" w:hAnsi="宋体" w:eastAsia="宋体" w:cs="宋体"/>
                <w:sz w:val="18"/>
                <w:szCs w:val="18"/>
              </w:rPr>
            </w:pPr>
          </w:p>
        </w:tc>
      </w:tr>
      <w:tr w14:paraId="77A34D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8BB7702">
            <w:pPr>
              <w:spacing w:before="40" w:after="40" w:line="240" w:lineRule="exact"/>
              <w:jc w:val="left"/>
              <w:rPr>
                <w:rFonts w:ascii="宋体" w:hAnsi="宋体" w:eastAsia="宋体" w:cs="宋体"/>
                <w:sz w:val="18"/>
                <w:szCs w:val="18"/>
              </w:rPr>
            </w:pPr>
            <w:r>
              <w:rPr>
                <w:rFonts w:ascii="宋体" w:hAnsi="宋体" w:eastAsia="宋体" w:cs="宋体"/>
                <w:sz w:val="18"/>
                <w:szCs w:val="18"/>
              </w:rPr>
              <w:t>--内部交易未实现利润</w:t>
            </w:r>
          </w:p>
        </w:tc>
        <w:tc>
          <w:tcPr>
            <w:tcW w:w="1377" w:type="dxa"/>
            <w:tcBorders>
              <w:top w:val="single" w:color="auto" w:sz="2" w:space="0"/>
              <w:left w:val="single" w:color="auto" w:sz="2" w:space="0"/>
              <w:bottom w:val="single" w:color="auto" w:sz="2" w:space="0"/>
              <w:right w:val="single" w:color="auto" w:sz="2" w:space="0"/>
            </w:tcBorders>
            <w:vAlign w:val="center"/>
          </w:tcPr>
          <w:p w14:paraId="6DE5D13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6854FF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02ECBB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51E4AD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F3174C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EA9B8D5">
            <w:pPr>
              <w:spacing w:before="0" w:after="0" w:line="240" w:lineRule="exact"/>
              <w:jc w:val="right"/>
              <w:rPr>
                <w:rFonts w:ascii="宋体" w:hAnsi="宋体" w:eastAsia="宋体" w:cs="宋体"/>
                <w:sz w:val="18"/>
                <w:szCs w:val="18"/>
              </w:rPr>
            </w:pPr>
          </w:p>
        </w:tc>
      </w:tr>
      <w:tr w14:paraId="420CAA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CE2C312">
            <w:pPr>
              <w:spacing w:before="40" w:after="40" w:line="240" w:lineRule="exact"/>
              <w:jc w:val="left"/>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vAlign w:val="center"/>
          </w:tcPr>
          <w:p w14:paraId="5F42324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4BC129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1A05125">
            <w:pPr>
              <w:spacing w:before="0" w:after="0" w:line="240" w:lineRule="exact"/>
              <w:jc w:val="right"/>
              <w:rPr>
                <w:rFonts w:ascii="宋体" w:hAnsi="宋体" w:eastAsia="宋体" w:cs="宋体"/>
                <w:sz w:val="18"/>
                <w:szCs w:val="18"/>
              </w:rPr>
            </w:pPr>
            <w:r>
              <w:rPr>
                <w:rFonts w:ascii="宋体" w:hAnsi="宋体" w:eastAsia="宋体" w:cs="宋体"/>
                <w:sz w:val="18"/>
                <w:szCs w:val="18"/>
              </w:rPr>
              <w:t>313,600.00</w:t>
            </w:r>
          </w:p>
        </w:tc>
        <w:tc>
          <w:tcPr>
            <w:tcW w:w="1377" w:type="dxa"/>
            <w:tcBorders>
              <w:top w:val="single" w:color="auto" w:sz="2" w:space="0"/>
              <w:left w:val="single" w:color="auto" w:sz="2" w:space="0"/>
              <w:bottom w:val="single" w:color="auto" w:sz="2" w:space="0"/>
              <w:right w:val="single" w:color="auto" w:sz="2" w:space="0"/>
            </w:tcBorders>
            <w:vAlign w:val="center"/>
          </w:tcPr>
          <w:p w14:paraId="4558F76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6BB515A">
            <w:pPr>
              <w:spacing w:before="0" w:after="0" w:line="240" w:lineRule="exact"/>
              <w:jc w:val="right"/>
              <w:rPr>
                <w:rFonts w:ascii="宋体" w:hAnsi="宋体" w:eastAsia="宋体" w:cs="宋体"/>
                <w:sz w:val="18"/>
                <w:szCs w:val="18"/>
              </w:rPr>
            </w:pPr>
            <w:r>
              <w:rPr>
                <w:rFonts w:ascii="宋体" w:hAnsi="宋体" w:eastAsia="宋体" w:cs="宋体"/>
                <w:sz w:val="18"/>
                <w:szCs w:val="18"/>
              </w:rPr>
              <w:t>8,000,104.28</w:t>
            </w:r>
          </w:p>
        </w:tc>
        <w:tc>
          <w:tcPr>
            <w:tcW w:w="1377" w:type="dxa"/>
            <w:tcBorders>
              <w:top w:val="single" w:color="auto" w:sz="2" w:space="0"/>
              <w:left w:val="single" w:color="auto" w:sz="2" w:space="0"/>
              <w:bottom w:val="single" w:color="auto" w:sz="2" w:space="0"/>
              <w:right w:val="single" w:color="auto" w:sz="2" w:space="0"/>
            </w:tcBorders>
            <w:vAlign w:val="center"/>
          </w:tcPr>
          <w:p w14:paraId="7E48C70C">
            <w:pPr>
              <w:spacing w:before="0" w:after="0" w:line="240" w:lineRule="exact"/>
              <w:jc w:val="right"/>
              <w:rPr>
                <w:rFonts w:ascii="宋体" w:hAnsi="宋体" w:eastAsia="宋体" w:cs="宋体"/>
                <w:sz w:val="18"/>
                <w:szCs w:val="18"/>
              </w:rPr>
            </w:pPr>
            <w:r>
              <w:rPr>
                <w:rFonts w:ascii="宋体" w:hAnsi="宋体" w:eastAsia="宋体" w:cs="宋体"/>
                <w:sz w:val="18"/>
                <w:szCs w:val="18"/>
              </w:rPr>
              <w:t>313,600.00</w:t>
            </w:r>
          </w:p>
        </w:tc>
      </w:tr>
      <w:tr w14:paraId="51E9B7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027FA38">
            <w:pPr>
              <w:spacing w:before="40" w:after="40" w:line="240" w:lineRule="exact"/>
              <w:jc w:val="left"/>
              <w:rPr>
                <w:rFonts w:ascii="宋体" w:hAnsi="宋体" w:eastAsia="宋体" w:cs="宋体"/>
                <w:sz w:val="18"/>
                <w:szCs w:val="18"/>
              </w:rPr>
            </w:pPr>
            <w:r>
              <w:rPr>
                <w:rFonts w:ascii="宋体" w:hAnsi="宋体" w:eastAsia="宋体" w:cs="宋体"/>
                <w:sz w:val="18"/>
                <w:szCs w:val="18"/>
              </w:rPr>
              <w:t>对联营企业权益投资的账面价值</w:t>
            </w:r>
          </w:p>
        </w:tc>
        <w:tc>
          <w:tcPr>
            <w:tcW w:w="1377" w:type="dxa"/>
            <w:tcBorders>
              <w:top w:val="single" w:color="auto" w:sz="2" w:space="0"/>
              <w:left w:val="single" w:color="auto" w:sz="2" w:space="0"/>
              <w:bottom w:val="single" w:color="auto" w:sz="2" w:space="0"/>
              <w:right w:val="single" w:color="auto" w:sz="2" w:space="0"/>
            </w:tcBorders>
            <w:vAlign w:val="center"/>
          </w:tcPr>
          <w:p w14:paraId="5929CD6F">
            <w:pPr>
              <w:spacing w:before="0" w:after="0" w:line="240" w:lineRule="exact"/>
              <w:jc w:val="right"/>
              <w:rPr>
                <w:rFonts w:ascii="宋体" w:hAnsi="宋体" w:eastAsia="宋体" w:cs="宋体"/>
                <w:sz w:val="18"/>
                <w:szCs w:val="18"/>
              </w:rPr>
            </w:pPr>
            <w:r>
              <w:rPr>
                <w:rFonts w:ascii="宋体" w:hAnsi="宋体" w:eastAsia="宋体" w:cs="宋体"/>
                <w:sz w:val="18"/>
                <w:szCs w:val="18"/>
              </w:rPr>
              <w:t>33,370,813.09</w:t>
            </w:r>
          </w:p>
        </w:tc>
        <w:tc>
          <w:tcPr>
            <w:tcW w:w="1377" w:type="dxa"/>
            <w:tcBorders>
              <w:top w:val="single" w:color="auto" w:sz="2" w:space="0"/>
              <w:left w:val="single" w:color="auto" w:sz="2" w:space="0"/>
              <w:bottom w:val="single" w:color="auto" w:sz="2" w:space="0"/>
              <w:right w:val="single" w:color="auto" w:sz="2" w:space="0"/>
            </w:tcBorders>
            <w:vAlign w:val="center"/>
          </w:tcPr>
          <w:p w14:paraId="189BAA7D">
            <w:pPr>
              <w:spacing w:before="0" w:after="0" w:line="240" w:lineRule="exact"/>
              <w:jc w:val="right"/>
              <w:rPr>
                <w:rFonts w:ascii="宋体" w:hAnsi="宋体" w:eastAsia="宋体" w:cs="宋体"/>
                <w:sz w:val="18"/>
                <w:szCs w:val="18"/>
              </w:rPr>
            </w:pPr>
            <w:r>
              <w:rPr>
                <w:rFonts w:ascii="宋体" w:hAnsi="宋体" w:eastAsia="宋体" w:cs="宋体"/>
                <w:sz w:val="18"/>
                <w:szCs w:val="18"/>
              </w:rPr>
              <w:t>40,000,532.62</w:t>
            </w:r>
          </w:p>
        </w:tc>
        <w:tc>
          <w:tcPr>
            <w:tcW w:w="1377" w:type="dxa"/>
            <w:tcBorders>
              <w:top w:val="single" w:color="auto" w:sz="2" w:space="0"/>
              <w:left w:val="single" w:color="auto" w:sz="2" w:space="0"/>
              <w:bottom w:val="single" w:color="auto" w:sz="2" w:space="0"/>
              <w:right w:val="single" w:color="auto" w:sz="2" w:space="0"/>
            </w:tcBorders>
            <w:vAlign w:val="center"/>
          </w:tcPr>
          <w:p w14:paraId="3E79D700">
            <w:pPr>
              <w:spacing w:before="0" w:after="0" w:line="240" w:lineRule="exact"/>
              <w:jc w:val="right"/>
              <w:rPr>
                <w:rFonts w:ascii="宋体" w:hAnsi="宋体" w:eastAsia="宋体" w:cs="宋体"/>
                <w:sz w:val="18"/>
                <w:szCs w:val="18"/>
              </w:rPr>
            </w:pPr>
            <w:r>
              <w:rPr>
                <w:rFonts w:ascii="宋体" w:hAnsi="宋体" w:eastAsia="宋体" w:cs="宋体"/>
                <w:sz w:val="18"/>
                <w:szCs w:val="18"/>
              </w:rPr>
              <w:t>6,806,262.10</w:t>
            </w:r>
          </w:p>
        </w:tc>
        <w:tc>
          <w:tcPr>
            <w:tcW w:w="1377" w:type="dxa"/>
            <w:tcBorders>
              <w:top w:val="single" w:color="auto" w:sz="2" w:space="0"/>
              <w:left w:val="single" w:color="auto" w:sz="2" w:space="0"/>
              <w:bottom w:val="single" w:color="auto" w:sz="2" w:space="0"/>
              <w:right w:val="single" w:color="auto" w:sz="2" w:space="0"/>
            </w:tcBorders>
            <w:vAlign w:val="center"/>
          </w:tcPr>
          <w:p w14:paraId="7CEB477B">
            <w:pPr>
              <w:spacing w:before="0" w:after="0" w:line="240" w:lineRule="exact"/>
              <w:jc w:val="right"/>
              <w:rPr>
                <w:rFonts w:ascii="宋体" w:hAnsi="宋体" w:eastAsia="宋体" w:cs="宋体"/>
                <w:sz w:val="18"/>
                <w:szCs w:val="18"/>
              </w:rPr>
            </w:pPr>
            <w:r>
              <w:rPr>
                <w:rFonts w:ascii="宋体" w:hAnsi="宋体" w:eastAsia="宋体" w:cs="宋体"/>
                <w:sz w:val="18"/>
                <w:szCs w:val="18"/>
              </w:rPr>
              <w:t>58,814,930.02</w:t>
            </w:r>
          </w:p>
        </w:tc>
        <w:tc>
          <w:tcPr>
            <w:tcW w:w="1377" w:type="dxa"/>
            <w:tcBorders>
              <w:top w:val="single" w:color="auto" w:sz="2" w:space="0"/>
              <w:left w:val="single" w:color="auto" w:sz="2" w:space="0"/>
              <w:bottom w:val="single" w:color="auto" w:sz="2" w:space="0"/>
              <w:right w:val="single" w:color="auto" w:sz="2" w:space="0"/>
            </w:tcBorders>
            <w:vAlign w:val="center"/>
          </w:tcPr>
          <w:p w14:paraId="5BB9C4A6">
            <w:pPr>
              <w:spacing w:before="0" w:after="0" w:line="240" w:lineRule="exact"/>
              <w:jc w:val="right"/>
              <w:rPr>
                <w:rFonts w:ascii="宋体" w:hAnsi="宋体" w:eastAsia="宋体" w:cs="宋体"/>
                <w:sz w:val="18"/>
                <w:szCs w:val="18"/>
              </w:rPr>
            </w:pPr>
            <w:r>
              <w:rPr>
                <w:rFonts w:ascii="宋体" w:hAnsi="宋体" w:eastAsia="宋体" w:cs="宋体"/>
                <w:sz w:val="18"/>
                <w:szCs w:val="18"/>
              </w:rPr>
              <w:t>40,000,521.38</w:t>
            </w:r>
          </w:p>
        </w:tc>
        <w:tc>
          <w:tcPr>
            <w:tcW w:w="1377" w:type="dxa"/>
            <w:tcBorders>
              <w:top w:val="single" w:color="auto" w:sz="2" w:space="0"/>
              <w:left w:val="single" w:color="auto" w:sz="2" w:space="0"/>
              <w:bottom w:val="single" w:color="auto" w:sz="2" w:space="0"/>
              <w:right w:val="single" w:color="auto" w:sz="2" w:space="0"/>
            </w:tcBorders>
            <w:vAlign w:val="center"/>
          </w:tcPr>
          <w:p w14:paraId="2330EF19">
            <w:pPr>
              <w:spacing w:before="0" w:after="0" w:line="240" w:lineRule="exact"/>
              <w:jc w:val="right"/>
              <w:rPr>
                <w:rFonts w:ascii="宋体" w:hAnsi="宋体" w:eastAsia="宋体" w:cs="宋体"/>
                <w:sz w:val="18"/>
                <w:szCs w:val="18"/>
              </w:rPr>
            </w:pPr>
            <w:r>
              <w:rPr>
                <w:rFonts w:ascii="宋体" w:hAnsi="宋体" w:eastAsia="宋体" w:cs="宋体"/>
                <w:sz w:val="18"/>
                <w:szCs w:val="18"/>
              </w:rPr>
              <w:t>9,997,403.65</w:t>
            </w:r>
          </w:p>
        </w:tc>
      </w:tr>
      <w:tr w14:paraId="1CBB29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28AC44C">
            <w:pPr>
              <w:spacing w:before="40" w:after="40" w:line="240" w:lineRule="exact"/>
              <w:jc w:val="left"/>
              <w:rPr>
                <w:rFonts w:ascii="宋体" w:hAnsi="宋体" w:eastAsia="宋体" w:cs="宋体"/>
                <w:sz w:val="18"/>
                <w:szCs w:val="18"/>
              </w:rPr>
            </w:pPr>
            <w:r>
              <w:rPr>
                <w:rFonts w:ascii="宋体" w:hAnsi="宋体" w:eastAsia="宋体" w:cs="宋体"/>
                <w:sz w:val="18"/>
                <w:szCs w:val="18"/>
              </w:rPr>
              <w:t>存在公开报价的联营企业权益投资的公允价值</w:t>
            </w:r>
          </w:p>
        </w:tc>
        <w:tc>
          <w:tcPr>
            <w:tcW w:w="1377" w:type="dxa"/>
            <w:tcBorders>
              <w:top w:val="single" w:color="auto" w:sz="2" w:space="0"/>
              <w:left w:val="single" w:color="auto" w:sz="2" w:space="0"/>
              <w:bottom w:val="single" w:color="auto" w:sz="2" w:space="0"/>
              <w:right w:val="single" w:color="auto" w:sz="2" w:space="0"/>
            </w:tcBorders>
            <w:vAlign w:val="center"/>
          </w:tcPr>
          <w:p w14:paraId="2FF5374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9F3AB0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99A35E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7452E10">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29F44A2">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3BA7E9A">
            <w:pPr>
              <w:spacing w:before="0" w:after="0" w:line="240" w:lineRule="exact"/>
              <w:jc w:val="right"/>
              <w:rPr>
                <w:rFonts w:ascii="宋体" w:hAnsi="宋体" w:eastAsia="宋体" w:cs="宋体"/>
                <w:sz w:val="18"/>
                <w:szCs w:val="18"/>
              </w:rPr>
            </w:pPr>
          </w:p>
        </w:tc>
      </w:tr>
      <w:tr w14:paraId="39C688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A5CAB52">
            <w:pPr>
              <w:spacing w:before="40" w:after="40" w:line="240" w:lineRule="exact"/>
              <w:jc w:val="left"/>
              <w:rPr>
                <w:rFonts w:ascii="宋体" w:hAnsi="宋体" w:eastAsia="宋体" w:cs="宋体"/>
                <w:sz w:val="18"/>
                <w:szCs w:val="18"/>
              </w:rPr>
            </w:pPr>
            <w:r>
              <w:rPr>
                <w:rFonts w:ascii="宋体" w:hAnsi="宋体" w:eastAsia="宋体" w:cs="宋体"/>
                <w:sz w:val="18"/>
                <w:szCs w:val="18"/>
              </w:rPr>
              <w:t>营业收入</w:t>
            </w:r>
          </w:p>
        </w:tc>
        <w:tc>
          <w:tcPr>
            <w:tcW w:w="1377" w:type="dxa"/>
            <w:tcBorders>
              <w:top w:val="single" w:color="auto" w:sz="2" w:space="0"/>
              <w:left w:val="single" w:color="auto" w:sz="2" w:space="0"/>
              <w:bottom w:val="single" w:color="auto" w:sz="2" w:space="0"/>
              <w:right w:val="single" w:color="auto" w:sz="2" w:space="0"/>
            </w:tcBorders>
            <w:vAlign w:val="center"/>
          </w:tcPr>
          <w:p w14:paraId="772E1736">
            <w:pPr>
              <w:spacing w:before="0" w:after="0" w:line="240" w:lineRule="exact"/>
              <w:jc w:val="right"/>
              <w:rPr>
                <w:rFonts w:ascii="宋体" w:hAnsi="宋体" w:eastAsia="宋体" w:cs="宋体"/>
                <w:sz w:val="18"/>
                <w:szCs w:val="18"/>
              </w:rPr>
            </w:pPr>
            <w:r>
              <w:rPr>
                <w:rFonts w:ascii="宋体" w:hAnsi="宋体" w:eastAsia="宋体" w:cs="宋体"/>
                <w:sz w:val="18"/>
                <w:szCs w:val="18"/>
              </w:rPr>
              <w:t>7,370,087.31</w:t>
            </w:r>
          </w:p>
        </w:tc>
        <w:tc>
          <w:tcPr>
            <w:tcW w:w="1377" w:type="dxa"/>
            <w:tcBorders>
              <w:top w:val="single" w:color="auto" w:sz="2" w:space="0"/>
              <w:left w:val="single" w:color="auto" w:sz="2" w:space="0"/>
              <w:bottom w:val="single" w:color="auto" w:sz="2" w:space="0"/>
              <w:right w:val="single" w:color="auto" w:sz="2" w:space="0"/>
            </w:tcBorders>
            <w:vAlign w:val="center"/>
          </w:tcPr>
          <w:p w14:paraId="07B19EF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D038B78">
            <w:pPr>
              <w:spacing w:before="0" w:after="0" w:line="240" w:lineRule="exact"/>
              <w:jc w:val="right"/>
              <w:rPr>
                <w:rFonts w:ascii="宋体" w:hAnsi="宋体" w:eastAsia="宋体" w:cs="宋体"/>
                <w:sz w:val="18"/>
                <w:szCs w:val="18"/>
              </w:rPr>
            </w:pPr>
            <w:r>
              <w:rPr>
                <w:rFonts w:ascii="宋体" w:hAnsi="宋体" w:eastAsia="宋体" w:cs="宋体"/>
                <w:sz w:val="18"/>
                <w:szCs w:val="18"/>
              </w:rPr>
              <w:t>-965,250.26</w:t>
            </w:r>
          </w:p>
        </w:tc>
        <w:tc>
          <w:tcPr>
            <w:tcW w:w="1377" w:type="dxa"/>
            <w:tcBorders>
              <w:top w:val="single" w:color="auto" w:sz="2" w:space="0"/>
              <w:left w:val="single" w:color="auto" w:sz="2" w:space="0"/>
              <w:bottom w:val="single" w:color="auto" w:sz="2" w:space="0"/>
              <w:right w:val="single" w:color="auto" w:sz="2" w:space="0"/>
            </w:tcBorders>
            <w:vAlign w:val="center"/>
          </w:tcPr>
          <w:p w14:paraId="27F275EA">
            <w:pPr>
              <w:spacing w:before="0" w:after="0" w:line="240" w:lineRule="exact"/>
              <w:jc w:val="right"/>
              <w:rPr>
                <w:rFonts w:ascii="宋体" w:hAnsi="宋体" w:eastAsia="宋体" w:cs="宋体"/>
                <w:sz w:val="18"/>
                <w:szCs w:val="18"/>
              </w:rPr>
            </w:pPr>
            <w:r>
              <w:rPr>
                <w:rFonts w:ascii="宋体" w:hAnsi="宋体" w:eastAsia="宋体" w:cs="宋体"/>
                <w:sz w:val="18"/>
                <w:szCs w:val="18"/>
              </w:rPr>
              <w:t>-79,984,736.13</w:t>
            </w:r>
          </w:p>
        </w:tc>
        <w:tc>
          <w:tcPr>
            <w:tcW w:w="1377" w:type="dxa"/>
            <w:tcBorders>
              <w:top w:val="single" w:color="auto" w:sz="2" w:space="0"/>
              <w:left w:val="single" w:color="auto" w:sz="2" w:space="0"/>
              <w:bottom w:val="single" w:color="auto" w:sz="2" w:space="0"/>
              <w:right w:val="single" w:color="auto" w:sz="2" w:space="0"/>
            </w:tcBorders>
            <w:vAlign w:val="center"/>
          </w:tcPr>
          <w:p w14:paraId="58F178C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B2D40C1">
            <w:pPr>
              <w:spacing w:before="0" w:after="0" w:line="240" w:lineRule="exact"/>
              <w:jc w:val="right"/>
              <w:rPr>
                <w:rFonts w:ascii="宋体" w:hAnsi="宋体" w:eastAsia="宋体" w:cs="宋体"/>
                <w:sz w:val="18"/>
                <w:szCs w:val="18"/>
              </w:rPr>
            </w:pPr>
            <w:r>
              <w:rPr>
                <w:rFonts w:ascii="宋体" w:hAnsi="宋体" w:eastAsia="宋体" w:cs="宋体"/>
                <w:sz w:val="18"/>
                <w:szCs w:val="18"/>
              </w:rPr>
              <w:t>1,746,678.61</w:t>
            </w:r>
          </w:p>
        </w:tc>
      </w:tr>
      <w:tr w14:paraId="633261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673790D">
            <w:pPr>
              <w:spacing w:before="40" w:after="40" w:line="240" w:lineRule="exact"/>
              <w:jc w:val="left"/>
              <w:rPr>
                <w:rFonts w:ascii="宋体" w:hAnsi="宋体" w:eastAsia="宋体" w:cs="宋体"/>
                <w:sz w:val="18"/>
                <w:szCs w:val="18"/>
              </w:rPr>
            </w:pPr>
            <w:r>
              <w:rPr>
                <w:rFonts w:ascii="宋体" w:hAnsi="宋体" w:eastAsia="宋体" w:cs="宋体"/>
                <w:sz w:val="18"/>
                <w:szCs w:val="18"/>
              </w:rPr>
              <w:t>净利润</w:t>
            </w:r>
          </w:p>
        </w:tc>
        <w:tc>
          <w:tcPr>
            <w:tcW w:w="1377" w:type="dxa"/>
            <w:tcBorders>
              <w:top w:val="single" w:color="auto" w:sz="2" w:space="0"/>
              <w:left w:val="single" w:color="auto" w:sz="2" w:space="0"/>
              <w:bottom w:val="single" w:color="auto" w:sz="2" w:space="0"/>
              <w:right w:val="single" w:color="auto" w:sz="2" w:space="0"/>
            </w:tcBorders>
            <w:vAlign w:val="center"/>
          </w:tcPr>
          <w:p w14:paraId="6398DD20">
            <w:pPr>
              <w:spacing w:before="0" w:after="0" w:line="240" w:lineRule="exact"/>
              <w:jc w:val="right"/>
              <w:rPr>
                <w:rFonts w:ascii="宋体" w:hAnsi="宋体" w:eastAsia="宋体" w:cs="宋体"/>
                <w:sz w:val="18"/>
                <w:szCs w:val="18"/>
              </w:rPr>
            </w:pPr>
            <w:r>
              <w:rPr>
                <w:rFonts w:ascii="宋体" w:hAnsi="宋体" w:eastAsia="宋体" w:cs="宋体"/>
                <w:sz w:val="18"/>
                <w:szCs w:val="18"/>
              </w:rPr>
              <w:t>-15,926,769.24</w:t>
            </w:r>
          </w:p>
        </w:tc>
        <w:tc>
          <w:tcPr>
            <w:tcW w:w="1377" w:type="dxa"/>
            <w:tcBorders>
              <w:top w:val="single" w:color="auto" w:sz="2" w:space="0"/>
              <w:left w:val="single" w:color="auto" w:sz="2" w:space="0"/>
              <w:bottom w:val="single" w:color="auto" w:sz="2" w:space="0"/>
              <w:right w:val="single" w:color="auto" w:sz="2" w:space="0"/>
            </w:tcBorders>
            <w:vAlign w:val="center"/>
          </w:tcPr>
          <w:p w14:paraId="34110F76">
            <w:pPr>
              <w:spacing w:before="0" w:after="0" w:line="240" w:lineRule="exact"/>
              <w:jc w:val="right"/>
              <w:rPr>
                <w:rFonts w:ascii="宋体" w:hAnsi="宋体" w:eastAsia="宋体" w:cs="宋体"/>
                <w:sz w:val="18"/>
                <w:szCs w:val="18"/>
              </w:rPr>
            </w:pPr>
            <w:r>
              <w:rPr>
                <w:rFonts w:ascii="宋体" w:hAnsi="宋体" w:eastAsia="宋体" w:cs="宋体"/>
                <w:sz w:val="18"/>
                <w:szCs w:val="18"/>
              </w:rPr>
              <w:t>17.98</w:t>
            </w:r>
          </w:p>
        </w:tc>
        <w:tc>
          <w:tcPr>
            <w:tcW w:w="1377" w:type="dxa"/>
            <w:tcBorders>
              <w:top w:val="single" w:color="auto" w:sz="2" w:space="0"/>
              <w:left w:val="single" w:color="auto" w:sz="2" w:space="0"/>
              <w:bottom w:val="single" w:color="auto" w:sz="2" w:space="0"/>
              <w:right w:val="single" w:color="auto" w:sz="2" w:space="0"/>
            </w:tcBorders>
            <w:vAlign w:val="center"/>
          </w:tcPr>
          <w:p w14:paraId="7E891ECA">
            <w:pPr>
              <w:spacing w:before="0" w:after="0" w:line="240" w:lineRule="exact"/>
              <w:jc w:val="right"/>
              <w:rPr>
                <w:rFonts w:ascii="宋体" w:hAnsi="宋体" w:eastAsia="宋体" w:cs="宋体"/>
                <w:sz w:val="18"/>
                <w:szCs w:val="18"/>
              </w:rPr>
            </w:pPr>
            <w:r>
              <w:rPr>
                <w:rFonts w:ascii="宋体" w:hAnsi="宋体" w:eastAsia="宋体" w:cs="宋体"/>
                <w:sz w:val="18"/>
                <w:szCs w:val="18"/>
              </w:rPr>
              <w:t>-8,140,667.23</w:t>
            </w:r>
          </w:p>
        </w:tc>
        <w:tc>
          <w:tcPr>
            <w:tcW w:w="1377" w:type="dxa"/>
            <w:tcBorders>
              <w:top w:val="single" w:color="auto" w:sz="2" w:space="0"/>
              <w:left w:val="single" w:color="auto" w:sz="2" w:space="0"/>
              <w:bottom w:val="single" w:color="auto" w:sz="2" w:space="0"/>
              <w:right w:val="single" w:color="auto" w:sz="2" w:space="0"/>
            </w:tcBorders>
            <w:vAlign w:val="center"/>
          </w:tcPr>
          <w:p w14:paraId="6FB78C5C">
            <w:pPr>
              <w:spacing w:before="0" w:after="0" w:line="240" w:lineRule="exact"/>
              <w:jc w:val="right"/>
              <w:rPr>
                <w:rFonts w:ascii="宋体" w:hAnsi="宋体" w:eastAsia="宋体" w:cs="宋体"/>
                <w:sz w:val="18"/>
                <w:szCs w:val="18"/>
              </w:rPr>
            </w:pPr>
            <w:r>
              <w:rPr>
                <w:rFonts w:ascii="宋体" w:hAnsi="宋体" w:eastAsia="宋体" w:cs="宋体"/>
                <w:sz w:val="18"/>
                <w:szCs w:val="18"/>
              </w:rPr>
              <w:t>-120,168,061.14</w:t>
            </w:r>
          </w:p>
        </w:tc>
        <w:tc>
          <w:tcPr>
            <w:tcW w:w="1377" w:type="dxa"/>
            <w:tcBorders>
              <w:top w:val="single" w:color="auto" w:sz="2" w:space="0"/>
              <w:left w:val="single" w:color="auto" w:sz="2" w:space="0"/>
              <w:bottom w:val="single" w:color="auto" w:sz="2" w:space="0"/>
              <w:right w:val="single" w:color="auto" w:sz="2" w:space="0"/>
            </w:tcBorders>
            <w:vAlign w:val="center"/>
          </w:tcPr>
          <w:p w14:paraId="67EFB8AD">
            <w:pPr>
              <w:spacing w:before="0" w:after="0" w:line="240" w:lineRule="exact"/>
              <w:jc w:val="right"/>
              <w:rPr>
                <w:rFonts w:ascii="宋体" w:hAnsi="宋体" w:eastAsia="宋体" w:cs="宋体"/>
                <w:sz w:val="18"/>
                <w:szCs w:val="18"/>
              </w:rPr>
            </w:pPr>
            <w:r>
              <w:rPr>
                <w:rFonts w:ascii="宋体" w:hAnsi="宋体" w:eastAsia="宋体" w:cs="宋体"/>
                <w:sz w:val="18"/>
                <w:szCs w:val="18"/>
              </w:rPr>
              <w:t>89,527.25</w:t>
            </w:r>
          </w:p>
        </w:tc>
        <w:tc>
          <w:tcPr>
            <w:tcW w:w="1377" w:type="dxa"/>
            <w:tcBorders>
              <w:top w:val="single" w:color="auto" w:sz="2" w:space="0"/>
              <w:left w:val="single" w:color="auto" w:sz="2" w:space="0"/>
              <w:bottom w:val="single" w:color="auto" w:sz="2" w:space="0"/>
              <w:right w:val="single" w:color="auto" w:sz="2" w:space="0"/>
            </w:tcBorders>
            <w:vAlign w:val="center"/>
          </w:tcPr>
          <w:p w14:paraId="678F0282">
            <w:pPr>
              <w:spacing w:before="0" w:after="0" w:line="240" w:lineRule="exact"/>
              <w:jc w:val="right"/>
              <w:rPr>
                <w:rFonts w:ascii="宋体" w:hAnsi="宋体" w:eastAsia="宋体" w:cs="宋体"/>
                <w:sz w:val="18"/>
                <w:szCs w:val="18"/>
              </w:rPr>
            </w:pPr>
            <w:r>
              <w:rPr>
                <w:rFonts w:ascii="宋体" w:hAnsi="宋体" w:eastAsia="宋体" w:cs="宋体"/>
                <w:sz w:val="18"/>
                <w:szCs w:val="18"/>
              </w:rPr>
              <w:t>-8,302,957.43</w:t>
            </w:r>
          </w:p>
        </w:tc>
      </w:tr>
      <w:tr w14:paraId="6F9B90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3FC8065">
            <w:pPr>
              <w:spacing w:before="40" w:after="40" w:line="240" w:lineRule="exact"/>
              <w:jc w:val="left"/>
              <w:rPr>
                <w:rFonts w:ascii="宋体" w:hAnsi="宋体" w:eastAsia="宋体" w:cs="宋体"/>
                <w:sz w:val="18"/>
                <w:szCs w:val="18"/>
              </w:rPr>
            </w:pPr>
            <w:r>
              <w:rPr>
                <w:rFonts w:ascii="宋体" w:hAnsi="宋体" w:eastAsia="宋体" w:cs="宋体"/>
                <w:sz w:val="18"/>
                <w:szCs w:val="18"/>
              </w:rPr>
              <w:t>终止经营的净利润</w:t>
            </w:r>
          </w:p>
        </w:tc>
        <w:tc>
          <w:tcPr>
            <w:tcW w:w="1377" w:type="dxa"/>
            <w:tcBorders>
              <w:top w:val="single" w:color="auto" w:sz="2" w:space="0"/>
              <w:left w:val="single" w:color="auto" w:sz="2" w:space="0"/>
              <w:bottom w:val="single" w:color="auto" w:sz="2" w:space="0"/>
              <w:right w:val="single" w:color="auto" w:sz="2" w:space="0"/>
            </w:tcBorders>
            <w:vAlign w:val="center"/>
          </w:tcPr>
          <w:p w14:paraId="1240B2D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8D8865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7610D18">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5AD6B46">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25E5149">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7325E03">
            <w:pPr>
              <w:spacing w:before="0" w:after="0" w:line="240" w:lineRule="exact"/>
              <w:jc w:val="right"/>
              <w:rPr>
                <w:rFonts w:ascii="宋体" w:hAnsi="宋体" w:eastAsia="宋体" w:cs="宋体"/>
                <w:sz w:val="18"/>
                <w:szCs w:val="18"/>
              </w:rPr>
            </w:pPr>
          </w:p>
        </w:tc>
      </w:tr>
      <w:tr w14:paraId="5E6E61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FA43CBD">
            <w:pPr>
              <w:spacing w:before="40" w:after="40" w:line="240" w:lineRule="exact"/>
              <w:jc w:val="left"/>
              <w:rPr>
                <w:rFonts w:ascii="宋体" w:hAnsi="宋体" w:eastAsia="宋体" w:cs="宋体"/>
                <w:sz w:val="18"/>
                <w:szCs w:val="18"/>
              </w:rPr>
            </w:pPr>
            <w:r>
              <w:rPr>
                <w:rFonts w:ascii="宋体" w:hAnsi="宋体" w:eastAsia="宋体" w:cs="宋体"/>
                <w:sz w:val="18"/>
                <w:szCs w:val="18"/>
              </w:rPr>
              <w:t>其他综合收益</w:t>
            </w:r>
          </w:p>
        </w:tc>
        <w:tc>
          <w:tcPr>
            <w:tcW w:w="1377" w:type="dxa"/>
            <w:tcBorders>
              <w:top w:val="single" w:color="auto" w:sz="2" w:space="0"/>
              <w:left w:val="single" w:color="auto" w:sz="2" w:space="0"/>
              <w:bottom w:val="single" w:color="auto" w:sz="2" w:space="0"/>
              <w:right w:val="single" w:color="auto" w:sz="2" w:space="0"/>
            </w:tcBorders>
            <w:vAlign w:val="center"/>
          </w:tcPr>
          <w:p w14:paraId="0EFDE55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824CF0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633129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2CC4C6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F64D06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50EC9C1E">
            <w:pPr>
              <w:spacing w:before="0" w:after="0" w:line="240" w:lineRule="exact"/>
              <w:jc w:val="right"/>
              <w:rPr>
                <w:rFonts w:ascii="宋体" w:hAnsi="宋体" w:eastAsia="宋体" w:cs="宋体"/>
                <w:sz w:val="18"/>
                <w:szCs w:val="18"/>
              </w:rPr>
            </w:pPr>
          </w:p>
        </w:tc>
      </w:tr>
      <w:tr w14:paraId="1842D5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9A9DB02">
            <w:pPr>
              <w:spacing w:before="40" w:after="40" w:line="240" w:lineRule="exact"/>
              <w:jc w:val="left"/>
              <w:rPr>
                <w:rFonts w:ascii="宋体" w:hAnsi="宋体" w:eastAsia="宋体" w:cs="宋体"/>
                <w:sz w:val="18"/>
                <w:szCs w:val="18"/>
              </w:rPr>
            </w:pPr>
            <w:r>
              <w:rPr>
                <w:rFonts w:ascii="宋体" w:hAnsi="宋体" w:eastAsia="宋体" w:cs="宋体"/>
                <w:sz w:val="18"/>
                <w:szCs w:val="18"/>
              </w:rPr>
              <w:t>综合收益总额</w:t>
            </w:r>
          </w:p>
        </w:tc>
        <w:tc>
          <w:tcPr>
            <w:tcW w:w="1377" w:type="dxa"/>
            <w:tcBorders>
              <w:top w:val="single" w:color="auto" w:sz="2" w:space="0"/>
              <w:left w:val="single" w:color="auto" w:sz="2" w:space="0"/>
              <w:bottom w:val="single" w:color="auto" w:sz="2" w:space="0"/>
              <w:right w:val="single" w:color="auto" w:sz="2" w:space="0"/>
            </w:tcBorders>
            <w:vAlign w:val="center"/>
          </w:tcPr>
          <w:p w14:paraId="2EABB96F">
            <w:pPr>
              <w:spacing w:before="0" w:after="0" w:line="240" w:lineRule="exact"/>
              <w:jc w:val="right"/>
              <w:rPr>
                <w:rFonts w:ascii="宋体" w:hAnsi="宋体" w:eastAsia="宋体" w:cs="宋体"/>
                <w:sz w:val="18"/>
                <w:szCs w:val="18"/>
              </w:rPr>
            </w:pPr>
            <w:r>
              <w:rPr>
                <w:rFonts w:ascii="宋体" w:hAnsi="宋体" w:eastAsia="宋体" w:cs="宋体"/>
                <w:sz w:val="18"/>
                <w:szCs w:val="18"/>
              </w:rPr>
              <w:t>-15,926,769.24</w:t>
            </w:r>
          </w:p>
        </w:tc>
        <w:tc>
          <w:tcPr>
            <w:tcW w:w="1377" w:type="dxa"/>
            <w:tcBorders>
              <w:top w:val="single" w:color="auto" w:sz="2" w:space="0"/>
              <w:left w:val="single" w:color="auto" w:sz="2" w:space="0"/>
              <w:bottom w:val="single" w:color="auto" w:sz="2" w:space="0"/>
              <w:right w:val="single" w:color="auto" w:sz="2" w:space="0"/>
            </w:tcBorders>
            <w:vAlign w:val="center"/>
          </w:tcPr>
          <w:p w14:paraId="31DEFEBD">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F225469">
            <w:pPr>
              <w:spacing w:before="0" w:after="0" w:line="240" w:lineRule="exact"/>
              <w:jc w:val="right"/>
              <w:rPr>
                <w:rFonts w:ascii="宋体" w:hAnsi="宋体" w:eastAsia="宋体" w:cs="宋体"/>
                <w:sz w:val="18"/>
                <w:szCs w:val="18"/>
              </w:rPr>
            </w:pPr>
            <w:r>
              <w:rPr>
                <w:rFonts w:ascii="宋体" w:hAnsi="宋体" w:eastAsia="宋体" w:cs="宋体"/>
                <w:sz w:val="18"/>
                <w:szCs w:val="18"/>
              </w:rPr>
              <w:t>-8,140,667.23</w:t>
            </w:r>
          </w:p>
        </w:tc>
        <w:tc>
          <w:tcPr>
            <w:tcW w:w="1377" w:type="dxa"/>
            <w:tcBorders>
              <w:top w:val="single" w:color="auto" w:sz="2" w:space="0"/>
              <w:left w:val="single" w:color="auto" w:sz="2" w:space="0"/>
              <w:bottom w:val="single" w:color="auto" w:sz="2" w:space="0"/>
              <w:right w:val="single" w:color="auto" w:sz="2" w:space="0"/>
            </w:tcBorders>
            <w:vAlign w:val="center"/>
          </w:tcPr>
          <w:p w14:paraId="1AC37A6D">
            <w:pPr>
              <w:spacing w:before="0" w:after="0" w:line="240" w:lineRule="exact"/>
              <w:jc w:val="right"/>
              <w:rPr>
                <w:rFonts w:ascii="宋体" w:hAnsi="宋体" w:eastAsia="宋体" w:cs="宋体"/>
                <w:sz w:val="18"/>
                <w:szCs w:val="18"/>
              </w:rPr>
            </w:pPr>
            <w:r>
              <w:rPr>
                <w:rFonts w:ascii="宋体" w:hAnsi="宋体" w:eastAsia="宋体" w:cs="宋体"/>
                <w:sz w:val="18"/>
                <w:szCs w:val="18"/>
              </w:rPr>
              <w:t>-120,168,061.14</w:t>
            </w:r>
          </w:p>
        </w:tc>
        <w:tc>
          <w:tcPr>
            <w:tcW w:w="1377" w:type="dxa"/>
            <w:tcBorders>
              <w:top w:val="single" w:color="auto" w:sz="2" w:space="0"/>
              <w:left w:val="single" w:color="auto" w:sz="2" w:space="0"/>
              <w:bottom w:val="single" w:color="auto" w:sz="2" w:space="0"/>
              <w:right w:val="single" w:color="auto" w:sz="2" w:space="0"/>
            </w:tcBorders>
            <w:vAlign w:val="center"/>
          </w:tcPr>
          <w:p w14:paraId="213746FA">
            <w:pPr>
              <w:spacing w:before="0" w:after="0" w:line="240" w:lineRule="exact"/>
              <w:jc w:val="right"/>
              <w:rPr>
                <w:rFonts w:ascii="宋体" w:hAnsi="宋体" w:eastAsia="宋体" w:cs="宋体"/>
                <w:sz w:val="18"/>
                <w:szCs w:val="18"/>
              </w:rPr>
            </w:pPr>
            <w:r>
              <w:rPr>
                <w:rFonts w:ascii="宋体" w:hAnsi="宋体" w:eastAsia="宋体" w:cs="宋体"/>
                <w:sz w:val="18"/>
                <w:szCs w:val="18"/>
              </w:rPr>
              <w:t>89,527.25</w:t>
            </w:r>
          </w:p>
        </w:tc>
        <w:tc>
          <w:tcPr>
            <w:tcW w:w="1377" w:type="dxa"/>
            <w:tcBorders>
              <w:top w:val="single" w:color="auto" w:sz="2" w:space="0"/>
              <w:left w:val="single" w:color="auto" w:sz="2" w:space="0"/>
              <w:bottom w:val="single" w:color="auto" w:sz="2" w:space="0"/>
              <w:right w:val="single" w:color="auto" w:sz="2" w:space="0"/>
            </w:tcBorders>
            <w:vAlign w:val="center"/>
          </w:tcPr>
          <w:p w14:paraId="51AED41B">
            <w:pPr>
              <w:spacing w:before="0" w:after="0" w:line="240" w:lineRule="exact"/>
              <w:jc w:val="right"/>
              <w:rPr>
                <w:rFonts w:ascii="宋体" w:hAnsi="宋体" w:eastAsia="宋体" w:cs="宋体"/>
                <w:sz w:val="18"/>
                <w:szCs w:val="18"/>
              </w:rPr>
            </w:pPr>
            <w:r>
              <w:rPr>
                <w:rFonts w:ascii="宋体" w:hAnsi="宋体" w:eastAsia="宋体" w:cs="宋体"/>
                <w:sz w:val="18"/>
                <w:szCs w:val="18"/>
              </w:rPr>
              <w:t>-8,302,957.43</w:t>
            </w:r>
          </w:p>
        </w:tc>
      </w:tr>
      <w:tr w14:paraId="60A2AF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5AACF9EA">
            <w:pPr>
              <w:spacing w:before="0" w:after="0" w:line="240" w:lineRule="exact"/>
              <w:jc w:val="lef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156E5BF">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170EDB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B30496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097E55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4C0057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BBD9D63">
            <w:pPr>
              <w:spacing w:before="0" w:after="0" w:line="240" w:lineRule="exact"/>
              <w:jc w:val="right"/>
              <w:rPr>
                <w:rFonts w:ascii="宋体" w:hAnsi="宋体" w:eastAsia="宋体" w:cs="宋体"/>
                <w:sz w:val="18"/>
                <w:szCs w:val="18"/>
              </w:rPr>
            </w:pPr>
          </w:p>
        </w:tc>
      </w:tr>
      <w:tr w14:paraId="06B811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F52BB0F">
            <w:pPr>
              <w:spacing w:before="40" w:after="40" w:line="240" w:lineRule="exact"/>
              <w:jc w:val="left"/>
              <w:rPr>
                <w:rFonts w:ascii="宋体" w:hAnsi="宋体" w:eastAsia="宋体" w:cs="宋体"/>
                <w:sz w:val="18"/>
                <w:szCs w:val="18"/>
              </w:rPr>
            </w:pPr>
            <w:r>
              <w:rPr>
                <w:rFonts w:ascii="宋体" w:hAnsi="宋体" w:eastAsia="宋体" w:cs="宋体"/>
                <w:sz w:val="18"/>
                <w:szCs w:val="18"/>
              </w:rPr>
              <w:t>本年度收到的来自联营企业的股利</w:t>
            </w:r>
          </w:p>
        </w:tc>
        <w:tc>
          <w:tcPr>
            <w:tcW w:w="1377" w:type="dxa"/>
            <w:tcBorders>
              <w:top w:val="single" w:color="auto" w:sz="2" w:space="0"/>
              <w:left w:val="single" w:color="auto" w:sz="2" w:space="0"/>
              <w:bottom w:val="single" w:color="auto" w:sz="2" w:space="0"/>
              <w:right w:val="single" w:color="auto" w:sz="2" w:space="0"/>
            </w:tcBorders>
            <w:vAlign w:val="center"/>
          </w:tcPr>
          <w:p w14:paraId="46B79DDF">
            <w:pPr>
              <w:spacing w:before="0" w:after="0" w:line="240" w:lineRule="exact"/>
              <w:jc w:val="right"/>
              <w:rPr>
                <w:rFonts w:ascii="宋体" w:hAnsi="宋体" w:eastAsia="宋体" w:cs="宋体"/>
                <w:sz w:val="18"/>
                <w:szCs w:val="18"/>
              </w:rPr>
            </w:pPr>
            <w:r>
              <w:rPr>
                <w:rFonts w:ascii="宋体" w:hAnsi="宋体" w:eastAsia="宋体" w:cs="宋体"/>
                <w:sz w:val="18"/>
                <w:szCs w:val="18"/>
              </w:rPr>
              <w:t>17,640,000.00</w:t>
            </w:r>
          </w:p>
        </w:tc>
        <w:tc>
          <w:tcPr>
            <w:tcW w:w="1377" w:type="dxa"/>
            <w:tcBorders>
              <w:top w:val="single" w:color="auto" w:sz="2" w:space="0"/>
              <w:left w:val="single" w:color="auto" w:sz="2" w:space="0"/>
              <w:bottom w:val="single" w:color="auto" w:sz="2" w:space="0"/>
              <w:right w:val="single" w:color="auto" w:sz="2" w:space="0"/>
            </w:tcBorders>
            <w:vAlign w:val="center"/>
          </w:tcPr>
          <w:p w14:paraId="772DCED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4D4635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DC1170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96B5F7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5121FEC">
            <w:pPr>
              <w:spacing w:before="0" w:after="0" w:line="240" w:lineRule="exact"/>
              <w:jc w:val="right"/>
              <w:rPr>
                <w:rFonts w:ascii="宋体" w:hAnsi="宋体" w:eastAsia="宋体" w:cs="宋体"/>
                <w:sz w:val="18"/>
                <w:szCs w:val="18"/>
              </w:rPr>
            </w:pPr>
          </w:p>
        </w:tc>
      </w:tr>
    </w:tbl>
    <w:p w14:paraId="38AEFBD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FFE61C2">
      <w:pPr>
        <w:keepNext/>
        <w:keepLines/>
        <w:spacing w:before="300" w:after="300" w:line="280" w:lineRule="exact"/>
        <w:jc w:val="left"/>
        <w:outlineLvl w:val="3"/>
        <w:rPr>
          <w:rFonts w:ascii="宋体" w:hAnsi="宋体" w:eastAsia="宋体" w:cs="宋体"/>
          <w:b/>
          <w:bCs/>
          <w:sz w:val="21"/>
          <w:szCs w:val="21"/>
        </w:rPr>
      </w:pPr>
      <w:bookmarkStart w:id="492" w:name="_Toc989375"/>
      <w:r>
        <w:rPr>
          <w:rFonts w:ascii="宋体" w:hAnsi="宋体" w:eastAsia="宋体" w:cs="宋体"/>
          <w:b/>
          <w:bCs/>
          <w:sz w:val="21"/>
          <w:szCs w:val="21"/>
        </w:rPr>
        <w:t>（4） 不重要的合营企业和联营企业的汇总财务信息</w:t>
      </w:r>
      <w:bookmarkEnd w:id="492"/>
    </w:p>
    <w:p w14:paraId="332ECAF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4E163D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9C67128"/>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7ACE4BE">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F6BDEFA">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期初余额/上期发生额</w:t>
            </w:r>
          </w:p>
        </w:tc>
      </w:tr>
      <w:tr w14:paraId="72EF32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01309D5">
            <w:pPr>
              <w:spacing w:before="40" w:after="40" w:line="240" w:lineRule="exact"/>
              <w:jc w:val="left"/>
              <w:rPr>
                <w:rFonts w:ascii="宋体" w:hAnsi="宋体" w:eastAsia="宋体" w:cs="宋体"/>
                <w:sz w:val="18"/>
                <w:szCs w:val="18"/>
              </w:rPr>
            </w:pPr>
            <w:r>
              <w:rPr>
                <w:rFonts w:ascii="宋体" w:hAnsi="宋体" w:eastAsia="宋体" w:cs="宋体"/>
                <w:sz w:val="18"/>
                <w:szCs w:val="18"/>
              </w:rPr>
              <w:t>合营企业：</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5240397"/>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27BF70E"/>
        </w:tc>
      </w:tr>
      <w:tr w14:paraId="052F88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894CCC8">
            <w:pPr>
              <w:spacing w:before="40" w:after="40" w:line="240" w:lineRule="exact"/>
              <w:jc w:val="left"/>
              <w:rPr>
                <w:rFonts w:ascii="宋体" w:hAnsi="宋体" w:eastAsia="宋体" w:cs="宋体"/>
                <w:sz w:val="18"/>
                <w:szCs w:val="18"/>
              </w:rPr>
            </w:pPr>
            <w:r>
              <w:rPr>
                <w:rFonts w:ascii="宋体" w:hAnsi="宋体" w:eastAsia="宋体" w:cs="宋体"/>
                <w:sz w:val="18"/>
                <w:szCs w:val="18"/>
              </w:rPr>
              <w:t>下列各项按持股比例计算的合计数</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EE65A8"/>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4B90588"/>
        </w:tc>
      </w:tr>
      <w:tr w14:paraId="7D2B5D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F6EBACA">
            <w:pPr>
              <w:spacing w:before="40" w:after="40" w:line="240" w:lineRule="exact"/>
              <w:jc w:val="left"/>
              <w:rPr>
                <w:rFonts w:ascii="宋体" w:hAnsi="宋体" w:eastAsia="宋体" w:cs="宋体"/>
                <w:sz w:val="18"/>
                <w:szCs w:val="18"/>
              </w:rPr>
            </w:pPr>
            <w:r>
              <w:rPr>
                <w:rFonts w:ascii="宋体" w:hAnsi="宋体" w:eastAsia="宋体" w:cs="宋体"/>
                <w:sz w:val="18"/>
                <w:szCs w:val="18"/>
              </w:rPr>
              <w:t>联营企业：</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FA17C36"/>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759C5E9"/>
        </w:tc>
      </w:tr>
      <w:tr w14:paraId="2D739C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784B41F">
            <w:pPr>
              <w:spacing w:before="40" w:after="40" w:line="240" w:lineRule="exact"/>
              <w:jc w:val="left"/>
              <w:rPr>
                <w:rFonts w:ascii="宋体" w:hAnsi="宋体" w:eastAsia="宋体" w:cs="宋体"/>
                <w:sz w:val="18"/>
                <w:szCs w:val="18"/>
              </w:rPr>
            </w:pPr>
            <w:r>
              <w:rPr>
                <w:rFonts w:ascii="宋体" w:hAnsi="宋体" w:eastAsia="宋体" w:cs="宋体"/>
                <w:sz w:val="18"/>
                <w:szCs w:val="18"/>
              </w:rPr>
              <w:t>下列各项按持股比例计算的合计数</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287A75D"/>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29DF077"/>
        </w:tc>
      </w:tr>
    </w:tbl>
    <w:p w14:paraId="6AFC5CF0">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161683A">
      <w:pPr>
        <w:keepNext/>
        <w:keepLines/>
        <w:spacing w:before="300" w:after="300" w:line="280" w:lineRule="exact"/>
        <w:jc w:val="left"/>
        <w:outlineLvl w:val="3"/>
        <w:rPr>
          <w:rFonts w:ascii="宋体" w:hAnsi="宋体" w:eastAsia="宋体" w:cs="宋体"/>
          <w:b/>
          <w:bCs/>
          <w:sz w:val="21"/>
          <w:szCs w:val="21"/>
        </w:rPr>
      </w:pPr>
      <w:bookmarkStart w:id="493" w:name="_Toc989376"/>
      <w:r>
        <w:rPr>
          <w:rFonts w:ascii="宋体" w:hAnsi="宋体" w:eastAsia="宋体" w:cs="宋体"/>
          <w:b/>
          <w:bCs/>
          <w:sz w:val="21"/>
          <w:szCs w:val="21"/>
        </w:rPr>
        <w:t>（5） 合营企业或联营企业向本公司转移资金的能力存在重大限制的说明</w:t>
      </w:r>
      <w:bookmarkEnd w:id="493"/>
    </w:p>
    <w:p w14:paraId="6773A81E">
      <w:pPr>
        <w:keepNext/>
        <w:keepLines/>
        <w:spacing w:before="300" w:after="300" w:line="280" w:lineRule="exact"/>
        <w:jc w:val="left"/>
        <w:outlineLvl w:val="3"/>
        <w:rPr>
          <w:rFonts w:ascii="宋体" w:hAnsi="宋体" w:eastAsia="宋体" w:cs="宋体"/>
          <w:b/>
          <w:bCs/>
          <w:sz w:val="21"/>
          <w:szCs w:val="21"/>
        </w:rPr>
      </w:pPr>
      <w:bookmarkStart w:id="494" w:name="_Toc989377"/>
      <w:r>
        <w:rPr>
          <w:rFonts w:ascii="宋体" w:hAnsi="宋体" w:eastAsia="宋体" w:cs="宋体"/>
          <w:b/>
          <w:bCs/>
          <w:sz w:val="21"/>
          <w:szCs w:val="21"/>
        </w:rPr>
        <w:t>（6） 合营企业或联营企业发生的超额亏损</w:t>
      </w:r>
      <w:bookmarkEnd w:id="494"/>
    </w:p>
    <w:p w14:paraId="59DF4DF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03996B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AF1CC62">
            <w:pPr>
              <w:spacing w:before="40" w:after="40" w:line="240" w:lineRule="exact"/>
              <w:jc w:val="center"/>
              <w:rPr>
                <w:rFonts w:ascii="宋体" w:hAnsi="宋体" w:eastAsia="宋体" w:cs="宋体"/>
                <w:sz w:val="18"/>
                <w:szCs w:val="18"/>
              </w:rPr>
            </w:pPr>
            <w:r>
              <w:rPr>
                <w:rFonts w:ascii="宋体" w:hAnsi="宋体" w:eastAsia="宋体" w:cs="宋体"/>
                <w:sz w:val="18"/>
                <w:szCs w:val="18"/>
              </w:rPr>
              <w:t>合营企业或联营企业名称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E71DB80">
            <w:pPr>
              <w:spacing w:before="40" w:after="40" w:line="240" w:lineRule="exact"/>
              <w:jc w:val="center"/>
              <w:rPr>
                <w:rFonts w:ascii="宋体" w:hAnsi="宋体" w:eastAsia="宋体" w:cs="宋体"/>
                <w:sz w:val="18"/>
                <w:szCs w:val="18"/>
              </w:rPr>
            </w:pPr>
            <w:r>
              <w:rPr>
                <w:rFonts w:ascii="宋体" w:hAnsi="宋体" w:eastAsia="宋体" w:cs="宋体"/>
                <w:sz w:val="18"/>
                <w:szCs w:val="18"/>
              </w:rPr>
              <w:t>累积未确认前期累计的损失</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2FB54C8">
            <w:pPr>
              <w:spacing w:before="40" w:after="40" w:line="240" w:lineRule="exact"/>
              <w:jc w:val="center"/>
              <w:rPr>
                <w:rFonts w:ascii="宋体" w:hAnsi="宋体" w:eastAsia="宋体" w:cs="宋体"/>
                <w:sz w:val="18"/>
                <w:szCs w:val="18"/>
              </w:rPr>
            </w:pPr>
            <w:r>
              <w:rPr>
                <w:rFonts w:ascii="宋体" w:hAnsi="宋体" w:eastAsia="宋体" w:cs="宋体"/>
                <w:sz w:val="18"/>
                <w:szCs w:val="18"/>
              </w:rPr>
              <w:t>本期未确认的损失（或本期分享的净利润）</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63445E6">
            <w:pPr>
              <w:spacing w:before="40" w:after="40" w:line="240" w:lineRule="exact"/>
              <w:jc w:val="center"/>
              <w:rPr>
                <w:rFonts w:ascii="宋体" w:hAnsi="宋体" w:eastAsia="宋体" w:cs="宋体"/>
                <w:sz w:val="18"/>
                <w:szCs w:val="18"/>
              </w:rPr>
            </w:pPr>
            <w:r>
              <w:rPr>
                <w:rFonts w:ascii="宋体" w:hAnsi="宋体" w:eastAsia="宋体" w:cs="宋体"/>
                <w:sz w:val="18"/>
                <w:szCs w:val="18"/>
              </w:rPr>
              <w:t>本期末累积未确认的损失</w:t>
            </w:r>
          </w:p>
        </w:tc>
      </w:tr>
    </w:tbl>
    <w:p w14:paraId="45F98D81">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346DFC79">
      <w:pPr>
        <w:keepNext/>
        <w:keepLines/>
        <w:spacing w:before="300" w:after="300" w:line="280" w:lineRule="exact"/>
        <w:jc w:val="left"/>
        <w:outlineLvl w:val="3"/>
        <w:rPr>
          <w:rFonts w:ascii="宋体" w:hAnsi="宋体" w:eastAsia="宋体" w:cs="宋体"/>
          <w:b/>
          <w:bCs/>
          <w:sz w:val="21"/>
          <w:szCs w:val="21"/>
        </w:rPr>
      </w:pPr>
      <w:bookmarkStart w:id="495" w:name="_Toc989378"/>
      <w:r>
        <w:rPr>
          <w:rFonts w:ascii="宋体" w:hAnsi="宋体" w:eastAsia="宋体" w:cs="宋体"/>
          <w:b/>
          <w:bCs/>
          <w:sz w:val="21"/>
          <w:szCs w:val="21"/>
        </w:rPr>
        <w:t>（7） 与合营企业投资相关的未确认承诺</w:t>
      </w:r>
      <w:bookmarkEnd w:id="495"/>
    </w:p>
    <w:p w14:paraId="08C355DF">
      <w:pPr>
        <w:keepNext/>
        <w:keepLines/>
        <w:spacing w:before="300" w:after="300" w:line="280" w:lineRule="exact"/>
        <w:jc w:val="left"/>
        <w:outlineLvl w:val="3"/>
        <w:rPr>
          <w:rFonts w:ascii="宋体" w:hAnsi="宋体" w:eastAsia="宋体" w:cs="宋体"/>
          <w:b/>
          <w:bCs/>
          <w:sz w:val="21"/>
          <w:szCs w:val="21"/>
        </w:rPr>
      </w:pPr>
      <w:bookmarkStart w:id="496" w:name="_Toc989379"/>
      <w:r>
        <w:rPr>
          <w:rFonts w:ascii="宋体" w:hAnsi="宋体" w:eastAsia="宋体" w:cs="宋体"/>
          <w:b/>
          <w:bCs/>
          <w:sz w:val="21"/>
          <w:szCs w:val="21"/>
        </w:rPr>
        <w:t>（8） 与合营企业或联营企业投资相关的或有负债</w:t>
      </w:r>
      <w:bookmarkEnd w:id="496"/>
    </w:p>
    <w:p w14:paraId="14D5C84E">
      <w:pPr>
        <w:keepNext/>
        <w:keepLines/>
        <w:spacing w:before="300" w:after="300" w:line="280" w:lineRule="exact"/>
        <w:jc w:val="left"/>
        <w:outlineLvl w:val="2"/>
        <w:rPr>
          <w:rFonts w:ascii="宋体" w:hAnsi="宋体" w:eastAsia="宋体" w:cs="宋体"/>
          <w:b/>
          <w:bCs/>
          <w:sz w:val="21"/>
          <w:szCs w:val="21"/>
        </w:rPr>
      </w:pPr>
      <w:bookmarkStart w:id="497" w:name="_Toc989380"/>
      <w:r>
        <w:rPr>
          <w:rFonts w:ascii="宋体" w:hAnsi="宋体" w:eastAsia="宋体" w:cs="宋体"/>
          <w:b/>
          <w:bCs/>
          <w:sz w:val="21"/>
          <w:szCs w:val="21"/>
        </w:rPr>
        <w:t>4、重要的共同经营</w:t>
      </w:r>
      <w:bookmarkEnd w:id="497"/>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472CE7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26C8C31">
            <w:pPr>
              <w:spacing w:before="40" w:after="40" w:line="240" w:lineRule="exact"/>
              <w:jc w:val="center"/>
              <w:rPr>
                <w:rFonts w:ascii="宋体" w:hAnsi="宋体" w:eastAsia="宋体" w:cs="宋体"/>
                <w:sz w:val="18"/>
                <w:szCs w:val="18"/>
              </w:rPr>
            </w:pPr>
            <w:r>
              <w:rPr>
                <w:rFonts w:ascii="宋体" w:hAnsi="宋体" w:eastAsia="宋体" w:cs="宋体"/>
                <w:sz w:val="18"/>
                <w:szCs w:val="18"/>
              </w:rPr>
              <w:t>共同经营名称</w:t>
            </w:r>
          </w:p>
        </w:tc>
        <w:tc>
          <w:tcPr>
            <w:tcW w:w="160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4A9DAE0">
            <w:pPr>
              <w:spacing w:before="40" w:after="40" w:line="240" w:lineRule="exact"/>
              <w:jc w:val="center"/>
              <w:rPr>
                <w:rFonts w:ascii="宋体" w:hAnsi="宋体" w:eastAsia="宋体" w:cs="宋体"/>
                <w:sz w:val="18"/>
                <w:szCs w:val="18"/>
              </w:rPr>
            </w:pPr>
            <w:r>
              <w:rPr>
                <w:rFonts w:ascii="宋体" w:hAnsi="宋体" w:eastAsia="宋体" w:cs="宋体"/>
                <w:sz w:val="18"/>
                <w:szCs w:val="18"/>
              </w:rPr>
              <w:t>主要经营地</w:t>
            </w:r>
          </w:p>
        </w:tc>
        <w:tc>
          <w:tcPr>
            <w:tcW w:w="160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BFBFA84">
            <w:pPr>
              <w:spacing w:before="40" w:after="40" w:line="240" w:lineRule="exact"/>
              <w:jc w:val="center"/>
              <w:rPr>
                <w:rFonts w:ascii="宋体" w:hAnsi="宋体" w:eastAsia="宋体" w:cs="宋体"/>
                <w:sz w:val="18"/>
                <w:szCs w:val="18"/>
              </w:rPr>
            </w:pPr>
            <w:r>
              <w:rPr>
                <w:rFonts w:ascii="宋体" w:hAnsi="宋体" w:eastAsia="宋体" w:cs="宋体"/>
                <w:sz w:val="18"/>
                <w:szCs w:val="18"/>
              </w:rPr>
              <w:t>注册地</w:t>
            </w:r>
          </w:p>
        </w:tc>
        <w:tc>
          <w:tcPr>
            <w:tcW w:w="160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84161F4">
            <w:pPr>
              <w:spacing w:before="40" w:after="40" w:line="240" w:lineRule="exact"/>
              <w:jc w:val="center"/>
              <w:rPr>
                <w:rFonts w:ascii="宋体" w:hAnsi="宋体" w:eastAsia="宋体" w:cs="宋体"/>
                <w:sz w:val="18"/>
                <w:szCs w:val="18"/>
              </w:rPr>
            </w:pPr>
            <w:r>
              <w:rPr>
                <w:rFonts w:ascii="宋体" w:hAnsi="宋体" w:eastAsia="宋体" w:cs="宋体"/>
                <w:sz w:val="18"/>
                <w:szCs w:val="18"/>
              </w:rPr>
              <w:t>业务性质</w:t>
            </w:r>
          </w:p>
        </w:tc>
        <w:tc>
          <w:tcPr>
            <w:tcW w:w="321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F239D7E">
            <w:pPr>
              <w:spacing w:before="40" w:after="40" w:line="240" w:lineRule="exact"/>
              <w:jc w:val="center"/>
              <w:rPr>
                <w:rFonts w:ascii="宋体" w:hAnsi="宋体" w:eastAsia="宋体" w:cs="宋体"/>
                <w:sz w:val="18"/>
                <w:szCs w:val="18"/>
              </w:rPr>
            </w:pPr>
            <w:r>
              <w:rPr>
                <w:rFonts w:ascii="宋体" w:hAnsi="宋体" w:eastAsia="宋体" w:cs="宋体"/>
                <w:sz w:val="18"/>
                <w:szCs w:val="18"/>
              </w:rPr>
              <w:t>持股比例/享有的份额</w:t>
            </w:r>
          </w:p>
        </w:tc>
      </w:tr>
      <w:tr w14:paraId="742FF6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C6A8A02"/>
        </w:tc>
        <w:tc>
          <w:tcPr>
            <w:tcW w:w="160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433FD8E"/>
        </w:tc>
        <w:tc>
          <w:tcPr>
            <w:tcW w:w="160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A91B59A"/>
        </w:tc>
        <w:tc>
          <w:tcPr>
            <w:tcW w:w="160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B8C2CE0"/>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7A46D0E">
            <w:pPr>
              <w:spacing w:before="40" w:after="40" w:line="240" w:lineRule="exact"/>
              <w:jc w:val="center"/>
              <w:rPr>
                <w:rFonts w:ascii="宋体" w:hAnsi="宋体" w:eastAsia="宋体" w:cs="宋体"/>
                <w:sz w:val="18"/>
                <w:szCs w:val="18"/>
              </w:rPr>
            </w:pPr>
            <w:r>
              <w:rPr>
                <w:rFonts w:ascii="宋体" w:hAnsi="宋体" w:eastAsia="宋体" w:cs="宋体"/>
                <w:sz w:val="18"/>
                <w:szCs w:val="18"/>
              </w:rPr>
              <w:t>直接</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207941A">
            <w:pPr>
              <w:spacing w:before="40" w:after="40" w:line="240" w:lineRule="exact"/>
              <w:jc w:val="center"/>
              <w:rPr>
                <w:rFonts w:ascii="宋体" w:hAnsi="宋体" w:eastAsia="宋体" w:cs="宋体"/>
                <w:sz w:val="18"/>
                <w:szCs w:val="18"/>
              </w:rPr>
            </w:pPr>
            <w:r>
              <w:rPr>
                <w:rFonts w:ascii="宋体" w:hAnsi="宋体" w:eastAsia="宋体" w:cs="宋体"/>
                <w:sz w:val="18"/>
                <w:szCs w:val="18"/>
              </w:rPr>
              <w:t>间接</w:t>
            </w:r>
          </w:p>
        </w:tc>
      </w:tr>
    </w:tbl>
    <w:p w14:paraId="18A89EB3">
      <w:pPr>
        <w:spacing w:before="100" w:after="100" w:line="240" w:lineRule="exact"/>
        <w:jc w:val="left"/>
        <w:rPr>
          <w:rFonts w:ascii="宋体" w:hAnsi="宋体" w:eastAsia="宋体" w:cs="宋体"/>
          <w:sz w:val="18"/>
          <w:szCs w:val="18"/>
        </w:rPr>
      </w:pPr>
      <w:r>
        <w:rPr>
          <w:rFonts w:ascii="宋体" w:hAnsi="宋体" w:eastAsia="宋体" w:cs="宋体"/>
          <w:sz w:val="18"/>
          <w:szCs w:val="18"/>
        </w:rPr>
        <w:t>在共同经营中的持股比例或享有的份额不同于表决权比例的说明：</w:t>
      </w:r>
    </w:p>
    <w:p w14:paraId="23922BB3">
      <w:pPr>
        <w:spacing w:before="100" w:after="100" w:line="240" w:lineRule="exact"/>
        <w:jc w:val="left"/>
        <w:rPr>
          <w:rFonts w:ascii="宋体" w:hAnsi="宋体" w:eastAsia="宋体" w:cs="宋体"/>
          <w:sz w:val="18"/>
          <w:szCs w:val="18"/>
        </w:rPr>
      </w:pPr>
      <w:r>
        <w:rPr>
          <w:rFonts w:ascii="宋体" w:hAnsi="宋体" w:eastAsia="宋体" w:cs="宋体"/>
          <w:sz w:val="18"/>
          <w:szCs w:val="18"/>
        </w:rPr>
        <w:t>共同经营为单独主体的，分类为共同经营的依据：</w:t>
      </w:r>
    </w:p>
    <w:p w14:paraId="2AF3EE6F">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467D9190">
      <w:pPr>
        <w:keepNext/>
        <w:keepLines/>
        <w:spacing w:before="300" w:after="300" w:line="280" w:lineRule="exact"/>
        <w:jc w:val="left"/>
        <w:outlineLvl w:val="2"/>
        <w:rPr>
          <w:rFonts w:ascii="宋体" w:hAnsi="宋体" w:eastAsia="宋体" w:cs="宋体"/>
          <w:b/>
          <w:bCs/>
          <w:sz w:val="21"/>
          <w:szCs w:val="21"/>
        </w:rPr>
      </w:pPr>
      <w:bookmarkStart w:id="498" w:name="_Toc989381"/>
      <w:r>
        <w:rPr>
          <w:rFonts w:ascii="宋体" w:hAnsi="宋体" w:eastAsia="宋体" w:cs="宋体"/>
          <w:b/>
          <w:bCs/>
          <w:sz w:val="21"/>
          <w:szCs w:val="21"/>
        </w:rPr>
        <w:t>5、在未纳入合并财务报表范围的结构化主体中的权益</w:t>
      </w:r>
      <w:bookmarkEnd w:id="498"/>
    </w:p>
    <w:p w14:paraId="6543EC88">
      <w:pPr>
        <w:spacing w:before="100" w:after="100" w:line="240" w:lineRule="exact"/>
        <w:jc w:val="left"/>
        <w:rPr>
          <w:rFonts w:ascii="宋体" w:hAnsi="宋体" w:eastAsia="宋体" w:cs="宋体"/>
          <w:sz w:val="18"/>
          <w:szCs w:val="18"/>
        </w:rPr>
      </w:pPr>
      <w:r>
        <w:rPr>
          <w:rFonts w:ascii="宋体" w:hAnsi="宋体" w:eastAsia="宋体" w:cs="宋体"/>
          <w:sz w:val="18"/>
          <w:szCs w:val="18"/>
        </w:rPr>
        <w:t>未纳入合并财务报表范围的结构化主体的相关说明：</w:t>
      </w:r>
    </w:p>
    <w:p w14:paraId="0F856C28">
      <w:pPr>
        <w:keepNext/>
        <w:keepLines/>
        <w:spacing w:before="300" w:after="300" w:line="280" w:lineRule="exact"/>
        <w:jc w:val="left"/>
        <w:outlineLvl w:val="2"/>
        <w:rPr>
          <w:rFonts w:ascii="宋体" w:hAnsi="宋体" w:eastAsia="宋体" w:cs="宋体"/>
          <w:b/>
          <w:bCs/>
          <w:sz w:val="21"/>
          <w:szCs w:val="21"/>
        </w:rPr>
      </w:pPr>
      <w:bookmarkStart w:id="499" w:name="_Toc989382"/>
      <w:r>
        <w:rPr>
          <w:rFonts w:ascii="宋体" w:hAnsi="宋体" w:eastAsia="宋体" w:cs="宋体"/>
          <w:b/>
          <w:bCs/>
          <w:sz w:val="21"/>
          <w:szCs w:val="21"/>
        </w:rPr>
        <w:t>6、其他</w:t>
      </w:r>
      <w:bookmarkEnd w:id="499"/>
    </w:p>
    <w:p w14:paraId="2E353719">
      <w:pPr>
        <w:keepNext/>
        <w:keepLines/>
        <w:spacing w:before="300" w:after="300" w:line="320" w:lineRule="exact"/>
        <w:jc w:val="left"/>
        <w:outlineLvl w:val="1"/>
        <w:rPr>
          <w:rFonts w:ascii="宋体" w:hAnsi="宋体" w:eastAsia="宋体" w:cs="宋体"/>
          <w:b/>
          <w:bCs/>
          <w:sz w:val="24"/>
          <w:szCs w:val="24"/>
        </w:rPr>
      </w:pPr>
      <w:bookmarkStart w:id="500" w:name="_Toc989383"/>
      <w:r>
        <w:rPr>
          <w:rFonts w:ascii="宋体" w:hAnsi="宋体" w:eastAsia="宋体" w:cs="宋体"/>
          <w:b/>
          <w:bCs/>
          <w:sz w:val="24"/>
          <w:szCs w:val="24"/>
        </w:rPr>
        <w:t>十一、政府补助</w:t>
      </w:r>
      <w:bookmarkEnd w:id="500"/>
    </w:p>
    <w:p w14:paraId="5422C7D3">
      <w:pPr>
        <w:keepNext/>
        <w:keepLines/>
        <w:spacing w:before="300" w:after="300" w:line="280" w:lineRule="exact"/>
        <w:jc w:val="left"/>
        <w:outlineLvl w:val="2"/>
        <w:rPr>
          <w:rFonts w:ascii="宋体" w:hAnsi="宋体" w:eastAsia="宋体" w:cs="宋体"/>
          <w:b/>
          <w:bCs/>
          <w:sz w:val="21"/>
          <w:szCs w:val="21"/>
        </w:rPr>
      </w:pPr>
      <w:bookmarkStart w:id="501" w:name="_Toc989384"/>
      <w:r>
        <w:rPr>
          <w:rFonts w:ascii="宋体" w:hAnsi="宋体" w:eastAsia="宋体" w:cs="宋体"/>
          <w:b/>
          <w:bCs/>
          <w:sz w:val="21"/>
          <w:szCs w:val="21"/>
        </w:rPr>
        <w:t>1、报告期末按应收金额确认的政府补助</w:t>
      </w:r>
      <w:bookmarkEnd w:id="501"/>
    </w:p>
    <w:p w14:paraId="3170B0E9">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17FF000">
      <w:pPr>
        <w:spacing w:before="0" w:after="0" w:line="240" w:lineRule="exact"/>
        <w:jc w:val="left"/>
        <w:rPr>
          <w:rFonts w:ascii="宋体" w:hAnsi="宋体" w:eastAsia="宋体" w:cs="宋体"/>
          <w:sz w:val="18"/>
          <w:szCs w:val="18"/>
        </w:rPr>
      </w:pPr>
      <w:r>
        <w:rPr>
          <w:rFonts w:ascii="宋体" w:hAnsi="宋体" w:eastAsia="宋体" w:cs="宋体"/>
          <w:sz w:val="18"/>
          <w:szCs w:val="18"/>
        </w:rPr>
        <w:t>未能在预计时点收到预计金额的政府补助的原因</w:t>
      </w:r>
    </w:p>
    <w:p w14:paraId="64F344EA">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C2D33B0">
      <w:pPr>
        <w:keepNext/>
        <w:keepLines/>
        <w:spacing w:before="300" w:after="300" w:line="280" w:lineRule="exact"/>
        <w:jc w:val="left"/>
        <w:outlineLvl w:val="2"/>
        <w:rPr>
          <w:rFonts w:ascii="宋体" w:hAnsi="宋体" w:eastAsia="宋体" w:cs="宋体"/>
          <w:b/>
          <w:bCs/>
          <w:sz w:val="21"/>
          <w:szCs w:val="21"/>
        </w:rPr>
      </w:pPr>
      <w:bookmarkStart w:id="502" w:name="_Toc989385"/>
      <w:r>
        <w:rPr>
          <w:rFonts w:ascii="宋体" w:hAnsi="宋体" w:eastAsia="宋体" w:cs="宋体"/>
          <w:b/>
          <w:bCs/>
          <w:sz w:val="21"/>
          <w:szCs w:val="21"/>
        </w:rPr>
        <w:t>2、涉及政府补助的负债项目</w:t>
      </w:r>
      <w:bookmarkEnd w:id="502"/>
    </w:p>
    <w:p w14:paraId="5CF37FF7">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5F01421C">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5"/>
        <w:gridCol w:w="1205"/>
        <w:gridCol w:w="1205"/>
        <w:gridCol w:w="1205"/>
        <w:gridCol w:w="1205"/>
        <w:gridCol w:w="1205"/>
        <w:gridCol w:w="1205"/>
        <w:gridCol w:w="1205"/>
      </w:tblGrid>
      <w:tr w14:paraId="011C16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761D5426">
            <w:pPr>
              <w:spacing w:before="40" w:after="40" w:line="240" w:lineRule="exact"/>
              <w:jc w:val="center"/>
              <w:rPr>
                <w:rFonts w:ascii="宋体" w:hAnsi="宋体" w:eastAsia="宋体" w:cs="宋体"/>
                <w:sz w:val="18"/>
                <w:szCs w:val="18"/>
              </w:rPr>
            </w:pPr>
            <w:r>
              <w:rPr>
                <w:rFonts w:ascii="宋体" w:hAnsi="宋体" w:eastAsia="宋体" w:cs="宋体"/>
                <w:sz w:val="18"/>
                <w:szCs w:val="18"/>
              </w:rPr>
              <w:t>会计科目</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1D382AF1">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5CAE461D">
            <w:pPr>
              <w:spacing w:before="40" w:after="40" w:line="240" w:lineRule="exact"/>
              <w:jc w:val="center"/>
              <w:rPr>
                <w:rFonts w:ascii="宋体" w:hAnsi="宋体" w:eastAsia="宋体" w:cs="宋体"/>
                <w:sz w:val="18"/>
                <w:szCs w:val="18"/>
              </w:rPr>
            </w:pPr>
            <w:r>
              <w:rPr>
                <w:rFonts w:ascii="宋体" w:hAnsi="宋体" w:eastAsia="宋体" w:cs="宋体"/>
                <w:sz w:val="18"/>
                <w:szCs w:val="18"/>
              </w:rPr>
              <w:t>本期新增补助金额</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1ACA1F4D">
            <w:pPr>
              <w:spacing w:before="40" w:after="40" w:line="240" w:lineRule="exact"/>
              <w:jc w:val="center"/>
              <w:rPr>
                <w:rFonts w:ascii="宋体" w:hAnsi="宋体" w:eastAsia="宋体" w:cs="宋体"/>
                <w:sz w:val="18"/>
                <w:szCs w:val="18"/>
              </w:rPr>
            </w:pPr>
            <w:r>
              <w:rPr>
                <w:rFonts w:ascii="宋体" w:hAnsi="宋体" w:eastAsia="宋体" w:cs="宋体"/>
                <w:sz w:val="18"/>
                <w:szCs w:val="18"/>
              </w:rPr>
              <w:t>本期计入营业外收入金额</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04EA181F">
            <w:pPr>
              <w:spacing w:before="40" w:after="40" w:line="240" w:lineRule="exact"/>
              <w:jc w:val="center"/>
              <w:rPr>
                <w:rFonts w:ascii="宋体" w:hAnsi="宋体" w:eastAsia="宋体" w:cs="宋体"/>
                <w:sz w:val="18"/>
                <w:szCs w:val="18"/>
              </w:rPr>
            </w:pPr>
            <w:r>
              <w:rPr>
                <w:rFonts w:ascii="宋体" w:hAnsi="宋体" w:eastAsia="宋体" w:cs="宋体"/>
                <w:sz w:val="18"/>
                <w:szCs w:val="18"/>
              </w:rPr>
              <w:t>本期转入其他收益金额</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48FD4815">
            <w:pPr>
              <w:spacing w:before="40" w:after="40" w:line="240" w:lineRule="exact"/>
              <w:jc w:val="center"/>
              <w:rPr>
                <w:rFonts w:ascii="宋体" w:hAnsi="宋体" w:eastAsia="宋体" w:cs="宋体"/>
                <w:sz w:val="18"/>
                <w:szCs w:val="18"/>
              </w:rPr>
            </w:pPr>
            <w:r>
              <w:rPr>
                <w:rFonts w:ascii="宋体" w:hAnsi="宋体" w:eastAsia="宋体" w:cs="宋体"/>
                <w:sz w:val="18"/>
                <w:szCs w:val="18"/>
              </w:rPr>
              <w:t>本期其他变动</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75950CA3">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14:paraId="4546992E">
            <w:pPr>
              <w:spacing w:before="40" w:after="40" w:line="240" w:lineRule="exact"/>
              <w:jc w:val="center"/>
              <w:rPr>
                <w:rFonts w:ascii="宋体" w:hAnsi="宋体" w:eastAsia="宋体" w:cs="宋体"/>
                <w:sz w:val="18"/>
                <w:szCs w:val="18"/>
              </w:rPr>
            </w:pPr>
            <w:r>
              <w:rPr>
                <w:rFonts w:ascii="宋体" w:hAnsi="宋体" w:eastAsia="宋体" w:cs="宋体"/>
                <w:sz w:val="18"/>
                <w:szCs w:val="18"/>
              </w:rPr>
              <w:t>与资产/收益相关</w:t>
            </w:r>
          </w:p>
        </w:tc>
      </w:tr>
      <w:tr w14:paraId="09FF96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6A19399E">
            <w:pPr>
              <w:spacing w:before="0" w:after="0" w:line="240" w:lineRule="exact"/>
              <w:jc w:val="left"/>
              <w:rPr>
                <w:rFonts w:ascii="宋体" w:hAnsi="宋体" w:eastAsia="宋体" w:cs="宋体"/>
                <w:sz w:val="18"/>
                <w:szCs w:val="18"/>
              </w:rPr>
            </w:pPr>
            <w:r>
              <w:rPr>
                <w:rFonts w:ascii="宋体" w:hAnsi="宋体" w:eastAsia="宋体" w:cs="宋体"/>
                <w:sz w:val="18"/>
                <w:szCs w:val="18"/>
              </w:rPr>
              <w:t>镇江新区丁卯片区厂房搬迁补偿款</w:t>
            </w:r>
          </w:p>
        </w:tc>
        <w:tc>
          <w:tcPr>
            <w:tcW w:w="1205" w:type="dxa"/>
            <w:tcBorders>
              <w:top w:val="single" w:color="auto" w:sz="2" w:space="0"/>
              <w:left w:val="single" w:color="auto" w:sz="2" w:space="0"/>
              <w:bottom w:val="single" w:color="auto" w:sz="2" w:space="0"/>
              <w:right w:val="single" w:color="auto" w:sz="2" w:space="0"/>
            </w:tcBorders>
            <w:vAlign w:val="center"/>
          </w:tcPr>
          <w:p w14:paraId="006991C9">
            <w:pPr>
              <w:spacing w:before="0" w:after="0" w:line="240" w:lineRule="exact"/>
              <w:jc w:val="right"/>
              <w:rPr>
                <w:rFonts w:ascii="宋体" w:hAnsi="宋体" w:eastAsia="宋体" w:cs="宋体"/>
                <w:sz w:val="18"/>
                <w:szCs w:val="18"/>
              </w:rPr>
            </w:pPr>
            <w:r>
              <w:rPr>
                <w:rFonts w:ascii="宋体" w:hAnsi="宋体" w:eastAsia="宋体" w:cs="宋体"/>
                <w:sz w:val="18"/>
                <w:szCs w:val="18"/>
              </w:rPr>
              <w:t>26,596,439.86</w:t>
            </w:r>
          </w:p>
        </w:tc>
        <w:tc>
          <w:tcPr>
            <w:tcW w:w="1205" w:type="dxa"/>
            <w:tcBorders>
              <w:top w:val="single" w:color="auto" w:sz="2" w:space="0"/>
              <w:left w:val="single" w:color="auto" w:sz="2" w:space="0"/>
              <w:bottom w:val="single" w:color="auto" w:sz="2" w:space="0"/>
              <w:right w:val="single" w:color="auto" w:sz="2" w:space="0"/>
            </w:tcBorders>
            <w:vAlign w:val="center"/>
          </w:tcPr>
          <w:p w14:paraId="19818A71">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842B4BF">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E790E34">
            <w:pPr>
              <w:spacing w:before="0" w:after="0" w:line="240" w:lineRule="exact"/>
              <w:jc w:val="right"/>
              <w:rPr>
                <w:rFonts w:ascii="宋体" w:hAnsi="宋体" w:eastAsia="宋体" w:cs="宋体"/>
                <w:sz w:val="18"/>
                <w:szCs w:val="18"/>
              </w:rPr>
            </w:pPr>
            <w:r>
              <w:rPr>
                <w:rFonts w:ascii="宋体" w:hAnsi="宋体" w:eastAsia="宋体" w:cs="宋体"/>
                <w:sz w:val="18"/>
                <w:szCs w:val="18"/>
              </w:rPr>
              <w:t>2,513,049.48</w:t>
            </w:r>
          </w:p>
        </w:tc>
        <w:tc>
          <w:tcPr>
            <w:tcW w:w="1205" w:type="dxa"/>
            <w:tcBorders>
              <w:top w:val="single" w:color="auto" w:sz="2" w:space="0"/>
              <w:left w:val="single" w:color="auto" w:sz="2" w:space="0"/>
              <w:bottom w:val="single" w:color="auto" w:sz="2" w:space="0"/>
              <w:right w:val="single" w:color="auto" w:sz="2" w:space="0"/>
            </w:tcBorders>
            <w:vAlign w:val="center"/>
          </w:tcPr>
          <w:p w14:paraId="6842EA8C">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5C3A583">
            <w:pPr>
              <w:spacing w:before="0" w:after="0" w:line="240" w:lineRule="exact"/>
              <w:jc w:val="right"/>
              <w:rPr>
                <w:rFonts w:ascii="宋体" w:hAnsi="宋体" w:eastAsia="宋体" w:cs="宋体"/>
                <w:sz w:val="18"/>
                <w:szCs w:val="18"/>
              </w:rPr>
            </w:pPr>
            <w:r>
              <w:rPr>
                <w:rFonts w:ascii="宋体" w:hAnsi="宋体" w:eastAsia="宋体" w:cs="宋体"/>
                <w:sz w:val="18"/>
                <w:szCs w:val="18"/>
              </w:rPr>
              <w:t>24,083,390.38</w:t>
            </w:r>
          </w:p>
        </w:tc>
        <w:tc>
          <w:tcPr>
            <w:tcW w:w="1205" w:type="dxa"/>
            <w:tcBorders>
              <w:top w:val="single" w:color="auto" w:sz="2" w:space="0"/>
              <w:left w:val="single" w:color="auto" w:sz="2" w:space="0"/>
              <w:bottom w:val="single" w:color="auto" w:sz="2" w:space="0"/>
              <w:right w:val="single" w:color="auto" w:sz="2" w:space="0"/>
            </w:tcBorders>
            <w:vAlign w:val="center"/>
          </w:tcPr>
          <w:p w14:paraId="7D5C99E5">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196C48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171A2129">
            <w:pPr>
              <w:spacing w:before="0" w:after="0" w:line="240" w:lineRule="exact"/>
              <w:jc w:val="left"/>
              <w:rPr>
                <w:rFonts w:ascii="宋体" w:hAnsi="宋体" w:eastAsia="宋体" w:cs="宋体"/>
                <w:sz w:val="18"/>
                <w:szCs w:val="18"/>
              </w:rPr>
            </w:pPr>
            <w:r>
              <w:rPr>
                <w:rFonts w:ascii="宋体" w:hAnsi="宋体" w:eastAsia="宋体" w:cs="宋体"/>
                <w:sz w:val="18"/>
                <w:szCs w:val="18"/>
              </w:rPr>
              <w:t>中央引导地方科技发展资金</w:t>
            </w:r>
          </w:p>
        </w:tc>
        <w:tc>
          <w:tcPr>
            <w:tcW w:w="1205" w:type="dxa"/>
            <w:tcBorders>
              <w:top w:val="single" w:color="auto" w:sz="2" w:space="0"/>
              <w:left w:val="single" w:color="auto" w:sz="2" w:space="0"/>
              <w:bottom w:val="single" w:color="auto" w:sz="2" w:space="0"/>
              <w:right w:val="single" w:color="auto" w:sz="2" w:space="0"/>
            </w:tcBorders>
            <w:vAlign w:val="center"/>
          </w:tcPr>
          <w:p w14:paraId="02C28D25">
            <w:pPr>
              <w:spacing w:before="0" w:after="0" w:line="240" w:lineRule="exact"/>
              <w:jc w:val="right"/>
              <w:rPr>
                <w:rFonts w:ascii="宋体" w:hAnsi="宋体" w:eastAsia="宋体" w:cs="宋体"/>
                <w:sz w:val="18"/>
                <w:szCs w:val="18"/>
              </w:rPr>
            </w:pPr>
            <w:r>
              <w:rPr>
                <w:rFonts w:ascii="宋体" w:hAnsi="宋体" w:eastAsia="宋体" w:cs="宋体"/>
                <w:sz w:val="18"/>
                <w:szCs w:val="18"/>
              </w:rPr>
              <w:t>1,000,000.00</w:t>
            </w:r>
          </w:p>
        </w:tc>
        <w:tc>
          <w:tcPr>
            <w:tcW w:w="1205" w:type="dxa"/>
            <w:tcBorders>
              <w:top w:val="single" w:color="auto" w:sz="2" w:space="0"/>
              <w:left w:val="single" w:color="auto" w:sz="2" w:space="0"/>
              <w:bottom w:val="single" w:color="auto" w:sz="2" w:space="0"/>
              <w:right w:val="single" w:color="auto" w:sz="2" w:space="0"/>
            </w:tcBorders>
            <w:vAlign w:val="center"/>
          </w:tcPr>
          <w:p w14:paraId="12837678">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7B05E486">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40F03F2C">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49A4135D">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7F4B23F">
            <w:pPr>
              <w:spacing w:before="0" w:after="0" w:line="240" w:lineRule="exact"/>
              <w:jc w:val="right"/>
              <w:rPr>
                <w:rFonts w:ascii="宋体" w:hAnsi="宋体" w:eastAsia="宋体" w:cs="宋体"/>
                <w:sz w:val="18"/>
                <w:szCs w:val="18"/>
              </w:rPr>
            </w:pPr>
            <w:r>
              <w:rPr>
                <w:rFonts w:ascii="宋体" w:hAnsi="宋体" w:eastAsia="宋体" w:cs="宋体"/>
                <w:sz w:val="18"/>
                <w:szCs w:val="18"/>
              </w:rPr>
              <w:t>1,000,000.00</w:t>
            </w:r>
          </w:p>
        </w:tc>
        <w:tc>
          <w:tcPr>
            <w:tcW w:w="1205" w:type="dxa"/>
            <w:tcBorders>
              <w:top w:val="single" w:color="auto" w:sz="2" w:space="0"/>
              <w:left w:val="single" w:color="auto" w:sz="2" w:space="0"/>
              <w:bottom w:val="single" w:color="auto" w:sz="2" w:space="0"/>
              <w:right w:val="single" w:color="auto" w:sz="2" w:space="0"/>
            </w:tcBorders>
            <w:vAlign w:val="center"/>
          </w:tcPr>
          <w:p w14:paraId="57FCA172">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4E0857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16CB3DCF">
            <w:pPr>
              <w:spacing w:before="0" w:after="0" w:line="240" w:lineRule="exact"/>
              <w:jc w:val="left"/>
              <w:rPr>
                <w:rFonts w:ascii="宋体" w:hAnsi="宋体" w:eastAsia="宋体" w:cs="宋体"/>
                <w:sz w:val="18"/>
                <w:szCs w:val="18"/>
              </w:rPr>
            </w:pPr>
            <w:r>
              <w:rPr>
                <w:rFonts w:ascii="宋体" w:hAnsi="宋体" w:eastAsia="宋体" w:cs="宋体"/>
                <w:sz w:val="18"/>
                <w:szCs w:val="18"/>
              </w:rPr>
              <w:t>福建省发展改革委福建省经贸委关于福建广生堂药业有限公司申核苷类抗乙肝病毒系列产品的产业化项目2009年重点产业振兴和技术改造专项资金申请报告的批复</w:t>
            </w:r>
          </w:p>
        </w:tc>
        <w:tc>
          <w:tcPr>
            <w:tcW w:w="1205" w:type="dxa"/>
            <w:tcBorders>
              <w:top w:val="single" w:color="auto" w:sz="2" w:space="0"/>
              <w:left w:val="single" w:color="auto" w:sz="2" w:space="0"/>
              <w:bottom w:val="single" w:color="auto" w:sz="2" w:space="0"/>
              <w:right w:val="single" w:color="auto" w:sz="2" w:space="0"/>
            </w:tcBorders>
            <w:vAlign w:val="center"/>
          </w:tcPr>
          <w:p w14:paraId="63D53EB6">
            <w:pPr>
              <w:spacing w:before="0" w:after="0" w:line="240" w:lineRule="exact"/>
              <w:jc w:val="right"/>
              <w:rPr>
                <w:rFonts w:ascii="宋体" w:hAnsi="宋体" w:eastAsia="宋体" w:cs="宋体"/>
                <w:sz w:val="18"/>
                <w:szCs w:val="18"/>
              </w:rPr>
            </w:pPr>
            <w:r>
              <w:rPr>
                <w:rFonts w:ascii="宋体" w:hAnsi="宋体" w:eastAsia="宋体" w:cs="宋体"/>
                <w:sz w:val="18"/>
                <w:szCs w:val="18"/>
              </w:rPr>
              <w:t>2,412,504.86</w:t>
            </w:r>
          </w:p>
        </w:tc>
        <w:tc>
          <w:tcPr>
            <w:tcW w:w="1205" w:type="dxa"/>
            <w:tcBorders>
              <w:top w:val="single" w:color="auto" w:sz="2" w:space="0"/>
              <w:left w:val="single" w:color="auto" w:sz="2" w:space="0"/>
              <w:bottom w:val="single" w:color="auto" w:sz="2" w:space="0"/>
              <w:right w:val="single" w:color="auto" w:sz="2" w:space="0"/>
            </w:tcBorders>
            <w:vAlign w:val="center"/>
          </w:tcPr>
          <w:p w14:paraId="25B4DAFE">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46C7B01">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027BDA5">
            <w:pPr>
              <w:spacing w:before="0" w:after="0" w:line="240" w:lineRule="exact"/>
              <w:jc w:val="right"/>
              <w:rPr>
                <w:rFonts w:ascii="宋体" w:hAnsi="宋体" w:eastAsia="宋体" w:cs="宋体"/>
                <w:sz w:val="18"/>
                <w:szCs w:val="18"/>
              </w:rPr>
            </w:pPr>
            <w:r>
              <w:rPr>
                <w:rFonts w:ascii="宋体" w:hAnsi="宋体" w:eastAsia="宋体" w:cs="宋体"/>
                <w:sz w:val="18"/>
                <w:szCs w:val="18"/>
              </w:rPr>
              <w:t>128,120.00</w:t>
            </w:r>
          </w:p>
        </w:tc>
        <w:tc>
          <w:tcPr>
            <w:tcW w:w="1205" w:type="dxa"/>
            <w:tcBorders>
              <w:top w:val="single" w:color="auto" w:sz="2" w:space="0"/>
              <w:left w:val="single" w:color="auto" w:sz="2" w:space="0"/>
              <w:bottom w:val="single" w:color="auto" w:sz="2" w:space="0"/>
              <w:right w:val="single" w:color="auto" w:sz="2" w:space="0"/>
            </w:tcBorders>
            <w:vAlign w:val="center"/>
          </w:tcPr>
          <w:p w14:paraId="7EBCEBA6">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5E5FDEC">
            <w:pPr>
              <w:spacing w:before="0" w:after="0" w:line="240" w:lineRule="exact"/>
              <w:jc w:val="right"/>
              <w:rPr>
                <w:rFonts w:ascii="宋体" w:hAnsi="宋体" w:eastAsia="宋体" w:cs="宋体"/>
                <w:sz w:val="18"/>
                <w:szCs w:val="18"/>
              </w:rPr>
            </w:pPr>
            <w:r>
              <w:rPr>
                <w:rFonts w:ascii="宋体" w:hAnsi="宋体" w:eastAsia="宋体" w:cs="宋体"/>
                <w:sz w:val="18"/>
                <w:szCs w:val="18"/>
              </w:rPr>
              <w:t>2,284,384.86</w:t>
            </w:r>
          </w:p>
        </w:tc>
        <w:tc>
          <w:tcPr>
            <w:tcW w:w="1205" w:type="dxa"/>
            <w:tcBorders>
              <w:top w:val="single" w:color="auto" w:sz="2" w:space="0"/>
              <w:left w:val="single" w:color="auto" w:sz="2" w:space="0"/>
              <w:bottom w:val="single" w:color="auto" w:sz="2" w:space="0"/>
              <w:right w:val="single" w:color="auto" w:sz="2" w:space="0"/>
            </w:tcBorders>
            <w:vAlign w:val="center"/>
          </w:tcPr>
          <w:p w14:paraId="73F3D209">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1CE566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68962D0A">
            <w:pPr>
              <w:spacing w:before="0" w:after="0" w:line="240" w:lineRule="exact"/>
              <w:jc w:val="left"/>
              <w:rPr>
                <w:rFonts w:ascii="宋体" w:hAnsi="宋体" w:eastAsia="宋体" w:cs="宋体"/>
                <w:sz w:val="18"/>
                <w:szCs w:val="18"/>
              </w:rPr>
            </w:pPr>
            <w:r>
              <w:rPr>
                <w:rFonts w:ascii="宋体" w:hAnsi="宋体" w:eastAsia="宋体" w:cs="宋体"/>
                <w:sz w:val="18"/>
                <w:szCs w:val="18"/>
              </w:rPr>
              <w:t>关于下达2010年省专利实施与产业化项目计划和经费（市级第一批）的通知</w:t>
            </w:r>
          </w:p>
        </w:tc>
        <w:tc>
          <w:tcPr>
            <w:tcW w:w="1205" w:type="dxa"/>
            <w:tcBorders>
              <w:top w:val="single" w:color="auto" w:sz="2" w:space="0"/>
              <w:left w:val="single" w:color="auto" w:sz="2" w:space="0"/>
              <w:bottom w:val="single" w:color="auto" w:sz="2" w:space="0"/>
              <w:right w:val="single" w:color="auto" w:sz="2" w:space="0"/>
            </w:tcBorders>
            <w:vAlign w:val="center"/>
          </w:tcPr>
          <w:p w14:paraId="33E44442">
            <w:pPr>
              <w:spacing w:before="0" w:after="0" w:line="240" w:lineRule="exact"/>
              <w:jc w:val="right"/>
              <w:rPr>
                <w:rFonts w:ascii="宋体" w:hAnsi="宋体" w:eastAsia="宋体" w:cs="宋体"/>
                <w:sz w:val="18"/>
                <w:szCs w:val="18"/>
              </w:rPr>
            </w:pPr>
            <w:r>
              <w:rPr>
                <w:rFonts w:ascii="宋体" w:hAnsi="宋体" w:eastAsia="宋体" w:cs="宋体"/>
                <w:sz w:val="18"/>
                <w:szCs w:val="18"/>
              </w:rPr>
              <w:t>4,733.33</w:t>
            </w:r>
          </w:p>
        </w:tc>
        <w:tc>
          <w:tcPr>
            <w:tcW w:w="1205" w:type="dxa"/>
            <w:tcBorders>
              <w:top w:val="single" w:color="auto" w:sz="2" w:space="0"/>
              <w:left w:val="single" w:color="auto" w:sz="2" w:space="0"/>
              <w:bottom w:val="single" w:color="auto" w:sz="2" w:space="0"/>
              <w:right w:val="single" w:color="auto" w:sz="2" w:space="0"/>
            </w:tcBorders>
            <w:vAlign w:val="center"/>
          </w:tcPr>
          <w:p w14:paraId="38724BA2">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6587575">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4EBB776">
            <w:pPr>
              <w:spacing w:before="0" w:after="0" w:line="240" w:lineRule="exact"/>
              <w:jc w:val="right"/>
              <w:rPr>
                <w:rFonts w:ascii="宋体" w:hAnsi="宋体" w:eastAsia="宋体" w:cs="宋体"/>
                <w:sz w:val="18"/>
                <w:szCs w:val="18"/>
              </w:rPr>
            </w:pPr>
            <w:r>
              <w:rPr>
                <w:rFonts w:ascii="宋体" w:hAnsi="宋体" w:eastAsia="宋体" w:cs="宋体"/>
                <w:sz w:val="18"/>
                <w:szCs w:val="18"/>
              </w:rPr>
              <w:t>4,733.33</w:t>
            </w:r>
          </w:p>
        </w:tc>
        <w:tc>
          <w:tcPr>
            <w:tcW w:w="1205" w:type="dxa"/>
            <w:tcBorders>
              <w:top w:val="single" w:color="auto" w:sz="2" w:space="0"/>
              <w:left w:val="single" w:color="auto" w:sz="2" w:space="0"/>
              <w:bottom w:val="single" w:color="auto" w:sz="2" w:space="0"/>
              <w:right w:val="single" w:color="auto" w:sz="2" w:space="0"/>
            </w:tcBorders>
            <w:vAlign w:val="center"/>
          </w:tcPr>
          <w:p w14:paraId="4DECDDE6">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12C579C">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3671AFE2">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48302F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38F77286">
            <w:pPr>
              <w:spacing w:before="0" w:after="0" w:line="240" w:lineRule="exact"/>
              <w:jc w:val="left"/>
              <w:rPr>
                <w:rFonts w:ascii="宋体" w:hAnsi="宋体" w:eastAsia="宋体" w:cs="宋体"/>
                <w:sz w:val="18"/>
                <w:szCs w:val="18"/>
              </w:rPr>
            </w:pPr>
            <w:r>
              <w:rPr>
                <w:rFonts w:ascii="宋体" w:hAnsi="宋体" w:eastAsia="宋体" w:cs="宋体"/>
                <w:sz w:val="18"/>
                <w:szCs w:val="18"/>
              </w:rPr>
              <w:t>拉米夫定原料药及其制剂的研究课题（编号：2011ZX09202-101-09)已作为“重大新药创制”科技重大专项子课题获立项支持</w:t>
            </w:r>
          </w:p>
        </w:tc>
        <w:tc>
          <w:tcPr>
            <w:tcW w:w="1205" w:type="dxa"/>
            <w:tcBorders>
              <w:top w:val="single" w:color="auto" w:sz="2" w:space="0"/>
              <w:left w:val="single" w:color="auto" w:sz="2" w:space="0"/>
              <w:bottom w:val="single" w:color="auto" w:sz="2" w:space="0"/>
              <w:right w:val="single" w:color="auto" w:sz="2" w:space="0"/>
            </w:tcBorders>
            <w:vAlign w:val="center"/>
          </w:tcPr>
          <w:p w14:paraId="2152B7D7">
            <w:pPr>
              <w:spacing w:before="0" w:after="0" w:line="240" w:lineRule="exact"/>
              <w:jc w:val="right"/>
              <w:rPr>
                <w:rFonts w:ascii="宋体" w:hAnsi="宋体" w:eastAsia="宋体" w:cs="宋体"/>
                <w:sz w:val="18"/>
                <w:szCs w:val="18"/>
              </w:rPr>
            </w:pPr>
            <w:r>
              <w:rPr>
                <w:rFonts w:ascii="宋体" w:hAnsi="宋体" w:eastAsia="宋体" w:cs="宋体"/>
                <w:sz w:val="18"/>
                <w:szCs w:val="18"/>
              </w:rPr>
              <w:t>1,473.98</w:t>
            </w:r>
          </w:p>
        </w:tc>
        <w:tc>
          <w:tcPr>
            <w:tcW w:w="1205" w:type="dxa"/>
            <w:tcBorders>
              <w:top w:val="single" w:color="auto" w:sz="2" w:space="0"/>
              <w:left w:val="single" w:color="auto" w:sz="2" w:space="0"/>
              <w:bottom w:val="single" w:color="auto" w:sz="2" w:space="0"/>
              <w:right w:val="single" w:color="auto" w:sz="2" w:space="0"/>
            </w:tcBorders>
            <w:vAlign w:val="center"/>
          </w:tcPr>
          <w:p w14:paraId="0B0BEB9F">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A2DC210">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5B81077">
            <w:pPr>
              <w:spacing w:before="0" w:after="0" w:line="240" w:lineRule="exact"/>
              <w:jc w:val="right"/>
              <w:rPr>
                <w:rFonts w:ascii="宋体" w:hAnsi="宋体" w:eastAsia="宋体" w:cs="宋体"/>
                <w:sz w:val="18"/>
                <w:szCs w:val="18"/>
              </w:rPr>
            </w:pPr>
            <w:r>
              <w:rPr>
                <w:rFonts w:ascii="宋体" w:hAnsi="宋体" w:eastAsia="宋体" w:cs="宋体"/>
                <w:sz w:val="18"/>
                <w:szCs w:val="18"/>
              </w:rPr>
              <w:t>1,473.98</w:t>
            </w:r>
          </w:p>
        </w:tc>
        <w:tc>
          <w:tcPr>
            <w:tcW w:w="1205" w:type="dxa"/>
            <w:tcBorders>
              <w:top w:val="single" w:color="auto" w:sz="2" w:space="0"/>
              <w:left w:val="single" w:color="auto" w:sz="2" w:space="0"/>
              <w:bottom w:val="single" w:color="auto" w:sz="2" w:space="0"/>
              <w:right w:val="single" w:color="auto" w:sz="2" w:space="0"/>
            </w:tcBorders>
            <w:vAlign w:val="center"/>
          </w:tcPr>
          <w:p w14:paraId="6E62EDF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F33935A">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461C8D55">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3E5A89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3923FDC5">
            <w:pPr>
              <w:spacing w:before="0" w:after="0" w:line="240" w:lineRule="exact"/>
              <w:jc w:val="left"/>
              <w:rPr>
                <w:rFonts w:ascii="宋体" w:hAnsi="宋体" w:eastAsia="宋体" w:cs="宋体"/>
                <w:sz w:val="18"/>
                <w:szCs w:val="18"/>
              </w:rPr>
            </w:pPr>
            <w:r>
              <w:rPr>
                <w:rFonts w:ascii="宋体" w:hAnsi="宋体" w:eastAsia="宋体" w:cs="宋体"/>
                <w:sz w:val="18"/>
                <w:szCs w:val="18"/>
              </w:rPr>
              <w:t>福建省财政厅关于下达2011年科技型中小企业技术创新基金第一批预算（拨款）的通知</w:t>
            </w:r>
          </w:p>
        </w:tc>
        <w:tc>
          <w:tcPr>
            <w:tcW w:w="1205" w:type="dxa"/>
            <w:tcBorders>
              <w:top w:val="single" w:color="auto" w:sz="2" w:space="0"/>
              <w:left w:val="single" w:color="auto" w:sz="2" w:space="0"/>
              <w:bottom w:val="single" w:color="auto" w:sz="2" w:space="0"/>
              <w:right w:val="single" w:color="auto" w:sz="2" w:space="0"/>
            </w:tcBorders>
            <w:vAlign w:val="center"/>
          </w:tcPr>
          <w:p w14:paraId="25818EB5">
            <w:pPr>
              <w:spacing w:before="0" w:after="0" w:line="240" w:lineRule="exact"/>
              <w:jc w:val="right"/>
              <w:rPr>
                <w:rFonts w:ascii="宋体" w:hAnsi="宋体" w:eastAsia="宋体" w:cs="宋体"/>
                <w:sz w:val="18"/>
                <w:szCs w:val="18"/>
              </w:rPr>
            </w:pPr>
            <w:r>
              <w:rPr>
                <w:rFonts w:ascii="宋体" w:hAnsi="宋体" w:eastAsia="宋体" w:cs="宋体"/>
                <w:sz w:val="18"/>
                <w:szCs w:val="18"/>
              </w:rPr>
              <w:t>124,311.90</w:t>
            </w:r>
          </w:p>
        </w:tc>
        <w:tc>
          <w:tcPr>
            <w:tcW w:w="1205" w:type="dxa"/>
            <w:tcBorders>
              <w:top w:val="single" w:color="auto" w:sz="2" w:space="0"/>
              <w:left w:val="single" w:color="auto" w:sz="2" w:space="0"/>
              <w:bottom w:val="single" w:color="auto" w:sz="2" w:space="0"/>
              <w:right w:val="single" w:color="auto" w:sz="2" w:space="0"/>
            </w:tcBorders>
            <w:vAlign w:val="center"/>
          </w:tcPr>
          <w:p w14:paraId="146D924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F312319">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4FF66BF7">
            <w:pPr>
              <w:spacing w:before="0" w:after="0" w:line="240" w:lineRule="exact"/>
              <w:jc w:val="right"/>
              <w:rPr>
                <w:rFonts w:ascii="宋体" w:hAnsi="宋体" w:eastAsia="宋体" w:cs="宋体"/>
                <w:sz w:val="18"/>
                <w:szCs w:val="18"/>
              </w:rPr>
            </w:pPr>
            <w:r>
              <w:rPr>
                <w:rFonts w:ascii="宋体" w:hAnsi="宋体" w:eastAsia="宋体" w:cs="宋体"/>
                <w:sz w:val="18"/>
                <w:szCs w:val="18"/>
              </w:rPr>
              <w:t>16,097.95</w:t>
            </w:r>
          </w:p>
        </w:tc>
        <w:tc>
          <w:tcPr>
            <w:tcW w:w="1205" w:type="dxa"/>
            <w:tcBorders>
              <w:top w:val="single" w:color="auto" w:sz="2" w:space="0"/>
              <w:left w:val="single" w:color="auto" w:sz="2" w:space="0"/>
              <w:bottom w:val="single" w:color="auto" w:sz="2" w:space="0"/>
              <w:right w:val="single" w:color="auto" w:sz="2" w:space="0"/>
            </w:tcBorders>
            <w:vAlign w:val="center"/>
          </w:tcPr>
          <w:p w14:paraId="066807B4">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60B3BD8">
            <w:pPr>
              <w:spacing w:before="0" w:after="0" w:line="240" w:lineRule="exact"/>
              <w:jc w:val="right"/>
              <w:rPr>
                <w:rFonts w:ascii="宋体" w:hAnsi="宋体" w:eastAsia="宋体" w:cs="宋体"/>
                <w:sz w:val="18"/>
                <w:szCs w:val="18"/>
              </w:rPr>
            </w:pPr>
            <w:r>
              <w:rPr>
                <w:rFonts w:ascii="宋体" w:hAnsi="宋体" w:eastAsia="宋体" w:cs="宋体"/>
                <w:sz w:val="18"/>
                <w:szCs w:val="18"/>
              </w:rPr>
              <w:t>108,213.95</w:t>
            </w:r>
          </w:p>
        </w:tc>
        <w:tc>
          <w:tcPr>
            <w:tcW w:w="1205" w:type="dxa"/>
            <w:tcBorders>
              <w:top w:val="single" w:color="auto" w:sz="2" w:space="0"/>
              <w:left w:val="single" w:color="auto" w:sz="2" w:space="0"/>
              <w:bottom w:val="single" w:color="auto" w:sz="2" w:space="0"/>
              <w:right w:val="single" w:color="auto" w:sz="2" w:space="0"/>
            </w:tcBorders>
            <w:vAlign w:val="center"/>
          </w:tcPr>
          <w:p w14:paraId="4C3503E0">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4F1A0A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42196EF6">
            <w:pPr>
              <w:spacing w:before="0" w:after="0" w:line="240" w:lineRule="exact"/>
              <w:jc w:val="left"/>
              <w:rPr>
                <w:rFonts w:ascii="宋体" w:hAnsi="宋体" w:eastAsia="宋体" w:cs="宋体"/>
                <w:sz w:val="18"/>
                <w:szCs w:val="18"/>
              </w:rPr>
            </w:pPr>
            <w:r>
              <w:rPr>
                <w:rFonts w:ascii="宋体" w:hAnsi="宋体" w:eastAsia="宋体" w:cs="宋体"/>
                <w:sz w:val="18"/>
                <w:szCs w:val="18"/>
              </w:rPr>
              <w:t>省级战略性新兴产业产业化培植专项资金项目协议书</w:t>
            </w:r>
          </w:p>
        </w:tc>
        <w:tc>
          <w:tcPr>
            <w:tcW w:w="1205" w:type="dxa"/>
            <w:tcBorders>
              <w:top w:val="single" w:color="auto" w:sz="2" w:space="0"/>
              <w:left w:val="single" w:color="auto" w:sz="2" w:space="0"/>
              <w:bottom w:val="single" w:color="auto" w:sz="2" w:space="0"/>
              <w:right w:val="single" w:color="auto" w:sz="2" w:space="0"/>
            </w:tcBorders>
            <w:vAlign w:val="center"/>
          </w:tcPr>
          <w:p w14:paraId="489B9BBD">
            <w:pPr>
              <w:spacing w:before="0" w:after="0" w:line="240" w:lineRule="exact"/>
              <w:jc w:val="right"/>
              <w:rPr>
                <w:rFonts w:ascii="宋体" w:hAnsi="宋体" w:eastAsia="宋体" w:cs="宋体"/>
                <w:sz w:val="18"/>
                <w:szCs w:val="18"/>
              </w:rPr>
            </w:pPr>
            <w:r>
              <w:rPr>
                <w:rFonts w:ascii="宋体" w:hAnsi="宋体" w:eastAsia="宋体" w:cs="宋体"/>
                <w:sz w:val="18"/>
                <w:szCs w:val="18"/>
              </w:rPr>
              <w:t>57,086.66</w:t>
            </w:r>
          </w:p>
        </w:tc>
        <w:tc>
          <w:tcPr>
            <w:tcW w:w="1205" w:type="dxa"/>
            <w:tcBorders>
              <w:top w:val="single" w:color="auto" w:sz="2" w:space="0"/>
              <w:left w:val="single" w:color="auto" w:sz="2" w:space="0"/>
              <w:bottom w:val="single" w:color="auto" w:sz="2" w:space="0"/>
              <w:right w:val="single" w:color="auto" w:sz="2" w:space="0"/>
            </w:tcBorders>
            <w:vAlign w:val="center"/>
          </w:tcPr>
          <w:p w14:paraId="04DCBAC5">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7F6A0B4F">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2A31DE8">
            <w:pPr>
              <w:spacing w:before="0" w:after="0" w:line="240" w:lineRule="exact"/>
              <w:jc w:val="right"/>
              <w:rPr>
                <w:rFonts w:ascii="宋体" w:hAnsi="宋体" w:eastAsia="宋体" w:cs="宋体"/>
                <w:sz w:val="18"/>
                <w:szCs w:val="18"/>
              </w:rPr>
            </w:pPr>
            <w:r>
              <w:rPr>
                <w:rFonts w:ascii="宋体" w:hAnsi="宋体" w:eastAsia="宋体" w:cs="宋体"/>
                <w:sz w:val="18"/>
                <w:szCs w:val="18"/>
              </w:rPr>
              <w:t>57,086.66</w:t>
            </w:r>
          </w:p>
        </w:tc>
        <w:tc>
          <w:tcPr>
            <w:tcW w:w="1205" w:type="dxa"/>
            <w:tcBorders>
              <w:top w:val="single" w:color="auto" w:sz="2" w:space="0"/>
              <w:left w:val="single" w:color="auto" w:sz="2" w:space="0"/>
              <w:bottom w:val="single" w:color="auto" w:sz="2" w:space="0"/>
              <w:right w:val="single" w:color="auto" w:sz="2" w:space="0"/>
            </w:tcBorders>
            <w:vAlign w:val="center"/>
          </w:tcPr>
          <w:p w14:paraId="1055E689">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F510F3C">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BDE5124">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7CBAE8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32E4B99C">
            <w:pPr>
              <w:spacing w:before="0" w:after="0" w:line="240" w:lineRule="exact"/>
              <w:jc w:val="left"/>
              <w:rPr>
                <w:rFonts w:ascii="宋体" w:hAnsi="宋体" w:eastAsia="宋体" w:cs="宋体"/>
                <w:sz w:val="18"/>
                <w:szCs w:val="18"/>
              </w:rPr>
            </w:pPr>
            <w:r>
              <w:rPr>
                <w:rFonts w:ascii="宋体" w:hAnsi="宋体" w:eastAsia="宋体" w:cs="宋体"/>
                <w:sz w:val="18"/>
                <w:szCs w:val="18"/>
              </w:rPr>
              <w:t>关于下达2014年第一批省级企业技术创新项目资金的通知</w:t>
            </w:r>
          </w:p>
        </w:tc>
        <w:tc>
          <w:tcPr>
            <w:tcW w:w="1205" w:type="dxa"/>
            <w:tcBorders>
              <w:top w:val="single" w:color="auto" w:sz="2" w:space="0"/>
              <w:left w:val="single" w:color="auto" w:sz="2" w:space="0"/>
              <w:bottom w:val="single" w:color="auto" w:sz="2" w:space="0"/>
              <w:right w:val="single" w:color="auto" w:sz="2" w:space="0"/>
            </w:tcBorders>
            <w:vAlign w:val="center"/>
          </w:tcPr>
          <w:p w14:paraId="6AF11668">
            <w:pPr>
              <w:spacing w:before="0" w:after="0" w:line="240" w:lineRule="exact"/>
              <w:jc w:val="right"/>
              <w:rPr>
                <w:rFonts w:ascii="宋体" w:hAnsi="宋体" w:eastAsia="宋体" w:cs="宋体"/>
                <w:sz w:val="18"/>
                <w:szCs w:val="18"/>
              </w:rPr>
            </w:pPr>
            <w:r>
              <w:rPr>
                <w:rFonts w:ascii="宋体" w:hAnsi="宋体" w:eastAsia="宋体" w:cs="宋体"/>
                <w:sz w:val="18"/>
                <w:szCs w:val="18"/>
              </w:rPr>
              <w:t>27,950.25</w:t>
            </w:r>
          </w:p>
        </w:tc>
        <w:tc>
          <w:tcPr>
            <w:tcW w:w="1205" w:type="dxa"/>
            <w:tcBorders>
              <w:top w:val="single" w:color="auto" w:sz="2" w:space="0"/>
              <w:left w:val="single" w:color="auto" w:sz="2" w:space="0"/>
              <w:bottom w:val="single" w:color="auto" w:sz="2" w:space="0"/>
              <w:right w:val="single" w:color="auto" w:sz="2" w:space="0"/>
            </w:tcBorders>
            <w:vAlign w:val="center"/>
          </w:tcPr>
          <w:p w14:paraId="2B5DB155">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3D1B4272">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4E44E41D">
            <w:pPr>
              <w:spacing w:before="0" w:after="0" w:line="240" w:lineRule="exact"/>
              <w:jc w:val="right"/>
              <w:rPr>
                <w:rFonts w:ascii="宋体" w:hAnsi="宋体" w:eastAsia="宋体" w:cs="宋体"/>
                <w:sz w:val="18"/>
                <w:szCs w:val="18"/>
              </w:rPr>
            </w:pPr>
            <w:r>
              <w:rPr>
                <w:rFonts w:ascii="宋体" w:hAnsi="宋体" w:eastAsia="宋体" w:cs="宋体"/>
                <w:sz w:val="18"/>
                <w:szCs w:val="18"/>
              </w:rPr>
              <w:t>21,580.20</w:t>
            </w:r>
          </w:p>
        </w:tc>
        <w:tc>
          <w:tcPr>
            <w:tcW w:w="1205" w:type="dxa"/>
            <w:tcBorders>
              <w:top w:val="single" w:color="auto" w:sz="2" w:space="0"/>
              <w:left w:val="single" w:color="auto" w:sz="2" w:space="0"/>
              <w:bottom w:val="single" w:color="auto" w:sz="2" w:space="0"/>
              <w:right w:val="single" w:color="auto" w:sz="2" w:space="0"/>
            </w:tcBorders>
            <w:vAlign w:val="center"/>
          </w:tcPr>
          <w:p w14:paraId="3697AD81">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F589425">
            <w:pPr>
              <w:spacing w:before="0" w:after="0" w:line="240" w:lineRule="exact"/>
              <w:jc w:val="right"/>
              <w:rPr>
                <w:rFonts w:ascii="宋体" w:hAnsi="宋体" w:eastAsia="宋体" w:cs="宋体"/>
                <w:sz w:val="18"/>
                <w:szCs w:val="18"/>
              </w:rPr>
            </w:pPr>
            <w:r>
              <w:rPr>
                <w:rFonts w:ascii="宋体" w:hAnsi="宋体" w:eastAsia="宋体" w:cs="宋体"/>
                <w:sz w:val="18"/>
                <w:szCs w:val="18"/>
              </w:rPr>
              <w:t>6,370.05</w:t>
            </w:r>
          </w:p>
        </w:tc>
        <w:tc>
          <w:tcPr>
            <w:tcW w:w="1205" w:type="dxa"/>
            <w:tcBorders>
              <w:top w:val="single" w:color="auto" w:sz="2" w:space="0"/>
              <w:left w:val="single" w:color="auto" w:sz="2" w:space="0"/>
              <w:bottom w:val="single" w:color="auto" w:sz="2" w:space="0"/>
              <w:right w:val="single" w:color="auto" w:sz="2" w:space="0"/>
            </w:tcBorders>
            <w:vAlign w:val="center"/>
          </w:tcPr>
          <w:p w14:paraId="5CDAFF83">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5034D7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7F8A6088">
            <w:pPr>
              <w:spacing w:before="0" w:after="0" w:line="240" w:lineRule="exact"/>
              <w:jc w:val="left"/>
              <w:rPr>
                <w:rFonts w:ascii="宋体" w:hAnsi="宋体" w:eastAsia="宋体" w:cs="宋体"/>
                <w:sz w:val="18"/>
                <w:szCs w:val="18"/>
              </w:rPr>
            </w:pPr>
            <w:r>
              <w:rPr>
                <w:rFonts w:ascii="宋体" w:hAnsi="宋体" w:eastAsia="宋体" w:cs="宋体"/>
                <w:sz w:val="18"/>
                <w:szCs w:val="18"/>
              </w:rPr>
              <w:t>2015年市级企业技术改造专项、医药产业专项资金申报</w:t>
            </w:r>
          </w:p>
        </w:tc>
        <w:tc>
          <w:tcPr>
            <w:tcW w:w="1205" w:type="dxa"/>
            <w:tcBorders>
              <w:top w:val="single" w:color="auto" w:sz="2" w:space="0"/>
              <w:left w:val="single" w:color="auto" w:sz="2" w:space="0"/>
              <w:bottom w:val="single" w:color="auto" w:sz="2" w:space="0"/>
              <w:right w:val="single" w:color="auto" w:sz="2" w:space="0"/>
            </w:tcBorders>
            <w:vAlign w:val="center"/>
          </w:tcPr>
          <w:p w14:paraId="28C3736E">
            <w:pPr>
              <w:spacing w:before="0" w:after="0" w:line="240" w:lineRule="exact"/>
              <w:jc w:val="right"/>
              <w:rPr>
                <w:rFonts w:ascii="宋体" w:hAnsi="宋体" w:eastAsia="宋体" w:cs="宋体"/>
                <w:sz w:val="18"/>
                <w:szCs w:val="18"/>
              </w:rPr>
            </w:pPr>
            <w:r>
              <w:rPr>
                <w:rFonts w:ascii="宋体" w:hAnsi="宋体" w:eastAsia="宋体" w:cs="宋体"/>
                <w:sz w:val="18"/>
                <w:szCs w:val="18"/>
              </w:rPr>
              <w:t>5,722.04</w:t>
            </w:r>
          </w:p>
        </w:tc>
        <w:tc>
          <w:tcPr>
            <w:tcW w:w="1205" w:type="dxa"/>
            <w:tcBorders>
              <w:top w:val="single" w:color="auto" w:sz="2" w:space="0"/>
              <w:left w:val="single" w:color="auto" w:sz="2" w:space="0"/>
              <w:bottom w:val="single" w:color="auto" w:sz="2" w:space="0"/>
              <w:right w:val="single" w:color="auto" w:sz="2" w:space="0"/>
            </w:tcBorders>
            <w:vAlign w:val="center"/>
          </w:tcPr>
          <w:p w14:paraId="2B54B8C0">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37EFB635">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7990BCA0">
            <w:pPr>
              <w:spacing w:before="0" w:after="0" w:line="240" w:lineRule="exact"/>
              <w:jc w:val="right"/>
              <w:rPr>
                <w:rFonts w:ascii="宋体" w:hAnsi="宋体" w:eastAsia="宋体" w:cs="宋体"/>
                <w:sz w:val="18"/>
                <w:szCs w:val="18"/>
              </w:rPr>
            </w:pPr>
            <w:r>
              <w:rPr>
                <w:rFonts w:ascii="宋体" w:hAnsi="宋体" w:eastAsia="宋体" w:cs="宋体"/>
                <w:sz w:val="18"/>
                <w:szCs w:val="18"/>
              </w:rPr>
              <w:t>5,028.25</w:t>
            </w:r>
          </w:p>
        </w:tc>
        <w:tc>
          <w:tcPr>
            <w:tcW w:w="1205" w:type="dxa"/>
            <w:tcBorders>
              <w:top w:val="single" w:color="auto" w:sz="2" w:space="0"/>
              <w:left w:val="single" w:color="auto" w:sz="2" w:space="0"/>
              <w:bottom w:val="single" w:color="auto" w:sz="2" w:space="0"/>
              <w:right w:val="single" w:color="auto" w:sz="2" w:space="0"/>
            </w:tcBorders>
            <w:vAlign w:val="center"/>
          </w:tcPr>
          <w:p w14:paraId="0BE61F9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A4AF59F">
            <w:pPr>
              <w:spacing w:before="0" w:after="0" w:line="240" w:lineRule="exact"/>
              <w:jc w:val="right"/>
              <w:rPr>
                <w:rFonts w:ascii="宋体" w:hAnsi="宋体" w:eastAsia="宋体" w:cs="宋体"/>
                <w:sz w:val="18"/>
                <w:szCs w:val="18"/>
              </w:rPr>
            </w:pPr>
            <w:r>
              <w:rPr>
                <w:rFonts w:ascii="宋体" w:hAnsi="宋体" w:eastAsia="宋体" w:cs="宋体"/>
                <w:sz w:val="18"/>
                <w:szCs w:val="18"/>
              </w:rPr>
              <w:t>693.79</w:t>
            </w:r>
          </w:p>
        </w:tc>
        <w:tc>
          <w:tcPr>
            <w:tcW w:w="1205" w:type="dxa"/>
            <w:tcBorders>
              <w:top w:val="single" w:color="auto" w:sz="2" w:space="0"/>
              <w:left w:val="single" w:color="auto" w:sz="2" w:space="0"/>
              <w:bottom w:val="single" w:color="auto" w:sz="2" w:space="0"/>
              <w:right w:val="single" w:color="auto" w:sz="2" w:space="0"/>
            </w:tcBorders>
            <w:vAlign w:val="center"/>
          </w:tcPr>
          <w:p w14:paraId="37C84E20">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591BDC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45BA0D38">
            <w:pPr>
              <w:spacing w:before="0" w:after="0" w:line="240" w:lineRule="exact"/>
              <w:jc w:val="left"/>
              <w:rPr>
                <w:rFonts w:ascii="宋体" w:hAnsi="宋体" w:eastAsia="宋体" w:cs="宋体"/>
                <w:sz w:val="18"/>
                <w:szCs w:val="18"/>
              </w:rPr>
            </w:pPr>
            <w:r>
              <w:rPr>
                <w:rFonts w:ascii="宋体" w:hAnsi="宋体" w:eastAsia="宋体" w:cs="宋体"/>
                <w:sz w:val="18"/>
                <w:szCs w:val="18"/>
              </w:rPr>
              <w:t>2016年省级企业技术创新项目专项资金申请报告</w:t>
            </w:r>
          </w:p>
        </w:tc>
        <w:tc>
          <w:tcPr>
            <w:tcW w:w="1205" w:type="dxa"/>
            <w:tcBorders>
              <w:top w:val="single" w:color="auto" w:sz="2" w:space="0"/>
              <w:left w:val="single" w:color="auto" w:sz="2" w:space="0"/>
              <w:bottom w:val="single" w:color="auto" w:sz="2" w:space="0"/>
              <w:right w:val="single" w:color="auto" w:sz="2" w:space="0"/>
            </w:tcBorders>
            <w:vAlign w:val="center"/>
          </w:tcPr>
          <w:p w14:paraId="40FF0FAC">
            <w:pPr>
              <w:spacing w:before="0" w:after="0" w:line="240" w:lineRule="exact"/>
              <w:jc w:val="right"/>
              <w:rPr>
                <w:rFonts w:ascii="宋体" w:hAnsi="宋体" w:eastAsia="宋体" w:cs="宋体"/>
                <w:sz w:val="18"/>
                <w:szCs w:val="18"/>
              </w:rPr>
            </w:pPr>
            <w:r>
              <w:rPr>
                <w:rFonts w:ascii="宋体" w:hAnsi="宋体" w:eastAsia="宋体" w:cs="宋体"/>
                <w:sz w:val="18"/>
                <w:szCs w:val="18"/>
              </w:rPr>
              <w:t>148,221.23</w:t>
            </w:r>
          </w:p>
        </w:tc>
        <w:tc>
          <w:tcPr>
            <w:tcW w:w="1205" w:type="dxa"/>
            <w:tcBorders>
              <w:top w:val="single" w:color="auto" w:sz="2" w:space="0"/>
              <w:left w:val="single" w:color="auto" w:sz="2" w:space="0"/>
              <w:bottom w:val="single" w:color="auto" w:sz="2" w:space="0"/>
              <w:right w:val="single" w:color="auto" w:sz="2" w:space="0"/>
            </w:tcBorders>
            <w:vAlign w:val="center"/>
          </w:tcPr>
          <w:p w14:paraId="21D2471D">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ED1F8F8">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747BB772">
            <w:pPr>
              <w:spacing w:before="0" w:after="0" w:line="240" w:lineRule="exact"/>
              <w:jc w:val="right"/>
              <w:rPr>
                <w:rFonts w:ascii="宋体" w:hAnsi="宋体" w:eastAsia="宋体" w:cs="宋体"/>
                <w:sz w:val="18"/>
                <w:szCs w:val="18"/>
              </w:rPr>
            </w:pPr>
            <w:r>
              <w:rPr>
                <w:rFonts w:ascii="宋体" w:hAnsi="宋体" w:eastAsia="宋体" w:cs="宋体"/>
                <w:sz w:val="18"/>
                <w:szCs w:val="18"/>
              </w:rPr>
              <w:t>72,590.00</w:t>
            </w:r>
          </w:p>
        </w:tc>
        <w:tc>
          <w:tcPr>
            <w:tcW w:w="1205" w:type="dxa"/>
            <w:tcBorders>
              <w:top w:val="single" w:color="auto" w:sz="2" w:space="0"/>
              <w:left w:val="single" w:color="auto" w:sz="2" w:space="0"/>
              <w:bottom w:val="single" w:color="auto" w:sz="2" w:space="0"/>
              <w:right w:val="single" w:color="auto" w:sz="2" w:space="0"/>
            </w:tcBorders>
            <w:vAlign w:val="center"/>
          </w:tcPr>
          <w:p w14:paraId="0CC9A4CD">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297357B">
            <w:pPr>
              <w:spacing w:before="0" w:after="0" w:line="240" w:lineRule="exact"/>
              <w:jc w:val="right"/>
              <w:rPr>
                <w:rFonts w:ascii="宋体" w:hAnsi="宋体" w:eastAsia="宋体" w:cs="宋体"/>
                <w:sz w:val="18"/>
                <w:szCs w:val="18"/>
              </w:rPr>
            </w:pPr>
            <w:r>
              <w:rPr>
                <w:rFonts w:ascii="宋体" w:hAnsi="宋体" w:eastAsia="宋体" w:cs="宋体"/>
                <w:sz w:val="18"/>
                <w:szCs w:val="18"/>
              </w:rPr>
              <w:t>75,631.23</w:t>
            </w:r>
          </w:p>
        </w:tc>
        <w:tc>
          <w:tcPr>
            <w:tcW w:w="1205" w:type="dxa"/>
            <w:tcBorders>
              <w:top w:val="single" w:color="auto" w:sz="2" w:space="0"/>
              <w:left w:val="single" w:color="auto" w:sz="2" w:space="0"/>
              <w:bottom w:val="single" w:color="auto" w:sz="2" w:space="0"/>
              <w:right w:val="single" w:color="auto" w:sz="2" w:space="0"/>
            </w:tcBorders>
            <w:vAlign w:val="center"/>
          </w:tcPr>
          <w:p w14:paraId="0B8C18F5">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3E771A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7796FF20">
            <w:pPr>
              <w:spacing w:before="0" w:after="0" w:line="240" w:lineRule="exact"/>
              <w:jc w:val="left"/>
              <w:rPr>
                <w:rFonts w:ascii="宋体" w:hAnsi="宋体" w:eastAsia="宋体" w:cs="宋体"/>
                <w:sz w:val="18"/>
                <w:szCs w:val="18"/>
              </w:rPr>
            </w:pPr>
            <w:r>
              <w:rPr>
                <w:rFonts w:ascii="宋体" w:hAnsi="宋体" w:eastAsia="宋体" w:cs="宋体"/>
                <w:sz w:val="18"/>
                <w:szCs w:val="18"/>
              </w:rPr>
              <w:t>关于提前下达2017年省区域发展等科技项目计划和经费（新上市级第一批）的通知</w:t>
            </w:r>
          </w:p>
        </w:tc>
        <w:tc>
          <w:tcPr>
            <w:tcW w:w="1205" w:type="dxa"/>
            <w:tcBorders>
              <w:top w:val="single" w:color="auto" w:sz="2" w:space="0"/>
              <w:left w:val="single" w:color="auto" w:sz="2" w:space="0"/>
              <w:bottom w:val="single" w:color="auto" w:sz="2" w:space="0"/>
              <w:right w:val="single" w:color="auto" w:sz="2" w:space="0"/>
            </w:tcBorders>
            <w:vAlign w:val="center"/>
          </w:tcPr>
          <w:p w14:paraId="631FE71C">
            <w:pPr>
              <w:spacing w:before="0" w:after="0" w:line="240" w:lineRule="exact"/>
              <w:jc w:val="right"/>
              <w:rPr>
                <w:rFonts w:ascii="宋体" w:hAnsi="宋体" w:eastAsia="宋体" w:cs="宋体"/>
                <w:sz w:val="18"/>
                <w:szCs w:val="18"/>
              </w:rPr>
            </w:pPr>
            <w:r>
              <w:rPr>
                <w:rFonts w:ascii="宋体" w:hAnsi="宋体" w:eastAsia="宋体" w:cs="宋体"/>
                <w:sz w:val="18"/>
                <w:szCs w:val="18"/>
              </w:rPr>
              <w:t>161,758.13</w:t>
            </w:r>
          </w:p>
        </w:tc>
        <w:tc>
          <w:tcPr>
            <w:tcW w:w="1205" w:type="dxa"/>
            <w:tcBorders>
              <w:top w:val="single" w:color="auto" w:sz="2" w:space="0"/>
              <w:left w:val="single" w:color="auto" w:sz="2" w:space="0"/>
              <w:bottom w:val="single" w:color="auto" w:sz="2" w:space="0"/>
              <w:right w:val="single" w:color="auto" w:sz="2" w:space="0"/>
            </w:tcBorders>
            <w:vAlign w:val="center"/>
          </w:tcPr>
          <w:p w14:paraId="0A7B8866">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A122CAB">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4236EF98">
            <w:pPr>
              <w:spacing w:before="0" w:after="0" w:line="240" w:lineRule="exact"/>
              <w:jc w:val="right"/>
              <w:rPr>
                <w:rFonts w:ascii="宋体" w:hAnsi="宋体" w:eastAsia="宋体" w:cs="宋体"/>
                <w:sz w:val="18"/>
                <w:szCs w:val="18"/>
              </w:rPr>
            </w:pPr>
            <w:r>
              <w:rPr>
                <w:rFonts w:ascii="宋体" w:hAnsi="宋体" w:eastAsia="宋体" w:cs="宋体"/>
                <w:sz w:val="18"/>
                <w:szCs w:val="18"/>
              </w:rPr>
              <w:t>32,900.04</w:t>
            </w:r>
          </w:p>
        </w:tc>
        <w:tc>
          <w:tcPr>
            <w:tcW w:w="1205" w:type="dxa"/>
            <w:tcBorders>
              <w:top w:val="single" w:color="auto" w:sz="2" w:space="0"/>
              <w:left w:val="single" w:color="auto" w:sz="2" w:space="0"/>
              <w:bottom w:val="single" w:color="auto" w:sz="2" w:space="0"/>
              <w:right w:val="single" w:color="auto" w:sz="2" w:space="0"/>
            </w:tcBorders>
            <w:vAlign w:val="center"/>
          </w:tcPr>
          <w:p w14:paraId="697B404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4ADC05A">
            <w:pPr>
              <w:spacing w:before="0" w:after="0" w:line="240" w:lineRule="exact"/>
              <w:jc w:val="right"/>
              <w:rPr>
                <w:rFonts w:ascii="宋体" w:hAnsi="宋体" w:eastAsia="宋体" w:cs="宋体"/>
                <w:sz w:val="18"/>
                <w:szCs w:val="18"/>
              </w:rPr>
            </w:pPr>
            <w:r>
              <w:rPr>
                <w:rFonts w:ascii="宋体" w:hAnsi="宋体" w:eastAsia="宋体" w:cs="宋体"/>
                <w:sz w:val="18"/>
                <w:szCs w:val="18"/>
              </w:rPr>
              <w:t>128,858.09</w:t>
            </w:r>
          </w:p>
        </w:tc>
        <w:tc>
          <w:tcPr>
            <w:tcW w:w="1205" w:type="dxa"/>
            <w:tcBorders>
              <w:top w:val="single" w:color="auto" w:sz="2" w:space="0"/>
              <w:left w:val="single" w:color="auto" w:sz="2" w:space="0"/>
              <w:bottom w:val="single" w:color="auto" w:sz="2" w:space="0"/>
              <w:right w:val="single" w:color="auto" w:sz="2" w:space="0"/>
            </w:tcBorders>
            <w:vAlign w:val="center"/>
          </w:tcPr>
          <w:p w14:paraId="4CF2A384">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7B7FED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2EC3004D">
            <w:pPr>
              <w:spacing w:before="0" w:after="0" w:line="240" w:lineRule="exact"/>
              <w:jc w:val="left"/>
              <w:rPr>
                <w:rFonts w:ascii="宋体" w:hAnsi="宋体" w:eastAsia="宋体" w:cs="宋体"/>
                <w:sz w:val="18"/>
                <w:szCs w:val="18"/>
              </w:rPr>
            </w:pPr>
            <w:r>
              <w:rPr>
                <w:rFonts w:ascii="宋体" w:hAnsi="宋体" w:eastAsia="宋体" w:cs="宋体"/>
                <w:sz w:val="18"/>
                <w:szCs w:val="18"/>
              </w:rPr>
              <w:t>关于转下达2017年第一批省级预算内投资计划（6.18项目成果转化扶持资金）的通知</w:t>
            </w:r>
          </w:p>
        </w:tc>
        <w:tc>
          <w:tcPr>
            <w:tcW w:w="1205" w:type="dxa"/>
            <w:tcBorders>
              <w:top w:val="single" w:color="auto" w:sz="2" w:space="0"/>
              <w:left w:val="single" w:color="auto" w:sz="2" w:space="0"/>
              <w:bottom w:val="single" w:color="auto" w:sz="2" w:space="0"/>
              <w:right w:val="single" w:color="auto" w:sz="2" w:space="0"/>
            </w:tcBorders>
            <w:vAlign w:val="center"/>
          </w:tcPr>
          <w:p w14:paraId="420842A8">
            <w:pPr>
              <w:spacing w:before="0" w:after="0" w:line="240" w:lineRule="exact"/>
              <w:jc w:val="right"/>
              <w:rPr>
                <w:rFonts w:ascii="宋体" w:hAnsi="宋体" w:eastAsia="宋体" w:cs="宋体"/>
                <w:sz w:val="18"/>
                <w:szCs w:val="18"/>
              </w:rPr>
            </w:pPr>
            <w:r>
              <w:rPr>
                <w:rFonts w:ascii="宋体" w:hAnsi="宋体" w:eastAsia="宋体" w:cs="宋体"/>
                <w:sz w:val="18"/>
                <w:szCs w:val="18"/>
              </w:rPr>
              <w:t>316,178.30</w:t>
            </w:r>
          </w:p>
        </w:tc>
        <w:tc>
          <w:tcPr>
            <w:tcW w:w="1205" w:type="dxa"/>
            <w:tcBorders>
              <w:top w:val="single" w:color="auto" w:sz="2" w:space="0"/>
              <w:left w:val="single" w:color="auto" w:sz="2" w:space="0"/>
              <w:bottom w:val="single" w:color="auto" w:sz="2" w:space="0"/>
              <w:right w:val="single" w:color="auto" w:sz="2" w:space="0"/>
            </w:tcBorders>
            <w:vAlign w:val="center"/>
          </w:tcPr>
          <w:p w14:paraId="3BA71310">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5D150D9">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980BE81">
            <w:pPr>
              <w:spacing w:before="0" w:after="0" w:line="240" w:lineRule="exact"/>
              <w:jc w:val="right"/>
              <w:rPr>
                <w:rFonts w:ascii="宋体" w:hAnsi="宋体" w:eastAsia="宋体" w:cs="宋体"/>
                <w:sz w:val="18"/>
                <w:szCs w:val="18"/>
              </w:rPr>
            </w:pPr>
            <w:r>
              <w:rPr>
                <w:rFonts w:ascii="宋体" w:hAnsi="宋体" w:eastAsia="宋体" w:cs="宋体"/>
                <w:sz w:val="18"/>
                <w:szCs w:val="18"/>
              </w:rPr>
              <w:t>100,000.00</w:t>
            </w:r>
          </w:p>
        </w:tc>
        <w:tc>
          <w:tcPr>
            <w:tcW w:w="1205" w:type="dxa"/>
            <w:tcBorders>
              <w:top w:val="single" w:color="auto" w:sz="2" w:space="0"/>
              <w:left w:val="single" w:color="auto" w:sz="2" w:space="0"/>
              <w:bottom w:val="single" w:color="auto" w:sz="2" w:space="0"/>
              <w:right w:val="single" w:color="auto" w:sz="2" w:space="0"/>
            </w:tcBorders>
            <w:vAlign w:val="center"/>
          </w:tcPr>
          <w:p w14:paraId="0C32260B">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95D3DA8">
            <w:pPr>
              <w:spacing w:before="0" w:after="0" w:line="240" w:lineRule="exact"/>
              <w:jc w:val="right"/>
              <w:rPr>
                <w:rFonts w:ascii="宋体" w:hAnsi="宋体" w:eastAsia="宋体" w:cs="宋体"/>
                <w:sz w:val="18"/>
                <w:szCs w:val="18"/>
              </w:rPr>
            </w:pPr>
            <w:r>
              <w:rPr>
                <w:rFonts w:ascii="宋体" w:hAnsi="宋体" w:eastAsia="宋体" w:cs="宋体"/>
                <w:sz w:val="18"/>
                <w:szCs w:val="18"/>
              </w:rPr>
              <w:t>216,178.30</w:t>
            </w:r>
          </w:p>
        </w:tc>
        <w:tc>
          <w:tcPr>
            <w:tcW w:w="1205" w:type="dxa"/>
            <w:tcBorders>
              <w:top w:val="single" w:color="auto" w:sz="2" w:space="0"/>
              <w:left w:val="single" w:color="auto" w:sz="2" w:space="0"/>
              <w:bottom w:val="single" w:color="auto" w:sz="2" w:space="0"/>
              <w:right w:val="single" w:color="auto" w:sz="2" w:space="0"/>
            </w:tcBorders>
            <w:vAlign w:val="center"/>
          </w:tcPr>
          <w:p w14:paraId="0CDA376F">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78B31E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4889AFE3">
            <w:pPr>
              <w:spacing w:before="0" w:after="0" w:line="240" w:lineRule="exact"/>
              <w:jc w:val="left"/>
              <w:rPr>
                <w:rFonts w:ascii="宋体" w:hAnsi="宋体" w:eastAsia="宋体" w:cs="宋体"/>
                <w:sz w:val="18"/>
                <w:szCs w:val="18"/>
              </w:rPr>
            </w:pPr>
            <w:r>
              <w:rPr>
                <w:rFonts w:ascii="宋体" w:hAnsi="宋体" w:eastAsia="宋体" w:cs="宋体"/>
                <w:sz w:val="18"/>
                <w:szCs w:val="18"/>
              </w:rPr>
              <w:t>关于印发2017年省级专项转移支付资金申报指南的通知</w:t>
            </w:r>
          </w:p>
        </w:tc>
        <w:tc>
          <w:tcPr>
            <w:tcW w:w="1205" w:type="dxa"/>
            <w:tcBorders>
              <w:top w:val="single" w:color="auto" w:sz="2" w:space="0"/>
              <w:left w:val="single" w:color="auto" w:sz="2" w:space="0"/>
              <w:bottom w:val="single" w:color="auto" w:sz="2" w:space="0"/>
              <w:right w:val="single" w:color="auto" w:sz="2" w:space="0"/>
            </w:tcBorders>
            <w:vAlign w:val="center"/>
          </w:tcPr>
          <w:p w14:paraId="4D9C5584">
            <w:pPr>
              <w:spacing w:before="0" w:after="0" w:line="240" w:lineRule="exact"/>
              <w:jc w:val="right"/>
              <w:rPr>
                <w:rFonts w:ascii="宋体" w:hAnsi="宋体" w:eastAsia="宋体" w:cs="宋体"/>
                <w:sz w:val="18"/>
                <w:szCs w:val="18"/>
              </w:rPr>
            </w:pPr>
            <w:r>
              <w:rPr>
                <w:rFonts w:ascii="宋体" w:hAnsi="宋体" w:eastAsia="宋体" w:cs="宋体"/>
                <w:sz w:val="18"/>
                <w:szCs w:val="18"/>
              </w:rPr>
              <w:t>153,766.65</w:t>
            </w:r>
          </w:p>
        </w:tc>
        <w:tc>
          <w:tcPr>
            <w:tcW w:w="1205" w:type="dxa"/>
            <w:tcBorders>
              <w:top w:val="single" w:color="auto" w:sz="2" w:space="0"/>
              <w:left w:val="single" w:color="auto" w:sz="2" w:space="0"/>
              <w:bottom w:val="single" w:color="auto" w:sz="2" w:space="0"/>
              <w:right w:val="single" w:color="auto" w:sz="2" w:space="0"/>
            </w:tcBorders>
            <w:vAlign w:val="center"/>
          </w:tcPr>
          <w:p w14:paraId="7AC1653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442FCC3B">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352139E3">
            <w:pPr>
              <w:spacing w:before="0" w:after="0" w:line="240" w:lineRule="exact"/>
              <w:jc w:val="right"/>
              <w:rPr>
                <w:rFonts w:ascii="宋体" w:hAnsi="宋体" w:eastAsia="宋体" w:cs="宋体"/>
                <w:sz w:val="18"/>
                <w:szCs w:val="18"/>
              </w:rPr>
            </w:pPr>
            <w:r>
              <w:rPr>
                <w:rFonts w:ascii="宋体" w:hAnsi="宋体" w:eastAsia="宋体" w:cs="宋体"/>
                <w:sz w:val="18"/>
                <w:szCs w:val="18"/>
              </w:rPr>
              <w:t>50,000.00</w:t>
            </w:r>
          </w:p>
        </w:tc>
        <w:tc>
          <w:tcPr>
            <w:tcW w:w="1205" w:type="dxa"/>
            <w:tcBorders>
              <w:top w:val="single" w:color="auto" w:sz="2" w:space="0"/>
              <w:left w:val="single" w:color="auto" w:sz="2" w:space="0"/>
              <w:bottom w:val="single" w:color="auto" w:sz="2" w:space="0"/>
              <w:right w:val="single" w:color="auto" w:sz="2" w:space="0"/>
            </w:tcBorders>
            <w:vAlign w:val="center"/>
          </w:tcPr>
          <w:p w14:paraId="5B6C8C4D">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7A147E7">
            <w:pPr>
              <w:spacing w:before="0" w:after="0" w:line="240" w:lineRule="exact"/>
              <w:jc w:val="right"/>
              <w:rPr>
                <w:rFonts w:ascii="宋体" w:hAnsi="宋体" w:eastAsia="宋体" w:cs="宋体"/>
                <w:sz w:val="18"/>
                <w:szCs w:val="18"/>
              </w:rPr>
            </w:pPr>
            <w:r>
              <w:rPr>
                <w:rFonts w:ascii="宋体" w:hAnsi="宋体" w:eastAsia="宋体" w:cs="宋体"/>
                <w:sz w:val="18"/>
                <w:szCs w:val="18"/>
              </w:rPr>
              <w:t>103,766.65</w:t>
            </w:r>
          </w:p>
        </w:tc>
        <w:tc>
          <w:tcPr>
            <w:tcW w:w="1205" w:type="dxa"/>
            <w:tcBorders>
              <w:top w:val="single" w:color="auto" w:sz="2" w:space="0"/>
              <w:left w:val="single" w:color="auto" w:sz="2" w:space="0"/>
              <w:bottom w:val="single" w:color="auto" w:sz="2" w:space="0"/>
              <w:right w:val="single" w:color="auto" w:sz="2" w:space="0"/>
            </w:tcBorders>
            <w:vAlign w:val="center"/>
          </w:tcPr>
          <w:p w14:paraId="4F674915">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75AE10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48C48F2D">
            <w:pPr>
              <w:spacing w:before="0" w:after="0" w:line="240" w:lineRule="exact"/>
              <w:jc w:val="left"/>
              <w:rPr>
                <w:rFonts w:ascii="宋体" w:hAnsi="宋体" w:eastAsia="宋体" w:cs="宋体"/>
                <w:sz w:val="18"/>
                <w:szCs w:val="18"/>
              </w:rPr>
            </w:pPr>
            <w:r>
              <w:rPr>
                <w:rFonts w:ascii="宋体" w:hAnsi="宋体" w:eastAsia="宋体" w:cs="宋体"/>
                <w:sz w:val="18"/>
                <w:szCs w:val="18"/>
              </w:rPr>
              <w:t>技术改造项目补助款</w:t>
            </w:r>
          </w:p>
        </w:tc>
        <w:tc>
          <w:tcPr>
            <w:tcW w:w="1205" w:type="dxa"/>
            <w:tcBorders>
              <w:top w:val="single" w:color="auto" w:sz="2" w:space="0"/>
              <w:left w:val="single" w:color="auto" w:sz="2" w:space="0"/>
              <w:bottom w:val="single" w:color="auto" w:sz="2" w:space="0"/>
              <w:right w:val="single" w:color="auto" w:sz="2" w:space="0"/>
            </w:tcBorders>
            <w:vAlign w:val="center"/>
          </w:tcPr>
          <w:p w14:paraId="5B8AFC6B">
            <w:pPr>
              <w:spacing w:before="0" w:after="0" w:line="240" w:lineRule="exact"/>
              <w:jc w:val="right"/>
              <w:rPr>
                <w:rFonts w:ascii="宋体" w:hAnsi="宋体" w:eastAsia="宋体" w:cs="宋体"/>
                <w:sz w:val="18"/>
                <w:szCs w:val="18"/>
              </w:rPr>
            </w:pPr>
            <w:r>
              <w:rPr>
                <w:rFonts w:ascii="宋体" w:hAnsi="宋体" w:eastAsia="宋体" w:cs="宋体"/>
                <w:sz w:val="18"/>
                <w:szCs w:val="18"/>
              </w:rPr>
              <w:t>47,337.18</w:t>
            </w:r>
          </w:p>
        </w:tc>
        <w:tc>
          <w:tcPr>
            <w:tcW w:w="1205" w:type="dxa"/>
            <w:tcBorders>
              <w:top w:val="single" w:color="auto" w:sz="2" w:space="0"/>
              <w:left w:val="single" w:color="auto" w:sz="2" w:space="0"/>
              <w:bottom w:val="single" w:color="auto" w:sz="2" w:space="0"/>
              <w:right w:val="single" w:color="auto" w:sz="2" w:space="0"/>
            </w:tcBorders>
            <w:vAlign w:val="center"/>
          </w:tcPr>
          <w:p w14:paraId="5B33AD9C">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5F34D3D">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9D8634C">
            <w:pPr>
              <w:spacing w:before="0" w:after="0" w:line="240" w:lineRule="exact"/>
              <w:jc w:val="right"/>
              <w:rPr>
                <w:rFonts w:ascii="宋体" w:hAnsi="宋体" w:eastAsia="宋体" w:cs="宋体"/>
                <w:sz w:val="18"/>
                <w:szCs w:val="18"/>
              </w:rPr>
            </w:pPr>
            <w:r>
              <w:rPr>
                <w:rFonts w:ascii="宋体" w:hAnsi="宋体" w:eastAsia="宋体" w:cs="宋体"/>
                <w:sz w:val="18"/>
                <w:szCs w:val="18"/>
              </w:rPr>
              <w:t>11,582.64</w:t>
            </w:r>
          </w:p>
        </w:tc>
        <w:tc>
          <w:tcPr>
            <w:tcW w:w="1205" w:type="dxa"/>
            <w:tcBorders>
              <w:top w:val="single" w:color="auto" w:sz="2" w:space="0"/>
              <w:left w:val="single" w:color="auto" w:sz="2" w:space="0"/>
              <w:bottom w:val="single" w:color="auto" w:sz="2" w:space="0"/>
              <w:right w:val="single" w:color="auto" w:sz="2" w:space="0"/>
            </w:tcBorders>
            <w:vAlign w:val="center"/>
          </w:tcPr>
          <w:p w14:paraId="1E559DD8">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42927EA">
            <w:pPr>
              <w:spacing w:before="0" w:after="0" w:line="240" w:lineRule="exact"/>
              <w:jc w:val="right"/>
              <w:rPr>
                <w:rFonts w:ascii="宋体" w:hAnsi="宋体" w:eastAsia="宋体" w:cs="宋体"/>
                <w:sz w:val="18"/>
                <w:szCs w:val="18"/>
              </w:rPr>
            </w:pPr>
            <w:r>
              <w:rPr>
                <w:rFonts w:ascii="宋体" w:hAnsi="宋体" w:eastAsia="宋体" w:cs="宋体"/>
                <w:sz w:val="18"/>
                <w:szCs w:val="18"/>
              </w:rPr>
              <w:t>35,754.54</w:t>
            </w:r>
          </w:p>
        </w:tc>
        <w:tc>
          <w:tcPr>
            <w:tcW w:w="1205" w:type="dxa"/>
            <w:tcBorders>
              <w:top w:val="single" w:color="auto" w:sz="2" w:space="0"/>
              <w:left w:val="single" w:color="auto" w:sz="2" w:space="0"/>
              <w:bottom w:val="single" w:color="auto" w:sz="2" w:space="0"/>
              <w:right w:val="single" w:color="auto" w:sz="2" w:space="0"/>
            </w:tcBorders>
            <w:vAlign w:val="center"/>
          </w:tcPr>
          <w:p w14:paraId="3E447F04">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362B3F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22254C4C">
            <w:pPr>
              <w:spacing w:before="0" w:after="0" w:line="240" w:lineRule="exact"/>
              <w:jc w:val="left"/>
              <w:rPr>
                <w:rFonts w:ascii="宋体" w:hAnsi="宋体" w:eastAsia="宋体" w:cs="宋体"/>
                <w:sz w:val="18"/>
                <w:szCs w:val="18"/>
              </w:rPr>
            </w:pPr>
            <w:r>
              <w:rPr>
                <w:rFonts w:ascii="宋体" w:hAnsi="宋体" w:eastAsia="宋体" w:cs="宋体"/>
                <w:sz w:val="18"/>
                <w:szCs w:val="18"/>
              </w:rPr>
              <w:t>非酒精性脂肪性肝炎及器官纤维化疾病创新药物的临床前研究与开发</w:t>
            </w:r>
          </w:p>
        </w:tc>
        <w:tc>
          <w:tcPr>
            <w:tcW w:w="1205" w:type="dxa"/>
            <w:tcBorders>
              <w:top w:val="single" w:color="auto" w:sz="2" w:space="0"/>
              <w:left w:val="single" w:color="auto" w:sz="2" w:space="0"/>
              <w:bottom w:val="single" w:color="auto" w:sz="2" w:space="0"/>
              <w:right w:val="single" w:color="auto" w:sz="2" w:space="0"/>
            </w:tcBorders>
            <w:vAlign w:val="center"/>
          </w:tcPr>
          <w:p w14:paraId="592CDCE9">
            <w:pPr>
              <w:spacing w:before="0" w:after="0" w:line="240" w:lineRule="exact"/>
              <w:jc w:val="right"/>
              <w:rPr>
                <w:rFonts w:ascii="宋体" w:hAnsi="宋体" w:eastAsia="宋体" w:cs="宋体"/>
                <w:sz w:val="18"/>
                <w:szCs w:val="18"/>
              </w:rPr>
            </w:pPr>
            <w:r>
              <w:rPr>
                <w:rFonts w:ascii="宋体" w:hAnsi="宋体" w:eastAsia="宋体" w:cs="宋体"/>
                <w:sz w:val="18"/>
                <w:szCs w:val="18"/>
              </w:rPr>
              <w:t>62,309.15</w:t>
            </w:r>
          </w:p>
        </w:tc>
        <w:tc>
          <w:tcPr>
            <w:tcW w:w="1205" w:type="dxa"/>
            <w:tcBorders>
              <w:top w:val="single" w:color="auto" w:sz="2" w:space="0"/>
              <w:left w:val="single" w:color="auto" w:sz="2" w:space="0"/>
              <w:bottom w:val="single" w:color="auto" w:sz="2" w:space="0"/>
              <w:right w:val="single" w:color="auto" w:sz="2" w:space="0"/>
            </w:tcBorders>
            <w:vAlign w:val="center"/>
          </w:tcPr>
          <w:p w14:paraId="403F9545">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3219E37B">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AC8A360">
            <w:pPr>
              <w:spacing w:before="0" w:after="0" w:line="240" w:lineRule="exact"/>
              <w:jc w:val="right"/>
              <w:rPr>
                <w:rFonts w:ascii="宋体" w:hAnsi="宋体" w:eastAsia="宋体" w:cs="宋体"/>
                <w:sz w:val="18"/>
                <w:szCs w:val="18"/>
              </w:rPr>
            </w:pPr>
            <w:r>
              <w:rPr>
                <w:rFonts w:ascii="宋体" w:hAnsi="宋体" w:eastAsia="宋体" w:cs="宋体"/>
                <w:sz w:val="18"/>
                <w:szCs w:val="18"/>
              </w:rPr>
              <w:t>9,585.96</w:t>
            </w:r>
          </w:p>
        </w:tc>
        <w:tc>
          <w:tcPr>
            <w:tcW w:w="1205" w:type="dxa"/>
            <w:tcBorders>
              <w:top w:val="single" w:color="auto" w:sz="2" w:space="0"/>
              <w:left w:val="single" w:color="auto" w:sz="2" w:space="0"/>
              <w:bottom w:val="single" w:color="auto" w:sz="2" w:space="0"/>
              <w:right w:val="single" w:color="auto" w:sz="2" w:space="0"/>
            </w:tcBorders>
            <w:vAlign w:val="center"/>
          </w:tcPr>
          <w:p w14:paraId="178A7F96">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49938693">
            <w:pPr>
              <w:spacing w:before="0" w:after="0" w:line="240" w:lineRule="exact"/>
              <w:jc w:val="right"/>
              <w:rPr>
                <w:rFonts w:ascii="宋体" w:hAnsi="宋体" w:eastAsia="宋体" w:cs="宋体"/>
                <w:sz w:val="18"/>
                <w:szCs w:val="18"/>
              </w:rPr>
            </w:pPr>
            <w:r>
              <w:rPr>
                <w:rFonts w:ascii="宋体" w:hAnsi="宋体" w:eastAsia="宋体" w:cs="宋体"/>
                <w:sz w:val="18"/>
                <w:szCs w:val="18"/>
              </w:rPr>
              <w:t>52,723.19</w:t>
            </w:r>
          </w:p>
        </w:tc>
        <w:tc>
          <w:tcPr>
            <w:tcW w:w="1205" w:type="dxa"/>
            <w:tcBorders>
              <w:top w:val="single" w:color="auto" w:sz="2" w:space="0"/>
              <w:left w:val="single" w:color="auto" w:sz="2" w:space="0"/>
              <w:bottom w:val="single" w:color="auto" w:sz="2" w:space="0"/>
              <w:right w:val="single" w:color="auto" w:sz="2" w:space="0"/>
            </w:tcBorders>
            <w:vAlign w:val="center"/>
          </w:tcPr>
          <w:p w14:paraId="6B87079D">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0534AE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154F6E0C">
            <w:pPr>
              <w:spacing w:before="0" w:after="0" w:line="240" w:lineRule="exact"/>
              <w:jc w:val="left"/>
              <w:rPr>
                <w:rFonts w:ascii="宋体" w:hAnsi="宋体" w:eastAsia="宋体" w:cs="宋体"/>
                <w:sz w:val="18"/>
                <w:szCs w:val="18"/>
              </w:rPr>
            </w:pPr>
            <w:r>
              <w:rPr>
                <w:rFonts w:ascii="宋体" w:hAnsi="宋体" w:eastAsia="宋体" w:cs="宋体"/>
                <w:sz w:val="18"/>
                <w:szCs w:val="18"/>
              </w:rPr>
              <w:t>国家企业技术中心省级奖励金</w:t>
            </w:r>
          </w:p>
        </w:tc>
        <w:tc>
          <w:tcPr>
            <w:tcW w:w="1205" w:type="dxa"/>
            <w:tcBorders>
              <w:top w:val="single" w:color="auto" w:sz="2" w:space="0"/>
              <w:left w:val="single" w:color="auto" w:sz="2" w:space="0"/>
              <w:bottom w:val="single" w:color="auto" w:sz="2" w:space="0"/>
              <w:right w:val="single" w:color="auto" w:sz="2" w:space="0"/>
            </w:tcBorders>
            <w:vAlign w:val="center"/>
          </w:tcPr>
          <w:p w14:paraId="16A9538C">
            <w:pPr>
              <w:spacing w:before="0" w:after="0" w:line="240" w:lineRule="exact"/>
              <w:jc w:val="right"/>
              <w:rPr>
                <w:rFonts w:ascii="宋体" w:hAnsi="宋体" w:eastAsia="宋体" w:cs="宋体"/>
                <w:sz w:val="18"/>
                <w:szCs w:val="18"/>
              </w:rPr>
            </w:pPr>
            <w:r>
              <w:rPr>
                <w:rFonts w:ascii="宋体" w:hAnsi="宋体" w:eastAsia="宋体" w:cs="宋体"/>
                <w:sz w:val="18"/>
                <w:szCs w:val="18"/>
              </w:rPr>
              <w:t>3,965,523.70</w:t>
            </w:r>
          </w:p>
        </w:tc>
        <w:tc>
          <w:tcPr>
            <w:tcW w:w="1205" w:type="dxa"/>
            <w:tcBorders>
              <w:top w:val="single" w:color="auto" w:sz="2" w:space="0"/>
              <w:left w:val="single" w:color="auto" w:sz="2" w:space="0"/>
              <w:bottom w:val="single" w:color="auto" w:sz="2" w:space="0"/>
              <w:right w:val="single" w:color="auto" w:sz="2" w:space="0"/>
            </w:tcBorders>
            <w:vAlign w:val="center"/>
          </w:tcPr>
          <w:p w14:paraId="08CA5BB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1545A90">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362AF79A">
            <w:pPr>
              <w:spacing w:before="0" w:after="0" w:line="240" w:lineRule="exact"/>
              <w:jc w:val="right"/>
              <w:rPr>
                <w:rFonts w:ascii="宋体" w:hAnsi="宋体" w:eastAsia="宋体" w:cs="宋体"/>
                <w:sz w:val="18"/>
                <w:szCs w:val="18"/>
              </w:rPr>
            </w:pPr>
            <w:r>
              <w:rPr>
                <w:rFonts w:ascii="宋体" w:hAnsi="宋体" w:eastAsia="宋体" w:cs="宋体"/>
                <w:sz w:val="18"/>
                <w:szCs w:val="18"/>
              </w:rPr>
              <w:t>474,999.96</w:t>
            </w:r>
          </w:p>
        </w:tc>
        <w:tc>
          <w:tcPr>
            <w:tcW w:w="1205" w:type="dxa"/>
            <w:tcBorders>
              <w:top w:val="single" w:color="auto" w:sz="2" w:space="0"/>
              <w:left w:val="single" w:color="auto" w:sz="2" w:space="0"/>
              <w:bottom w:val="single" w:color="auto" w:sz="2" w:space="0"/>
              <w:right w:val="single" w:color="auto" w:sz="2" w:space="0"/>
            </w:tcBorders>
            <w:vAlign w:val="center"/>
          </w:tcPr>
          <w:p w14:paraId="6FCF722B">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16B2DFA">
            <w:pPr>
              <w:spacing w:before="0" w:after="0" w:line="240" w:lineRule="exact"/>
              <w:jc w:val="right"/>
              <w:rPr>
                <w:rFonts w:ascii="宋体" w:hAnsi="宋体" w:eastAsia="宋体" w:cs="宋体"/>
                <w:sz w:val="18"/>
                <w:szCs w:val="18"/>
              </w:rPr>
            </w:pPr>
            <w:r>
              <w:rPr>
                <w:rFonts w:ascii="宋体" w:hAnsi="宋体" w:eastAsia="宋体" w:cs="宋体"/>
                <w:sz w:val="18"/>
                <w:szCs w:val="18"/>
              </w:rPr>
              <w:t>3,490,523.74</w:t>
            </w:r>
          </w:p>
        </w:tc>
        <w:tc>
          <w:tcPr>
            <w:tcW w:w="1205" w:type="dxa"/>
            <w:tcBorders>
              <w:top w:val="single" w:color="auto" w:sz="2" w:space="0"/>
              <w:left w:val="single" w:color="auto" w:sz="2" w:space="0"/>
              <w:bottom w:val="single" w:color="auto" w:sz="2" w:space="0"/>
              <w:right w:val="single" w:color="auto" w:sz="2" w:space="0"/>
            </w:tcBorders>
            <w:vAlign w:val="center"/>
          </w:tcPr>
          <w:p w14:paraId="09EEC22A">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0C8B7B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44FA3273">
            <w:pPr>
              <w:spacing w:before="0" w:after="0" w:line="240" w:lineRule="exact"/>
              <w:jc w:val="left"/>
              <w:rPr>
                <w:rFonts w:ascii="宋体" w:hAnsi="宋体" w:eastAsia="宋体" w:cs="宋体"/>
                <w:sz w:val="18"/>
                <w:szCs w:val="18"/>
              </w:rPr>
            </w:pPr>
            <w:r>
              <w:rPr>
                <w:rFonts w:ascii="宋体" w:hAnsi="宋体" w:eastAsia="宋体" w:cs="宋体"/>
                <w:sz w:val="18"/>
                <w:szCs w:val="18"/>
              </w:rPr>
              <w:t>核苷类抗乙肝病毒药物系列产品生产线升级改造项目补助</w:t>
            </w:r>
          </w:p>
        </w:tc>
        <w:tc>
          <w:tcPr>
            <w:tcW w:w="1205" w:type="dxa"/>
            <w:tcBorders>
              <w:top w:val="single" w:color="auto" w:sz="2" w:space="0"/>
              <w:left w:val="single" w:color="auto" w:sz="2" w:space="0"/>
              <w:bottom w:val="single" w:color="auto" w:sz="2" w:space="0"/>
              <w:right w:val="single" w:color="auto" w:sz="2" w:space="0"/>
            </w:tcBorders>
            <w:vAlign w:val="center"/>
          </w:tcPr>
          <w:p w14:paraId="2E7FB2A4">
            <w:pPr>
              <w:spacing w:before="0" w:after="0" w:line="240" w:lineRule="exact"/>
              <w:jc w:val="right"/>
              <w:rPr>
                <w:rFonts w:ascii="宋体" w:hAnsi="宋体" w:eastAsia="宋体" w:cs="宋体"/>
                <w:sz w:val="18"/>
                <w:szCs w:val="18"/>
              </w:rPr>
            </w:pPr>
            <w:r>
              <w:rPr>
                <w:rFonts w:ascii="宋体" w:hAnsi="宋体" w:eastAsia="宋体" w:cs="宋体"/>
                <w:sz w:val="18"/>
                <w:szCs w:val="18"/>
              </w:rPr>
              <w:t>455,843.24</w:t>
            </w:r>
          </w:p>
        </w:tc>
        <w:tc>
          <w:tcPr>
            <w:tcW w:w="1205" w:type="dxa"/>
            <w:tcBorders>
              <w:top w:val="single" w:color="auto" w:sz="2" w:space="0"/>
              <w:left w:val="single" w:color="auto" w:sz="2" w:space="0"/>
              <w:bottom w:val="single" w:color="auto" w:sz="2" w:space="0"/>
              <w:right w:val="single" w:color="auto" w:sz="2" w:space="0"/>
            </w:tcBorders>
            <w:vAlign w:val="center"/>
          </w:tcPr>
          <w:p w14:paraId="157112E9">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BF2B385">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86E0880">
            <w:pPr>
              <w:spacing w:before="0" w:after="0" w:line="240" w:lineRule="exact"/>
              <w:jc w:val="right"/>
              <w:rPr>
                <w:rFonts w:ascii="宋体" w:hAnsi="宋体" w:eastAsia="宋体" w:cs="宋体"/>
                <w:sz w:val="18"/>
                <w:szCs w:val="18"/>
              </w:rPr>
            </w:pPr>
            <w:r>
              <w:rPr>
                <w:rFonts w:ascii="宋体" w:hAnsi="宋体" w:eastAsia="宋体" w:cs="宋体"/>
                <w:sz w:val="18"/>
                <w:szCs w:val="18"/>
              </w:rPr>
              <w:t>59,646.10</w:t>
            </w:r>
          </w:p>
        </w:tc>
        <w:tc>
          <w:tcPr>
            <w:tcW w:w="1205" w:type="dxa"/>
            <w:tcBorders>
              <w:top w:val="single" w:color="auto" w:sz="2" w:space="0"/>
              <w:left w:val="single" w:color="auto" w:sz="2" w:space="0"/>
              <w:bottom w:val="single" w:color="auto" w:sz="2" w:space="0"/>
              <w:right w:val="single" w:color="auto" w:sz="2" w:space="0"/>
            </w:tcBorders>
            <w:vAlign w:val="center"/>
          </w:tcPr>
          <w:p w14:paraId="24E861FB">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2A0E95F">
            <w:pPr>
              <w:spacing w:before="0" w:after="0" w:line="240" w:lineRule="exact"/>
              <w:jc w:val="right"/>
              <w:rPr>
                <w:rFonts w:ascii="宋体" w:hAnsi="宋体" w:eastAsia="宋体" w:cs="宋体"/>
                <w:sz w:val="18"/>
                <w:szCs w:val="18"/>
              </w:rPr>
            </w:pPr>
            <w:r>
              <w:rPr>
                <w:rFonts w:ascii="宋体" w:hAnsi="宋体" w:eastAsia="宋体" w:cs="宋体"/>
                <w:sz w:val="18"/>
                <w:szCs w:val="18"/>
              </w:rPr>
              <w:t>396,197.14</w:t>
            </w:r>
          </w:p>
        </w:tc>
        <w:tc>
          <w:tcPr>
            <w:tcW w:w="1205" w:type="dxa"/>
            <w:tcBorders>
              <w:top w:val="single" w:color="auto" w:sz="2" w:space="0"/>
              <w:left w:val="single" w:color="auto" w:sz="2" w:space="0"/>
              <w:bottom w:val="single" w:color="auto" w:sz="2" w:space="0"/>
              <w:right w:val="single" w:color="auto" w:sz="2" w:space="0"/>
            </w:tcBorders>
            <w:vAlign w:val="center"/>
          </w:tcPr>
          <w:p w14:paraId="6FA9658F">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335F99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767033CA">
            <w:pPr>
              <w:spacing w:before="0" w:after="0" w:line="240" w:lineRule="exact"/>
              <w:jc w:val="left"/>
              <w:rPr>
                <w:rFonts w:ascii="宋体" w:hAnsi="宋体" w:eastAsia="宋体" w:cs="宋体"/>
                <w:sz w:val="18"/>
                <w:szCs w:val="18"/>
              </w:rPr>
            </w:pPr>
            <w:r>
              <w:rPr>
                <w:rFonts w:ascii="宋体" w:hAnsi="宋体" w:eastAsia="宋体" w:cs="宋体"/>
                <w:sz w:val="18"/>
                <w:szCs w:val="18"/>
              </w:rPr>
              <w:t>2020年首批省产业领军团队补助款</w:t>
            </w:r>
          </w:p>
        </w:tc>
        <w:tc>
          <w:tcPr>
            <w:tcW w:w="1205" w:type="dxa"/>
            <w:tcBorders>
              <w:top w:val="single" w:color="auto" w:sz="2" w:space="0"/>
              <w:left w:val="single" w:color="auto" w:sz="2" w:space="0"/>
              <w:bottom w:val="single" w:color="auto" w:sz="2" w:space="0"/>
              <w:right w:val="single" w:color="auto" w:sz="2" w:space="0"/>
            </w:tcBorders>
            <w:vAlign w:val="center"/>
          </w:tcPr>
          <w:p w14:paraId="59CC66A1">
            <w:pPr>
              <w:spacing w:before="0" w:after="0" w:line="240" w:lineRule="exact"/>
              <w:jc w:val="right"/>
              <w:rPr>
                <w:rFonts w:ascii="宋体" w:hAnsi="宋体" w:eastAsia="宋体" w:cs="宋体"/>
                <w:sz w:val="18"/>
                <w:szCs w:val="18"/>
              </w:rPr>
            </w:pPr>
            <w:r>
              <w:rPr>
                <w:rFonts w:ascii="宋体" w:hAnsi="宋体" w:eastAsia="宋体" w:cs="宋体"/>
                <w:sz w:val="18"/>
                <w:szCs w:val="18"/>
              </w:rPr>
              <w:t>2,500,000.00</w:t>
            </w:r>
          </w:p>
        </w:tc>
        <w:tc>
          <w:tcPr>
            <w:tcW w:w="1205" w:type="dxa"/>
            <w:tcBorders>
              <w:top w:val="single" w:color="auto" w:sz="2" w:space="0"/>
              <w:left w:val="single" w:color="auto" w:sz="2" w:space="0"/>
              <w:bottom w:val="single" w:color="auto" w:sz="2" w:space="0"/>
              <w:right w:val="single" w:color="auto" w:sz="2" w:space="0"/>
            </w:tcBorders>
            <w:vAlign w:val="center"/>
          </w:tcPr>
          <w:p w14:paraId="73DD3290">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02901354">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391FA96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8FF5B5F">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2EB1FCA3">
            <w:pPr>
              <w:spacing w:before="0" w:after="0" w:line="240" w:lineRule="exact"/>
              <w:jc w:val="right"/>
              <w:rPr>
                <w:rFonts w:ascii="宋体" w:hAnsi="宋体" w:eastAsia="宋体" w:cs="宋体"/>
                <w:sz w:val="18"/>
                <w:szCs w:val="18"/>
              </w:rPr>
            </w:pPr>
            <w:r>
              <w:rPr>
                <w:rFonts w:ascii="宋体" w:hAnsi="宋体" w:eastAsia="宋体" w:cs="宋体"/>
                <w:sz w:val="18"/>
                <w:szCs w:val="18"/>
              </w:rPr>
              <w:t>2,500,000.00</w:t>
            </w:r>
          </w:p>
        </w:tc>
        <w:tc>
          <w:tcPr>
            <w:tcW w:w="1205" w:type="dxa"/>
            <w:tcBorders>
              <w:top w:val="single" w:color="auto" w:sz="2" w:space="0"/>
              <w:left w:val="single" w:color="auto" w:sz="2" w:space="0"/>
              <w:bottom w:val="single" w:color="auto" w:sz="2" w:space="0"/>
              <w:right w:val="single" w:color="auto" w:sz="2" w:space="0"/>
            </w:tcBorders>
            <w:vAlign w:val="center"/>
          </w:tcPr>
          <w:p w14:paraId="65B73835">
            <w:pPr>
              <w:spacing w:before="0" w:after="0" w:line="240" w:lineRule="exact"/>
              <w:jc w:val="left"/>
              <w:rPr>
                <w:rFonts w:ascii="宋体" w:hAnsi="宋体" w:eastAsia="宋体" w:cs="宋体"/>
                <w:sz w:val="18"/>
                <w:szCs w:val="18"/>
              </w:rPr>
            </w:pPr>
            <w:r>
              <w:rPr>
                <w:rFonts w:ascii="宋体" w:hAnsi="宋体" w:eastAsia="宋体" w:cs="宋体"/>
                <w:sz w:val="18"/>
                <w:szCs w:val="18"/>
              </w:rPr>
              <w:t>与收益相关</w:t>
            </w:r>
          </w:p>
        </w:tc>
      </w:tr>
      <w:tr w14:paraId="3E8A08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1FE12CF5">
            <w:pPr>
              <w:spacing w:before="0" w:after="0" w:line="240" w:lineRule="exact"/>
              <w:jc w:val="left"/>
              <w:rPr>
                <w:rFonts w:ascii="宋体" w:hAnsi="宋体" w:eastAsia="宋体" w:cs="宋体"/>
                <w:sz w:val="18"/>
                <w:szCs w:val="18"/>
              </w:rPr>
            </w:pPr>
            <w:r>
              <w:rPr>
                <w:rFonts w:ascii="宋体" w:hAnsi="宋体" w:eastAsia="宋体" w:cs="宋体"/>
                <w:sz w:val="18"/>
                <w:szCs w:val="18"/>
              </w:rPr>
              <w:t>2022年省级企业技术改造项目设备投资补助</w:t>
            </w:r>
          </w:p>
        </w:tc>
        <w:tc>
          <w:tcPr>
            <w:tcW w:w="1205" w:type="dxa"/>
            <w:tcBorders>
              <w:top w:val="single" w:color="auto" w:sz="2" w:space="0"/>
              <w:left w:val="single" w:color="auto" w:sz="2" w:space="0"/>
              <w:bottom w:val="single" w:color="auto" w:sz="2" w:space="0"/>
              <w:right w:val="single" w:color="auto" w:sz="2" w:space="0"/>
            </w:tcBorders>
            <w:vAlign w:val="center"/>
          </w:tcPr>
          <w:p w14:paraId="738D52B3">
            <w:pPr>
              <w:spacing w:before="0" w:after="0" w:line="240" w:lineRule="exact"/>
              <w:jc w:val="right"/>
              <w:rPr>
                <w:rFonts w:ascii="宋体" w:hAnsi="宋体" w:eastAsia="宋体" w:cs="宋体"/>
                <w:sz w:val="18"/>
                <w:szCs w:val="18"/>
              </w:rPr>
            </w:pPr>
            <w:r>
              <w:rPr>
                <w:rFonts w:ascii="宋体" w:hAnsi="宋体" w:eastAsia="宋体" w:cs="宋体"/>
                <w:sz w:val="18"/>
                <w:szCs w:val="18"/>
              </w:rPr>
              <w:t>829,732.96</w:t>
            </w:r>
          </w:p>
        </w:tc>
        <w:tc>
          <w:tcPr>
            <w:tcW w:w="1205" w:type="dxa"/>
            <w:tcBorders>
              <w:top w:val="single" w:color="auto" w:sz="2" w:space="0"/>
              <w:left w:val="single" w:color="auto" w:sz="2" w:space="0"/>
              <w:bottom w:val="single" w:color="auto" w:sz="2" w:space="0"/>
              <w:right w:val="single" w:color="auto" w:sz="2" w:space="0"/>
            </w:tcBorders>
            <w:vAlign w:val="center"/>
          </w:tcPr>
          <w:p w14:paraId="1D2DAF14">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7F7A23A">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EDE187A">
            <w:pPr>
              <w:spacing w:before="0" w:after="0" w:line="240" w:lineRule="exact"/>
              <w:jc w:val="right"/>
              <w:rPr>
                <w:rFonts w:ascii="宋体" w:hAnsi="宋体" w:eastAsia="宋体" w:cs="宋体"/>
                <w:sz w:val="18"/>
                <w:szCs w:val="18"/>
              </w:rPr>
            </w:pPr>
            <w:r>
              <w:rPr>
                <w:rFonts w:ascii="宋体" w:hAnsi="宋体" w:eastAsia="宋体" w:cs="宋体"/>
                <w:sz w:val="18"/>
                <w:szCs w:val="18"/>
              </w:rPr>
              <w:t>92,000.86</w:t>
            </w:r>
          </w:p>
        </w:tc>
        <w:tc>
          <w:tcPr>
            <w:tcW w:w="1205" w:type="dxa"/>
            <w:tcBorders>
              <w:top w:val="single" w:color="auto" w:sz="2" w:space="0"/>
              <w:left w:val="single" w:color="auto" w:sz="2" w:space="0"/>
              <w:bottom w:val="single" w:color="auto" w:sz="2" w:space="0"/>
              <w:right w:val="single" w:color="auto" w:sz="2" w:space="0"/>
            </w:tcBorders>
            <w:vAlign w:val="center"/>
          </w:tcPr>
          <w:p w14:paraId="0EB9A822">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3714EE3D">
            <w:pPr>
              <w:spacing w:before="0" w:after="0" w:line="240" w:lineRule="exact"/>
              <w:jc w:val="right"/>
              <w:rPr>
                <w:rFonts w:ascii="宋体" w:hAnsi="宋体" w:eastAsia="宋体" w:cs="宋体"/>
                <w:sz w:val="18"/>
                <w:szCs w:val="18"/>
              </w:rPr>
            </w:pPr>
            <w:r>
              <w:rPr>
                <w:rFonts w:ascii="宋体" w:hAnsi="宋体" w:eastAsia="宋体" w:cs="宋体"/>
                <w:sz w:val="18"/>
                <w:szCs w:val="18"/>
              </w:rPr>
              <w:t>737,732.10</w:t>
            </w:r>
          </w:p>
        </w:tc>
        <w:tc>
          <w:tcPr>
            <w:tcW w:w="1205" w:type="dxa"/>
            <w:tcBorders>
              <w:top w:val="single" w:color="auto" w:sz="2" w:space="0"/>
              <w:left w:val="single" w:color="auto" w:sz="2" w:space="0"/>
              <w:bottom w:val="single" w:color="auto" w:sz="2" w:space="0"/>
              <w:right w:val="single" w:color="auto" w:sz="2" w:space="0"/>
            </w:tcBorders>
            <w:vAlign w:val="center"/>
          </w:tcPr>
          <w:p w14:paraId="7DEC9C68">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4773E3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2430E417">
            <w:pPr>
              <w:spacing w:before="0" w:after="0" w:line="240" w:lineRule="exact"/>
              <w:jc w:val="left"/>
              <w:rPr>
                <w:rFonts w:ascii="宋体" w:hAnsi="宋体" w:eastAsia="宋体" w:cs="宋体"/>
                <w:sz w:val="18"/>
                <w:szCs w:val="18"/>
              </w:rPr>
            </w:pPr>
            <w:r>
              <w:rPr>
                <w:rFonts w:ascii="宋体" w:hAnsi="宋体" w:eastAsia="宋体" w:cs="宋体"/>
                <w:sz w:val="18"/>
                <w:szCs w:val="18"/>
              </w:rPr>
              <w:t>2023年省技术创新重点攻关及产业化项目第一批补助资金</w:t>
            </w:r>
          </w:p>
        </w:tc>
        <w:tc>
          <w:tcPr>
            <w:tcW w:w="1205" w:type="dxa"/>
            <w:tcBorders>
              <w:top w:val="single" w:color="auto" w:sz="2" w:space="0"/>
              <w:left w:val="single" w:color="auto" w:sz="2" w:space="0"/>
              <w:bottom w:val="single" w:color="auto" w:sz="2" w:space="0"/>
              <w:right w:val="single" w:color="auto" w:sz="2" w:space="0"/>
            </w:tcBorders>
            <w:vAlign w:val="center"/>
          </w:tcPr>
          <w:p w14:paraId="279802B1">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1205" w:type="dxa"/>
            <w:tcBorders>
              <w:top w:val="single" w:color="auto" w:sz="2" w:space="0"/>
              <w:left w:val="single" w:color="auto" w:sz="2" w:space="0"/>
              <w:bottom w:val="single" w:color="auto" w:sz="2" w:space="0"/>
              <w:right w:val="single" w:color="auto" w:sz="2" w:space="0"/>
            </w:tcBorders>
            <w:vAlign w:val="center"/>
          </w:tcPr>
          <w:p w14:paraId="32508695">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984181D">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35D7518B">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79411733">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2355FB9">
            <w:pPr>
              <w:spacing w:before="0" w:after="0" w:line="240" w:lineRule="exact"/>
              <w:jc w:val="right"/>
              <w:rPr>
                <w:rFonts w:ascii="宋体" w:hAnsi="宋体" w:eastAsia="宋体" w:cs="宋体"/>
                <w:sz w:val="18"/>
                <w:szCs w:val="18"/>
              </w:rPr>
            </w:pPr>
            <w:r>
              <w:rPr>
                <w:rFonts w:ascii="宋体" w:hAnsi="宋体" w:eastAsia="宋体" w:cs="宋体"/>
                <w:sz w:val="18"/>
                <w:szCs w:val="18"/>
              </w:rPr>
              <w:t>500,000.00</w:t>
            </w:r>
          </w:p>
        </w:tc>
        <w:tc>
          <w:tcPr>
            <w:tcW w:w="1205" w:type="dxa"/>
            <w:tcBorders>
              <w:top w:val="single" w:color="auto" w:sz="2" w:space="0"/>
              <w:left w:val="single" w:color="auto" w:sz="2" w:space="0"/>
              <w:bottom w:val="single" w:color="auto" w:sz="2" w:space="0"/>
              <w:right w:val="single" w:color="auto" w:sz="2" w:space="0"/>
            </w:tcBorders>
            <w:vAlign w:val="center"/>
          </w:tcPr>
          <w:p w14:paraId="11AE1C39">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5C9F30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345B05EB">
            <w:pPr>
              <w:spacing w:before="0" w:after="0" w:line="240" w:lineRule="exact"/>
              <w:jc w:val="left"/>
              <w:rPr>
                <w:rFonts w:ascii="宋体" w:hAnsi="宋体" w:eastAsia="宋体" w:cs="宋体"/>
                <w:sz w:val="18"/>
                <w:szCs w:val="18"/>
              </w:rPr>
            </w:pPr>
            <w:r>
              <w:rPr>
                <w:rFonts w:ascii="宋体" w:hAnsi="宋体" w:eastAsia="宋体" w:cs="宋体"/>
                <w:sz w:val="18"/>
                <w:szCs w:val="18"/>
              </w:rPr>
              <w:t>省级企业技改项目设备投掷补助和技改项目完工投产奖励</w:t>
            </w:r>
          </w:p>
        </w:tc>
        <w:tc>
          <w:tcPr>
            <w:tcW w:w="1205" w:type="dxa"/>
            <w:tcBorders>
              <w:top w:val="single" w:color="auto" w:sz="2" w:space="0"/>
              <w:left w:val="single" w:color="auto" w:sz="2" w:space="0"/>
              <w:bottom w:val="single" w:color="auto" w:sz="2" w:space="0"/>
              <w:right w:val="single" w:color="auto" w:sz="2" w:space="0"/>
            </w:tcBorders>
            <w:vAlign w:val="center"/>
          </w:tcPr>
          <w:p w14:paraId="1FF31EA8">
            <w:pPr>
              <w:spacing w:before="0" w:after="0" w:line="240" w:lineRule="exact"/>
              <w:jc w:val="right"/>
              <w:rPr>
                <w:rFonts w:ascii="宋体" w:hAnsi="宋体" w:eastAsia="宋体" w:cs="宋体"/>
                <w:sz w:val="18"/>
                <w:szCs w:val="18"/>
              </w:rPr>
            </w:pPr>
            <w:r>
              <w:rPr>
                <w:rFonts w:ascii="宋体" w:hAnsi="宋体" w:eastAsia="宋体" w:cs="宋体"/>
                <w:sz w:val="18"/>
                <w:szCs w:val="18"/>
              </w:rPr>
              <w:t>622,850.93</w:t>
            </w:r>
          </w:p>
        </w:tc>
        <w:tc>
          <w:tcPr>
            <w:tcW w:w="1205" w:type="dxa"/>
            <w:tcBorders>
              <w:top w:val="single" w:color="auto" w:sz="2" w:space="0"/>
              <w:left w:val="single" w:color="auto" w:sz="2" w:space="0"/>
              <w:bottom w:val="single" w:color="auto" w:sz="2" w:space="0"/>
              <w:right w:val="single" w:color="auto" w:sz="2" w:space="0"/>
            </w:tcBorders>
            <w:vAlign w:val="center"/>
          </w:tcPr>
          <w:p w14:paraId="59A80881">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710B06B8">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79DED772">
            <w:pPr>
              <w:spacing w:before="0" w:after="0" w:line="240" w:lineRule="exact"/>
              <w:jc w:val="right"/>
              <w:rPr>
                <w:rFonts w:ascii="宋体" w:hAnsi="宋体" w:eastAsia="宋体" w:cs="宋体"/>
                <w:sz w:val="18"/>
                <w:szCs w:val="18"/>
              </w:rPr>
            </w:pPr>
            <w:r>
              <w:rPr>
                <w:rFonts w:ascii="宋体" w:hAnsi="宋体" w:eastAsia="宋体" w:cs="宋体"/>
                <w:sz w:val="18"/>
                <w:szCs w:val="18"/>
              </w:rPr>
              <w:t>72,294.49</w:t>
            </w:r>
          </w:p>
        </w:tc>
        <w:tc>
          <w:tcPr>
            <w:tcW w:w="1205" w:type="dxa"/>
            <w:tcBorders>
              <w:top w:val="single" w:color="auto" w:sz="2" w:space="0"/>
              <w:left w:val="single" w:color="auto" w:sz="2" w:space="0"/>
              <w:bottom w:val="single" w:color="auto" w:sz="2" w:space="0"/>
              <w:right w:val="single" w:color="auto" w:sz="2" w:space="0"/>
            </w:tcBorders>
            <w:vAlign w:val="center"/>
          </w:tcPr>
          <w:p w14:paraId="42DC44AD">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7869B806">
            <w:pPr>
              <w:spacing w:before="0" w:after="0" w:line="240" w:lineRule="exact"/>
              <w:jc w:val="right"/>
              <w:rPr>
                <w:rFonts w:ascii="宋体" w:hAnsi="宋体" w:eastAsia="宋体" w:cs="宋体"/>
                <w:sz w:val="18"/>
                <w:szCs w:val="18"/>
              </w:rPr>
            </w:pPr>
            <w:r>
              <w:rPr>
                <w:rFonts w:ascii="宋体" w:hAnsi="宋体" w:eastAsia="宋体" w:cs="宋体"/>
                <w:sz w:val="18"/>
                <w:szCs w:val="18"/>
              </w:rPr>
              <w:t>550,556.44</w:t>
            </w:r>
          </w:p>
        </w:tc>
        <w:tc>
          <w:tcPr>
            <w:tcW w:w="1205" w:type="dxa"/>
            <w:tcBorders>
              <w:top w:val="single" w:color="auto" w:sz="2" w:space="0"/>
              <w:left w:val="single" w:color="auto" w:sz="2" w:space="0"/>
              <w:bottom w:val="single" w:color="auto" w:sz="2" w:space="0"/>
              <w:right w:val="single" w:color="auto" w:sz="2" w:space="0"/>
            </w:tcBorders>
            <w:vAlign w:val="center"/>
          </w:tcPr>
          <w:p w14:paraId="4E8E2116">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12E7C4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7E46D66A">
            <w:pPr>
              <w:spacing w:before="0" w:after="0" w:line="240" w:lineRule="exact"/>
              <w:jc w:val="left"/>
              <w:rPr>
                <w:rFonts w:ascii="宋体" w:hAnsi="宋体" w:eastAsia="宋体" w:cs="宋体"/>
                <w:sz w:val="18"/>
                <w:szCs w:val="18"/>
              </w:rPr>
            </w:pPr>
            <w:r>
              <w:rPr>
                <w:rFonts w:ascii="宋体" w:hAnsi="宋体" w:eastAsia="宋体" w:cs="宋体"/>
                <w:sz w:val="18"/>
                <w:szCs w:val="18"/>
              </w:rPr>
              <w:t>柘荣县发展和改革局-阿泰特韦片/利那韦片组合包装完成III期临床试验研发投入补贴</w:t>
            </w:r>
          </w:p>
        </w:tc>
        <w:tc>
          <w:tcPr>
            <w:tcW w:w="1205" w:type="dxa"/>
            <w:tcBorders>
              <w:top w:val="single" w:color="auto" w:sz="2" w:space="0"/>
              <w:left w:val="single" w:color="auto" w:sz="2" w:space="0"/>
              <w:bottom w:val="single" w:color="auto" w:sz="2" w:space="0"/>
              <w:right w:val="single" w:color="auto" w:sz="2" w:space="0"/>
            </w:tcBorders>
            <w:vAlign w:val="center"/>
          </w:tcPr>
          <w:p w14:paraId="6F268A9D">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5F5796C4">
            <w:pPr>
              <w:spacing w:before="0" w:after="0" w:line="240" w:lineRule="exact"/>
              <w:jc w:val="right"/>
              <w:rPr>
                <w:rFonts w:ascii="宋体" w:hAnsi="宋体" w:eastAsia="宋体" w:cs="宋体"/>
                <w:sz w:val="18"/>
                <w:szCs w:val="18"/>
              </w:rPr>
            </w:pPr>
            <w:r>
              <w:rPr>
                <w:rFonts w:ascii="宋体" w:hAnsi="宋体" w:eastAsia="宋体" w:cs="宋体"/>
                <w:sz w:val="18"/>
                <w:szCs w:val="18"/>
              </w:rPr>
              <w:t>30,000,000.00</w:t>
            </w:r>
          </w:p>
        </w:tc>
        <w:tc>
          <w:tcPr>
            <w:tcW w:w="1205" w:type="dxa"/>
            <w:tcBorders>
              <w:top w:val="single" w:color="auto" w:sz="2" w:space="0"/>
              <w:left w:val="single" w:color="auto" w:sz="2" w:space="0"/>
              <w:bottom w:val="single" w:color="auto" w:sz="2" w:space="0"/>
              <w:right w:val="single" w:color="auto" w:sz="2" w:space="0"/>
            </w:tcBorders>
            <w:vAlign w:val="center"/>
          </w:tcPr>
          <w:p w14:paraId="07F15EF1">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6BD1623E">
            <w:pPr>
              <w:spacing w:before="0" w:after="0" w:line="240" w:lineRule="exact"/>
              <w:jc w:val="right"/>
              <w:rPr>
                <w:rFonts w:ascii="宋体" w:hAnsi="宋体" w:eastAsia="宋体" w:cs="宋体"/>
                <w:sz w:val="18"/>
                <w:szCs w:val="18"/>
              </w:rPr>
            </w:pPr>
            <w:r>
              <w:rPr>
                <w:rFonts w:ascii="宋体" w:hAnsi="宋体" w:eastAsia="宋体" w:cs="宋体"/>
                <w:sz w:val="18"/>
                <w:szCs w:val="18"/>
              </w:rPr>
              <w:t>280,373.83</w:t>
            </w:r>
          </w:p>
        </w:tc>
        <w:tc>
          <w:tcPr>
            <w:tcW w:w="1205" w:type="dxa"/>
            <w:tcBorders>
              <w:top w:val="single" w:color="auto" w:sz="2" w:space="0"/>
              <w:left w:val="single" w:color="auto" w:sz="2" w:space="0"/>
              <w:bottom w:val="single" w:color="auto" w:sz="2" w:space="0"/>
              <w:right w:val="single" w:color="auto" w:sz="2" w:space="0"/>
            </w:tcBorders>
            <w:vAlign w:val="center"/>
          </w:tcPr>
          <w:p w14:paraId="1FDDD012">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389912E5">
            <w:pPr>
              <w:spacing w:before="0" w:after="0" w:line="240" w:lineRule="exact"/>
              <w:jc w:val="right"/>
              <w:rPr>
                <w:rFonts w:ascii="宋体" w:hAnsi="宋体" w:eastAsia="宋体" w:cs="宋体"/>
                <w:sz w:val="18"/>
                <w:szCs w:val="18"/>
              </w:rPr>
            </w:pPr>
            <w:r>
              <w:rPr>
                <w:rFonts w:ascii="宋体" w:hAnsi="宋体" w:eastAsia="宋体" w:cs="宋体"/>
                <w:sz w:val="18"/>
                <w:szCs w:val="18"/>
              </w:rPr>
              <w:t>29,719,626.17</w:t>
            </w:r>
          </w:p>
        </w:tc>
        <w:tc>
          <w:tcPr>
            <w:tcW w:w="1205" w:type="dxa"/>
            <w:tcBorders>
              <w:top w:val="single" w:color="auto" w:sz="2" w:space="0"/>
              <w:left w:val="single" w:color="auto" w:sz="2" w:space="0"/>
              <w:bottom w:val="single" w:color="auto" w:sz="2" w:space="0"/>
              <w:right w:val="single" w:color="auto" w:sz="2" w:space="0"/>
            </w:tcBorders>
            <w:vAlign w:val="center"/>
          </w:tcPr>
          <w:p w14:paraId="68AEFC74">
            <w:pPr>
              <w:spacing w:before="0" w:after="0" w:line="240" w:lineRule="exact"/>
              <w:jc w:val="left"/>
              <w:rPr>
                <w:rFonts w:ascii="宋体" w:hAnsi="宋体" w:eastAsia="宋体" w:cs="宋体"/>
                <w:sz w:val="18"/>
                <w:szCs w:val="18"/>
              </w:rPr>
            </w:pPr>
            <w:r>
              <w:rPr>
                <w:rFonts w:ascii="宋体" w:hAnsi="宋体" w:eastAsia="宋体" w:cs="宋体"/>
                <w:sz w:val="18"/>
                <w:szCs w:val="18"/>
              </w:rPr>
              <w:t>与资产相关</w:t>
            </w:r>
          </w:p>
        </w:tc>
      </w:tr>
      <w:tr w14:paraId="2D9181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14:paraId="617F8303">
            <w:pPr>
              <w:spacing w:before="0" w:after="0" w:line="240" w:lineRule="exact"/>
              <w:jc w:val="left"/>
              <w:rPr>
                <w:rFonts w:ascii="宋体" w:hAnsi="宋体" w:eastAsia="宋体" w:cs="宋体"/>
                <w:sz w:val="18"/>
                <w:szCs w:val="18"/>
              </w:rPr>
            </w:pPr>
            <w:r>
              <w:rPr>
                <w:rFonts w:ascii="宋体" w:hAnsi="宋体" w:eastAsia="宋体" w:cs="宋体"/>
                <w:sz w:val="18"/>
                <w:szCs w:val="18"/>
              </w:rPr>
              <w:t>合计</w:t>
            </w:r>
          </w:p>
        </w:tc>
        <w:tc>
          <w:tcPr>
            <w:tcW w:w="1205" w:type="dxa"/>
            <w:tcBorders>
              <w:top w:val="single" w:color="auto" w:sz="2" w:space="0"/>
              <w:left w:val="single" w:color="auto" w:sz="2" w:space="0"/>
              <w:bottom w:val="single" w:color="auto" w:sz="2" w:space="0"/>
              <w:right w:val="single" w:color="auto" w:sz="2" w:space="0"/>
            </w:tcBorders>
            <w:vAlign w:val="center"/>
          </w:tcPr>
          <w:p w14:paraId="21EA3C6F">
            <w:pPr>
              <w:spacing w:before="0" w:after="0" w:line="240" w:lineRule="exact"/>
              <w:jc w:val="right"/>
              <w:rPr>
                <w:rFonts w:ascii="宋体" w:hAnsi="宋体" w:eastAsia="宋体" w:cs="宋体"/>
                <w:sz w:val="18"/>
                <w:szCs w:val="18"/>
              </w:rPr>
            </w:pPr>
            <w:r>
              <w:rPr>
                <w:rFonts w:ascii="宋体" w:hAnsi="宋体" w:eastAsia="宋体" w:cs="宋体"/>
                <w:sz w:val="18"/>
                <w:szCs w:val="18"/>
              </w:rPr>
              <w:t>39,993,744.35</w:t>
            </w:r>
          </w:p>
        </w:tc>
        <w:tc>
          <w:tcPr>
            <w:tcW w:w="1205" w:type="dxa"/>
            <w:tcBorders>
              <w:top w:val="single" w:color="auto" w:sz="2" w:space="0"/>
              <w:left w:val="single" w:color="auto" w:sz="2" w:space="0"/>
              <w:bottom w:val="single" w:color="auto" w:sz="2" w:space="0"/>
              <w:right w:val="single" w:color="auto" w:sz="2" w:space="0"/>
            </w:tcBorders>
            <w:vAlign w:val="center"/>
          </w:tcPr>
          <w:p w14:paraId="426E54D1">
            <w:pPr>
              <w:spacing w:before="0" w:after="0" w:line="240" w:lineRule="exact"/>
              <w:jc w:val="right"/>
              <w:rPr>
                <w:rFonts w:ascii="宋体" w:hAnsi="宋体" w:eastAsia="宋体" w:cs="宋体"/>
                <w:sz w:val="18"/>
                <w:szCs w:val="18"/>
              </w:rPr>
            </w:pPr>
            <w:r>
              <w:rPr>
                <w:rFonts w:ascii="宋体" w:hAnsi="宋体" w:eastAsia="宋体" w:cs="宋体"/>
                <w:sz w:val="18"/>
                <w:szCs w:val="18"/>
              </w:rPr>
              <w:t>30,000,000.00</w:t>
            </w:r>
          </w:p>
        </w:tc>
        <w:tc>
          <w:tcPr>
            <w:tcW w:w="1205" w:type="dxa"/>
            <w:tcBorders>
              <w:top w:val="single" w:color="auto" w:sz="2" w:space="0"/>
              <w:left w:val="single" w:color="auto" w:sz="2" w:space="0"/>
              <w:bottom w:val="single" w:color="auto" w:sz="2" w:space="0"/>
              <w:right w:val="single" w:color="auto" w:sz="2" w:space="0"/>
            </w:tcBorders>
            <w:vAlign w:val="center"/>
          </w:tcPr>
          <w:p w14:paraId="47D32C71">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AEB7E96">
            <w:pPr>
              <w:spacing w:before="0" w:after="0" w:line="240" w:lineRule="exact"/>
              <w:jc w:val="right"/>
              <w:rPr>
                <w:rFonts w:ascii="宋体" w:hAnsi="宋体" w:eastAsia="宋体" w:cs="宋体"/>
                <w:sz w:val="18"/>
                <w:szCs w:val="18"/>
              </w:rPr>
            </w:pPr>
            <w:r>
              <w:rPr>
                <w:rFonts w:ascii="宋体" w:hAnsi="宋体" w:eastAsia="宋体" w:cs="宋体"/>
                <w:sz w:val="18"/>
                <w:szCs w:val="18"/>
              </w:rPr>
              <w:t>4,003,143.73</w:t>
            </w:r>
          </w:p>
        </w:tc>
        <w:tc>
          <w:tcPr>
            <w:tcW w:w="1205" w:type="dxa"/>
            <w:tcBorders>
              <w:top w:val="single" w:color="auto" w:sz="2" w:space="0"/>
              <w:left w:val="single" w:color="auto" w:sz="2" w:space="0"/>
              <w:bottom w:val="single" w:color="auto" w:sz="2" w:space="0"/>
              <w:right w:val="single" w:color="auto" w:sz="2" w:space="0"/>
            </w:tcBorders>
            <w:vAlign w:val="center"/>
          </w:tcPr>
          <w:p w14:paraId="6E9B735B">
            <w:pPr>
              <w:spacing w:before="0" w:after="0"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14:paraId="12B5E555">
            <w:pPr>
              <w:spacing w:before="0" w:after="0" w:line="240" w:lineRule="exact"/>
              <w:jc w:val="right"/>
              <w:rPr>
                <w:rFonts w:ascii="宋体" w:hAnsi="宋体" w:eastAsia="宋体" w:cs="宋体"/>
                <w:sz w:val="18"/>
                <w:szCs w:val="18"/>
              </w:rPr>
            </w:pPr>
            <w:r>
              <w:rPr>
                <w:rFonts w:ascii="宋体" w:hAnsi="宋体" w:eastAsia="宋体" w:cs="宋体"/>
                <w:sz w:val="18"/>
                <w:szCs w:val="18"/>
              </w:rPr>
              <w:t>65,990,600.62</w:t>
            </w:r>
          </w:p>
        </w:tc>
        <w:tc>
          <w:tcPr>
            <w:tcW w:w="1205" w:type="dxa"/>
            <w:tcBorders>
              <w:top w:val="single" w:color="auto" w:sz="2" w:space="0"/>
              <w:left w:val="single" w:color="auto" w:sz="2" w:space="0"/>
              <w:bottom w:val="single" w:color="auto" w:sz="2" w:space="0"/>
              <w:right w:val="single" w:color="auto" w:sz="2" w:space="0"/>
            </w:tcBorders>
            <w:vAlign w:val="center"/>
          </w:tcPr>
          <w:p w14:paraId="6E9B469D">
            <w:pPr>
              <w:spacing w:before="0" w:after="0" w:line="240" w:lineRule="exact"/>
              <w:jc w:val="left"/>
              <w:rPr>
                <w:rFonts w:ascii="宋体" w:hAnsi="宋体" w:eastAsia="宋体" w:cs="宋体"/>
                <w:sz w:val="18"/>
                <w:szCs w:val="18"/>
              </w:rPr>
            </w:pPr>
          </w:p>
        </w:tc>
      </w:tr>
    </w:tbl>
    <w:p w14:paraId="7215C35F">
      <w:pPr>
        <w:keepNext/>
        <w:keepLines/>
        <w:spacing w:before="300" w:after="300" w:line="280" w:lineRule="exact"/>
        <w:jc w:val="left"/>
        <w:outlineLvl w:val="2"/>
        <w:rPr>
          <w:rFonts w:ascii="宋体" w:hAnsi="宋体" w:eastAsia="宋体" w:cs="宋体"/>
          <w:b/>
          <w:bCs/>
          <w:sz w:val="21"/>
          <w:szCs w:val="21"/>
        </w:rPr>
      </w:pPr>
      <w:bookmarkStart w:id="503" w:name="_Toc989386"/>
      <w:r>
        <w:rPr>
          <w:rFonts w:ascii="宋体" w:hAnsi="宋体" w:eastAsia="宋体" w:cs="宋体"/>
          <w:b/>
          <w:bCs/>
          <w:sz w:val="21"/>
          <w:szCs w:val="21"/>
        </w:rPr>
        <w:t>3、计入当期损益的政府补助</w:t>
      </w:r>
      <w:bookmarkEnd w:id="503"/>
    </w:p>
    <w:p w14:paraId="33B7FB9D">
      <w:pPr>
        <w:spacing w:before="100" w:after="10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543C496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D8E08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DFE47EE">
            <w:pPr>
              <w:spacing w:before="40" w:after="40" w:line="240" w:lineRule="exact"/>
              <w:jc w:val="center"/>
              <w:rPr>
                <w:rFonts w:ascii="宋体" w:hAnsi="宋体" w:eastAsia="宋体" w:cs="宋体"/>
                <w:sz w:val="18"/>
                <w:szCs w:val="18"/>
              </w:rPr>
            </w:pPr>
            <w:r>
              <w:rPr>
                <w:rFonts w:ascii="宋体" w:hAnsi="宋体" w:eastAsia="宋体" w:cs="宋体"/>
                <w:sz w:val="18"/>
                <w:szCs w:val="18"/>
              </w:rPr>
              <w:t>会计科目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C90A302">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817856C">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5FFA7C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DF5B49F">
            <w:pPr>
              <w:spacing w:before="0" w:after="0" w:line="240" w:lineRule="exact"/>
              <w:jc w:val="left"/>
              <w:rPr>
                <w:rFonts w:ascii="宋体" w:hAnsi="宋体" w:eastAsia="宋体" w:cs="宋体"/>
                <w:sz w:val="18"/>
                <w:szCs w:val="18"/>
              </w:rPr>
            </w:pPr>
            <w:r>
              <w:rPr>
                <w:rFonts w:ascii="宋体" w:hAnsi="宋体" w:eastAsia="宋体" w:cs="宋体"/>
                <w:sz w:val="18"/>
                <w:szCs w:val="18"/>
              </w:rPr>
              <w:t>递延收益摊销</w:t>
            </w:r>
          </w:p>
        </w:tc>
        <w:tc>
          <w:tcPr>
            <w:tcW w:w="3213" w:type="dxa"/>
            <w:tcBorders>
              <w:top w:val="single" w:color="auto" w:sz="2" w:space="0"/>
              <w:left w:val="single" w:color="auto" w:sz="2" w:space="0"/>
              <w:bottom w:val="single" w:color="auto" w:sz="2" w:space="0"/>
              <w:right w:val="single" w:color="auto" w:sz="2" w:space="0"/>
            </w:tcBorders>
            <w:vAlign w:val="center"/>
          </w:tcPr>
          <w:p w14:paraId="0BC48917">
            <w:pPr>
              <w:spacing w:before="0" w:after="0" w:line="240" w:lineRule="exact"/>
              <w:jc w:val="right"/>
              <w:rPr>
                <w:rFonts w:ascii="宋体" w:hAnsi="宋体" w:eastAsia="宋体" w:cs="宋体"/>
                <w:sz w:val="18"/>
                <w:szCs w:val="18"/>
              </w:rPr>
            </w:pPr>
            <w:r>
              <w:rPr>
                <w:rFonts w:ascii="宋体" w:hAnsi="宋体" w:eastAsia="宋体" w:cs="宋体"/>
                <w:sz w:val="18"/>
                <w:szCs w:val="18"/>
              </w:rPr>
              <w:t>4,003,143.73</w:t>
            </w:r>
          </w:p>
        </w:tc>
        <w:tc>
          <w:tcPr>
            <w:tcW w:w="3213" w:type="dxa"/>
            <w:tcBorders>
              <w:top w:val="single" w:color="auto" w:sz="2" w:space="0"/>
              <w:left w:val="single" w:color="auto" w:sz="2" w:space="0"/>
              <w:bottom w:val="single" w:color="auto" w:sz="2" w:space="0"/>
              <w:right w:val="single" w:color="auto" w:sz="2" w:space="0"/>
            </w:tcBorders>
            <w:vAlign w:val="center"/>
          </w:tcPr>
          <w:p w14:paraId="30DF7851">
            <w:pPr>
              <w:spacing w:before="0" w:after="0" w:line="240" w:lineRule="exact"/>
              <w:jc w:val="right"/>
              <w:rPr>
                <w:rFonts w:ascii="宋体" w:hAnsi="宋体" w:eastAsia="宋体" w:cs="宋体"/>
                <w:sz w:val="18"/>
                <w:szCs w:val="18"/>
              </w:rPr>
            </w:pPr>
            <w:r>
              <w:rPr>
                <w:rFonts w:ascii="宋体" w:hAnsi="宋体" w:eastAsia="宋体" w:cs="宋体"/>
                <w:sz w:val="18"/>
                <w:szCs w:val="18"/>
              </w:rPr>
              <w:t>4,439,964.98</w:t>
            </w:r>
          </w:p>
        </w:tc>
      </w:tr>
      <w:tr w14:paraId="04C123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EC392FC">
            <w:pPr>
              <w:spacing w:before="0" w:after="0" w:line="240" w:lineRule="exact"/>
              <w:jc w:val="left"/>
              <w:rPr>
                <w:rFonts w:ascii="宋体" w:hAnsi="宋体" w:eastAsia="宋体" w:cs="宋体"/>
                <w:sz w:val="18"/>
                <w:szCs w:val="18"/>
              </w:rPr>
            </w:pPr>
            <w:r>
              <w:rPr>
                <w:rFonts w:ascii="宋体" w:hAnsi="宋体" w:eastAsia="宋体" w:cs="宋体"/>
                <w:sz w:val="18"/>
                <w:szCs w:val="18"/>
              </w:rPr>
              <w:t>递延收益摊销</w:t>
            </w:r>
          </w:p>
        </w:tc>
        <w:tc>
          <w:tcPr>
            <w:tcW w:w="3213" w:type="dxa"/>
            <w:tcBorders>
              <w:top w:val="single" w:color="auto" w:sz="2" w:space="0"/>
              <w:left w:val="single" w:color="auto" w:sz="2" w:space="0"/>
              <w:bottom w:val="single" w:color="auto" w:sz="2" w:space="0"/>
              <w:right w:val="single" w:color="auto" w:sz="2" w:space="0"/>
            </w:tcBorders>
            <w:vAlign w:val="center"/>
          </w:tcPr>
          <w:p w14:paraId="04FB46B7">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1508D616">
            <w:pPr>
              <w:spacing w:before="0" w:after="0" w:line="240" w:lineRule="exact"/>
              <w:jc w:val="right"/>
              <w:rPr>
                <w:rFonts w:ascii="宋体" w:hAnsi="宋体" w:eastAsia="宋体" w:cs="宋体"/>
                <w:sz w:val="18"/>
                <w:szCs w:val="18"/>
              </w:rPr>
            </w:pPr>
            <w:r>
              <w:rPr>
                <w:rFonts w:ascii="宋体" w:hAnsi="宋体" w:eastAsia="宋体" w:cs="宋体"/>
                <w:sz w:val="18"/>
                <w:szCs w:val="18"/>
              </w:rPr>
              <w:t>2,500,000.00</w:t>
            </w:r>
          </w:p>
        </w:tc>
      </w:tr>
      <w:tr w14:paraId="03416D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F618744">
            <w:pPr>
              <w:spacing w:before="0" w:after="0" w:line="240" w:lineRule="exact"/>
              <w:jc w:val="left"/>
              <w:rPr>
                <w:rFonts w:ascii="宋体" w:hAnsi="宋体" w:eastAsia="宋体" w:cs="宋体"/>
                <w:sz w:val="18"/>
                <w:szCs w:val="18"/>
              </w:rPr>
            </w:pPr>
            <w:r>
              <w:rPr>
                <w:rFonts w:ascii="宋体" w:hAnsi="宋体" w:eastAsia="宋体" w:cs="宋体"/>
                <w:sz w:val="18"/>
                <w:szCs w:val="18"/>
              </w:rPr>
              <w:t>企业研发经费分段补助县本级财政承担部分资金</w:t>
            </w:r>
          </w:p>
        </w:tc>
        <w:tc>
          <w:tcPr>
            <w:tcW w:w="3213" w:type="dxa"/>
            <w:tcBorders>
              <w:top w:val="single" w:color="auto" w:sz="2" w:space="0"/>
              <w:left w:val="single" w:color="auto" w:sz="2" w:space="0"/>
              <w:bottom w:val="single" w:color="auto" w:sz="2" w:space="0"/>
              <w:right w:val="single" w:color="auto" w:sz="2" w:space="0"/>
            </w:tcBorders>
            <w:vAlign w:val="center"/>
          </w:tcPr>
          <w:p w14:paraId="03393009">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4B9A145">
            <w:pPr>
              <w:spacing w:before="0" w:after="0" w:line="240" w:lineRule="exact"/>
              <w:jc w:val="right"/>
              <w:rPr>
                <w:rFonts w:ascii="宋体" w:hAnsi="宋体" w:eastAsia="宋体" w:cs="宋体"/>
                <w:sz w:val="18"/>
                <w:szCs w:val="18"/>
              </w:rPr>
            </w:pPr>
            <w:r>
              <w:rPr>
                <w:rFonts w:ascii="宋体" w:hAnsi="宋体" w:eastAsia="宋体" w:cs="宋体"/>
                <w:sz w:val="18"/>
                <w:szCs w:val="18"/>
              </w:rPr>
              <w:t>993,000.00</w:t>
            </w:r>
          </w:p>
        </w:tc>
      </w:tr>
      <w:tr w14:paraId="08C733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7D04F25">
            <w:pPr>
              <w:spacing w:before="0" w:after="0" w:line="240" w:lineRule="exact"/>
              <w:jc w:val="left"/>
              <w:rPr>
                <w:rFonts w:ascii="宋体" w:hAnsi="宋体" w:eastAsia="宋体" w:cs="宋体"/>
                <w:sz w:val="18"/>
                <w:szCs w:val="18"/>
              </w:rPr>
            </w:pPr>
            <w:r>
              <w:rPr>
                <w:rFonts w:ascii="宋体" w:hAnsi="宋体" w:eastAsia="宋体" w:cs="宋体"/>
                <w:sz w:val="18"/>
                <w:szCs w:val="18"/>
              </w:rPr>
              <w:t>福建省引才引智计划补助经费</w:t>
            </w:r>
          </w:p>
        </w:tc>
        <w:tc>
          <w:tcPr>
            <w:tcW w:w="3213" w:type="dxa"/>
            <w:tcBorders>
              <w:top w:val="single" w:color="auto" w:sz="2" w:space="0"/>
              <w:left w:val="single" w:color="auto" w:sz="2" w:space="0"/>
              <w:bottom w:val="single" w:color="auto" w:sz="2" w:space="0"/>
              <w:right w:val="single" w:color="auto" w:sz="2" w:space="0"/>
            </w:tcBorders>
            <w:vAlign w:val="center"/>
          </w:tcPr>
          <w:p w14:paraId="60E5CD1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2F9471A7">
            <w:pPr>
              <w:spacing w:before="0" w:after="0" w:line="240" w:lineRule="exact"/>
              <w:jc w:val="right"/>
              <w:rPr>
                <w:rFonts w:ascii="宋体" w:hAnsi="宋体" w:eastAsia="宋体" w:cs="宋体"/>
                <w:sz w:val="18"/>
                <w:szCs w:val="18"/>
              </w:rPr>
            </w:pPr>
            <w:r>
              <w:rPr>
                <w:rFonts w:ascii="宋体" w:hAnsi="宋体" w:eastAsia="宋体" w:cs="宋体"/>
                <w:sz w:val="18"/>
                <w:szCs w:val="18"/>
              </w:rPr>
              <w:t>200,000.00</w:t>
            </w:r>
          </w:p>
        </w:tc>
      </w:tr>
      <w:tr w14:paraId="79BE4F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15D8FFC">
            <w:pPr>
              <w:spacing w:before="0" w:after="0" w:line="240" w:lineRule="exact"/>
              <w:jc w:val="left"/>
              <w:rPr>
                <w:rFonts w:ascii="宋体" w:hAnsi="宋体" w:eastAsia="宋体" w:cs="宋体"/>
                <w:sz w:val="18"/>
                <w:szCs w:val="18"/>
              </w:rPr>
            </w:pPr>
            <w:r>
              <w:rPr>
                <w:rFonts w:ascii="宋体" w:hAnsi="宋体" w:eastAsia="宋体" w:cs="宋体"/>
                <w:sz w:val="18"/>
                <w:szCs w:val="18"/>
              </w:rPr>
              <w:t>2021年度丹徒区科技创新资金</w:t>
            </w:r>
          </w:p>
        </w:tc>
        <w:tc>
          <w:tcPr>
            <w:tcW w:w="3213" w:type="dxa"/>
            <w:tcBorders>
              <w:top w:val="single" w:color="auto" w:sz="2" w:space="0"/>
              <w:left w:val="single" w:color="auto" w:sz="2" w:space="0"/>
              <w:bottom w:val="single" w:color="auto" w:sz="2" w:space="0"/>
              <w:right w:val="single" w:color="auto" w:sz="2" w:space="0"/>
            </w:tcBorders>
            <w:vAlign w:val="center"/>
          </w:tcPr>
          <w:p w14:paraId="1F60AD72">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7F8578F">
            <w:pPr>
              <w:spacing w:before="0" w:after="0" w:line="240" w:lineRule="exact"/>
              <w:jc w:val="right"/>
              <w:rPr>
                <w:rFonts w:ascii="宋体" w:hAnsi="宋体" w:eastAsia="宋体" w:cs="宋体"/>
                <w:sz w:val="18"/>
                <w:szCs w:val="18"/>
              </w:rPr>
            </w:pPr>
            <w:r>
              <w:rPr>
                <w:rFonts w:ascii="宋体" w:hAnsi="宋体" w:eastAsia="宋体" w:cs="宋体"/>
                <w:sz w:val="18"/>
                <w:szCs w:val="18"/>
              </w:rPr>
              <w:t>200,000.00</w:t>
            </w:r>
          </w:p>
        </w:tc>
      </w:tr>
      <w:tr w14:paraId="1B78BA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9524D98">
            <w:pPr>
              <w:spacing w:before="0" w:after="0" w:line="240" w:lineRule="exact"/>
              <w:jc w:val="left"/>
              <w:rPr>
                <w:rFonts w:ascii="宋体" w:hAnsi="宋体" w:eastAsia="宋体" w:cs="宋体"/>
                <w:sz w:val="18"/>
                <w:szCs w:val="18"/>
              </w:rPr>
            </w:pPr>
            <w:r>
              <w:rPr>
                <w:rFonts w:ascii="宋体" w:hAnsi="宋体" w:eastAsia="宋体" w:cs="宋体"/>
                <w:sz w:val="18"/>
                <w:szCs w:val="18"/>
              </w:rPr>
              <w:t>2021年省级专精特新奖</w:t>
            </w:r>
          </w:p>
        </w:tc>
        <w:tc>
          <w:tcPr>
            <w:tcW w:w="3213" w:type="dxa"/>
            <w:tcBorders>
              <w:top w:val="single" w:color="auto" w:sz="2" w:space="0"/>
              <w:left w:val="single" w:color="auto" w:sz="2" w:space="0"/>
              <w:bottom w:val="single" w:color="auto" w:sz="2" w:space="0"/>
              <w:right w:val="single" w:color="auto" w:sz="2" w:space="0"/>
            </w:tcBorders>
            <w:vAlign w:val="center"/>
          </w:tcPr>
          <w:p w14:paraId="11DFE665">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BC3C24B">
            <w:pPr>
              <w:spacing w:before="0" w:after="0" w:line="240" w:lineRule="exact"/>
              <w:jc w:val="right"/>
              <w:rPr>
                <w:rFonts w:ascii="宋体" w:hAnsi="宋体" w:eastAsia="宋体" w:cs="宋体"/>
                <w:sz w:val="18"/>
                <w:szCs w:val="18"/>
              </w:rPr>
            </w:pPr>
            <w:r>
              <w:rPr>
                <w:rFonts w:ascii="宋体" w:hAnsi="宋体" w:eastAsia="宋体" w:cs="宋体"/>
                <w:sz w:val="18"/>
                <w:szCs w:val="18"/>
              </w:rPr>
              <w:t>100,000.00</w:t>
            </w:r>
          </w:p>
        </w:tc>
      </w:tr>
      <w:tr w14:paraId="457C55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ABEE8E2">
            <w:pPr>
              <w:spacing w:before="0" w:after="0" w:line="240" w:lineRule="exact"/>
              <w:jc w:val="left"/>
              <w:rPr>
                <w:rFonts w:ascii="宋体" w:hAnsi="宋体" w:eastAsia="宋体" w:cs="宋体"/>
                <w:sz w:val="18"/>
                <w:szCs w:val="18"/>
              </w:rPr>
            </w:pPr>
            <w:r>
              <w:rPr>
                <w:rFonts w:ascii="宋体" w:hAnsi="宋体" w:eastAsia="宋体" w:cs="宋体"/>
                <w:sz w:val="18"/>
                <w:szCs w:val="18"/>
              </w:rPr>
              <w:t>2021年度纳税总量贡献奖</w:t>
            </w:r>
          </w:p>
        </w:tc>
        <w:tc>
          <w:tcPr>
            <w:tcW w:w="3213" w:type="dxa"/>
            <w:tcBorders>
              <w:top w:val="single" w:color="auto" w:sz="2" w:space="0"/>
              <w:left w:val="single" w:color="auto" w:sz="2" w:space="0"/>
              <w:bottom w:val="single" w:color="auto" w:sz="2" w:space="0"/>
              <w:right w:val="single" w:color="auto" w:sz="2" w:space="0"/>
            </w:tcBorders>
            <w:vAlign w:val="center"/>
          </w:tcPr>
          <w:p w14:paraId="7B23B93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4A9F57C1">
            <w:pPr>
              <w:spacing w:before="0" w:after="0" w:line="240" w:lineRule="exact"/>
              <w:jc w:val="right"/>
              <w:rPr>
                <w:rFonts w:ascii="宋体" w:hAnsi="宋体" w:eastAsia="宋体" w:cs="宋体"/>
                <w:sz w:val="18"/>
                <w:szCs w:val="18"/>
              </w:rPr>
            </w:pPr>
            <w:r>
              <w:rPr>
                <w:rFonts w:ascii="宋体" w:hAnsi="宋体" w:eastAsia="宋体" w:cs="宋体"/>
                <w:sz w:val="18"/>
                <w:szCs w:val="18"/>
              </w:rPr>
              <w:t>100,000.00</w:t>
            </w:r>
          </w:p>
        </w:tc>
      </w:tr>
      <w:tr w14:paraId="6E52CE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3856624">
            <w:pPr>
              <w:spacing w:before="0" w:after="0" w:line="240" w:lineRule="exact"/>
              <w:jc w:val="left"/>
              <w:rPr>
                <w:rFonts w:ascii="宋体" w:hAnsi="宋体" w:eastAsia="宋体" w:cs="宋体"/>
                <w:sz w:val="18"/>
                <w:szCs w:val="18"/>
              </w:rPr>
            </w:pPr>
            <w:r>
              <w:rPr>
                <w:rFonts w:ascii="宋体" w:hAnsi="宋体" w:eastAsia="宋体" w:cs="宋体"/>
                <w:sz w:val="18"/>
                <w:szCs w:val="18"/>
              </w:rPr>
              <w:t>2022年度第一批市级工业和信息化专项资金</w:t>
            </w:r>
          </w:p>
        </w:tc>
        <w:tc>
          <w:tcPr>
            <w:tcW w:w="3213" w:type="dxa"/>
            <w:tcBorders>
              <w:top w:val="single" w:color="auto" w:sz="2" w:space="0"/>
              <w:left w:val="single" w:color="auto" w:sz="2" w:space="0"/>
              <w:bottom w:val="single" w:color="auto" w:sz="2" w:space="0"/>
              <w:right w:val="single" w:color="auto" w:sz="2" w:space="0"/>
            </w:tcBorders>
            <w:vAlign w:val="center"/>
          </w:tcPr>
          <w:p w14:paraId="39248B8D">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7D1B1AED">
            <w:pPr>
              <w:spacing w:before="0" w:after="0" w:line="240" w:lineRule="exact"/>
              <w:jc w:val="right"/>
              <w:rPr>
                <w:rFonts w:ascii="宋体" w:hAnsi="宋体" w:eastAsia="宋体" w:cs="宋体"/>
                <w:sz w:val="18"/>
                <w:szCs w:val="18"/>
              </w:rPr>
            </w:pPr>
            <w:r>
              <w:rPr>
                <w:rFonts w:ascii="宋体" w:hAnsi="宋体" w:eastAsia="宋体" w:cs="宋体"/>
                <w:sz w:val="18"/>
                <w:szCs w:val="18"/>
              </w:rPr>
              <w:t>80,000.00</w:t>
            </w:r>
          </w:p>
        </w:tc>
      </w:tr>
      <w:tr w14:paraId="5F4898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1DCA7E1">
            <w:pPr>
              <w:spacing w:before="0" w:after="0" w:line="240" w:lineRule="exact"/>
              <w:jc w:val="left"/>
              <w:rPr>
                <w:rFonts w:ascii="宋体" w:hAnsi="宋体" w:eastAsia="宋体" w:cs="宋体"/>
                <w:sz w:val="18"/>
                <w:szCs w:val="18"/>
              </w:rPr>
            </w:pPr>
            <w:r>
              <w:rPr>
                <w:rFonts w:ascii="宋体" w:hAnsi="宋体" w:eastAsia="宋体" w:cs="宋体"/>
                <w:sz w:val="18"/>
                <w:szCs w:val="18"/>
              </w:rPr>
              <w:t>柘荣县科学技术局-2022年度和2023年度科技创新券补助县级承担资金-闽科企〔2021〕1号</w:t>
            </w:r>
          </w:p>
        </w:tc>
        <w:tc>
          <w:tcPr>
            <w:tcW w:w="3213" w:type="dxa"/>
            <w:tcBorders>
              <w:top w:val="single" w:color="auto" w:sz="2" w:space="0"/>
              <w:left w:val="single" w:color="auto" w:sz="2" w:space="0"/>
              <w:bottom w:val="single" w:color="auto" w:sz="2" w:space="0"/>
              <w:right w:val="single" w:color="auto" w:sz="2" w:space="0"/>
            </w:tcBorders>
            <w:vAlign w:val="center"/>
          </w:tcPr>
          <w:p w14:paraId="250BE281">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01AA5944">
            <w:pPr>
              <w:spacing w:before="0" w:after="0" w:line="240" w:lineRule="exact"/>
              <w:jc w:val="right"/>
              <w:rPr>
                <w:rFonts w:ascii="宋体" w:hAnsi="宋体" w:eastAsia="宋体" w:cs="宋体"/>
                <w:sz w:val="18"/>
                <w:szCs w:val="18"/>
              </w:rPr>
            </w:pPr>
            <w:r>
              <w:rPr>
                <w:rFonts w:ascii="宋体" w:hAnsi="宋体" w:eastAsia="宋体" w:cs="宋体"/>
                <w:sz w:val="18"/>
                <w:szCs w:val="18"/>
              </w:rPr>
              <w:t>66,200.00</w:t>
            </w:r>
          </w:p>
        </w:tc>
      </w:tr>
      <w:tr w14:paraId="6BD3DA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8A1D603">
            <w:pPr>
              <w:spacing w:before="0" w:after="0" w:line="240" w:lineRule="exact"/>
              <w:jc w:val="left"/>
              <w:rPr>
                <w:rFonts w:ascii="宋体" w:hAnsi="宋体" w:eastAsia="宋体" w:cs="宋体"/>
                <w:sz w:val="18"/>
                <w:szCs w:val="18"/>
              </w:rPr>
            </w:pPr>
            <w:r>
              <w:rPr>
                <w:rFonts w:ascii="宋体" w:hAnsi="宋体" w:eastAsia="宋体" w:cs="宋体"/>
                <w:sz w:val="18"/>
                <w:szCs w:val="18"/>
              </w:rPr>
              <w:t>2021年度福建省科学技术奖奖金(市级)</w:t>
            </w:r>
          </w:p>
        </w:tc>
        <w:tc>
          <w:tcPr>
            <w:tcW w:w="3213" w:type="dxa"/>
            <w:tcBorders>
              <w:top w:val="single" w:color="auto" w:sz="2" w:space="0"/>
              <w:left w:val="single" w:color="auto" w:sz="2" w:space="0"/>
              <w:bottom w:val="single" w:color="auto" w:sz="2" w:space="0"/>
              <w:right w:val="single" w:color="auto" w:sz="2" w:space="0"/>
            </w:tcBorders>
            <w:vAlign w:val="center"/>
          </w:tcPr>
          <w:p w14:paraId="49CEC306">
            <w:pPr>
              <w:spacing w:before="0" w:after="0"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14:paraId="57B415D4">
            <w:pPr>
              <w:spacing w:before="0" w:after="0" w:line="240" w:lineRule="exact"/>
              <w:jc w:val="right"/>
              <w:rPr>
                <w:rFonts w:ascii="宋体" w:hAnsi="宋体" w:eastAsia="宋体" w:cs="宋体"/>
                <w:sz w:val="18"/>
                <w:szCs w:val="18"/>
              </w:rPr>
            </w:pPr>
            <w:r>
              <w:rPr>
                <w:rFonts w:ascii="宋体" w:hAnsi="宋体" w:eastAsia="宋体" w:cs="宋体"/>
                <w:sz w:val="18"/>
                <w:szCs w:val="18"/>
              </w:rPr>
              <w:t>50,000.00</w:t>
            </w:r>
          </w:p>
        </w:tc>
      </w:tr>
      <w:tr w14:paraId="016ADA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B12515A">
            <w:pPr>
              <w:spacing w:before="0" w:after="0" w:line="240" w:lineRule="exact"/>
              <w:jc w:val="left"/>
              <w:rPr>
                <w:rFonts w:ascii="宋体" w:hAnsi="宋体" w:eastAsia="宋体" w:cs="宋体"/>
                <w:sz w:val="18"/>
                <w:szCs w:val="18"/>
              </w:rPr>
            </w:pPr>
            <w:r>
              <w:rPr>
                <w:rFonts w:ascii="宋体" w:hAnsi="宋体" w:eastAsia="宋体" w:cs="宋体"/>
                <w:sz w:val="18"/>
                <w:szCs w:val="18"/>
              </w:rPr>
              <w:t>省引才“百人计划”补助款</w:t>
            </w:r>
          </w:p>
        </w:tc>
        <w:tc>
          <w:tcPr>
            <w:tcW w:w="3213" w:type="dxa"/>
            <w:tcBorders>
              <w:top w:val="single" w:color="auto" w:sz="2" w:space="0"/>
              <w:left w:val="single" w:color="auto" w:sz="2" w:space="0"/>
              <w:bottom w:val="single" w:color="auto" w:sz="2" w:space="0"/>
              <w:right w:val="single" w:color="auto" w:sz="2" w:space="0"/>
            </w:tcBorders>
            <w:vAlign w:val="center"/>
          </w:tcPr>
          <w:p w14:paraId="4BDEBC65">
            <w:pPr>
              <w:spacing w:before="0" w:after="0" w:line="240" w:lineRule="exact"/>
              <w:jc w:val="right"/>
              <w:rPr>
                <w:rFonts w:ascii="宋体" w:hAnsi="宋体" w:eastAsia="宋体" w:cs="宋体"/>
                <w:sz w:val="18"/>
                <w:szCs w:val="18"/>
              </w:rPr>
            </w:pPr>
            <w:r>
              <w:rPr>
                <w:rFonts w:ascii="宋体" w:hAnsi="宋体" w:eastAsia="宋体" w:cs="宋体"/>
                <w:sz w:val="18"/>
                <w:szCs w:val="18"/>
              </w:rPr>
              <w:t>250,000.00</w:t>
            </w:r>
          </w:p>
        </w:tc>
        <w:tc>
          <w:tcPr>
            <w:tcW w:w="3213" w:type="dxa"/>
            <w:tcBorders>
              <w:top w:val="single" w:color="auto" w:sz="2" w:space="0"/>
              <w:left w:val="single" w:color="auto" w:sz="2" w:space="0"/>
              <w:bottom w:val="single" w:color="auto" w:sz="2" w:space="0"/>
              <w:right w:val="single" w:color="auto" w:sz="2" w:space="0"/>
            </w:tcBorders>
            <w:vAlign w:val="center"/>
          </w:tcPr>
          <w:p w14:paraId="2D779075">
            <w:pPr>
              <w:spacing w:before="0" w:after="0" w:line="240" w:lineRule="exact"/>
              <w:jc w:val="right"/>
              <w:rPr>
                <w:rFonts w:ascii="宋体" w:hAnsi="宋体" w:eastAsia="宋体" w:cs="宋体"/>
                <w:sz w:val="18"/>
                <w:szCs w:val="18"/>
              </w:rPr>
            </w:pPr>
          </w:p>
        </w:tc>
      </w:tr>
      <w:tr w14:paraId="63A6B2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528EE91">
            <w:pPr>
              <w:spacing w:before="0" w:after="0" w:line="240" w:lineRule="exact"/>
              <w:jc w:val="left"/>
              <w:rPr>
                <w:rFonts w:ascii="宋体" w:hAnsi="宋体" w:eastAsia="宋体" w:cs="宋体"/>
                <w:sz w:val="18"/>
                <w:szCs w:val="18"/>
              </w:rPr>
            </w:pPr>
            <w:r>
              <w:rPr>
                <w:rFonts w:ascii="宋体" w:hAnsi="宋体" w:eastAsia="宋体" w:cs="宋体"/>
                <w:sz w:val="18"/>
                <w:szCs w:val="18"/>
              </w:rPr>
              <w:t>广生堂枸橼酸西地那非片研发奖励</w:t>
            </w:r>
          </w:p>
        </w:tc>
        <w:tc>
          <w:tcPr>
            <w:tcW w:w="3213" w:type="dxa"/>
            <w:tcBorders>
              <w:top w:val="single" w:color="auto" w:sz="2" w:space="0"/>
              <w:left w:val="single" w:color="auto" w:sz="2" w:space="0"/>
              <w:bottom w:val="single" w:color="auto" w:sz="2" w:space="0"/>
              <w:right w:val="single" w:color="auto" w:sz="2" w:space="0"/>
            </w:tcBorders>
            <w:vAlign w:val="center"/>
          </w:tcPr>
          <w:p w14:paraId="4F3C2A19">
            <w:pPr>
              <w:spacing w:before="0" w:after="0" w:line="240" w:lineRule="exact"/>
              <w:jc w:val="right"/>
              <w:rPr>
                <w:rFonts w:ascii="宋体" w:hAnsi="宋体" w:eastAsia="宋体" w:cs="宋体"/>
                <w:sz w:val="18"/>
                <w:szCs w:val="18"/>
              </w:rPr>
            </w:pPr>
            <w:r>
              <w:rPr>
                <w:rFonts w:ascii="宋体" w:hAnsi="宋体" w:eastAsia="宋体" w:cs="宋体"/>
                <w:sz w:val="18"/>
                <w:szCs w:val="18"/>
              </w:rPr>
              <w:t>3,000,000.00</w:t>
            </w:r>
          </w:p>
        </w:tc>
        <w:tc>
          <w:tcPr>
            <w:tcW w:w="3213" w:type="dxa"/>
            <w:tcBorders>
              <w:top w:val="single" w:color="auto" w:sz="2" w:space="0"/>
              <w:left w:val="single" w:color="auto" w:sz="2" w:space="0"/>
              <w:bottom w:val="single" w:color="auto" w:sz="2" w:space="0"/>
              <w:right w:val="single" w:color="auto" w:sz="2" w:space="0"/>
            </w:tcBorders>
            <w:vAlign w:val="center"/>
          </w:tcPr>
          <w:p w14:paraId="4A096EAC">
            <w:pPr>
              <w:spacing w:before="0" w:after="0" w:line="240" w:lineRule="exact"/>
              <w:jc w:val="right"/>
              <w:rPr>
                <w:rFonts w:ascii="宋体" w:hAnsi="宋体" w:eastAsia="宋体" w:cs="宋体"/>
                <w:sz w:val="18"/>
                <w:szCs w:val="18"/>
              </w:rPr>
            </w:pPr>
          </w:p>
        </w:tc>
      </w:tr>
      <w:tr w14:paraId="02E877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2FD9CBB">
            <w:pPr>
              <w:spacing w:before="0" w:after="0" w:line="240" w:lineRule="exact"/>
              <w:jc w:val="left"/>
              <w:rPr>
                <w:rFonts w:ascii="宋体" w:hAnsi="宋体" w:eastAsia="宋体" w:cs="宋体"/>
                <w:sz w:val="18"/>
                <w:szCs w:val="18"/>
              </w:rPr>
            </w:pPr>
            <w:r>
              <w:rPr>
                <w:rFonts w:ascii="宋体" w:hAnsi="宋体" w:eastAsia="宋体" w:cs="宋体"/>
                <w:sz w:val="18"/>
                <w:szCs w:val="18"/>
              </w:rPr>
              <w:t>2019-2020年度企业研发经费分段补助配套经费资金</w:t>
            </w:r>
          </w:p>
        </w:tc>
        <w:tc>
          <w:tcPr>
            <w:tcW w:w="3213" w:type="dxa"/>
            <w:tcBorders>
              <w:top w:val="single" w:color="auto" w:sz="2" w:space="0"/>
              <w:left w:val="single" w:color="auto" w:sz="2" w:space="0"/>
              <w:bottom w:val="single" w:color="auto" w:sz="2" w:space="0"/>
              <w:right w:val="single" w:color="auto" w:sz="2" w:space="0"/>
            </w:tcBorders>
            <w:vAlign w:val="center"/>
          </w:tcPr>
          <w:p w14:paraId="355E8B92">
            <w:pPr>
              <w:spacing w:before="0" w:after="0" w:line="240" w:lineRule="exact"/>
              <w:jc w:val="right"/>
              <w:rPr>
                <w:rFonts w:ascii="宋体" w:hAnsi="宋体" w:eastAsia="宋体" w:cs="宋体"/>
                <w:sz w:val="18"/>
                <w:szCs w:val="18"/>
              </w:rPr>
            </w:pPr>
            <w:r>
              <w:rPr>
                <w:rFonts w:ascii="宋体" w:hAnsi="宋体" w:eastAsia="宋体" w:cs="宋体"/>
                <w:sz w:val="18"/>
                <w:szCs w:val="18"/>
              </w:rPr>
              <w:t>1,166,400.00</w:t>
            </w:r>
          </w:p>
        </w:tc>
        <w:tc>
          <w:tcPr>
            <w:tcW w:w="3213" w:type="dxa"/>
            <w:tcBorders>
              <w:top w:val="single" w:color="auto" w:sz="2" w:space="0"/>
              <w:left w:val="single" w:color="auto" w:sz="2" w:space="0"/>
              <w:bottom w:val="single" w:color="auto" w:sz="2" w:space="0"/>
              <w:right w:val="single" w:color="auto" w:sz="2" w:space="0"/>
            </w:tcBorders>
            <w:vAlign w:val="center"/>
          </w:tcPr>
          <w:p w14:paraId="0C939891">
            <w:pPr>
              <w:spacing w:before="0" w:after="0" w:line="240" w:lineRule="exact"/>
              <w:jc w:val="right"/>
              <w:rPr>
                <w:rFonts w:ascii="宋体" w:hAnsi="宋体" w:eastAsia="宋体" w:cs="宋体"/>
                <w:sz w:val="18"/>
                <w:szCs w:val="18"/>
              </w:rPr>
            </w:pPr>
          </w:p>
        </w:tc>
      </w:tr>
      <w:tr w14:paraId="632085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D19ED8F">
            <w:pPr>
              <w:spacing w:before="0" w:after="0" w:line="240" w:lineRule="exact"/>
              <w:jc w:val="left"/>
              <w:rPr>
                <w:rFonts w:ascii="宋体" w:hAnsi="宋体" w:eastAsia="宋体" w:cs="宋体"/>
                <w:sz w:val="18"/>
                <w:szCs w:val="18"/>
              </w:rPr>
            </w:pPr>
            <w:r>
              <w:rPr>
                <w:rFonts w:ascii="宋体" w:hAnsi="宋体" w:eastAsia="宋体" w:cs="宋体"/>
                <w:sz w:val="18"/>
                <w:szCs w:val="18"/>
              </w:rPr>
              <w:t>2021年度福建省第一批企业研发经费投入分段补助资金</w:t>
            </w:r>
          </w:p>
        </w:tc>
        <w:tc>
          <w:tcPr>
            <w:tcW w:w="3213" w:type="dxa"/>
            <w:tcBorders>
              <w:top w:val="single" w:color="auto" w:sz="2" w:space="0"/>
              <w:left w:val="single" w:color="auto" w:sz="2" w:space="0"/>
              <w:bottom w:val="single" w:color="auto" w:sz="2" w:space="0"/>
              <w:right w:val="single" w:color="auto" w:sz="2" w:space="0"/>
            </w:tcBorders>
            <w:vAlign w:val="center"/>
          </w:tcPr>
          <w:p w14:paraId="6E0D714A">
            <w:pPr>
              <w:spacing w:before="0" w:after="0" w:line="240" w:lineRule="exact"/>
              <w:jc w:val="right"/>
              <w:rPr>
                <w:rFonts w:ascii="宋体" w:hAnsi="宋体" w:eastAsia="宋体" w:cs="宋体"/>
                <w:sz w:val="18"/>
                <w:szCs w:val="18"/>
              </w:rPr>
            </w:pPr>
            <w:r>
              <w:rPr>
                <w:rFonts w:ascii="宋体" w:hAnsi="宋体" w:eastAsia="宋体" w:cs="宋体"/>
                <w:sz w:val="18"/>
                <w:szCs w:val="18"/>
              </w:rPr>
              <w:t>423,500.00</w:t>
            </w:r>
          </w:p>
        </w:tc>
        <w:tc>
          <w:tcPr>
            <w:tcW w:w="3213" w:type="dxa"/>
            <w:tcBorders>
              <w:top w:val="single" w:color="auto" w:sz="2" w:space="0"/>
              <w:left w:val="single" w:color="auto" w:sz="2" w:space="0"/>
              <w:bottom w:val="single" w:color="auto" w:sz="2" w:space="0"/>
              <w:right w:val="single" w:color="auto" w:sz="2" w:space="0"/>
            </w:tcBorders>
            <w:vAlign w:val="center"/>
          </w:tcPr>
          <w:p w14:paraId="493F70A0">
            <w:pPr>
              <w:spacing w:before="0" w:after="0" w:line="240" w:lineRule="exact"/>
              <w:jc w:val="right"/>
              <w:rPr>
                <w:rFonts w:ascii="宋体" w:hAnsi="宋体" w:eastAsia="宋体" w:cs="宋体"/>
                <w:sz w:val="18"/>
                <w:szCs w:val="18"/>
              </w:rPr>
            </w:pPr>
          </w:p>
        </w:tc>
      </w:tr>
      <w:tr w14:paraId="6BDE5A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D9944C0">
            <w:pPr>
              <w:spacing w:before="0" w:after="0" w:line="240" w:lineRule="exact"/>
              <w:jc w:val="left"/>
              <w:rPr>
                <w:rFonts w:ascii="宋体" w:hAnsi="宋体" w:eastAsia="宋体" w:cs="宋体"/>
                <w:sz w:val="18"/>
                <w:szCs w:val="18"/>
              </w:rPr>
            </w:pPr>
            <w:r>
              <w:rPr>
                <w:rFonts w:ascii="宋体" w:hAnsi="宋体" w:eastAsia="宋体" w:cs="宋体"/>
                <w:sz w:val="18"/>
                <w:szCs w:val="18"/>
              </w:rPr>
              <w:t>23年省专利奖奖金</w:t>
            </w:r>
          </w:p>
        </w:tc>
        <w:tc>
          <w:tcPr>
            <w:tcW w:w="3213" w:type="dxa"/>
            <w:tcBorders>
              <w:top w:val="single" w:color="auto" w:sz="2" w:space="0"/>
              <w:left w:val="single" w:color="auto" w:sz="2" w:space="0"/>
              <w:bottom w:val="single" w:color="auto" w:sz="2" w:space="0"/>
              <w:right w:val="single" w:color="auto" w:sz="2" w:space="0"/>
            </w:tcBorders>
            <w:vAlign w:val="center"/>
          </w:tcPr>
          <w:p w14:paraId="433F5654">
            <w:pPr>
              <w:spacing w:before="0" w:after="0" w:line="240" w:lineRule="exact"/>
              <w:jc w:val="right"/>
              <w:rPr>
                <w:rFonts w:ascii="宋体" w:hAnsi="宋体" w:eastAsia="宋体" w:cs="宋体"/>
                <w:sz w:val="18"/>
                <w:szCs w:val="18"/>
              </w:rPr>
            </w:pPr>
            <w:r>
              <w:rPr>
                <w:rFonts w:ascii="宋体" w:hAnsi="宋体" w:eastAsia="宋体" w:cs="宋体"/>
                <w:sz w:val="18"/>
                <w:szCs w:val="18"/>
              </w:rPr>
              <w:t>200,000.00</w:t>
            </w:r>
          </w:p>
        </w:tc>
        <w:tc>
          <w:tcPr>
            <w:tcW w:w="3213" w:type="dxa"/>
            <w:tcBorders>
              <w:top w:val="single" w:color="auto" w:sz="2" w:space="0"/>
              <w:left w:val="single" w:color="auto" w:sz="2" w:space="0"/>
              <w:bottom w:val="single" w:color="auto" w:sz="2" w:space="0"/>
              <w:right w:val="single" w:color="auto" w:sz="2" w:space="0"/>
            </w:tcBorders>
            <w:vAlign w:val="center"/>
          </w:tcPr>
          <w:p w14:paraId="6ECD7249">
            <w:pPr>
              <w:spacing w:before="0" w:after="0" w:line="240" w:lineRule="exact"/>
              <w:jc w:val="right"/>
              <w:rPr>
                <w:rFonts w:ascii="宋体" w:hAnsi="宋体" w:eastAsia="宋体" w:cs="宋体"/>
                <w:sz w:val="18"/>
                <w:szCs w:val="18"/>
              </w:rPr>
            </w:pPr>
          </w:p>
        </w:tc>
      </w:tr>
      <w:tr w14:paraId="198A87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5785081">
            <w:pPr>
              <w:spacing w:before="0" w:after="0" w:line="240" w:lineRule="exact"/>
              <w:jc w:val="left"/>
              <w:rPr>
                <w:rFonts w:ascii="宋体" w:hAnsi="宋体" w:eastAsia="宋体" w:cs="宋体"/>
                <w:sz w:val="18"/>
                <w:szCs w:val="18"/>
              </w:rPr>
            </w:pPr>
            <w:r>
              <w:rPr>
                <w:rFonts w:ascii="宋体" w:hAnsi="宋体" w:eastAsia="宋体" w:cs="宋体"/>
                <w:sz w:val="18"/>
                <w:szCs w:val="18"/>
              </w:rPr>
              <w:t>雏鹰计划引进人才考核单位奖励金</w:t>
            </w:r>
          </w:p>
        </w:tc>
        <w:tc>
          <w:tcPr>
            <w:tcW w:w="3213" w:type="dxa"/>
            <w:tcBorders>
              <w:top w:val="single" w:color="auto" w:sz="2" w:space="0"/>
              <w:left w:val="single" w:color="auto" w:sz="2" w:space="0"/>
              <w:bottom w:val="single" w:color="auto" w:sz="2" w:space="0"/>
              <w:right w:val="single" w:color="auto" w:sz="2" w:space="0"/>
            </w:tcBorders>
            <w:vAlign w:val="center"/>
          </w:tcPr>
          <w:p w14:paraId="2FC50231">
            <w:pPr>
              <w:spacing w:before="0" w:after="0" w:line="240" w:lineRule="exact"/>
              <w:jc w:val="right"/>
              <w:rPr>
                <w:rFonts w:ascii="宋体" w:hAnsi="宋体" w:eastAsia="宋体" w:cs="宋体"/>
                <w:sz w:val="18"/>
                <w:szCs w:val="18"/>
              </w:rPr>
            </w:pPr>
            <w:r>
              <w:rPr>
                <w:rFonts w:ascii="宋体" w:hAnsi="宋体" w:eastAsia="宋体" w:cs="宋体"/>
                <w:sz w:val="18"/>
                <w:szCs w:val="18"/>
              </w:rPr>
              <w:t>50,000.00</w:t>
            </w:r>
          </w:p>
        </w:tc>
        <w:tc>
          <w:tcPr>
            <w:tcW w:w="3213" w:type="dxa"/>
            <w:tcBorders>
              <w:top w:val="single" w:color="auto" w:sz="2" w:space="0"/>
              <w:left w:val="single" w:color="auto" w:sz="2" w:space="0"/>
              <w:bottom w:val="single" w:color="auto" w:sz="2" w:space="0"/>
              <w:right w:val="single" w:color="auto" w:sz="2" w:space="0"/>
            </w:tcBorders>
            <w:vAlign w:val="center"/>
          </w:tcPr>
          <w:p w14:paraId="14BB3F7D">
            <w:pPr>
              <w:spacing w:before="0" w:after="0" w:line="240" w:lineRule="exact"/>
              <w:jc w:val="right"/>
              <w:rPr>
                <w:rFonts w:ascii="宋体" w:hAnsi="宋体" w:eastAsia="宋体" w:cs="宋体"/>
                <w:sz w:val="18"/>
                <w:szCs w:val="18"/>
              </w:rPr>
            </w:pPr>
          </w:p>
        </w:tc>
      </w:tr>
      <w:tr w14:paraId="096D69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91FC580">
            <w:pPr>
              <w:spacing w:before="0" w:after="0" w:line="240" w:lineRule="exact"/>
              <w:jc w:val="left"/>
              <w:rPr>
                <w:rFonts w:ascii="宋体" w:hAnsi="宋体" w:eastAsia="宋体" w:cs="宋体"/>
                <w:sz w:val="18"/>
                <w:szCs w:val="18"/>
              </w:rPr>
            </w:pPr>
            <w:r>
              <w:rPr>
                <w:rFonts w:ascii="宋体" w:hAnsi="宋体" w:eastAsia="宋体" w:cs="宋体"/>
                <w:sz w:val="18"/>
                <w:szCs w:val="18"/>
              </w:rPr>
              <w:t>2024年春节假期期间连续生产和一季度鼓励制造业企业增产增效</w:t>
            </w:r>
          </w:p>
        </w:tc>
        <w:tc>
          <w:tcPr>
            <w:tcW w:w="3213" w:type="dxa"/>
            <w:tcBorders>
              <w:top w:val="single" w:color="auto" w:sz="2" w:space="0"/>
              <w:left w:val="single" w:color="auto" w:sz="2" w:space="0"/>
              <w:bottom w:val="single" w:color="auto" w:sz="2" w:space="0"/>
              <w:right w:val="single" w:color="auto" w:sz="2" w:space="0"/>
            </w:tcBorders>
            <w:vAlign w:val="center"/>
          </w:tcPr>
          <w:p w14:paraId="33636140">
            <w:pPr>
              <w:spacing w:before="0" w:after="0" w:line="240" w:lineRule="exact"/>
              <w:jc w:val="right"/>
              <w:rPr>
                <w:rFonts w:ascii="宋体" w:hAnsi="宋体" w:eastAsia="宋体" w:cs="宋体"/>
                <w:sz w:val="18"/>
                <w:szCs w:val="18"/>
              </w:rPr>
            </w:pPr>
            <w:r>
              <w:rPr>
                <w:rFonts w:ascii="宋体" w:hAnsi="宋体" w:eastAsia="宋体" w:cs="宋体"/>
                <w:sz w:val="18"/>
                <w:szCs w:val="18"/>
              </w:rPr>
              <w:t>71,900.00</w:t>
            </w:r>
          </w:p>
        </w:tc>
        <w:tc>
          <w:tcPr>
            <w:tcW w:w="3213" w:type="dxa"/>
            <w:tcBorders>
              <w:top w:val="single" w:color="auto" w:sz="2" w:space="0"/>
              <w:left w:val="single" w:color="auto" w:sz="2" w:space="0"/>
              <w:bottom w:val="single" w:color="auto" w:sz="2" w:space="0"/>
              <w:right w:val="single" w:color="auto" w:sz="2" w:space="0"/>
            </w:tcBorders>
            <w:vAlign w:val="center"/>
          </w:tcPr>
          <w:p w14:paraId="3610F91D">
            <w:pPr>
              <w:spacing w:before="0" w:after="0" w:line="240" w:lineRule="exact"/>
              <w:jc w:val="right"/>
              <w:rPr>
                <w:rFonts w:ascii="宋体" w:hAnsi="宋体" w:eastAsia="宋体" w:cs="宋体"/>
                <w:sz w:val="18"/>
                <w:szCs w:val="18"/>
              </w:rPr>
            </w:pPr>
          </w:p>
        </w:tc>
      </w:tr>
      <w:tr w14:paraId="0C246B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ED62A1B">
            <w:pPr>
              <w:spacing w:before="0" w:after="0" w:line="240" w:lineRule="exact"/>
              <w:jc w:val="left"/>
              <w:rPr>
                <w:rFonts w:ascii="宋体" w:hAnsi="宋体" w:eastAsia="宋体" w:cs="宋体"/>
                <w:sz w:val="18"/>
                <w:szCs w:val="18"/>
              </w:rPr>
            </w:pPr>
            <w:r>
              <w:rPr>
                <w:rFonts w:ascii="宋体" w:hAnsi="宋体" w:eastAsia="宋体" w:cs="宋体"/>
                <w:sz w:val="18"/>
                <w:szCs w:val="18"/>
              </w:rPr>
              <w:t>2021年度企业研发经费分段补助县本级财政承担部分资金</w:t>
            </w:r>
          </w:p>
        </w:tc>
        <w:tc>
          <w:tcPr>
            <w:tcW w:w="3213" w:type="dxa"/>
            <w:tcBorders>
              <w:top w:val="single" w:color="auto" w:sz="2" w:space="0"/>
              <w:left w:val="single" w:color="auto" w:sz="2" w:space="0"/>
              <w:bottom w:val="single" w:color="auto" w:sz="2" w:space="0"/>
              <w:right w:val="single" w:color="auto" w:sz="2" w:space="0"/>
            </w:tcBorders>
            <w:vAlign w:val="center"/>
          </w:tcPr>
          <w:p w14:paraId="28247A40">
            <w:pPr>
              <w:spacing w:before="0" w:after="0" w:line="240" w:lineRule="exact"/>
              <w:jc w:val="right"/>
              <w:rPr>
                <w:rFonts w:ascii="宋体" w:hAnsi="宋体" w:eastAsia="宋体" w:cs="宋体"/>
                <w:sz w:val="18"/>
                <w:szCs w:val="18"/>
              </w:rPr>
            </w:pPr>
            <w:r>
              <w:rPr>
                <w:rFonts w:ascii="宋体" w:hAnsi="宋体" w:eastAsia="宋体" w:cs="宋体"/>
                <w:sz w:val="18"/>
                <w:szCs w:val="18"/>
              </w:rPr>
              <w:t>211,800.00</w:t>
            </w:r>
          </w:p>
        </w:tc>
        <w:tc>
          <w:tcPr>
            <w:tcW w:w="3213" w:type="dxa"/>
            <w:tcBorders>
              <w:top w:val="single" w:color="auto" w:sz="2" w:space="0"/>
              <w:left w:val="single" w:color="auto" w:sz="2" w:space="0"/>
              <w:bottom w:val="single" w:color="auto" w:sz="2" w:space="0"/>
              <w:right w:val="single" w:color="auto" w:sz="2" w:space="0"/>
            </w:tcBorders>
            <w:vAlign w:val="center"/>
          </w:tcPr>
          <w:p w14:paraId="5E283F51">
            <w:pPr>
              <w:spacing w:before="0" w:after="0" w:line="240" w:lineRule="exact"/>
              <w:jc w:val="right"/>
              <w:rPr>
                <w:rFonts w:ascii="宋体" w:hAnsi="宋体" w:eastAsia="宋体" w:cs="宋体"/>
                <w:sz w:val="18"/>
                <w:szCs w:val="18"/>
              </w:rPr>
            </w:pPr>
          </w:p>
        </w:tc>
      </w:tr>
      <w:tr w14:paraId="593EA8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CDA6916">
            <w:pPr>
              <w:spacing w:before="0" w:after="0" w:line="240" w:lineRule="exact"/>
              <w:jc w:val="left"/>
              <w:rPr>
                <w:rFonts w:ascii="宋体" w:hAnsi="宋体" w:eastAsia="宋体" w:cs="宋体"/>
                <w:sz w:val="18"/>
                <w:szCs w:val="18"/>
              </w:rPr>
            </w:pPr>
            <w:r>
              <w:rPr>
                <w:rFonts w:ascii="宋体" w:hAnsi="宋体" w:eastAsia="宋体" w:cs="宋体"/>
                <w:sz w:val="18"/>
                <w:szCs w:val="18"/>
              </w:rPr>
              <w:t>GST-HG131片完成I期临床试验研究投入</w:t>
            </w:r>
          </w:p>
        </w:tc>
        <w:tc>
          <w:tcPr>
            <w:tcW w:w="3213" w:type="dxa"/>
            <w:tcBorders>
              <w:top w:val="single" w:color="auto" w:sz="2" w:space="0"/>
              <w:left w:val="single" w:color="auto" w:sz="2" w:space="0"/>
              <w:bottom w:val="single" w:color="auto" w:sz="2" w:space="0"/>
              <w:right w:val="single" w:color="auto" w:sz="2" w:space="0"/>
            </w:tcBorders>
            <w:vAlign w:val="center"/>
          </w:tcPr>
          <w:p w14:paraId="22A01C41">
            <w:pPr>
              <w:spacing w:before="0" w:after="0" w:line="240" w:lineRule="exact"/>
              <w:jc w:val="right"/>
              <w:rPr>
                <w:rFonts w:ascii="宋体" w:hAnsi="宋体" w:eastAsia="宋体" w:cs="宋体"/>
                <w:sz w:val="18"/>
                <w:szCs w:val="18"/>
              </w:rPr>
            </w:pPr>
            <w:r>
              <w:rPr>
                <w:rFonts w:ascii="宋体" w:hAnsi="宋体" w:eastAsia="宋体" w:cs="宋体"/>
                <w:sz w:val="18"/>
                <w:szCs w:val="18"/>
              </w:rPr>
              <w:t>4,561,000.00</w:t>
            </w:r>
          </w:p>
        </w:tc>
        <w:tc>
          <w:tcPr>
            <w:tcW w:w="3213" w:type="dxa"/>
            <w:tcBorders>
              <w:top w:val="single" w:color="auto" w:sz="2" w:space="0"/>
              <w:left w:val="single" w:color="auto" w:sz="2" w:space="0"/>
              <w:bottom w:val="single" w:color="auto" w:sz="2" w:space="0"/>
              <w:right w:val="single" w:color="auto" w:sz="2" w:space="0"/>
            </w:tcBorders>
            <w:vAlign w:val="center"/>
          </w:tcPr>
          <w:p w14:paraId="75D0DB68">
            <w:pPr>
              <w:spacing w:before="0" w:after="0" w:line="240" w:lineRule="exact"/>
              <w:jc w:val="right"/>
              <w:rPr>
                <w:rFonts w:ascii="宋体" w:hAnsi="宋体" w:eastAsia="宋体" w:cs="宋体"/>
                <w:sz w:val="18"/>
                <w:szCs w:val="18"/>
              </w:rPr>
            </w:pPr>
          </w:p>
        </w:tc>
      </w:tr>
      <w:tr w14:paraId="40B294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2AEB709F">
            <w:pPr>
              <w:spacing w:before="0" w:after="0" w:line="240" w:lineRule="exact"/>
              <w:jc w:val="left"/>
              <w:rPr>
                <w:rFonts w:ascii="宋体" w:hAnsi="宋体" w:eastAsia="宋体" w:cs="宋体"/>
                <w:sz w:val="18"/>
                <w:szCs w:val="18"/>
              </w:rPr>
            </w:pPr>
            <w:r>
              <w:rPr>
                <w:rFonts w:ascii="宋体" w:hAnsi="宋体" w:eastAsia="宋体" w:cs="宋体"/>
                <w:sz w:val="18"/>
                <w:szCs w:val="18"/>
              </w:rPr>
              <w:t>GST-HG141片完成I期临床试验研究投入</w:t>
            </w:r>
          </w:p>
        </w:tc>
        <w:tc>
          <w:tcPr>
            <w:tcW w:w="3213" w:type="dxa"/>
            <w:tcBorders>
              <w:top w:val="single" w:color="auto" w:sz="2" w:space="0"/>
              <w:left w:val="single" w:color="auto" w:sz="2" w:space="0"/>
              <w:bottom w:val="single" w:color="auto" w:sz="2" w:space="0"/>
              <w:right w:val="single" w:color="auto" w:sz="2" w:space="0"/>
            </w:tcBorders>
            <w:vAlign w:val="center"/>
          </w:tcPr>
          <w:p w14:paraId="4AC26C63">
            <w:pPr>
              <w:spacing w:before="0" w:after="0" w:line="240" w:lineRule="exact"/>
              <w:jc w:val="right"/>
              <w:rPr>
                <w:rFonts w:ascii="宋体" w:hAnsi="宋体" w:eastAsia="宋体" w:cs="宋体"/>
                <w:sz w:val="18"/>
                <w:szCs w:val="18"/>
              </w:rPr>
            </w:pPr>
            <w:r>
              <w:rPr>
                <w:rFonts w:ascii="宋体" w:hAnsi="宋体" w:eastAsia="宋体" w:cs="宋体"/>
                <w:sz w:val="18"/>
                <w:szCs w:val="18"/>
              </w:rPr>
              <w:t>6,549,300.00</w:t>
            </w:r>
          </w:p>
        </w:tc>
        <w:tc>
          <w:tcPr>
            <w:tcW w:w="3213" w:type="dxa"/>
            <w:tcBorders>
              <w:top w:val="single" w:color="auto" w:sz="2" w:space="0"/>
              <w:left w:val="single" w:color="auto" w:sz="2" w:space="0"/>
              <w:bottom w:val="single" w:color="auto" w:sz="2" w:space="0"/>
              <w:right w:val="single" w:color="auto" w:sz="2" w:space="0"/>
            </w:tcBorders>
            <w:vAlign w:val="center"/>
          </w:tcPr>
          <w:p w14:paraId="37FB3D03">
            <w:pPr>
              <w:spacing w:before="0" w:after="0" w:line="240" w:lineRule="exact"/>
              <w:jc w:val="right"/>
              <w:rPr>
                <w:rFonts w:ascii="宋体" w:hAnsi="宋体" w:eastAsia="宋体" w:cs="宋体"/>
                <w:sz w:val="18"/>
                <w:szCs w:val="18"/>
              </w:rPr>
            </w:pPr>
          </w:p>
        </w:tc>
      </w:tr>
      <w:tr w14:paraId="3AA98C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57F286C8">
            <w:pPr>
              <w:spacing w:before="0" w:after="0" w:line="240" w:lineRule="exact"/>
              <w:jc w:val="left"/>
              <w:rPr>
                <w:rFonts w:ascii="宋体" w:hAnsi="宋体" w:eastAsia="宋体" w:cs="宋体"/>
                <w:sz w:val="18"/>
                <w:szCs w:val="18"/>
              </w:rPr>
            </w:pPr>
            <w:r>
              <w:rPr>
                <w:rFonts w:ascii="宋体" w:hAnsi="宋体" w:eastAsia="宋体" w:cs="宋体"/>
                <w:sz w:val="18"/>
                <w:szCs w:val="18"/>
              </w:rPr>
              <w:t>索磷布韦片质量和疗效一致性评价</w:t>
            </w:r>
          </w:p>
        </w:tc>
        <w:tc>
          <w:tcPr>
            <w:tcW w:w="3213" w:type="dxa"/>
            <w:tcBorders>
              <w:top w:val="single" w:color="auto" w:sz="2" w:space="0"/>
              <w:left w:val="single" w:color="auto" w:sz="2" w:space="0"/>
              <w:bottom w:val="single" w:color="auto" w:sz="2" w:space="0"/>
              <w:right w:val="single" w:color="auto" w:sz="2" w:space="0"/>
            </w:tcBorders>
            <w:vAlign w:val="center"/>
          </w:tcPr>
          <w:p w14:paraId="7A85CCA6">
            <w:pPr>
              <w:spacing w:before="0" w:after="0" w:line="240" w:lineRule="exact"/>
              <w:jc w:val="right"/>
              <w:rPr>
                <w:rFonts w:ascii="宋体" w:hAnsi="宋体" w:eastAsia="宋体" w:cs="宋体"/>
                <w:sz w:val="18"/>
                <w:szCs w:val="18"/>
              </w:rPr>
            </w:pPr>
            <w:r>
              <w:rPr>
                <w:rFonts w:ascii="宋体" w:hAnsi="宋体" w:eastAsia="宋体" w:cs="宋体"/>
                <w:sz w:val="18"/>
                <w:szCs w:val="18"/>
              </w:rPr>
              <w:t>3,000,000.00</w:t>
            </w:r>
          </w:p>
        </w:tc>
        <w:tc>
          <w:tcPr>
            <w:tcW w:w="3213" w:type="dxa"/>
            <w:tcBorders>
              <w:top w:val="single" w:color="auto" w:sz="2" w:space="0"/>
              <w:left w:val="single" w:color="auto" w:sz="2" w:space="0"/>
              <w:bottom w:val="single" w:color="auto" w:sz="2" w:space="0"/>
              <w:right w:val="single" w:color="auto" w:sz="2" w:space="0"/>
            </w:tcBorders>
            <w:vAlign w:val="center"/>
          </w:tcPr>
          <w:p w14:paraId="4EE5A03C">
            <w:pPr>
              <w:spacing w:before="0" w:after="0" w:line="240" w:lineRule="exact"/>
              <w:jc w:val="right"/>
              <w:rPr>
                <w:rFonts w:ascii="宋体" w:hAnsi="宋体" w:eastAsia="宋体" w:cs="宋体"/>
                <w:sz w:val="18"/>
                <w:szCs w:val="18"/>
              </w:rPr>
            </w:pPr>
          </w:p>
        </w:tc>
      </w:tr>
      <w:tr w14:paraId="4E781C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B9474A3">
            <w:pPr>
              <w:spacing w:before="0" w:after="0" w:line="240" w:lineRule="exact"/>
              <w:jc w:val="left"/>
              <w:rPr>
                <w:rFonts w:ascii="宋体" w:hAnsi="宋体" w:eastAsia="宋体" w:cs="宋体"/>
                <w:sz w:val="18"/>
                <w:szCs w:val="18"/>
              </w:rPr>
            </w:pPr>
            <w:r>
              <w:rPr>
                <w:rFonts w:ascii="宋体" w:hAnsi="宋体" w:eastAsia="宋体" w:cs="宋体"/>
                <w:sz w:val="18"/>
                <w:szCs w:val="18"/>
              </w:rPr>
              <w:t>海外引才省级配套补助</w:t>
            </w:r>
          </w:p>
        </w:tc>
        <w:tc>
          <w:tcPr>
            <w:tcW w:w="3213" w:type="dxa"/>
            <w:tcBorders>
              <w:top w:val="single" w:color="auto" w:sz="2" w:space="0"/>
              <w:left w:val="single" w:color="auto" w:sz="2" w:space="0"/>
              <w:bottom w:val="single" w:color="auto" w:sz="2" w:space="0"/>
              <w:right w:val="single" w:color="auto" w:sz="2" w:space="0"/>
            </w:tcBorders>
            <w:vAlign w:val="center"/>
          </w:tcPr>
          <w:p w14:paraId="0CABF50E">
            <w:pPr>
              <w:spacing w:before="0" w:after="0" w:line="240" w:lineRule="exact"/>
              <w:jc w:val="right"/>
              <w:rPr>
                <w:rFonts w:ascii="宋体" w:hAnsi="宋体" w:eastAsia="宋体" w:cs="宋体"/>
                <w:sz w:val="18"/>
                <w:szCs w:val="18"/>
              </w:rPr>
            </w:pPr>
            <w:r>
              <w:rPr>
                <w:rFonts w:ascii="宋体" w:hAnsi="宋体" w:eastAsia="宋体" w:cs="宋体"/>
                <w:sz w:val="18"/>
                <w:szCs w:val="18"/>
              </w:rPr>
              <w:t>837,500.00</w:t>
            </w:r>
          </w:p>
        </w:tc>
        <w:tc>
          <w:tcPr>
            <w:tcW w:w="3213" w:type="dxa"/>
            <w:tcBorders>
              <w:top w:val="single" w:color="auto" w:sz="2" w:space="0"/>
              <w:left w:val="single" w:color="auto" w:sz="2" w:space="0"/>
              <w:bottom w:val="single" w:color="auto" w:sz="2" w:space="0"/>
              <w:right w:val="single" w:color="auto" w:sz="2" w:space="0"/>
            </w:tcBorders>
            <w:vAlign w:val="center"/>
          </w:tcPr>
          <w:p w14:paraId="05C744AD">
            <w:pPr>
              <w:spacing w:before="0" w:after="0" w:line="240" w:lineRule="exact"/>
              <w:jc w:val="right"/>
              <w:rPr>
                <w:rFonts w:ascii="宋体" w:hAnsi="宋体" w:eastAsia="宋体" w:cs="宋体"/>
                <w:sz w:val="18"/>
                <w:szCs w:val="18"/>
              </w:rPr>
            </w:pPr>
          </w:p>
        </w:tc>
      </w:tr>
      <w:tr w14:paraId="4FC420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0ED0274">
            <w:pPr>
              <w:spacing w:before="0" w:after="0" w:line="240" w:lineRule="exact"/>
              <w:jc w:val="left"/>
              <w:rPr>
                <w:rFonts w:ascii="宋体" w:hAnsi="宋体" w:eastAsia="宋体" w:cs="宋体"/>
                <w:sz w:val="18"/>
                <w:szCs w:val="18"/>
              </w:rPr>
            </w:pPr>
            <w:r>
              <w:rPr>
                <w:rFonts w:ascii="宋体" w:hAnsi="宋体" w:eastAsia="宋体" w:cs="宋体"/>
                <w:sz w:val="18"/>
                <w:szCs w:val="18"/>
              </w:rPr>
              <w:t>2020年度镇江市企业知识产权战略项</w:t>
            </w:r>
          </w:p>
        </w:tc>
        <w:tc>
          <w:tcPr>
            <w:tcW w:w="3213" w:type="dxa"/>
            <w:tcBorders>
              <w:top w:val="single" w:color="auto" w:sz="2" w:space="0"/>
              <w:left w:val="single" w:color="auto" w:sz="2" w:space="0"/>
              <w:bottom w:val="single" w:color="auto" w:sz="2" w:space="0"/>
              <w:right w:val="single" w:color="auto" w:sz="2" w:space="0"/>
            </w:tcBorders>
            <w:vAlign w:val="center"/>
          </w:tcPr>
          <w:p w14:paraId="0C6DB90D">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c>
          <w:tcPr>
            <w:tcW w:w="3213" w:type="dxa"/>
            <w:tcBorders>
              <w:top w:val="single" w:color="auto" w:sz="2" w:space="0"/>
              <w:left w:val="single" w:color="auto" w:sz="2" w:space="0"/>
              <w:bottom w:val="single" w:color="auto" w:sz="2" w:space="0"/>
              <w:right w:val="single" w:color="auto" w:sz="2" w:space="0"/>
            </w:tcBorders>
            <w:vAlign w:val="center"/>
          </w:tcPr>
          <w:p w14:paraId="3FD55480">
            <w:pPr>
              <w:spacing w:before="0" w:after="0" w:line="240" w:lineRule="exact"/>
              <w:jc w:val="right"/>
              <w:rPr>
                <w:rFonts w:ascii="宋体" w:hAnsi="宋体" w:eastAsia="宋体" w:cs="宋体"/>
                <w:sz w:val="18"/>
                <w:szCs w:val="18"/>
              </w:rPr>
            </w:pPr>
          </w:p>
        </w:tc>
      </w:tr>
      <w:tr w14:paraId="7F5016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C174E0D">
            <w:pPr>
              <w:spacing w:before="0" w:after="0" w:line="240" w:lineRule="exact"/>
              <w:jc w:val="left"/>
              <w:rPr>
                <w:rFonts w:ascii="宋体" w:hAnsi="宋体" w:eastAsia="宋体" w:cs="宋体"/>
                <w:sz w:val="18"/>
                <w:szCs w:val="18"/>
              </w:rPr>
            </w:pPr>
            <w:r>
              <w:rPr>
                <w:rFonts w:ascii="宋体" w:hAnsi="宋体" w:eastAsia="宋体" w:cs="宋体"/>
                <w:sz w:val="18"/>
                <w:szCs w:val="18"/>
              </w:rPr>
              <w:t>2022年度纳税总量贡献奖</w:t>
            </w:r>
          </w:p>
        </w:tc>
        <w:tc>
          <w:tcPr>
            <w:tcW w:w="3213" w:type="dxa"/>
            <w:tcBorders>
              <w:top w:val="single" w:color="auto" w:sz="2" w:space="0"/>
              <w:left w:val="single" w:color="auto" w:sz="2" w:space="0"/>
              <w:bottom w:val="single" w:color="auto" w:sz="2" w:space="0"/>
              <w:right w:val="single" w:color="auto" w:sz="2" w:space="0"/>
            </w:tcBorders>
            <w:vAlign w:val="center"/>
          </w:tcPr>
          <w:p w14:paraId="267C1160">
            <w:pPr>
              <w:spacing w:before="0" w:after="0" w:line="240" w:lineRule="exact"/>
              <w:jc w:val="right"/>
              <w:rPr>
                <w:rFonts w:ascii="宋体" w:hAnsi="宋体" w:eastAsia="宋体" w:cs="宋体"/>
                <w:sz w:val="18"/>
                <w:szCs w:val="18"/>
              </w:rPr>
            </w:pPr>
            <w:r>
              <w:rPr>
                <w:rFonts w:ascii="宋体" w:hAnsi="宋体" w:eastAsia="宋体" w:cs="宋体"/>
                <w:sz w:val="18"/>
                <w:szCs w:val="18"/>
              </w:rPr>
              <w:t>100,000.00</w:t>
            </w:r>
          </w:p>
        </w:tc>
        <w:tc>
          <w:tcPr>
            <w:tcW w:w="3213" w:type="dxa"/>
            <w:tcBorders>
              <w:top w:val="single" w:color="auto" w:sz="2" w:space="0"/>
              <w:left w:val="single" w:color="auto" w:sz="2" w:space="0"/>
              <w:bottom w:val="single" w:color="auto" w:sz="2" w:space="0"/>
              <w:right w:val="single" w:color="auto" w:sz="2" w:space="0"/>
            </w:tcBorders>
            <w:vAlign w:val="center"/>
          </w:tcPr>
          <w:p w14:paraId="2843C161">
            <w:pPr>
              <w:spacing w:before="0" w:after="0" w:line="240" w:lineRule="exact"/>
              <w:jc w:val="right"/>
              <w:rPr>
                <w:rFonts w:ascii="宋体" w:hAnsi="宋体" w:eastAsia="宋体" w:cs="宋体"/>
                <w:sz w:val="18"/>
                <w:szCs w:val="18"/>
              </w:rPr>
            </w:pPr>
          </w:p>
        </w:tc>
      </w:tr>
      <w:tr w14:paraId="1D87A9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48F5A86">
            <w:pPr>
              <w:spacing w:before="0" w:after="0" w:line="240" w:lineRule="exact"/>
              <w:jc w:val="left"/>
              <w:rPr>
                <w:rFonts w:ascii="宋体" w:hAnsi="宋体" w:eastAsia="宋体" w:cs="宋体"/>
                <w:sz w:val="18"/>
                <w:szCs w:val="18"/>
              </w:rPr>
            </w:pPr>
            <w:r>
              <w:rPr>
                <w:rFonts w:ascii="宋体" w:hAnsi="宋体" w:eastAsia="宋体" w:cs="宋体"/>
                <w:sz w:val="18"/>
                <w:szCs w:val="18"/>
              </w:rPr>
              <w:t>2023年度纳税总量贡献奖</w:t>
            </w:r>
          </w:p>
        </w:tc>
        <w:tc>
          <w:tcPr>
            <w:tcW w:w="3213" w:type="dxa"/>
            <w:tcBorders>
              <w:top w:val="single" w:color="auto" w:sz="2" w:space="0"/>
              <w:left w:val="single" w:color="auto" w:sz="2" w:space="0"/>
              <w:bottom w:val="single" w:color="auto" w:sz="2" w:space="0"/>
              <w:right w:val="single" w:color="auto" w:sz="2" w:space="0"/>
            </w:tcBorders>
            <w:vAlign w:val="center"/>
          </w:tcPr>
          <w:p w14:paraId="1E0B6EC2">
            <w:pPr>
              <w:spacing w:before="0" w:after="0" w:line="240" w:lineRule="exact"/>
              <w:jc w:val="right"/>
              <w:rPr>
                <w:rFonts w:ascii="宋体" w:hAnsi="宋体" w:eastAsia="宋体" w:cs="宋体"/>
                <w:sz w:val="18"/>
                <w:szCs w:val="18"/>
              </w:rPr>
            </w:pPr>
            <w:r>
              <w:rPr>
                <w:rFonts w:ascii="宋体" w:hAnsi="宋体" w:eastAsia="宋体" w:cs="宋体"/>
                <w:sz w:val="18"/>
                <w:szCs w:val="18"/>
              </w:rPr>
              <w:t>100,000.00</w:t>
            </w:r>
          </w:p>
        </w:tc>
        <w:tc>
          <w:tcPr>
            <w:tcW w:w="3213" w:type="dxa"/>
            <w:tcBorders>
              <w:top w:val="single" w:color="auto" w:sz="2" w:space="0"/>
              <w:left w:val="single" w:color="auto" w:sz="2" w:space="0"/>
              <w:bottom w:val="single" w:color="auto" w:sz="2" w:space="0"/>
              <w:right w:val="single" w:color="auto" w:sz="2" w:space="0"/>
            </w:tcBorders>
            <w:vAlign w:val="center"/>
          </w:tcPr>
          <w:p w14:paraId="2E89E9DD">
            <w:pPr>
              <w:spacing w:before="0" w:after="0" w:line="240" w:lineRule="exact"/>
              <w:jc w:val="right"/>
              <w:rPr>
                <w:rFonts w:ascii="宋体" w:hAnsi="宋体" w:eastAsia="宋体" w:cs="宋体"/>
                <w:sz w:val="18"/>
                <w:szCs w:val="18"/>
              </w:rPr>
            </w:pPr>
          </w:p>
        </w:tc>
      </w:tr>
      <w:tr w14:paraId="3D6028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4CF7BA9F">
            <w:pPr>
              <w:spacing w:before="0" w:after="0" w:line="240" w:lineRule="exact"/>
              <w:jc w:val="left"/>
              <w:rPr>
                <w:rFonts w:ascii="宋体" w:hAnsi="宋体" w:eastAsia="宋体" w:cs="宋体"/>
                <w:sz w:val="18"/>
                <w:szCs w:val="18"/>
              </w:rPr>
            </w:pPr>
            <w:r>
              <w:rPr>
                <w:rFonts w:ascii="宋体" w:hAnsi="宋体" w:eastAsia="宋体" w:cs="宋体"/>
                <w:sz w:val="18"/>
                <w:szCs w:val="18"/>
              </w:rPr>
              <w:t>福建省创新药物研发奖补经费</w:t>
            </w:r>
          </w:p>
        </w:tc>
        <w:tc>
          <w:tcPr>
            <w:tcW w:w="3213" w:type="dxa"/>
            <w:tcBorders>
              <w:top w:val="single" w:color="auto" w:sz="2" w:space="0"/>
              <w:left w:val="single" w:color="auto" w:sz="2" w:space="0"/>
              <w:bottom w:val="single" w:color="auto" w:sz="2" w:space="0"/>
              <w:right w:val="single" w:color="auto" w:sz="2" w:space="0"/>
            </w:tcBorders>
            <w:vAlign w:val="center"/>
          </w:tcPr>
          <w:p w14:paraId="5DD75992">
            <w:pPr>
              <w:spacing w:before="0" w:after="0" w:line="240" w:lineRule="exact"/>
              <w:jc w:val="right"/>
              <w:rPr>
                <w:rFonts w:ascii="宋体" w:hAnsi="宋体" w:eastAsia="宋体" w:cs="宋体"/>
                <w:sz w:val="18"/>
                <w:szCs w:val="18"/>
              </w:rPr>
            </w:pPr>
            <w:r>
              <w:rPr>
                <w:rFonts w:ascii="宋体" w:hAnsi="宋体" w:eastAsia="宋体" w:cs="宋体"/>
                <w:sz w:val="18"/>
                <w:szCs w:val="18"/>
              </w:rPr>
              <w:t>4,000,000.00</w:t>
            </w:r>
          </w:p>
        </w:tc>
        <w:tc>
          <w:tcPr>
            <w:tcW w:w="3213" w:type="dxa"/>
            <w:tcBorders>
              <w:top w:val="single" w:color="auto" w:sz="2" w:space="0"/>
              <w:left w:val="single" w:color="auto" w:sz="2" w:space="0"/>
              <w:bottom w:val="single" w:color="auto" w:sz="2" w:space="0"/>
              <w:right w:val="single" w:color="auto" w:sz="2" w:space="0"/>
            </w:tcBorders>
            <w:vAlign w:val="center"/>
          </w:tcPr>
          <w:p w14:paraId="7755D305">
            <w:pPr>
              <w:spacing w:before="0" w:after="0" w:line="240" w:lineRule="exact"/>
              <w:jc w:val="right"/>
              <w:rPr>
                <w:rFonts w:ascii="宋体" w:hAnsi="宋体" w:eastAsia="宋体" w:cs="宋体"/>
                <w:sz w:val="18"/>
                <w:szCs w:val="18"/>
              </w:rPr>
            </w:pPr>
          </w:p>
        </w:tc>
      </w:tr>
      <w:tr w14:paraId="1F445E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D39C813">
            <w:pPr>
              <w:spacing w:before="0" w:after="0" w:line="240" w:lineRule="exact"/>
              <w:jc w:val="left"/>
              <w:rPr>
                <w:rFonts w:ascii="宋体" w:hAnsi="宋体" w:eastAsia="宋体" w:cs="宋体"/>
                <w:sz w:val="18"/>
                <w:szCs w:val="18"/>
              </w:rPr>
            </w:pPr>
            <w:r>
              <w:rPr>
                <w:rFonts w:ascii="宋体" w:hAnsi="宋体" w:eastAsia="宋体" w:cs="宋体"/>
                <w:sz w:val="18"/>
                <w:szCs w:val="18"/>
              </w:rPr>
              <w:t>福建省创新生物研发奖</w:t>
            </w:r>
          </w:p>
        </w:tc>
        <w:tc>
          <w:tcPr>
            <w:tcW w:w="3213" w:type="dxa"/>
            <w:tcBorders>
              <w:top w:val="single" w:color="auto" w:sz="2" w:space="0"/>
              <w:left w:val="single" w:color="auto" w:sz="2" w:space="0"/>
              <w:bottom w:val="single" w:color="auto" w:sz="2" w:space="0"/>
              <w:right w:val="single" w:color="auto" w:sz="2" w:space="0"/>
            </w:tcBorders>
            <w:vAlign w:val="center"/>
          </w:tcPr>
          <w:p w14:paraId="7F9ED58B">
            <w:pPr>
              <w:spacing w:before="0" w:after="0" w:line="240" w:lineRule="exact"/>
              <w:jc w:val="right"/>
              <w:rPr>
                <w:rFonts w:ascii="宋体" w:hAnsi="宋体" w:eastAsia="宋体" w:cs="宋体"/>
                <w:sz w:val="18"/>
                <w:szCs w:val="18"/>
              </w:rPr>
            </w:pPr>
            <w:r>
              <w:rPr>
                <w:rFonts w:ascii="宋体" w:hAnsi="宋体" w:eastAsia="宋体" w:cs="宋体"/>
                <w:sz w:val="18"/>
                <w:szCs w:val="18"/>
              </w:rPr>
              <w:t>4,696,000.00</w:t>
            </w:r>
          </w:p>
        </w:tc>
        <w:tc>
          <w:tcPr>
            <w:tcW w:w="3213" w:type="dxa"/>
            <w:tcBorders>
              <w:top w:val="single" w:color="auto" w:sz="2" w:space="0"/>
              <w:left w:val="single" w:color="auto" w:sz="2" w:space="0"/>
              <w:bottom w:val="single" w:color="auto" w:sz="2" w:space="0"/>
              <w:right w:val="single" w:color="auto" w:sz="2" w:space="0"/>
            </w:tcBorders>
            <w:vAlign w:val="center"/>
          </w:tcPr>
          <w:p w14:paraId="2238C646">
            <w:pPr>
              <w:spacing w:before="0" w:after="0" w:line="240" w:lineRule="exact"/>
              <w:jc w:val="right"/>
              <w:rPr>
                <w:rFonts w:ascii="宋体" w:hAnsi="宋体" w:eastAsia="宋体" w:cs="宋体"/>
                <w:sz w:val="18"/>
                <w:szCs w:val="18"/>
              </w:rPr>
            </w:pPr>
          </w:p>
        </w:tc>
      </w:tr>
      <w:tr w14:paraId="2405EB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E04044E">
            <w:pPr>
              <w:spacing w:before="0" w:after="0" w:line="240" w:lineRule="exact"/>
              <w:jc w:val="left"/>
              <w:rPr>
                <w:rFonts w:ascii="宋体" w:hAnsi="宋体" w:eastAsia="宋体" w:cs="宋体"/>
                <w:sz w:val="18"/>
                <w:szCs w:val="18"/>
              </w:rPr>
            </w:pPr>
            <w:r>
              <w:rPr>
                <w:rFonts w:ascii="宋体" w:hAnsi="宋体" w:eastAsia="宋体" w:cs="宋体"/>
                <w:sz w:val="18"/>
                <w:szCs w:val="18"/>
              </w:rPr>
              <w:t>2024年第一批生物医药产业化发展专项资金</w:t>
            </w:r>
          </w:p>
        </w:tc>
        <w:tc>
          <w:tcPr>
            <w:tcW w:w="3213" w:type="dxa"/>
            <w:tcBorders>
              <w:top w:val="single" w:color="auto" w:sz="2" w:space="0"/>
              <w:left w:val="single" w:color="auto" w:sz="2" w:space="0"/>
              <w:bottom w:val="single" w:color="auto" w:sz="2" w:space="0"/>
              <w:right w:val="single" w:color="auto" w:sz="2" w:space="0"/>
            </w:tcBorders>
            <w:vAlign w:val="center"/>
          </w:tcPr>
          <w:p w14:paraId="65B71229">
            <w:pPr>
              <w:spacing w:before="0" w:after="0" w:line="240" w:lineRule="exact"/>
              <w:jc w:val="right"/>
              <w:rPr>
                <w:rFonts w:ascii="宋体" w:hAnsi="宋体" w:eastAsia="宋体" w:cs="宋体"/>
                <w:sz w:val="18"/>
                <w:szCs w:val="18"/>
              </w:rPr>
            </w:pPr>
            <w:r>
              <w:rPr>
                <w:rFonts w:ascii="宋体" w:hAnsi="宋体" w:eastAsia="宋体" w:cs="宋体"/>
                <w:sz w:val="18"/>
                <w:szCs w:val="18"/>
              </w:rPr>
              <w:t>5,000,000.00</w:t>
            </w:r>
          </w:p>
        </w:tc>
        <w:tc>
          <w:tcPr>
            <w:tcW w:w="3213" w:type="dxa"/>
            <w:tcBorders>
              <w:top w:val="single" w:color="auto" w:sz="2" w:space="0"/>
              <w:left w:val="single" w:color="auto" w:sz="2" w:space="0"/>
              <w:bottom w:val="single" w:color="auto" w:sz="2" w:space="0"/>
              <w:right w:val="single" w:color="auto" w:sz="2" w:space="0"/>
            </w:tcBorders>
            <w:vAlign w:val="center"/>
          </w:tcPr>
          <w:p w14:paraId="0804A9C6">
            <w:pPr>
              <w:spacing w:before="0" w:after="0" w:line="240" w:lineRule="exact"/>
              <w:jc w:val="right"/>
              <w:rPr>
                <w:rFonts w:ascii="宋体" w:hAnsi="宋体" w:eastAsia="宋体" w:cs="宋体"/>
                <w:sz w:val="18"/>
                <w:szCs w:val="18"/>
              </w:rPr>
            </w:pPr>
          </w:p>
        </w:tc>
      </w:tr>
      <w:tr w14:paraId="6CADE7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D75F9C5">
            <w:pPr>
              <w:spacing w:before="0" w:after="0" w:line="240" w:lineRule="exact"/>
              <w:jc w:val="left"/>
              <w:rPr>
                <w:rFonts w:ascii="宋体" w:hAnsi="宋体" w:eastAsia="宋体" w:cs="宋体"/>
                <w:sz w:val="18"/>
                <w:szCs w:val="18"/>
              </w:rPr>
            </w:pPr>
            <w:r>
              <w:rPr>
                <w:rFonts w:ascii="宋体" w:hAnsi="宋体" w:eastAsia="宋体" w:cs="宋体"/>
                <w:sz w:val="18"/>
                <w:szCs w:val="18"/>
              </w:rPr>
              <w:t>中小微企业发展专项项目（省级专精特新中小企业认定奖励）</w:t>
            </w:r>
          </w:p>
        </w:tc>
        <w:tc>
          <w:tcPr>
            <w:tcW w:w="3213" w:type="dxa"/>
            <w:tcBorders>
              <w:top w:val="single" w:color="auto" w:sz="2" w:space="0"/>
              <w:left w:val="single" w:color="auto" w:sz="2" w:space="0"/>
              <w:bottom w:val="single" w:color="auto" w:sz="2" w:space="0"/>
              <w:right w:val="single" w:color="auto" w:sz="2" w:space="0"/>
            </w:tcBorders>
            <w:vAlign w:val="center"/>
          </w:tcPr>
          <w:p w14:paraId="61BA3DF2">
            <w:pPr>
              <w:spacing w:before="0" w:after="0" w:line="240" w:lineRule="exact"/>
              <w:jc w:val="right"/>
              <w:rPr>
                <w:rFonts w:ascii="宋体" w:hAnsi="宋体" w:eastAsia="宋体" w:cs="宋体"/>
                <w:sz w:val="18"/>
                <w:szCs w:val="18"/>
              </w:rPr>
            </w:pPr>
            <w:r>
              <w:rPr>
                <w:rFonts w:ascii="宋体" w:hAnsi="宋体" w:eastAsia="宋体" w:cs="宋体"/>
                <w:sz w:val="18"/>
                <w:szCs w:val="18"/>
              </w:rPr>
              <w:t>200,000.00</w:t>
            </w:r>
          </w:p>
        </w:tc>
        <w:tc>
          <w:tcPr>
            <w:tcW w:w="3213" w:type="dxa"/>
            <w:tcBorders>
              <w:top w:val="single" w:color="auto" w:sz="2" w:space="0"/>
              <w:left w:val="single" w:color="auto" w:sz="2" w:space="0"/>
              <w:bottom w:val="single" w:color="auto" w:sz="2" w:space="0"/>
              <w:right w:val="single" w:color="auto" w:sz="2" w:space="0"/>
            </w:tcBorders>
            <w:vAlign w:val="center"/>
          </w:tcPr>
          <w:p w14:paraId="13BBE2E1">
            <w:pPr>
              <w:spacing w:before="0" w:after="0" w:line="240" w:lineRule="exact"/>
              <w:jc w:val="right"/>
              <w:rPr>
                <w:rFonts w:ascii="宋体" w:hAnsi="宋体" w:eastAsia="宋体" w:cs="宋体"/>
                <w:sz w:val="18"/>
                <w:szCs w:val="18"/>
              </w:rPr>
            </w:pPr>
          </w:p>
        </w:tc>
      </w:tr>
      <w:tr w14:paraId="154E96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85ABCD8">
            <w:pPr>
              <w:spacing w:before="0" w:after="0" w:line="240" w:lineRule="exact"/>
              <w:jc w:val="left"/>
              <w:rPr>
                <w:rFonts w:ascii="宋体" w:hAnsi="宋体" w:eastAsia="宋体" w:cs="宋体"/>
                <w:sz w:val="18"/>
                <w:szCs w:val="18"/>
              </w:rPr>
            </w:pPr>
            <w:r>
              <w:rPr>
                <w:rFonts w:ascii="宋体" w:hAnsi="宋体" w:eastAsia="宋体" w:cs="宋体"/>
                <w:sz w:val="18"/>
                <w:szCs w:val="18"/>
              </w:rPr>
              <w:t>阿泰特韦片/利那韦片组合包装完成II期临床试验研发投入补贴</w:t>
            </w:r>
          </w:p>
        </w:tc>
        <w:tc>
          <w:tcPr>
            <w:tcW w:w="3213" w:type="dxa"/>
            <w:tcBorders>
              <w:top w:val="single" w:color="auto" w:sz="2" w:space="0"/>
              <w:left w:val="single" w:color="auto" w:sz="2" w:space="0"/>
              <w:bottom w:val="single" w:color="auto" w:sz="2" w:space="0"/>
              <w:right w:val="single" w:color="auto" w:sz="2" w:space="0"/>
            </w:tcBorders>
            <w:vAlign w:val="center"/>
          </w:tcPr>
          <w:p w14:paraId="6F17832A">
            <w:pPr>
              <w:spacing w:before="0" w:after="0" w:line="240" w:lineRule="exact"/>
              <w:jc w:val="right"/>
              <w:rPr>
                <w:rFonts w:ascii="宋体" w:hAnsi="宋体" w:eastAsia="宋体" w:cs="宋体"/>
                <w:sz w:val="18"/>
                <w:szCs w:val="18"/>
              </w:rPr>
            </w:pPr>
            <w:r>
              <w:rPr>
                <w:rFonts w:ascii="宋体" w:hAnsi="宋体" w:eastAsia="宋体" w:cs="宋体"/>
                <w:sz w:val="18"/>
                <w:szCs w:val="18"/>
              </w:rPr>
              <w:t>6,234,100.00</w:t>
            </w:r>
          </w:p>
        </w:tc>
        <w:tc>
          <w:tcPr>
            <w:tcW w:w="3213" w:type="dxa"/>
            <w:tcBorders>
              <w:top w:val="single" w:color="auto" w:sz="2" w:space="0"/>
              <w:left w:val="single" w:color="auto" w:sz="2" w:space="0"/>
              <w:bottom w:val="single" w:color="auto" w:sz="2" w:space="0"/>
              <w:right w:val="single" w:color="auto" w:sz="2" w:space="0"/>
            </w:tcBorders>
            <w:vAlign w:val="center"/>
          </w:tcPr>
          <w:p w14:paraId="03AE6770">
            <w:pPr>
              <w:spacing w:before="0" w:after="0" w:line="240" w:lineRule="exact"/>
              <w:jc w:val="right"/>
              <w:rPr>
                <w:rFonts w:ascii="宋体" w:hAnsi="宋体" w:eastAsia="宋体" w:cs="宋体"/>
                <w:sz w:val="18"/>
                <w:szCs w:val="18"/>
              </w:rPr>
            </w:pPr>
          </w:p>
        </w:tc>
      </w:tr>
      <w:tr w14:paraId="27F66C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CD0EB3F">
            <w:pPr>
              <w:spacing w:before="0" w:after="0" w:line="240" w:lineRule="exact"/>
              <w:jc w:val="left"/>
              <w:rPr>
                <w:rFonts w:ascii="宋体" w:hAnsi="宋体" w:eastAsia="宋体" w:cs="宋体"/>
                <w:sz w:val="18"/>
                <w:szCs w:val="18"/>
              </w:rPr>
            </w:pPr>
            <w:r>
              <w:rPr>
                <w:rFonts w:ascii="宋体" w:hAnsi="宋体" w:eastAsia="宋体" w:cs="宋体"/>
                <w:sz w:val="18"/>
                <w:szCs w:val="18"/>
              </w:rPr>
              <w:t>5万元以下政府补助</w:t>
            </w:r>
          </w:p>
        </w:tc>
        <w:tc>
          <w:tcPr>
            <w:tcW w:w="3213" w:type="dxa"/>
            <w:tcBorders>
              <w:top w:val="single" w:color="auto" w:sz="2" w:space="0"/>
              <w:left w:val="single" w:color="auto" w:sz="2" w:space="0"/>
              <w:bottom w:val="single" w:color="auto" w:sz="2" w:space="0"/>
              <w:right w:val="single" w:color="auto" w:sz="2" w:space="0"/>
            </w:tcBorders>
            <w:vAlign w:val="center"/>
          </w:tcPr>
          <w:p w14:paraId="28565383">
            <w:pPr>
              <w:spacing w:before="0" w:after="0" w:line="240" w:lineRule="exact"/>
              <w:jc w:val="right"/>
              <w:rPr>
                <w:rFonts w:ascii="宋体" w:hAnsi="宋体" w:eastAsia="宋体" w:cs="宋体"/>
                <w:sz w:val="18"/>
                <w:szCs w:val="18"/>
              </w:rPr>
            </w:pPr>
            <w:r>
              <w:rPr>
                <w:rFonts w:ascii="宋体" w:hAnsi="宋体" w:eastAsia="宋体" w:cs="宋体"/>
                <w:sz w:val="18"/>
                <w:szCs w:val="18"/>
              </w:rPr>
              <w:t>220,228.28</w:t>
            </w:r>
          </w:p>
        </w:tc>
        <w:tc>
          <w:tcPr>
            <w:tcW w:w="3213" w:type="dxa"/>
            <w:tcBorders>
              <w:top w:val="single" w:color="auto" w:sz="2" w:space="0"/>
              <w:left w:val="single" w:color="auto" w:sz="2" w:space="0"/>
              <w:bottom w:val="single" w:color="auto" w:sz="2" w:space="0"/>
              <w:right w:val="single" w:color="auto" w:sz="2" w:space="0"/>
            </w:tcBorders>
            <w:vAlign w:val="center"/>
          </w:tcPr>
          <w:p w14:paraId="27ED3049">
            <w:pPr>
              <w:spacing w:before="0" w:after="0" w:line="240" w:lineRule="exact"/>
              <w:jc w:val="right"/>
              <w:rPr>
                <w:rFonts w:ascii="宋体" w:hAnsi="宋体" w:eastAsia="宋体" w:cs="宋体"/>
                <w:sz w:val="18"/>
                <w:szCs w:val="18"/>
              </w:rPr>
            </w:pPr>
            <w:r>
              <w:rPr>
                <w:rFonts w:ascii="宋体" w:hAnsi="宋体" w:eastAsia="宋体" w:cs="宋体"/>
                <w:sz w:val="18"/>
                <w:szCs w:val="18"/>
              </w:rPr>
              <w:t>388,559.31</w:t>
            </w:r>
          </w:p>
        </w:tc>
      </w:tr>
      <w:tr w14:paraId="0BE67F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3A74FA82">
            <w:pPr>
              <w:spacing w:before="0" w:after="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44A0138E">
            <w:pPr>
              <w:spacing w:before="0" w:after="0" w:line="240" w:lineRule="exact"/>
              <w:jc w:val="right"/>
              <w:rPr>
                <w:rFonts w:ascii="宋体" w:hAnsi="宋体" w:eastAsia="宋体" w:cs="宋体"/>
                <w:sz w:val="18"/>
                <w:szCs w:val="18"/>
              </w:rPr>
            </w:pPr>
            <w:r>
              <w:rPr>
                <w:rFonts w:ascii="宋体" w:hAnsi="宋体" w:eastAsia="宋体" w:cs="宋体"/>
                <w:sz w:val="18"/>
                <w:szCs w:val="18"/>
              </w:rPr>
              <w:t>45,114,872.01</w:t>
            </w:r>
          </w:p>
        </w:tc>
        <w:tc>
          <w:tcPr>
            <w:tcW w:w="3213" w:type="dxa"/>
            <w:tcBorders>
              <w:top w:val="single" w:color="auto" w:sz="2" w:space="0"/>
              <w:left w:val="single" w:color="auto" w:sz="2" w:space="0"/>
              <w:bottom w:val="single" w:color="auto" w:sz="2" w:space="0"/>
              <w:right w:val="single" w:color="auto" w:sz="2" w:space="0"/>
            </w:tcBorders>
            <w:vAlign w:val="center"/>
          </w:tcPr>
          <w:p w14:paraId="4DE355DA">
            <w:pPr>
              <w:spacing w:before="0" w:after="0" w:line="240" w:lineRule="exact"/>
              <w:jc w:val="right"/>
              <w:rPr>
                <w:rFonts w:ascii="宋体" w:hAnsi="宋体" w:eastAsia="宋体" w:cs="宋体"/>
                <w:sz w:val="18"/>
                <w:szCs w:val="18"/>
              </w:rPr>
            </w:pPr>
            <w:r>
              <w:rPr>
                <w:rFonts w:ascii="宋体" w:hAnsi="宋体" w:eastAsia="宋体" w:cs="宋体"/>
                <w:sz w:val="18"/>
                <w:szCs w:val="18"/>
              </w:rPr>
              <w:t>9,117,724.29</w:t>
            </w:r>
          </w:p>
        </w:tc>
      </w:tr>
    </w:tbl>
    <w:p w14:paraId="461DBBE5">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AAEC68D">
      <w:pPr>
        <w:keepNext/>
        <w:keepLines/>
        <w:spacing w:before="300" w:after="300" w:line="320" w:lineRule="exact"/>
        <w:jc w:val="left"/>
        <w:outlineLvl w:val="1"/>
        <w:rPr>
          <w:rFonts w:ascii="宋体" w:hAnsi="宋体" w:eastAsia="宋体" w:cs="宋体"/>
          <w:b/>
          <w:bCs/>
          <w:sz w:val="24"/>
          <w:szCs w:val="24"/>
        </w:rPr>
      </w:pPr>
      <w:bookmarkStart w:id="504" w:name="_Toc989387"/>
      <w:r>
        <w:rPr>
          <w:rFonts w:ascii="宋体" w:hAnsi="宋体" w:eastAsia="宋体" w:cs="宋体"/>
          <w:b/>
          <w:bCs/>
          <w:sz w:val="24"/>
          <w:szCs w:val="24"/>
        </w:rPr>
        <w:t>十二、与金融工具相关的风险</w:t>
      </w:r>
      <w:bookmarkEnd w:id="504"/>
    </w:p>
    <w:p w14:paraId="1DD21CFF">
      <w:pPr>
        <w:keepNext/>
        <w:keepLines/>
        <w:spacing w:before="300" w:after="300" w:line="280" w:lineRule="exact"/>
        <w:jc w:val="left"/>
        <w:outlineLvl w:val="2"/>
        <w:rPr>
          <w:rFonts w:ascii="宋体" w:hAnsi="宋体" w:eastAsia="宋体" w:cs="宋体"/>
          <w:b/>
          <w:bCs/>
          <w:sz w:val="21"/>
          <w:szCs w:val="21"/>
        </w:rPr>
      </w:pPr>
      <w:bookmarkStart w:id="505" w:name="_Toc989388"/>
      <w:r>
        <w:rPr>
          <w:rFonts w:ascii="宋体" w:hAnsi="宋体" w:eastAsia="宋体" w:cs="宋体"/>
          <w:b/>
          <w:bCs/>
          <w:sz w:val="21"/>
          <w:szCs w:val="21"/>
        </w:rPr>
        <w:t>1、金融工具产生的各类风险</w:t>
      </w:r>
      <w:bookmarkEnd w:id="505"/>
    </w:p>
    <w:p w14:paraId="30DCCFD4">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本公司的主要金融工具包括</w:t>
      </w:r>
      <w:r>
        <w:rPr>
          <w:rFonts w:hint="eastAsia" w:ascii="宋体" w:hAnsi="宋体" w:eastAsia="宋体" w:cs="宋体"/>
          <w:color w:val="00B0F0"/>
          <w:sz w:val="21"/>
          <w:szCs w:val="21"/>
        </w:rPr>
        <w:t>货币资金、股权投资、债权投资、借款、应收款项、应付款项及可转换债券</w:t>
      </w:r>
      <w:r>
        <w:rPr>
          <w:rFonts w:hint="eastAsia" w:ascii="宋体" w:hAnsi="宋体" w:eastAsia="宋体" w:cs="宋体"/>
          <w:sz w:val="21"/>
          <w:szCs w:val="21"/>
        </w:rPr>
        <w:t>等。在日常活动中面临各种金融工具的风险，主要包括信用风险、流动性风险、市场风险。与这些金融工具相关的风险，以及本公司为降低这些风险所采取的风险管理政策如下所述：</w:t>
      </w:r>
    </w:p>
    <w:p w14:paraId="47E4CC18">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董事会负责规划并建立本公司的风险管理架构，制定本公司的风险管理政策和相关指引并监督风险管理措施的执行情况。本公司已制定风险管理政策以识别和分析本公司所面临的风险，这些风险管理政策对特定风险进行了明确规定，涵盖了市场风险、信用风险和流动性风险管理等诸多方面。本公司定期评估市场环境及本公司经营活动的变化以决定是否对风险管理政策及系统进行更新。本公司的风险管理由风险管理委员会按照董事会批准的政策开展。风险管理委员会通过与本公司其他业务部门的紧密合作来识别、评价和规避相关风险。本公司内部审计部门就风险管理控制及程序进行定期的审核，并将审核结果上报本公司的审计委员会。本公司通过适当的多样化投资及业务组合来分散金融工具风险，并通过制定相应的风险管理政策减少集中于单一行业、特定地区或特定交易对手的风险。</w:t>
      </w:r>
    </w:p>
    <w:p w14:paraId="35376D66">
      <w:pPr>
        <w:pStyle w:val="2"/>
        <w:keepNext w:val="0"/>
        <w:keepLines w:val="0"/>
        <w:widowControl/>
        <w:suppressLineNumbers w:val="0"/>
        <w:snapToGrid w:val="0"/>
        <w:spacing w:before="0" w:beforeAutospacing="1" w:after="0" w:afterAutospacing="1"/>
        <w:ind w:left="845" w:right="0" w:firstLine="0"/>
        <w:jc w:val="both"/>
      </w:pPr>
      <w:r>
        <w:rPr>
          <w:rFonts w:hint="eastAsia" w:ascii="宋体" w:hAnsi="宋体" w:eastAsia="宋体" w:cs="宋体"/>
          <w:sz w:val="18"/>
          <w:szCs w:val="18"/>
        </w:rPr>
        <w:t>（一）信用风险</w:t>
      </w:r>
    </w:p>
    <w:p w14:paraId="41701481">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信用风险是指交易对手未能履行合同义务而导致本公司产生财务损失的风险，管理层已制定适当的信用政策，并且不断监察信用风险的敞口。</w:t>
      </w:r>
    </w:p>
    <w:p w14:paraId="7B7EB1B1">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已采取政策只与信用良好的交易对手进行交易。另外，本公司基于对客户的财务状况、从第三方获取担保的可能性、信用记录及其它因素诸如目前市场状况等评估客户的信用资质并设置相应信用期。本公司对应收票据、应收账款余额及收回情况进行持续监控，对于信用记录不良的客户，本公司会采用书面催款、缩短信用期或取消信用期等方式，以确保本公司不致面临重大信用损失。此外，本公司于每个资产负债表日审核金融资产的回收情况，以确保相关金融资产计提了充分的预期信用损失准备。</w:t>
      </w:r>
    </w:p>
    <w:p w14:paraId="51A8D790">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本公司其他金融资产包括</w:t>
      </w:r>
      <w:r>
        <w:rPr>
          <w:rFonts w:hint="eastAsia" w:ascii="宋体" w:hAnsi="宋体" w:eastAsia="宋体" w:cs="宋体"/>
          <w:color w:val="00B0F0"/>
          <w:sz w:val="21"/>
          <w:szCs w:val="21"/>
        </w:rPr>
        <w:t>货币资金、应收账款、应收款项融资、其他应收款等</w:t>
      </w:r>
      <w:r>
        <w:rPr>
          <w:rFonts w:hint="eastAsia" w:ascii="宋体" w:hAnsi="宋体" w:eastAsia="宋体" w:cs="宋体"/>
          <w:sz w:val="21"/>
          <w:szCs w:val="21"/>
        </w:rPr>
        <w:t>，这些金融资产的信用风险源自于交易对手违约，最大信用风险敞口为资产负债表中每项金融资产的账面金额。本公司没有提供任何其他可能令本公司承受信用风险的担保。</w:t>
      </w:r>
    </w:p>
    <w:p w14:paraId="2D64A6C0">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持有的货币资金主要存放于国有控股银行和其他大中型商业银行等金融机构，管理层认为这些商业银行具备较高信誉和资产状况，不存在重大的信用风险，不会产生因对方单位违约而导致的任何重大损失。本公司的政策是根据各知名金融机构的市场信誉、经营规模及财务背景来控制存放当中的存款金额，以限制对任何单个金融机构的信用风险金额。</w:t>
      </w:r>
    </w:p>
    <w:p w14:paraId="43614654">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作为本公司信用风险资产管理的一部分，本公司利用账龄来评估应收账款和其他应收款的减值损失。本公司的应收账款和其他应收款涉及大量客户，账龄信息可以反映这些客户对于应收账款和其他应收款的偿付能力和坏账风险。本公司根据历史数据计算不同账龄期间的历史实际坏账率，并考虑了当前及未来经济状况的预测，如国家GDP增速、基建投资总额、国家货币政策等前瞻性信息进行调整得出预期损失率。对于长期应收款，本公司综合考虑结算期、合同约定付款期、债务人的财务状况和债务人所处行业的经济形势，并考虑上述前瞻性信息进行调整后对于预期信用损失进行合理评估。</w:t>
      </w:r>
    </w:p>
    <w:p w14:paraId="37382851">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截止2024年12月31日，相关资产的账面余额与预期信用减值损失情况如下：</w:t>
      </w:r>
    </w:p>
    <w:tbl>
      <w:tblPr>
        <w:tblStyle w:val="3"/>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730"/>
        <w:gridCol w:w="3111"/>
        <w:gridCol w:w="3012"/>
      </w:tblGrid>
      <w:tr w14:paraId="6336F2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blHeader/>
        </w:trPr>
        <w:tc>
          <w:tcPr>
            <w:tcW w:w="1892" w:type="pc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1B7B26BA">
            <w:pPr>
              <w:pStyle w:val="2"/>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cs="Times New Roman"/>
                <w:sz w:val="21"/>
                <w:szCs w:val="21"/>
              </w:rPr>
            </w:pPr>
            <w:r>
              <w:rPr>
                <w:rFonts w:hint="eastAsia" w:ascii="宋体" w:hAnsi="宋体" w:eastAsia="宋体" w:cs="宋体"/>
                <w:sz w:val="18"/>
                <w:szCs w:val="18"/>
              </w:rPr>
              <w:t>项目</w:t>
            </w:r>
          </w:p>
        </w:tc>
        <w:tc>
          <w:tcPr>
            <w:tcW w:w="1578" w:type="pc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3D498DD">
            <w:pPr>
              <w:pStyle w:val="2"/>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cs="Times New Roman"/>
                <w:sz w:val="21"/>
                <w:szCs w:val="21"/>
              </w:rPr>
            </w:pPr>
            <w:r>
              <w:rPr>
                <w:rFonts w:hint="eastAsia" w:ascii="宋体" w:hAnsi="宋体" w:eastAsia="宋体" w:cs="宋体"/>
                <w:sz w:val="18"/>
                <w:szCs w:val="18"/>
              </w:rPr>
              <w:t>账面余额</w:t>
            </w:r>
          </w:p>
        </w:tc>
        <w:tc>
          <w:tcPr>
            <w:tcW w:w="1528" w:type="pc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48D4354">
            <w:pPr>
              <w:pStyle w:val="2"/>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cs="Times New Roman"/>
                <w:sz w:val="21"/>
                <w:szCs w:val="21"/>
              </w:rPr>
            </w:pPr>
            <w:r>
              <w:rPr>
                <w:rFonts w:hint="eastAsia" w:ascii="宋体" w:hAnsi="宋体" w:eastAsia="宋体" w:cs="宋体"/>
                <w:sz w:val="18"/>
                <w:szCs w:val="18"/>
              </w:rPr>
              <w:t>减值准备</w:t>
            </w:r>
          </w:p>
        </w:tc>
      </w:tr>
      <w:tr w14:paraId="04DEEE1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40" w:hRule="atLeast"/>
        </w:trPr>
        <w:tc>
          <w:tcPr>
            <w:tcW w:w="18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5B37EBB6">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应收账款</w:t>
            </w:r>
          </w:p>
        </w:tc>
        <w:tc>
          <w:tcPr>
            <w:tcW w:w="1578" w:type="pct"/>
            <w:tcBorders>
              <w:top w:val="nil"/>
              <w:left w:val="nil"/>
              <w:bottom w:val="single" w:color="auto" w:sz="8" w:space="0"/>
              <w:right w:val="single" w:color="auto" w:sz="8" w:space="0"/>
            </w:tcBorders>
            <w:shd w:val="clear" w:color="auto" w:fill="auto"/>
            <w:tcMar>
              <w:left w:w="108" w:type="dxa"/>
              <w:right w:w="108" w:type="dxa"/>
            </w:tcMar>
            <w:vAlign w:val="center"/>
          </w:tcPr>
          <w:p w14:paraId="5339AB27">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ascii="Arial Narrow" w:hAnsi="Arial Narrow" w:eastAsia="Arial Narrow" w:cs="Arial Narrow"/>
                <w:sz w:val="18"/>
                <w:szCs w:val="18"/>
              </w:rPr>
              <w:t>74,258,568.67</w:t>
            </w:r>
          </w:p>
        </w:tc>
        <w:tc>
          <w:tcPr>
            <w:tcW w:w="1528" w:type="pct"/>
            <w:tcBorders>
              <w:top w:val="nil"/>
              <w:left w:val="nil"/>
              <w:bottom w:val="single" w:color="auto" w:sz="8" w:space="0"/>
              <w:right w:val="single" w:color="auto" w:sz="8" w:space="0"/>
            </w:tcBorders>
            <w:shd w:val="clear" w:color="auto" w:fill="auto"/>
            <w:tcMar>
              <w:left w:w="108" w:type="dxa"/>
              <w:right w:w="108" w:type="dxa"/>
            </w:tcMar>
            <w:vAlign w:val="center"/>
          </w:tcPr>
          <w:p w14:paraId="3223D9D3">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6,123,090.49</w:t>
            </w:r>
          </w:p>
        </w:tc>
      </w:tr>
      <w:tr w14:paraId="62D5298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18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4C0FDACA">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应收款项融资</w:t>
            </w:r>
          </w:p>
        </w:tc>
        <w:tc>
          <w:tcPr>
            <w:tcW w:w="1578" w:type="pct"/>
            <w:tcBorders>
              <w:top w:val="nil"/>
              <w:left w:val="nil"/>
              <w:bottom w:val="single" w:color="auto" w:sz="8" w:space="0"/>
              <w:right w:val="single" w:color="auto" w:sz="8" w:space="0"/>
            </w:tcBorders>
            <w:shd w:val="clear" w:color="auto" w:fill="auto"/>
            <w:tcMar>
              <w:left w:w="108" w:type="dxa"/>
              <w:right w:w="108" w:type="dxa"/>
            </w:tcMar>
            <w:vAlign w:val="center"/>
          </w:tcPr>
          <w:p w14:paraId="458F2CEE">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2,292,928.00</w:t>
            </w:r>
          </w:p>
        </w:tc>
        <w:tc>
          <w:tcPr>
            <w:tcW w:w="1528" w:type="pct"/>
            <w:tcBorders>
              <w:top w:val="nil"/>
              <w:left w:val="nil"/>
              <w:bottom w:val="single" w:color="auto" w:sz="8" w:space="0"/>
              <w:right w:val="single" w:color="auto" w:sz="8" w:space="0"/>
            </w:tcBorders>
            <w:shd w:val="clear" w:color="auto" w:fill="auto"/>
            <w:tcMar>
              <w:left w:w="108" w:type="dxa"/>
              <w:right w:w="108" w:type="dxa"/>
            </w:tcMar>
            <w:vAlign w:val="center"/>
          </w:tcPr>
          <w:p w14:paraId="473F903B">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 </w:t>
            </w:r>
          </w:p>
        </w:tc>
      </w:tr>
      <w:tr w14:paraId="76EAF8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18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20EAA06E">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其他应收款</w:t>
            </w:r>
          </w:p>
        </w:tc>
        <w:tc>
          <w:tcPr>
            <w:tcW w:w="1578" w:type="pct"/>
            <w:tcBorders>
              <w:top w:val="nil"/>
              <w:left w:val="nil"/>
              <w:bottom w:val="single" w:color="auto" w:sz="8" w:space="0"/>
              <w:right w:val="single" w:color="auto" w:sz="8" w:space="0"/>
            </w:tcBorders>
            <w:shd w:val="clear" w:color="auto" w:fill="auto"/>
            <w:tcMar>
              <w:left w:w="108" w:type="dxa"/>
              <w:right w:w="108" w:type="dxa"/>
            </w:tcMar>
            <w:vAlign w:val="center"/>
          </w:tcPr>
          <w:p w14:paraId="70AD34A0">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4,818,657.28</w:t>
            </w:r>
          </w:p>
        </w:tc>
        <w:tc>
          <w:tcPr>
            <w:tcW w:w="1528" w:type="pct"/>
            <w:tcBorders>
              <w:top w:val="nil"/>
              <w:left w:val="nil"/>
              <w:bottom w:val="single" w:color="auto" w:sz="8" w:space="0"/>
              <w:right w:val="single" w:color="auto" w:sz="8" w:space="0"/>
            </w:tcBorders>
            <w:shd w:val="clear" w:color="auto" w:fill="auto"/>
            <w:tcMar>
              <w:left w:w="108" w:type="dxa"/>
              <w:right w:w="108" w:type="dxa"/>
            </w:tcMar>
            <w:vAlign w:val="center"/>
          </w:tcPr>
          <w:p w14:paraId="1F7F8DCC">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530,871.29</w:t>
            </w:r>
          </w:p>
        </w:tc>
      </w:tr>
      <w:tr w14:paraId="4BBF219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18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6E81C000">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合计</w:t>
            </w:r>
          </w:p>
        </w:tc>
        <w:tc>
          <w:tcPr>
            <w:tcW w:w="1578" w:type="pct"/>
            <w:tcBorders>
              <w:top w:val="nil"/>
              <w:left w:val="nil"/>
              <w:bottom w:val="single" w:color="auto" w:sz="8" w:space="0"/>
              <w:right w:val="single" w:color="auto" w:sz="8" w:space="0"/>
            </w:tcBorders>
            <w:shd w:val="clear" w:color="auto" w:fill="auto"/>
            <w:tcMar>
              <w:left w:w="108" w:type="dxa"/>
              <w:right w:w="108" w:type="dxa"/>
            </w:tcMar>
            <w:vAlign w:val="center"/>
          </w:tcPr>
          <w:p w14:paraId="1480EC65">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color w:val="000000"/>
                <w:sz w:val="18"/>
                <w:szCs w:val="18"/>
              </w:rPr>
              <w:t>81,370,153.95</w:t>
            </w:r>
          </w:p>
        </w:tc>
        <w:tc>
          <w:tcPr>
            <w:tcW w:w="1528" w:type="pct"/>
            <w:tcBorders>
              <w:top w:val="nil"/>
              <w:left w:val="nil"/>
              <w:bottom w:val="single" w:color="auto" w:sz="8" w:space="0"/>
              <w:right w:val="single" w:color="auto" w:sz="8" w:space="0"/>
            </w:tcBorders>
            <w:shd w:val="clear" w:color="auto" w:fill="auto"/>
            <w:tcMar>
              <w:left w:w="108" w:type="dxa"/>
              <w:right w:w="108" w:type="dxa"/>
            </w:tcMar>
            <w:vAlign w:val="center"/>
          </w:tcPr>
          <w:p w14:paraId="0F0F5858">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color w:val="000000"/>
                <w:sz w:val="18"/>
                <w:szCs w:val="18"/>
              </w:rPr>
              <w:t>6,653,961.78</w:t>
            </w:r>
          </w:p>
        </w:tc>
      </w:tr>
    </w:tbl>
    <w:p w14:paraId="00E039D7">
      <w:pPr>
        <w:pStyle w:val="2"/>
        <w:keepNext w:val="0"/>
        <w:keepLines w:val="0"/>
        <w:widowControl/>
        <w:suppressLineNumbers w:val="0"/>
        <w:spacing w:before="0" w:beforeAutospacing="0" w:after="0" w:afterAutospacing="0" w:line="360" w:lineRule="auto"/>
        <w:ind w:left="0" w:right="0" w:firstLine="392"/>
        <w:jc w:val="both"/>
        <w:rPr>
          <w:rFonts w:hint="default" w:ascii="Times New Roman" w:hAnsi="Times New Roman" w:cs="Times New Roman"/>
          <w:sz w:val="21"/>
          <w:szCs w:val="21"/>
        </w:rPr>
      </w:pPr>
      <w:r>
        <w:rPr>
          <w:rFonts w:hint="eastAsia" w:ascii="宋体" w:hAnsi="宋体" w:eastAsia="宋体" w:cs="宋体"/>
          <w:spacing w:val="-7"/>
          <w:sz w:val="21"/>
          <w:szCs w:val="21"/>
        </w:rPr>
        <w:t>本公司的主要客户为大型医药集团公司等，该等客户具有可靠及良好的信誉，因此，本</w:t>
      </w:r>
      <w:r>
        <w:rPr>
          <w:rFonts w:hint="eastAsia" w:ascii="宋体" w:hAnsi="宋体" w:eastAsia="宋体" w:cs="宋体"/>
          <w:spacing w:val="-10"/>
          <w:sz w:val="21"/>
          <w:szCs w:val="21"/>
        </w:rPr>
        <w:t>公司认为该等客户并无重大信用风险</w:t>
      </w:r>
      <w:r>
        <w:rPr>
          <w:rFonts w:hint="eastAsia" w:ascii="宋体" w:hAnsi="宋体" w:eastAsia="宋体" w:cs="宋体"/>
          <w:sz w:val="21"/>
          <w:szCs w:val="21"/>
        </w:rPr>
        <w:t>。由于本公司的客户广泛，因此没有重大的信用集中风险。</w:t>
      </w:r>
    </w:p>
    <w:p w14:paraId="164AC5D8">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color w:val="00B0F0"/>
          <w:sz w:val="21"/>
          <w:szCs w:val="21"/>
        </w:rPr>
        <w:t>由于本公司的应收账款风险点分布于多个合作方和多个客户，截至2024年12月31日，本公司不存在重大的信用集中风险。</w:t>
      </w:r>
    </w:p>
    <w:p w14:paraId="57DBDA11">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color w:val="00B0F0"/>
          <w:sz w:val="21"/>
          <w:szCs w:val="21"/>
        </w:rPr>
        <w:t>本公司所承受的最大信用风险敞口为资产负债表中每项金融资产的账面价值。</w:t>
      </w:r>
    </w:p>
    <w:p w14:paraId="19B33A2A">
      <w:pPr>
        <w:pStyle w:val="2"/>
        <w:keepNext w:val="0"/>
        <w:keepLines w:val="0"/>
        <w:widowControl/>
        <w:suppressLineNumbers w:val="0"/>
        <w:snapToGrid w:val="0"/>
        <w:spacing w:before="0" w:beforeAutospacing="1" w:after="0" w:afterAutospacing="1"/>
        <w:ind w:left="0" w:right="0"/>
        <w:jc w:val="both"/>
      </w:pPr>
      <w:r>
        <w:rPr>
          <w:rFonts w:hint="eastAsia" w:ascii="宋体" w:hAnsi="宋体" w:eastAsia="宋体" w:cs="宋体"/>
          <w:sz w:val="18"/>
          <w:szCs w:val="18"/>
        </w:rPr>
        <w:t>（二）流动性风险</w:t>
      </w:r>
    </w:p>
    <w:p w14:paraId="08624DAD">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流动性风险是指本公司在履行以交付现金或其他金融资产的方式结算的义务时发生资金短缺的风险。本公司下属成员企业各自负责其现金流量预测。公司下属</w:t>
      </w:r>
      <w:r>
        <w:rPr>
          <w:rFonts w:hint="eastAsia" w:ascii="宋体" w:hAnsi="宋体" w:eastAsia="宋体" w:cs="宋体"/>
          <w:color w:val="00B0F0"/>
          <w:sz w:val="21"/>
          <w:szCs w:val="21"/>
        </w:rPr>
        <w:t>财务部门</w:t>
      </w:r>
      <w:r>
        <w:rPr>
          <w:rFonts w:hint="eastAsia" w:ascii="宋体" w:hAnsi="宋体" w:eastAsia="宋体" w:cs="宋体"/>
          <w:sz w:val="21"/>
          <w:szCs w:val="21"/>
        </w:rPr>
        <w:t>基于各成员企业的现金流量预测结果，在公司层面持续监控公司短期和长期的资金需求，以确保维持充裕的现金储备；同时持续监控是否符合借款协议的规定，从主要金融机构获得提供足够备用资金的承诺，以满足短期和长期的资金需求。此外，本公司与主要业务往来银行订立融资额度授信协议，为本公司履行与商业票据相关的义务提供支持。截止2024年12月31日，本公司已拥有国内多家银行提供的银行授信额度，金额57,380.00万元，其中：已使用授信金额为46,116.31万元。</w:t>
      </w:r>
    </w:p>
    <w:p w14:paraId="6098DFB4">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截止2024年12月31日，本公司金融负债和表外担保项目以未折现的合同现金流量按合同剩余期限列示如下：</w:t>
      </w:r>
    </w:p>
    <w:tbl>
      <w:tblPr>
        <w:tblStyle w:val="3"/>
        <w:tblW w:w="49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497"/>
        <w:gridCol w:w="1831"/>
        <w:gridCol w:w="1831"/>
        <w:gridCol w:w="1498"/>
        <w:gridCol w:w="1999"/>
      </w:tblGrid>
      <w:tr w14:paraId="2A77715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blHeader/>
        </w:trPr>
        <w:tc>
          <w:tcPr>
            <w:tcW w:w="2127"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04FD9119">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Style w:val="6"/>
                <w:rFonts w:hint="eastAsia" w:ascii="宋体" w:hAnsi="宋体" w:eastAsia="宋体" w:cs="宋体"/>
                <w:sz w:val="16"/>
                <w:szCs w:val="16"/>
              </w:rPr>
              <w:t>项目</w:t>
            </w:r>
          </w:p>
        </w:tc>
        <w:tc>
          <w:tcPr>
            <w:tcW w:w="6095" w:type="dxa"/>
            <w:gridSpan w:val="4"/>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26A83989">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Style w:val="6"/>
                <w:rFonts w:hint="eastAsia" w:ascii="宋体" w:hAnsi="宋体" w:eastAsia="宋体" w:cs="宋体"/>
                <w:sz w:val="16"/>
                <w:szCs w:val="16"/>
              </w:rPr>
              <w:t>期末余额</w:t>
            </w:r>
          </w:p>
        </w:tc>
      </w:tr>
      <w:tr w14:paraId="025D44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blHeader/>
        </w:trPr>
        <w:tc>
          <w:tcPr>
            <w:tcW w:w="2127"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0E5CE40A">
            <w:pPr>
              <w:rPr>
                <w:rFonts w:hint="eastAsia" w:ascii="宋体"/>
                <w:sz w:val="24"/>
                <w:szCs w:val="24"/>
              </w:rPr>
            </w:pPr>
          </w:p>
        </w:tc>
        <w:tc>
          <w:tcPr>
            <w:tcW w:w="155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701E2F52">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Style w:val="6"/>
                <w:rFonts w:hint="eastAsia" w:ascii="宋体" w:hAnsi="宋体" w:eastAsia="宋体" w:cs="宋体"/>
                <w:sz w:val="16"/>
                <w:szCs w:val="16"/>
              </w:rPr>
              <w:t>即时偿还</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7B36166C">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Style w:val="6"/>
                <w:rFonts w:hint="eastAsia" w:ascii="宋体" w:hAnsi="宋体" w:eastAsia="宋体" w:cs="宋体"/>
                <w:color w:val="00B0F0"/>
                <w:sz w:val="16"/>
                <w:szCs w:val="16"/>
              </w:rPr>
              <w:t>1年以内</w:t>
            </w:r>
          </w:p>
        </w:tc>
        <w:tc>
          <w:tcPr>
            <w:tcW w:w="1276" w:type="dxa"/>
            <w:tcBorders>
              <w:top w:val="nil"/>
              <w:left w:val="nil"/>
              <w:bottom w:val="single" w:color="auto" w:sz="8" w:space="0"/>
              <w:right w:val="single" w:color="auto" w:sz="8" w:space="0"/>
            </w:tcBorders>
            <w:shd w:val="clear" w:color="auto" w:fill="auto"/>
            <w:tcMar>
              <w:left w:w="108" w:type="dxa"/>
              <w:right w:w="108" w:type="dxa"/>
            </w:tcMar>
            <w:vAlign w:val="center"/>
          </w:tcPr>
          <w:p w14:paraId="2EABEC6E">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Style w:val="6"/>
                <w:rFonts w:hint="eastAsia" w:ascii="宋体" w:hAnsi="宋体" w:eastAsia="宋体" w:cs="宋体"/>
                <w:color w:val="00B0F0"/>
                <w:sz w:val="16"/>
                <w:szCs w:val="16"/>
              </w:rPr>
              <w:t>1年以上</w:t>
            </w:r>
          </w:p>
        </w:tc>
        <w:tc>
          <w:tcPr>
            <w:tcW w:w="1702" w:type="dxa"/>
            <w:tcBorders>
              <w:top w:val="nil"/>
              <w:left w:val="nil"/>
              <w:bottom w:val="single" w:color="auto" w:sz="8" w:space="0"/>
              <w:right w:val="single" w:color="auto" w:sz="8" w:space="0"/>
            </w:tcBorders>
            <w:shd w:val="clear" w:color="auto" w:fill="auto"/>
            <w:tcMar>
              <w:left w:w="108" w:type="dxa"/>
              <w:right w:w="108" w:type="dxa"/>
            </w:tcMar>
            <w:vAlign w:val="center"/>
          </w:tcPr>
          <w:p w14:paraId="0277331A">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Style w:val="6"/>
                <w:rFonts w:hint="eastAsia" w:ascii="宋体" w:hAnsi="宋体" w:eastAsia="宋体" w:cs="宋体"/>
                <w:sz w:val="16"/>
                <w:szCs w:val="16"/>
              </w:rPr>
              <w:t>合计</w:t>
            </w:r>
          </w:p>
        </w:tc>
      </w:tr>
      <w:tr w14:paraId="0A5FD76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2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0437A32D">
            <w:pPr>
              <w:pStyle w:val="2"/>
              <w:keepNext w:val="0"/>
              <w:keepLines w:val="0"/>
              <w:widowControl/>
              <w:suppressLineNumbers w:val="0"/>
              <w:spacing w:before="0" w:beforeAutospacing="0" w:after="0" w:afterAutospacing="0"/>
              <w:ind w:left="-63" w:right="-63"/>
              <w:rPr>
                <w:rFonts w:hint="default" w:ascii="Times New Roman" w:hAnsi="Times New Roman" w:cs="Times New Roman"/>
                <w:sz w:val="21"/>
                <w:szCs w:val="21"/>
              </w:rPr>
            </w:pPr>
            <w:r>
              <w:rPr>
                <w:rFonts w:hint="eastAsia" w:ascii="宋体" w:hAnsi="宋体" w:eastAsia="宋体" w:cs="宋体"/>
                <w:sz w:val="16"/>
                <w:szCs w:val="16"/>
              </w:rPr>
              <w:t>非衍生金融负债</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1D2E87E5">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3F8BEB2C">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276" w:type="dxa"/>
            <w:tcBorders>
              <w:top w:val="nil"/>
              <w:left w:val="nil"/>
              <w:bottom w:val="single" w:color="auto" w:sz="8" w:space="0"/>
              <w:right w:val="single" w:color="auto" w:sz="8" w:space="0"/>
            </w:tcBorders>
            <w:shd w:val="clear" w:color="auto" w:fill="auto"/>
            <w:tcMar>
              <w:left w:w="108" w:type="dxa"/>
              <w:right w:w="108" w:type="dxa"/>
            </w:tcMar>
            <w:vAlign w:val="center"/>
          </w:tcPr>
          <w:p w14:paraId="10C317E1">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702" w:type="dxa"/>
            <w:tcBorders>
              <w:top w:val="nil"/>
              <w:left w:val="nil"/>
              <w:bottom w:val="single" w:color="auto" w:sz="8" w:space="0"/>
              <w:right w:val="single" w:color="auto" w:sz="8" w:space="0"/>
            </w:tcBorders>
            <w:shd w:val="clear" w:color="auto" w:fill="auto"/>
            <w:tcMar>
              <w:left w:w="108" w:type="dxa"/>
              <w:right w:w="108" w:type="dxa"/>
            </w:tcMar>
            <w:vAlign w:val="center"/>
          </w:tcPr>
          <w:p w14:paraId="66E2D694">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r>
      <w:tr w14:paraId="12F8BF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2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138D4009">
            <w:pPr>
              <w:pStyle w:val="2"/>
              <w:keepNext w:val="0"/>
              <w:keepLines w:val="0"/>
              <w:widowControl/>
              <w:suppressLineNumbers w:val="0"/>
              <w:spacing w:before="0" w:beforeAutospacing="0" w:after="0" w:afterAutospacing="0"/>
              <w:ind w:left="-63" w:right="-63" w:firstLine="160"/>
              <w:rPr>
                <w:rFonts w:hint="default" w:ascii="Times New Roman" w:hAnsi="Times New Roman" w:cs="Times New Roman"/>
                <w:sz w:val="21"/>
                <w:szCs w:val="21"/>
              </w:rPr>
            </w:pPr>
            <w:r>
              <w:rPr>
                <w:rFonts w:hint="eastAsia" w:ascii="宋体" w:hAnsi="宋体" w:eastAsia="宋体" w:cs="宋体"/>
                <w:sz w:val="16"/>
                <w:szCs w:val="16"/>
              </w:rPr>
              <w:t>短期借款</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671132C5">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5A99D81B">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186,418,960.94</w:t>
            </w:r>
          </w:p>
        </w:tc>
        <w:tc>
          <w:tcPr>
            <w:tcW w:w="1276" w:type="dxa"/>
            <w:tcBorders>
              <w:top w:val="nil"/>
              <w:left w:val="nil"/>
              <w:bottom w:val="single" w:color="auto" w:sz="8" w:space="0"/>
              <w:right w:val="single" w:color="auto" w:sz="8" w:space="0"/>
            </w:tcBorders>
            <w:shd w:val="clear" w:color="auto" w:fill="auto"/>
            <w:tcMar>
              <w:left w:w="108" w:type="dxa"/>
              <w:right w:w="108" w:type="dxa"/>
            </w:tcMar>
            <w:vAlign w:val="center"/>
          </w:tcPr>
          <w:p w14:paraId="0335E78D">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702" w:type="dxa"/>
            <w:tcBorders>
              <w:top w:val="nil"/>
              <w:left w:val="nil"/>
              <w:bottom w:val="single" w:color="auto" w:sz="8" w:space="0"/>
              <w:right w:val="single" w:color="auto" w:sz="8" w:space="0"/>
            </w:tcBorders>
            <w:shd w:val="clear" w:color="auto" w:fill="auto"/>
            <w:tcMar>
              <w:left w:w="108" w:type="dxa"/>
              <w:right w:w="108" w:type="dxa"/>
            </w:tcMar>
            <w:vAlign w:val="center"/>
          </w:tcPr>
          <w:p w14:paraId="70E18569">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186,418,960.94</w:t>
            </w:r>
          </w:p>
        </w:tc>
      </w:tr>
      <w:tr w14:paraId="77E6469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2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6F6A3488">
            <w:pPr>
              <w:pStyle w:val="2"/>
              <w:keepNext w:val="0"/>
              <w:keepLines w:val="0"/>
              <w:widowControl/>
              <w:suppressLineNumbers w:val="0"/>
              <w:spacing w:before="0" w:beforeAutospacing="0" w:after="0" w:afterAutospacing="0"/>
              <w:ind w:left="-63" w:right="-63" w:firstLine="160"/>
              <w:rPr>
                <w:rFonts w:hint="default" w:ascii="Times New Roman" w:hAnsi="Times New Roman" w:cs="Times New Roman"/>
                <w:sz w:val="21"/>
                <w:szCs w:val="21"/>
              </w:rPr>
            </w:pPr>
            <w:r>
              <w:rPr>
                <w:rFonts w:hint="eastAsia" w:ascii="宋体" w:hAnsi="宋体" w:eastAsia="宋体" w:cs="宋体"/>
                <w:sz w:val="16"/>
                <w:szCs w:val="16"/>
              </w:rPr>
              <w:t>应付账款</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1B390D4B">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4D8679CB">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color w:val="000000"/>
                <w:sz w:val="18"/>
                <w:szCs w:val="18"/>
              </w:rPr>
              <w:t>212,871,076.22</w:t>
            </w:r>
          </w:p>
        </w:tc>
        <w:tc>
          <w:tcPr>
            <w:tcW w:w="1276" w:type="dxa"/>
            <w:tcBorders>
              <w:top w:val="nil"/>
              <w:left w:val="nil"/>
              <w:bottom w:val="single" w:color="auto" w:sz="8" w:space="0"/>
              <w:right w:val="single" w:color="auto" w:sz="8" w:space="0"/>
            </w:tcBorders>
            <w:shd w:val="clear" w:color="auto" w:fill="auto"/>
            <w:tcMar>
              <w:left w:w="108" w:type="dxa"/>
              <w:right w:w="108" w:type="dxa"/>
            </w:tcMar>
            <w:vAlign w:val="center"/>
          </w:tcPr>
          <w:p w14:paraId="4E5DDD17">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702" w:type="dxa"/>
            <w:tcBorders>
              <w:top w:val="nil"/>
              <w:left w:val="nil"/>
              <w:bottom w:val="single" w:color="auto" w:sz="8" w:space="0"/>
              <w:right w:val="single" w:color="auto" w:sz="8" w:space="0"/>
            </w:tcBorders>
            <w:shd w:val="clear" w:color="auto" w:fill="auto"/>
            <w:tcMar>
              <w:left w:w="108" w:type="dxa"/>
              <w:right w:w="108" w:type="dxa"/>
            </w:tcMar>
            <w:vAlign w:val="center"/>
          </w:tcPr>
          <w:p w14:paraId="32582342">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color w:val="000000"/>
                <w:sz w:val="18"/>
                <w:szCs w:val="18"/>
              </w:rPr>
              <w:t>212,871,076.22</w:t>
            </w:r>
          </w:p>
        </w:tc>
      </w:tr>
      <w:tr w14:paraId="4A7A12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2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651F0A37">
            <w:pPr>
              <w:pStyle w:val="2"/>
              <w:keepNext w:val="0"/>
              <w:keepLines w:val="0"/>
              <w:widowControl/>
              <w:suppressLineNumbers w:val="0"/>
              <w:spacing w:before="0" w:beforeAutospacing="0" w:after="0" w:afterAutospacing="0"/>
              <w:ind w:left="-63" w:right="-63" w:firstLine="160"/>
              <w:rPr>
                <w:rFonts w:hint="default" w:ascii="Times New Roman" w:hAnsi="Times New Roman" w:cs="Times New Roman"/>
                <w:sz w:val="21"/>
                <w:szCs w:val="21"/>
              </w:rPr>
            </w:pPr>
            <w:r>
              <w:rPr>
                <w:rFonts w:hint="eastAsia" w:ascii="宋体" w:hAnsi="宋体" w:eastAsia="宋体" w:cs="宋体"/>
                <w:sz w:val="16"/>
                <w:szCs w:val="16"/>
              </w:rPr>
              <w:t>其他应付款</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783F6B53">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68530849">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36,520,008.56</w:t>
            </w:r>
          </w:p>
        </w:tc>
        <w:tc>
          <w:tcPr>
            <w:tcW w:w="1276" w:type="dxa"/>
            <w:tcBorders>
              <w:top w:val="nil"/>
              <w:left w:val="nil"/>
              <w:bottom w:val="single" w:color="auto" w:sz="8" w:space="0"/>
              <w:right w:val="single" w:color="auto" w:sz="8" w:space="0"/>
            </w:tcBorders>
            <w:shd w:val="clear" w:color="auto" w:fill="auto"/>
            <w:tcMar>
              <w:left w:w="108" w:type="dxa"/>
              <w:right w:w="108" w:type="dxa"/>
            </w:tcMar>
            <w:vAlign w:val="center"/>
          </w:tcPr>
          <w:p w14:paraId="653E4674">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702" w:type="dxa"/>
            <w:tcBorders>
              <w:top w:val="nil"/>
              <w:left w:val="nil"/>
              <w:bottom w:val="single" w:color="auto" w:sz="8" w:space="0"/>
              <w:right w:val="single" w:color="auto" w:sz="8" w:space="0"/>
            </w:tcBorders>
            <w:shd w:val="clear" w:color="auto" w:fill="auto"/>
            <w:tcMar>
              <w:left w:w="108" w:type="dxa"/>
              <w:right w:w="108" w:type="dxa"/>
            </w:tcMar>
            <w:vAlign w:val="center"/>
          </w:tcPr>
          <w:p w14:paraId="023A32D9">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36,520,008.56</w:t>
            </w:r>
          </w:p>
        </w:tc>
      </w:tr>
      <w:tr w14:paraId="011253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2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20E5B5D8">
            <w:pPr>
              <w:pStyle w:val="2"/>
              <w:keepNext w:val="0"/>
              <w:keepLines w:val="0"/>
              <w:widowControl/>
              <w:suppressLineNumbers w:val="0"/>
              <w:spacing w:before="0" w:beforeAutospacing="0" w:after="0" w:afterAutospacing="0"/>
              <w:ind w:left="-63" w:right="-63" w:firstLine="160"/>
              <w:rPr>
                <w:rFonts w:hint="default" w:ascii="Times New Roman" w:hAnsi="Times New Roman" w:cs="Times New Roman"/>
                <w:sz w:val="21"/>
                <w:szCs w:val="21"/>
              </w:rPr>
            </w:pPr>
            <w:r>
              <w:rPr>
                <w:rFonts w:hint="eastAsia" w:ascii="宋体" w:hAnsi="宋体" w:eastAsia="宋体" w:cs="宋体"/>
                <w:sz w:val="16"/>
                <w:szCs w:val="16"/>
              </w:rPr>
              <w:t>其他流动负债</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57130F10">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77C6A167">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326,543.03</w:t>
            </w:r>
          </w:p>
        </w:tc>
        <w:tc>
          <w:tcPr>
            <w:tcW w:w="1276" w:type="dxa"/>
            <w:tcBorders>
              <w:top w:val="nil"/>
              <w:left w:val="nil"/>
              <w:bottom w:val="single" w:color="auto" w:sz="8" w:space="0"/>
              <w:right w:val="single" w:color="auto" w:sz="8" w:space="0"/>
            </w:tcBorders>
            <w:shd w:val="clear" w:color="auto" w:fill="auto"/>
            <w:tcMar>
              <w:left w:w="108" w:type="dxa"/>
              <w:right w:w="108" w:type="dxa"/>
            </w:tcMar>
            <w:vAlign w:val="center"/>
          </w:tcPr>
          <w:p w14:paraId="7AFE4BA9">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702" w:type="dxa"/>
            <w:tcBorders>
              <w:top w:val="nil"/>
              <w:left w:val="nil"/>
              <w:bottom w:val="single" w:color="auto" w:sz="8" w:space="0"/>
              <w:right w:val="single" w:color="auto" w:sz="8" w:space="0"/>
            </w:tcBorders>
            <w:shd w:val="clear" w:color="auto" w:fill="auto"/>
            <w:tcMar>
              <w:left w:w="108" w:type="dxa"/>
              <w:right w:w="108" w:type="dxa"/>
            </w:tcMar>
            <w:vAlign w:val="center"/>
          </w:tcPr>
          <w:p w14:paraId="0693D5F6">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326,543.03</w:t>
            </w:r>
          </w:p>
        </w:tc>
      </w:tr>
      <w:tr w14:paraId="015698B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2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09F8A486">
            <w:pPr>
              <w:pStyle w:val="2"/>
              <w:keepNext w:val="0"/>
              <w:keepLines w:val="0"/>
              <w:widowControl/>
              <w:suppressLineNumbers w:val="0"/>
              <w:spacing w:before="0" w:beforeAutospacing="0" w:after="0" w:afterAutospacing="0"/>
              <w:ind w:left="-63" w:right="-63" w:firstLine="160"/>
              <w:rPr>
                <w:rFonts w:hint="default" w:ascii="Times New Roman" w:hAnsi="Times New Roman" w:cs="Times New Roman"/>
                <w:sz w:val="21"/>
                <w:szCs w:val="21"/>
              </w:rPr>
            </w:pPr>
            <w:r>
              <w:rPr>
                <w:rFonts w:hint="eastAsia" w:ascii="宋体" w:hAnsi="宋体" w:eastAsia="宋体" w:cs="宋体"/>
                <w:sz w:val="16"/>
                <w:szCs w:val="16"/>
              </w:rPr>
              <w:t>一年内到期的非流动负债</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6A3E4073">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7CD3F702">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118,217,355.78</w:t>
            </w:r>
          </w:p>
        </w:tc>
        <w:tc>
          <w:tcPr>
            <w:tcW w:w="1276" w:type="dxa"/>
            <w:tcBorders>
              <w:top w:val="nil"/>
              <w:left w:val="nil"/>
              <w:bottom w:val="single" w:color="auto" w:sz="8" w:space="0"/>
              <w:right w:val="single" w:color="auto" w:sz="8" w:space="0"/>
            </w:tcBorders>
            <w:shd w:val="clear" w:color="auto" w:fill="auto"/>
            <w:tcMar>
              <w:left w:w="108" w:type="dxa"/>
              <w:right w:w="108" w:type="dxa"/>
            </w:tcMar>
            <w:vAlign w:val="center"/>
          </w:tcPr>
          <w:p w14:paraId="3F2361AF">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702" w:type="dxa"/>
            <w:tcBorders>
              <w:top w:val="nil"/>
              <w:left w:val="nil"/>
              <w:bottom w:val="single" w:color="auto" w:sz="8" w:space="0"/>
              <w:right w:val="single" w:color="auto" w:sz="8" w:space="0"/>
            </w:tcBorders>
            <w:shd w:val="clear" w:color="auto" w:fill="auto"/>
            <w:tcMar>
              <w:left w:w="108" w:type="dxa"/>
              <w:right w:w="108" w:type="dxa"/>
            </w:tcMar>
            <w:vAlign w:val="center"/>
          </w:tcPr>
          <w:p w14:paraId="08A4CE91">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118,217,355.78</w:t>
            </w:r>
          </w:p>
        </w:tc>
      </w:tr>
      <w:tr w14:paraId="5D2618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2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5BF38749">
            <w:pPr>
              <w:pStyle w:val="2"/>
              <w:keepNext w:val="0"/>
              <w:keepLines w:val="0"/>
              <w:widowControl/>
              <w:suppressLineNumbers w:val="0"/>
              <w:spacing w:before="0" w:beforeAutospacing="0" w:after="0" w:afterAutospacing="0"/>
              <w:ind w:left="-63" w:right="-63" w:firstLine="160"/>
              <w:rPr>
                <w:rFonts w:hint="default" w:ascii="Times New Roman" w:hAnsi="Times New Roman" w:cs="Times New Roman"/>
                <w:sz w:val="21"/>
                <w:szCs w:val="21"/>
              </w:rPr>
            </w:pPr>
            <w:r>
              <w:rPr>
                <w:rFonts w:hint="eastAsia" w:ascii="宋体" w:hAnsi="宋体" w:eastAsia="宋体" w:cs="宋体"/>
                <w:sz w:val="16"/>
                <w:szCs w:val="16"/>
              </w:rPr>
              <w:t>长期借款</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27CFB494">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05228761">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9,529,691.47</w:t>
            </w:r>
          </w:p>
        </w:tc>
        <w:tc>
          <w:tcPr>
            <w:tcW w:w="1276" w:type="dxa"/>
            <w:tcBorders>
              <w:top w:val="nil"/>
              <w:left w:val="nil"/>
              <w:bottom w:val="single" w:color="auto" w:sz="8" w:space="0"/>
              <w:right w:val="single" w:color="auto" w:sz="8" w:space="0"/>
            </w:tcBorders>
            <w:shd w:val="clear" w:color="auto" w:fill="auto"/>
            <w:tcMar>
              <w:left w:w="108" w:type="dxa"/>
              <w:right w:w="108" w:type="dxa"/>
            </w:tcMar>
            <w:vAlign w:val="center"/>
          </w:tcPr>
          <w:p w14:paraId="47ACE9D2">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158,290,490.87</w:t>
            </w:r>
          </w:p>
        </w:tc>
        <w:tc>
          <w:tcPr>
            <w:tcW w:w="1702" w:type="dxa"/>
            <w:tcBorders>
              <w:top w:val="nil"/>
              <w:left w:val="nil"/>
              <w:bottom w:val="single" w:color="auto" w:sz="8" w:space="0"/>
              <w:right w:val="single" w:color="auto" w:sz="8" w:space="0"/>
            </w:tcBorders>
            <w:shd w:val="clear" w:color="auto" w:fill="auto"/>
            <w:tcMar>
              <w:left w:w="108" w:type="dxa"/>
              <w:right w:w="108" w:type="dxa"/>
            </w:tcMar>
            <w:vAlign w:val="center"/>
          </w:tcPr>
          <w:p w14:paraId="467ED93A">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167,820,182.34</w:t>
            </w:r>
          </w:p>
        </w:tc>
      </w:tr>
      <w:tr w14:paraId="7B3E62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2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1E88BF50">
            <w:pPr>
              <w:pStyle w:val="2"/>
              <w:keepNext w:val="0"/>
              <w:keepLines w:val="0"/>
              <w:widowControl/>
              <w:suppressLineNumbers w:val="0"/>
              <w:spacing w:before="0" w:beforeAutospacing="0" w:after="0" w:afterAutospacing="0"/>
              <w:ind w:left="-63" w:right="-63" w:firstLine="160"/>
              <w:rPr>
                <w:rFonts w:hint="default" w:ascii="Times New Roman" w:hAnsi="Times New Roman" w:cs="Times New Roman"/>
                <w:sz w:val="21"/>
                <w:szCs w:val="21"/>
              </w:rPr>
            </w:pPr>
            <w:r>
              <w:rPr>
                <w:rFonts w:hint="eastAsia" w:ascii="宋体" w:hAnsi="宋体" w:eastAsia="宋体" w:cs="宋体"/>
                <w:sz w:val="16"/>
                <w:szCs w:val="16"/>
              </w:rPr>
              <w:t>其他非流动负债</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15714C21">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1AA6EEE4">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276" w:type="dxa"/>
            <w:tcBorders>
              <w:top w:val="nil"/>
              <w:left w:val="nil"/>
              <w:bottom w:val="single" w:color="auto" w:sz="8" w:space="0"/>
              <w:right w:val="single" w:color="auto" w:sz="8" w:space="0"/>
            </w:tcBorders>
            <w:shd w:val="clear" w:color="auto" w:fill="auto"/>
            <w:tcMar>
              <w:left w:w="108" w:type="dxa"/>
              <w:right w:w="108" w:type="dxa"/>
            </w:tcMar>
            <w:vAlign w:val="center"/>
          </w:tcPr>
          <w:p w14:paraId="5C5DEB70">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255,200,000.00</w:t>
            </w:r>
          </w:p>
        </w:tc>
        <w:tc>
          <w:tcPr>
            <w:tcW w:w="1702" w:type="dxa"/>
            <w:tcBorders>
              <w:top w:val="nil"/>
              <w:left w:val="nil"/>
              <w:bottom w:val="single" w:color="auto" w:sz="8" w:space="0"/>
              <w:right w:val="single" w:color="auto" w:sz="8" w:space="0"/>
            </w:tcBorders>
            <w:shd w:val="clear" w:color="auto" w:fill="auto"/>
            <w:tcMar>
              <w:left w:w="108" w:type="dxa"/>
              <w:right w:w="108" w:type="dxa"/>
            </w:tcMar>
            <w:vAlign w:val="center"/>
          </w:tcPr>
          <w:p w14:paraId="6536CAC7">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255,200,000.00</w:t>
            </w:r>
          </w:p>
        </w:tc>
      </w:tr>
      <w:tr w14:paraId="3D8478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2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795621A2">
            <w:pPr>
              <w:pStyle w:val="2"/>
              <w:keepNext w:val="0"/>
              <w:keepLines w:val="0"/>
              <w:widowControl/>
              <w:suppressLineNumbers w:val="0"/>
              <w:spacing w:before="0" w:beforeAutospacing="0" w:after="0" w:afterAutospacing="0"/>
              <w:ind w:left="-63" w:right="-63"/>
              <w:jc w:val="center"/>
              <w:rPr>
                <w:rFonts w:hint="default" w:ascii="Times New Roman" w:hAnsi="Times New Roman" w:cs="Times New Roman"/>
                <w:sz w:val="21"/>
                <w:szCs w:val="21"/>
              </w:rPr>
            </w:pPr>
            <w:r>
              <w:rPr>
                <w:rFonts w:hint="eastAsia" w:ascii="宋体" w:hAnsi="宋体" w:eastAsia="宋体" w:cs="宋体"/>
                <w:sz w:val="16"/>
                <w:szCs w:val="16"/>
              </w:rPr>
              <w:t>合计</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4E146170">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 </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14:paraId="12CD964A">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563,883,636.00</w:t>
            </w:r>
          </w:p>
        </w:tc>
        <w:tc>
          <w:tcPr>
            <w:tcW w:w="1276" w:type="dxa"/>
            <w:tcBorders>
              <w:top w:val="nil"/>
              <w:left w:val="nil"/>
              <w:bottom w:val="single" w:color="auto" w:sz="8" w:space="0"/>
              <w:right w:val="single" w:color="auto" w:sz="8" w:space="0"/>
            </w:tcBorders>
            <w:shd w:val="clear" w:color="auto" w:fill="auto"/>
            <w:tcMar>
              <w:left w:w="108" w:type="dxa"/>
              <w:right w:w="108" w:type="dxa"/>
            </w:tcMar>
            <w:vAlign w:val="center"/>
          </w:tcPr>
          <w:p w14:paraId="7AB2B7FF">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color w:val="000000"/>
                <w:sz w:val="18"/>
                <w:szCs w:val="18"/>
              </w:rPr>
              <w:t>413,490,490.87</w:t>
            </w:r>
          </w:p>
        </w:tc>
        <w:tc>
          <w:tcPr>
            <w:tcW w:w="1702" w:type="dxa"/>
            <w:tcBorders>
              <w:top w:val="nil"/>
              <w:left w:val="nil"/>
              <w:bottom w:val="single" w:color="auto" w:sz="8" w:space="0"/>
              <w:right w:val="single" w:color="auto" w:sz="8" w:space="0"/>
            </w:tcBorders>
            <w:shd w:val="clear" w:color="auto" w:fill="auto"/>
            <w:tcMar>
              <w:left w:w="108" w:type="dxa"/>
              <w:right w:w="108" w:type="dxa"/>
            </w:tcMar>
            <w:vAlign w:val="center"/>
          </w:tcPr>
          <w:p w14:paraId="72806CB4">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default" w:ascii="Arial Narrow" w:hAnsi="Arial Narrow" w:eastAsia="Arial Narrow" w:cs="Arial Narrow"/>
                <w:sz w:val="18"/>
                <w:szCs w:val="18"/>
              </w:rPr>
              <w:t>977,374,126.87</w:t>
            </w:r>
          </w:p>
        </w:tc>
      </w:tr>
    </w:tbl>
    <w:p w14:paraId="36A128F6">
      <w:pPr>
        <w:pStyle w:val="2"/>
        <w:keepNext w:val="0"/>
        <w:keepLines w:val="0"/>
        <w:widowControl/>
        <w:suppressLineNumbers w:val="0"/>
        <w:spacing w:before="0" w:beforeAutospacing="0" w:after="0" w:afterAutospacing="0" w:line="120" w:lineRule="auto"/>
        <w:ind w:left="0" w:right="0" w:firstLine="420"/>
        <w:jc w:val="both"/>
        <w:rPr>
          <w:rFonts w:hint="default" w:ascii="Times New Roman" w:hAnsi="Times New Roman" w:cs="Times New Roman"/>
          <w:sz w:val="21"/>
          <w:szCs w:val="21"/>
        </w:rPr>
      </w:pPr>
      <w:r>
        <w:rPr>
          <w:rFonts w:hint="eastAsia" w:ascii="宋体" w:hAnsi="宋体" w:eastAsia="宋体" w:cs="宋体"/>
          <w:color w:val="FF0000"/>
          <w:sz w:val="21"/>
          <w:szCs w:val="21"/>
        </w:rPr>
        <w:t> </w:t>
      </w:r>
    </w:p>
    <w:p w14:paraId="1854E386">
      <w:pPr>
        <w:pStyle w:val="2"/>
        <w:keepNext w:val="0"/>
        <w:keepLines w:val="0"/>
        <w:widowControl/>
        <w:suppressLineNumbers w:val="0"/>
        <w:snapToGrid w:val="0"/>
        <w:spacing w:before="156" w:beforeAutospacing="0" w:after="0" w:afterAutospacing="0"/>
        <w:ind w:left="405" w:right="0" w:firstLine="0"/>
        <w:jc w:val="both"/>
      </w:pPr>
      <w:r>
        <w:rPr>
          <w:rFonts w:hint="eastAsia" w:ascii="宋体" w:hAnsi="宋体" w:eastAsia="宋体" w:cs="宋体"/>
          <w:sz w:val="18"/>
          <w:szCs w:val="18"/>
        </w:rPr>
        <w:t>（三）市场风险</w:t>
      </w:r>
    </w:p>
    <w:p w14:paraId="6944593A">
      <w:pPr>
        <w:pStyle w:val="2"/>
        <w:keepNext w:val="0"/>
        <w:keepLines w:val="0"/>
        <w:widowControl/>
        <w:suppressLineNumbers w:val="0"/>
        <w:spacing w:before="0" w:beforeAutospacing="0" w:after="0" w:afterAutospacing="0" w:line="360" w:lineRule="auto"/>
        <w:ind w:left="420" w:right="0" w:firstLine="0"/>
        <w:jc w:val="both"/>
        <w:rPr>
          <w:rFonts w:hint="eastAsia" w:ascii="宋体" w:hAnsi="宋体" w:eastAsia="宋体" w:cs="宋体"/>
          <w:b/>
          <w:bCs/>
          <w:sz w:val="21"/>
          <w:szCs w:val="21"/>
        </w:rPr>
      </w:pPr>
      <w:r>
        <w:rPr>
          <w:rFonts w:hint="eastAsia" w:ascii="宋体" w:hAnsi="宋体" w:eastAsia="宋体" w:cs="宋体"/>
          <w:b/>
          <w:bCs/>
          <w:sz w:val="21"/>
          <w:szCs w:val="21"/>
        </w:rPr>
        <w:t>1、汇率风险</w:t>
      </w:r>
    </w:p>
    <w:p w14:paraId="2A7D734D">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本公司的主要经营位于中国境内，主要业务以人民币结算。</w:t>
      </w:r>
    </w:p>
    <w:p w14:paraId="5EBB0D1B">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color w:val="FF0000"/>
          <w:sz w:val="21"/>
          <w:szCs w:val="21"/>
        </w:rPr>
        <w:t>截止2024年12月31日，</w:t>
      </w:r>
      <w:r>
        <w:rPr>
          <w:rFonts w:hint="eastAsia" w:ascii="宋体" w:hAnsi="宋体" w:eastAsia="宋体" w:cs="宋体"/>
          <w:sz w:val="21"/>
          <w:szCs w:val="21"/>
        </w:rPr>
        <w:t>本公司持有的外币金融资产和外币金融负债折算成人民币的金额列示如下：</w:t>
      </w:r>
    </w:p>
    <w:tbl>
      <w:tblPr>
        <w:tblStyle w:val="3"/>
        <w:tblW w:w="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404"/>
        <w:gridCol w:w="2694"/>
        <w:gridCol w:w="2432"/>
      </w:tblGrid>
      <w:tr w14:paraId="214016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blHeader/>
          <w:jc w:val="center"/>
        </w:trPr>
        <w:tc>
          <w:tcPr>
            <w:tcW w:w="3404"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16809A46">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项目</w:t>
            </w:r>
          </w:p>
        </w:tc>
        <w:tc>
          <w:tcPr>
            <w:tcW w:w="5126" w:type="dxa"/>
            <w:gridSpan w:val="2"/>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105150B">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期末余额</w:t>
            </w:r>
          </w:p>
        </w:tc>
      </w:tr>
      <w:tr w14:paraId="64AAE5F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blHeader/>
          <w:jc w:val="center"/>
        </w:trPr>
        <w:tc>
          <w:tcPr>
            <w:tcW w:w="3404"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4B7A19F2">
            <w:pPr>
              <w:rPr>
                <w:rFonts w:hint="eastAsia" w:ascii="宋体"/>
                <w:sz w:val="24"/>
                <w:szCs w:val="24"/>
              </w:rPr>
            </w:pPr>
          </w:p>
        </w:tc>
        <w:tc>
          <w:tcPr>
            <w:tcW w:w="269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3AD71CA2">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美元项目</w:t>
            </w:r>
          </w:p>
        </w:tc>
        <w:tc>
          <w:tcPr>
            <w:tcW w:w="2432" w:type="dxa"/>
            <w:tcBorders>
              <w:top w:val="nil"/>
              <w:left w:val="nil"/>
              <w:bottom w:val="single" w:color="auto" w:sz="8" w:space="0"/>
              <w:right w:val="single" w:color="auto" w:sz="8" w:space="0"/>
            </w:tcBorders>
            <w:shd w:val="clear" w:color="auto" w:fill="auto"/>
            <w:tcMar>
              <w:left w:w="108" w:type="dxa"/>
              <w:right w:w="108" w:type="dxa"/>
            </w:tcMar>
            <w:vAlign w:val="center"/>
          </w:tcPr>
          <w:p w14:paraId="13542C62">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18"/>
                <w:szCs w:val="18"/>
              </w:rPr>
              <w:t>合计</w:t>
            </w:r>
          </w:p>
        </w:tc>
      </w:tr>
      <w:tr w14:paraId="058CB2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jc w:val="center"/>
        </w:trPr>
        <w:tc>
          <w:tcPr>
            <w:tcW w:w="34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0488D070">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外币金融资产</w:t>
            </w:r>
          </w:p>
        </w:tc>
        <w:tc>
          <w:tcPr>
            <w:tcW w:w="2694" w:type="dxa"/>
            <w:tcBorders>
              <w:top w:val="nil"/>
              <w:left w:val="nil"/>
              <w:bottom w:val="single" w:color="auto" w:sz="8" w:space="0"/>
              <w:right w:val="single" w:color="auto" w:sz="8" w:space="0"/>
            </w:tcBorders>
            <w:shd w:val="clear" w:color="auto" w:fill="auto"/>
            <w:tcMar>
              <w:left w:w="108" w:type="dxa"/>
              <w:right w:w="108" w:type="dxa"/>
            </w:tcMar>
            <w:vAlign w:val="center"/>
          </w:tcPr>
          <w:p w14:paraId="574C5752">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33,831.01</w:t>
            </w:r>
          </w:p>
        </w:tc>
        <w:tc>
          <w:tcPr>
            <w:tcW w:w="2432" w:type="dxa"/>
            <w:tcBorders>
              <w:top w:val="nil"/>
              <w:left w:val="nil"/>
              <w:bottom w:val="single" w:color="auto" w:sz="8" w:space="0"/>
              <w:right w:val="single" w:color="auto" w:sz="8" w:space="0"/>
            </w:tcBorders>
            <w:shd w:val="clear" w:color="auto" w:fill="auto"/>
            <w:tcMar>
              <w:left w:w="108" w:type="dxa"/>
              <w:right w:w="108" w:type="dxa"/>
            </w:tcMar>
            <w:vAlign w:val="center"/>
          </w:tcPr>
          <w:p w14:paraId="4AED74BB">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33,831.01</w:t>
            </w:r>
          </w:p>
        </w:tc>
      </w:tr>
      <w:tr w14:paraId="53222DE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jc w:val="center"/>
        </w:trPr>
        <w:tc>
          <w:tcPr>
            <w:tcW w:w="34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656F5DDE">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货币资金</w:t>
            </w:r>
          </w:p>
        </w:tc>
        <w:tc>
          <w:tcPr>
            <w:tcW w:w="2694" w:type="dxa"/>
            <w:tcBorders>
              <w:top w:val="nil"/>
              <w:left w:val="nil"/>
              <w:bottom w:val="single" w:color="auto" w:sz="8" w:space="0"/>
              <w:right w:val="single" w:color="auto" w:sz="8" w:space="0"/>
            </w:tcBorders>
            <w:shd w:val="clear" w:color="auto" w:fill="auto"/>
            <w:tcMar>
              <w:left w:w="108" w:type="dxa"/>
              <w:right w:w="108" w:type="dxa"/>
            </w:tcMar>
            <w:vAlign w:val="center"/>
          </w:tcPr>
          <w:p w14:paraId="774968F4">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33,831.01</w:t>
            </w:r>
          </w:p>
        </w:tc>
        <w:tc>
          <w:tcPr>
            <w:tcW w:w="2432" w:type="dxa"/>
            <w:tcBorders>
              <w:top w:val="nil"/>
              <w:left w:val="nil"/>
              <w:bottom w:val="single" w:color="auto" w:sz="8" w:space="0"/>
              <w:right w:val="single" w:color="auto" w:sz="8" w:space="0"/>
            </w:tcBorders>
            <w:shd w:val="clear" w:color="auto" w:fill="auto"/>
            <w:tcMar>
              <w:left w:w="108" w:type="dxa"/>
              <w:right w:w="108" w:type="dxa"/>
            </w:tcMar>
            <w:vAlign w:val="center"/>
          </w:tcPr>
          <w:p w14:paraId="41AA147A">
            <w:pPr>
              <w:pStyle w:val="2"/>
              <w:keepNext w:val="0"/>
              <w:keepLines w:val="0"/>
              <w:widowControl/>
              <w:suppressLineNumbers w:val="0"/>
              <w:spacing w:before="0" w:beforeAutospacing="0" w:after="0" w:afterAutospacing="0"/>
              <w:ind w:left="0" w:right="0"/>
              <w:jc w:val="right"/>
              <w:rPr>
                <w:rFonts w:hint="default" w:ascii="Times New Roman" w:hAnsi="Times New Roman" w:cs="Times New Roman"/>
                <w:sz w:val="21"/>
                <w:szCs w:val="21"/>
              </w:rPr>
            </w:pPr>
            <w:r>
              <w:rPr>
                <w:rFonts w:hint="eastAsia" w:ascii="宋体" w:hAnsi="宋体" w:eastAsia="宋体" w:cs="宋体"/>
                <w:sz w:val="16"/>
                <w:szCs w:val="16"/>
              </w:rPr>
              <w:t>33,831.01</w:t>
            </w:r>
          </w:p>
        </w:tc>
      </w:tr>
    </w:tbl>
    <w:p w14:paraId="586A0DBF">
      <w:pPr>
        <w:pStyle w:val="2"/>
        <w:keepNext w:val="0"/>
        <w:keepLines w:val="0"/>
        <w:widowControl/>
        <w:suppressLineNumbers w:val="0"/>
        <w:spacing w:before="0" w:beforeAutospacing="0" w:after="0" w:afterAutospacing="0" w:line="120" w:lineRule="auto"/>
        <w:ind w:left="0" w:right="0" w:firstLine="420"/>
        <w:rPr>
          <w:rFonts w:hint="default" w:ascii="Times New Roman" w:hAnsi="Times New Roman" w:cs="Times New Roman"/>
          <w:sz w:val="21"/>
          <w:szCs w:val="21"/>
        </w:rPr>
      </w:pPr>
      <w:r>
        <w:rPr>
          <w:rFonts w:hint="eastAsia" w:ascii="宋体" w:hAnsi="宋体" w:eastAsia="宋体" w:cs="宋体"/>
          <w:color w:val="FF0000"/>
          <w:sz w:val="21"/>
          <w:szCs w:val="21"/>
        </w:rPr>
        <w:t> </w:t>
      </w:r>
    </w:p>
    <w:p w14:paraId="281B28D2">
      <w:pPr>
        <w:keepNext w:val="0"/>
        <w:keepLines w:val="0"/>
        <w:widowControl/>
        <w:numPr>
          <w:ilvl w:val="0"/>
          <w:numId w:val="2"/>
        </w:numPr>
        <w:suppressLineNumbers w:val="0"/>
        <w:spacing w:before="0" w:beforeAutospacing="1" w:after="0" w:afterAutospacing="1"/>
        <w:ind w:left="720" w:hanging="360"/>
      </w:pPr>
      <w:r>
        <w:rPr>
          <w:rFonts w:ascii="Times New Roman" w:hAnsi="Times New Roman" w:eastAsia="宋体" w:cs="Times New Roman"/>
          <w:sz w:val="14"/>
          <w:szCs w:val="14"/>
        </w:rPr>
        <w:t> </w:t>
      </w:r>
      <w:r>
        <w:rPr>
          <w:rFonts w:hint="eastAsia" w:ascii="宋体" w:hAnsi="宋体" w:eastAsia="宋体" w:cs="宋体"/>
          <w:sz w:val="18"/>
          <w:szCs w:val="18"/>
        </w:rPr>
        <w:t>利率风险</w:t>
      </w:r>
    </w:p>
    <w:p w14:paraId="22DBD535">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本公司的利率风险主要产生于</w:t>
      </w:r>
      <w:r>
        <w:rPr>
          <w:rFonts w:hint="eastAsia" w:ascii="宋体" w:hAnsi="宋体" w:eastAsia="宋体" w:cs="宋体"/>
          <w:color w:val="00B0F0"/>
          <w:sz w:val="21"/>
          <w:szCs w:val="21"/>
        </w:rPr>
        <w:t>银行借款。</w:t>
      </w:r>
      <w:r>
        <w:rPr>
          <w:rFonts w:hint="eastAsia" w:ascii="宋体" w:hAnsi="宋体" w:eastAsia="宋体" w:cs="宋体"/>
          <w:sz w:val="21"/>
          <w:szCs w:val="21"/>
        </w:rPr>
        <w:t>浮动利率的金融负债使本公司面临现金流量利率风险，固定利率的金融负债使本公司面临公允价值利率风险。本公司根据当时的市场环境来决定固定利率及浮动利率合同的相对比例。</w:t>
      </w:r>
    </w:p>
    <w:p w14:paraId="0B77F6F9">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财务部门持续监控公司利率水平。利率上升会增加新增带息债务的成本以及本公司尚未付清的以浮动利率计息的带息债务的利息支出，并对本公司的财务业绩产生重大的不利影响，管理层会依据最新的市场状况及时做出调整。</w:t>
      </w:r>
    </w:p>
    <w:p w14:paraId="1CBFF5EB">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 xml:space="preserve">1）截止2024年12月31日，本公司长期带息债务均为人民币计价的浮动利率合同， 金额为 25,922.10 万元，详见附注五、注释 28；短期借款中基本为固定利率合同，浮动利率合同金额为 2,000 万元。 </w:t>
      </w:r>
    </w:p>
    <w:p w14:paraId="2221A1B9">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2）敏感性分析：</w:t>
      </w:r>
    </w:p>
    <w:p w14:paraId="1405C104">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截止2024年12月31日，如果以浮动利率计算的借款利率上升或下降50个基点，而其他因素保持不变，本公司的净利润会减少或增加约1,399,610.50元。</w:t>
      </w:r>
    </w:p>
    <w:p w14:paraId="611B5F8D">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上述敏感性分析假定在资产负债表日已发生利率变动，并且已应用于本公司所有按浮动利率获得的借款。</w:t>
      </w:r>
    </w:p>
    <w:p w14:paraId="7E1BE3A1">
      <w:pPr>
        <w:keepNext w:val="0"/>
        <w:keepLines w:val="0"/>
        <w:widowControl/>
        <w:numPr>
          <w:ilvl w:val="0"/>
          <w:numId w:val="3"/>
        </w:numPr>
        <w:suppressLineNumbers w:val="0"/>
        <w:spacing w:before="0" w:beforeAutospacing="1" w:after="0" w:afterAutospacing="1"/>
        <w:ind w:left="720" w:hanging="360"/>
      </w:pPr>
      <w:r>
        <w:rPr>
          <w:rFonts w:hint="default" w:ascii="Times New Roman" w:hAnsi="Times New Roman" w:eastAsia="宋体" w:cs="Times New Roman"/>
          <w:sz w:val="14"/>
          <w:szCs w:val="14"/>
        </w:rPr>
        <w:t> </w:t>
      </w:r>
      <w:r>
        <w:rPr>
          <w:rFonts w:hint="eastAsia" w:ascii="宋体" w:hAnsi="宋体" w:eastAsia="宋体" w:cs="宋体"/>
          <w:sz w:val="18"/>
          <w:szCs w:val="18"/>
        </w:rPr>
        <w:t>价格风险</w:t>
      </w:r>
    </w:p>
    <w:p w14:paraId="478254EB">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21"/>
          <w:szCs w:val="21"/>
        </w:rPr>
        <w:t>价格风险指汇率风险和利率风险以外的市场价格变动而发生波动的风险，主要源于商品价格、股票市场指数、权益工具价格以及其他风险变量的变化。</w:t>
      </w:r>
    </w:p>
    <w:p w14:paraId="3A71549B">
      <w:pPr>
        <w:keepNext/>
        <w:keepLines/>
        <w:spacing w:before="300" w:after="300" w:line="280" w:lineRule="exact"/>
        <w:jc w:val="left"/>
        <w:outlineLvl w:val="2"/>
        <w:rPr>
          <w:rFonts w:ascii="宋体" w:hAnsi="宋体" w:eastAsia="宋体" w:cs="宋体"/>
          <w:b/>
          <w:bCs/>
          <w:sz w:val="21"/>
          <w:szCs w:val="21"/>
        </w:rPr>
      </w:pPr>
      <w:bookmarkStart w:id="506" w:name="_Toc989389"/>
      <w:r>
        <w:rPr>
          <w:rFonts w:ascii="宋体" w:hAnsi="宋体" w:eastAsia="宋体" w:cs="宋体"/>
          <w:b/>
          <w:bCs/>
          <w:sz w:val="21"/>
          <w:szCs w:val="21"/>
        </w:rPr>
        <w:t>2、套期</w:t>
      </w:r>
      <w:bookmarkEnd w:id="506"/>
    </w:p>
    <w:p w14:paraId="241B1C43">
      <w:pPr>
        <w:keepNext/>
        <w:keepLines/>
        <w:spacing w:before="300" w:after="300" w:line="280" w:lineRule="exact"/>
        <w:jc w:val="left"/>
        <w:outlineLvl w:val="4"/>
        <w:rPr>
          <w:rFonts w:ascii="宋体" w:hAnsi="宋体" w:eastAsia="宋体" w:cs="宋体"/>
          <w:b/>
          <w:bCs/>
          <w:sz w:val="18"/>
          <w:szCs w:val="18"/>
        </w:rPr>
      </w:pPr>
      <w:bookmarkStart w:id="507" w:name="_Toc989390"/>
      <w:r>
        <w:rPr>
          <w:rFonts w:ascii="宋体" w:hAnsi="宋体" w:eastAsia="宋体" w:cs="宋体"/>
          <w:b/>
          <w:bCs/>
          <w:sz w:val="18"/>
          <w:szCs w:val="18"/>
        </w:rPr>
        <w:t>（1） 公司开展套期业务进行风险管理</w:t>
      </w:r>
      <w:bookmarkEnd w:id="507"/>
    </w:p>
    <w:p w14:paraId="1FCE7D1A">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5827F68">
      <w:pPr>
        <w:keepNext/>
        <w:keepLines/>
        <w:spacing w:before="300" w:after="300" w:line="280" w:lineRule="exact"/>
        <w:jc w:val="left"/>
        <w:outlineLvl w:val="4"/>
        <w:rPr>
          <w:rFonts w:ascii="宋体" w:hAnsi="宋体" w:eastAsia="宋体" w:cs="宋体"/>
          <w:b/>
          <w:bCs/>
          <w:sz w:val="18"/>
          <w:szCs w:val="18"/>
        </w:rPr>
      </w:pPr>
      <w:bookmarkStart w:id="508" w:name="_Toc989391"/>
      <w:r>
        <w:rPr>
          <w:rFonts w:ascii="宋体" w:hAnsi="宋体" w:eastAsia="宋体" w:cs="宋体"/>
          <w:b/>
          <w:bCs/>
          <w:sz w:val="18"/>
          <w:szCs w:val="18"/>
        </w:rPr>
        <w:t>（2） 公司开展符合条件套期业务并应用套期会计</w:t>
      </w:r>
      <w:bookmarkEnd w:id="508"/>
    </w:p>
    <w:p w14:paraId="0F4E14A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227A44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12A5400">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15F0B21">
            <w:pPr>
              <w:spacing w:before="40" w:after="40" w:line="240" w:lineRule="exact"/>
              <w:jc w:val="center"/>
              <w:rPr>
                <w:rFonts w:ascii="宋体" w:hAnsi="宋体" w:eastAsia="宋体" w:cs="宋体"/>
                <w:sz w:val="18"/>
                <w:szCs w:val="18"/>
              </w:rPr>
            </w:pPr>
            <w:r>
              <w:rPr>
                <w:rFonts w:ascii="宋体" w:hAnsi="宋体" w:eastAsia="宋体" w:cs="宋体"/>
                <w:sz w:val="18"/>
                <w:szCs w:val="18"/>
              </w:rPr>
              <w:t>与被套期项目以及套期工具相关账面价值</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3449E22">
            <w:pPr>
              <w:spacing w:before="40" w:after="40" w:line="240" w:lineRule="exact"/>
              <w:jc w:val="center"/>
              <w:rPr>
                <w:rFonts w:ascii="宋体" w:hAnsi="宋体" w:eastAsia="宋体" w:cs="宋体"/>
                <w:sz w:val="18"/>
                <w:szCs w:val="18"/>
              </w:rPr>
            </w:pPr>
            <w:r>
              <w:rPr>
                <w:rFonts w:ascii="宋体" w:hAnsi="宋体" w:eastAsia="宋体" w:cs="宋体"/>
                <w:sz w:val="18"/>
                <w:szCs w:val="18"/>
              </w:rPr>
              <w:t>已确认的被套期项目账面价值中所包含的被套期项目累计公允价值套期调整</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D71225F">
            <w:pPr>
              <w:spacing w:before="40" w:after="40" w:line="240" w:lineRule="exact"/>
              <w:jc w:val="center"/>
              <w:rPr>
                <w:rFonts w:ascii="宋体" w:hAnsi="宋体" w:eastAsia="宋体" w:cs="宋体"/>
                <w:sz w:val="18"/>
                <w:szCs w:val="18"/>
              </w:rPr>
            </w:pPr>
            <w:r>
              <w:rPr>
                <w:rFonts w:ascii="宋体" w:hAnsi="宋体" w:eastAsia="宋体" w:cs="宋体"/>
                <w:sz w:val="18"/>
                <w:szCs w:val="18"/>
              </w:rPr>
              <w:t>套期有效性和套期无效部分来源</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4AAD57C">
            <w:pPr>
              <w:spacing w:before="40" w:after="40" w:line="240" w:lineRule="exact"/>
              <w:jc w:val="center"/>
              <w:rPr>
                <w:rFonts w:ascii="宋体" w:hAnsi="宋体" w:eastAsia="宋体" w:cs="宋体"/>
                <w:sz w:val="18"/>
                <w:szCs w:val="18"/>
              </w:rPr>
            </w:pPr>
            <w:r>
              <w:rPr>
                <w:rFonts w:ascii="宋体" w:hAnsi="宋体" w:eastAsia="宋体" w:cs="宋体"/>
                <w:sz w:val="18"/>
                <w:szCs w:val="18"/>
              </w:rPr>
              <w:t>套期会计对公司的财务报表相关影响</w:t>
            </w:r>
          </w:p>
        </w:tc>
      </w:tr>
      <w:tr w14:paraId="4ED2DC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2803F02D">
            <w:pPr>
              <w:spacing w:before="40" w:after="40" w:line="240" w:lineRule="exact"/>
              <w:jc w:val="left"/>
              <w:rPr>
                <w:rFonts w:ascii="宋体" w:hAnsi="宋体" w:eastAsia="宋体" w:cs="宋体"/>
                <w:sz w:val="18"/>
                <w:szCs w:val="18"/>
              </w:rPr>
            </w:pPr>
            <w:r>
              <w:rPr>
                <w:rFonts w:ascii="宋体" w:hAnsi="宋体" w:eastAsia="宋体" w:cs="宋体"/>
                <w:sz w:val="18"/>
                <w:szCs w:val="18"/>
              </w:rPr>
              <w:t>套期风险类型</w:t>
            </w:r>
          </w:p>
        </w:tc>
      </w:tr>
      <w:tr w14:paraId="6F9471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4BDCC80C">
            <w:pPr>
              <w:spacing w:before="40" w:after="40" w:line="240" w:lineRule="exact"/>
              <w:jc w:val="left"/>
              <w:rPr>
                <w:rFonts w:ascii="宋体" w:hAnsi="宋体" w:eastAsia="宋体" w:cs="宋体"/>
                <w:sz w:val="18"/>
                <w:szCs w:val="18"/>
              </w:rPr>
            </w:pPr>
            <w:r>
              <w:rPr>
                <w:rFonts w:ascii="宋体" w:hAnsi="宋体" w:eastAsia="宋体" w:cs="宋体"/>
                <w:sz w:val="18"/>
                <w:szCs w:val="18"/>
              </w:rPr>
              <w:t>套期类别</w:t>
            </w:r>
          </w:p>
        </w:tc>
      </w:tr>
    </w:tbl>
    <w:p w14:paraId="3A4931B7">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591BECD">
      <w:pPr>
        <w:keepNext/>
        <w:keepLines/>
        <w:spacing w:before="300" w:after="300" w:line="280" w:lineRule="exact"/>
        <w:jc w:val="left"/>
        <w:outlineLvl w:val="3"/>
        <w:rPr>
          <w:rFonts w:ascii="宋体" w:hAnsi="宋体" w:eastAsia="宋体" w:cs="宋体"/>
          <w:b/>
          <w:bCs/>
          <w:sz w:val="18"/>
          <w:szCs w:val="18"/>
        </w:rPr>
      </w:pPr>
      <w:bookmarkStart w:id="509" w:name="_Toc989392"/>
      <w:r>
        <w:rPr>
          <w:rFonts w:ascii="宋体" w:hAnsi="宋体" w:eastAsia="宋体" w:cs="宋体"/>
          <w:b/>
          <w:bCs/>
          <w:sz w:val="18"/>
          <w:szCs w:val="18"/>
        </w:rPr>
        <w:t>（3） 公司开展套期业务进行风险管理、预期能实现风险管理目标但未应用套期会计</w:t>
      </w:r>
      <w:bookmarkEnd w:id="509"/>
    </w:p>
    <w:p w14:paraId="55794533">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8A5E410">
      <w:pPr>
        <w:keepNext/>
        <w:keepLines/>
        <w:spacing w:before="300" w:after="300" w:line="280" w:lineRule="exact"/>
        <w:jc w:val="left"/>
        <w:outlineLvl w:val="2"/>
        <w:rPr>
          <w:rFonts w:ascii="宋体" w:hAnsi="宋体" w:eastAsia="宋体" w:cs="宋体"/>
          <w:b/>
          <w:bCs/>
          <w:sz w:val="21"/>
          <w:szCs w:val="21"/>
        </w:rPr>
      </w:pPr>
      <w:bookmarkStart w:id="510" w:name="_Toc989393"/>
      <w:r>
        <w:rPr>
          <w:rFonts w:ascii="宋体" w:hAnsi="宋体" w:eastAsia="宋体" w:cs="宋体"/>
          <w:b/>
          <w:bCs/>
          <w:sz w:val="21"/>
          <w:szCs w:val="21"/>
        </w:rPr>
        <w:t>3、金融资产</w:t>
      </w:r>
      <w:bookmarkEnd w:id="510"/>
    </w:p>
    <w:p w14:paraId="7346E4F2">
      <w:pPr>
        <w:keepNext/>
        <w:keepLines/>
        <w:spacing w:before="300" w:after="300" w:line="280" w:lineRule="exact"/>
        <w:jc w:val="left"/>
        <w:outlineLvl w:val="3"/>
        <w:rPr>
          <w:rFonts w:ascii="宋体" w:hAnsi="宋体" w:eastAsia="宋体" w:cs="宋体"/>
          <w:b/>
          <w:bCs/>
          <w:sz w:val="18"/>
          <w:szCs w:val="18"/>
        </w:rPr>
      </w:pPr>
      <w:bookmarkStart w:id="511" w:name="_Toc989394"/>
      <w:r>
        <w:rPr>
          <w:rFonts w:ascii="宋体" w:hAnsi="宋体" w:eastAsia="宋体" w:cs="宋体"/>
          <w:b/>
          <w:bCs/>
          <w:sz w:val="18"/>
          <w:szCs w:val="18"/>
        </w:rPr>
        <w:t>（1） 转移方式分类</w:t>
      </w:r>
      <w:bookmarkEnd w:id="511"/>
    </w:p>
    <w:p w14:paraId="55DC0793">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F3523B5">
      <w:pPr>
        <w:keepNext/>
        <w:keepLines/>
        <w:spacing w:before="300" w:after="300" w:line="280" w:lineRule="exact"/>
        <w:jc w:val="left"/>
        <w:outlineLvl w:val="3"/>
        <w:rPr>
          <w:rFonts w:ascii="宋体" w:hAnsi="宋体" w:eastAsia="宋体" w:cs="宋体"/>
          <w:b/>
          <w:bCs/>
          <w:sz w:val="18"/>
          <w:szCs w:val="18"/>
        </w:rPr>
      </w:pPr>
      <w:bookmarkStart w:id="512" w:name="_Toc989395"/>
      <w:r>
        <w:rPr>
          <w:rFonts w:ascii="宋体" w:hAnsi="宋体" w:eastAsia="宋体" w:cs="宋体"/>
          <w:b/>
          <w:bCs/>
          <w:sz w:val="18"/>
          <w:szCs w:val="18"/>
        </w:rPr>
        <w:t>（2） 因转移而终止确认的金融资产</w:t>
      </w:r>
      <w:bookmarkEnd w:id="512"/>
    </w:p>
    <w:p w14:paraId="658411DE">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E74E533">
      <w:pPr>
        <w:keepNext/>
        <w:keepLines/>
        <w:spacing w:before="300" w:after="300" w:line="280" w:lineRule="exact"/>
        <w:jc w:val="left"/>
        <w:outlineLvl w:val="3"/>
        <w:rPr>
          <w:rFonts w:ascii="宋体" w:hAnsi="宋体" w:eastAsia="宋体" w:cs="宋体"/>
          <w:b/>
          <w:bCs/>
          <w:sz w:val="18"/>
          <w:szCs w:val="18"/>
        </w:rPr>
      </w:pPr>
      <w:bookmarkStart w:id="513" w:name="_Toc989396"/>
      <w:r>
        <w:rPr>
          <w:rFonts w:ascii="宋体" w:hAnsi="宋体" w:eastAsia="宋体" w:cs="宋体"/>
          <w:b/>
          <w:bCs/>
          <w:sz w:val="18"/>
          <w:szCs w:val="18"/>
        </w:rPr>
        <w:t>（3） 继续涉入的资产转移金融资产</w:t>
      </w:r>
      <w:bookmarkEnd w:id="513"/>
    </w:p>
    <w:p w14:paraId="0FC4B707">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8D7D6EB">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17202DEC">
      <w:pPr>
        <w:keepNext/>
        <w:keepLines/>
        <w:spacing w:before="300" w:after="300" w:line="320" w:lineRule="exact"/>
        <w:jc w:val="left"/>
        <w:outlineLvl w:val="1"/>
        <w:rPr>
          <w:rFonts w:ascii="宋体" w:hAnsi="宋体" w:eastAsia="宋体" w:cs="宋体"/>
          <w:b/>
          <w:bCs/>
          <w:sz w:val="24"/>
          <w:szCs w:val="24"/>
        </w:rPr>
      </w:pPr>
      <w:bookmarkStart w:id="514" w:name="_Toc989397"/>
      <w:r>
        <w:rPr>
          <w:rFonts w:ascii="宋体" w:hAnsi="宋体" w:eastAsia="宋体" w:cs="宋体"/>
          <w:b/>
          <w:bCs/>
          <w:sz w:val="24"/>
          <w:szCs w:val="24"/>
        </w:rPr>
        <w:t>十三、公允价值的披露</w:t>
      </w:r>
      <w:bookmarkEnd w:id="514"/>
    </w:p>
    <w:p w14:paraId="04605AE7">
      <w:pPr>
        <w:keepNext/>
        <w:keepLines/>
        <w:spacing w:before="300" w:after="300" w:line="280" w:lineRule="exact"/>
        <w:jc w:val="left"/>
        <w:outlineLvl w:val="2"/>
        <w:rPr>
          <w:rFonts w:ascii="宋体" w:hAnsi="宋体" w:eastAsia="宋体" w:cs="宋体"/>
          <w:b/>
          <w:bCs/>
          <w:sz w:val="21"/>
          <w:szCs w:val="21"/>
        </w:rPr>
      </w:pPr>
      <w:bookmarkStart w:id="515" w:name="_Toc989398"/>
      <w:r>
        <w:rPr>
          <w:rFonts w:ascii="宋体" w:hAnsi="宋体" w:eastAsia="宋体" w:cs="宋体"/>
          <w:b/>
          <w:bCs/>
          <w:sz w:val="21"/>
          <w:szCs w:val="21"/>
        </w:rPr>
        <w:t>1、以公允价值计量的资产和负债的期末公允价值</w:t>
      </w:r>
      <w:bookmarkEnd w:id="515"/>
    </w:p>
    <w:p w14:paraId="0DED137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9C9C6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AFACB7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7711"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42E851CE">
            <w:pPr>
              <w:spacing w:before="40" w:after="40" w:line="240" w:lineRule="exact"/>
              <w:jc w:val="center"/>
              <w:rPr>
                <w:rFonts w:ascii="宋体" w:hAnsi="宋体" w:eastAsia="宋体" w:cs="宋体"/>
                <w:sz w:val="18"/>
                <w:szCs w:val="18"/>
              </w:rPr>
            </w:pPr>
            <w:r>
              <w:rPr>
                <w:rFonts w:ascii="宋体" w:hAnsi="宋体" w:eastAsia="宋体" w:cs="宋体"/>
                <w:sz w:val="18"/>
                <w:szCs w:val="18"/>
              </w:rPr>
              <w:t>期末公允价值</w:t>
            </w:r>
          </w:p>
        </w:tc>
      </w:tr>
      <w:tr w14:paraId="54B18D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A3BADDF"/>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9578ED4">
            <w:pPr>
              <w:spacing w:before="40" w:after="40" w:line="240" w:lineRule="exact"/>
              <w:jc w:val="center"/>
              <w:rPr>
                <w:rFonts w:ascii="宋体" w:hAnsi="宋体" w:eastAsia="宋体" w:cs="宋体"/>
                <w:sz w:val="18"/>
                <w:szCs w:val="18"/>
              </w:rPr>
            </w:pPr>
            <w:r>
              <w:rPr>
                <w:rFonts w:ascii="宋体" w:hAnsi="宋体" w:eastAsia="宋体" w:cs="宋体"/>
                <w:sz w:val="18"/>
                <w:szCs w:val="18"/>
              </w:rPr>
              <w:t>第一层次公允价值计量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98C7FDA">
            <w:pPr>
              <w:spacing w:before="40" w:after="40" w:line="240" w:lineRule="exact"/>
              <w:jc w:val="center"/>
              <w:rPr>
                <w:rFonts w:ascii="宋体" w:hAnsi="宋体" w:eastAsia="宋体" w:cs="宋体"/>
                <w:sz w:val="18"/>
                <w:szCs w:val="18"/>
              </w:rPr>
            </w:pPr>
            <w:r>
              <w:rPr>
                <w:rFonts w:ascii="宋体" w:hAnsi="宋体" w:eastAsia="宋体" w:cs="宋体"/>
                <w:sz w:val="18"/>
                <w:szCs w:val="18"/>
              </w:rPr>
              <w:t>第二层次公允价值计量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A783D49">
            <w:pPr>
              <w:spacing w:before="40" w:after="40" w:line="240" w:lineRule="exact"/>
              <w:jc w:val="center"/>
              <w:rPr>
                <w:rFonts w:ascii="宋体" w:hAnsi="宋体" w:eastAsia="宋体" w:cs="宋体"/>
                <w:sz w:val="18"/>
                <w:szCs w:val="18"/>
              </w:rPr>
            </w:pPr>
            <w:r>
              <w:rPr>
                <w:rFonts w:ascii="宋体" w:hAnsi="宋体" w:eastAsia="宋体" w:cs="宋体"/>
                <w:sz w:val="18"/>
                <w:szCs w:val="18"/>
              </w:rPr>
              <w:t>第三层次公允价值计量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BAA031C">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088980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84B2EB7">
            <w:pPr>
              <w:spacing w:before="40" w:after="40" w:line="240" w:lineRule="exact"/>
              <w:jc w:val="left"/>
              <w:rPr>
                <w:rFonts w:ascii="宋体" w:hAnsi="宋体" w:eastAsia="宋体" w:cs="宋体"/>
                <w:sz w:val="18"/>
                <w:szCs w:val="18"/>
              </w:rPr>
            </w:pPr>
            <w:r>
              <w:rPr>
                <w:rFonts w:ascii="宋体" w:hAnsi="宋体" w:eastAsia="宋体" w:cs="宋体"/>
                <w:sz w:val="18"/>
                <w:szCs w:val="18"/>
              </w:rPr>
              <w:t>一、持续的公允价值计量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C9D4825">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84D01C9">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834EBB8">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04C3F5E">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r w14:paraId="6B4FE4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27FC3AF0">
            <w:pPr>
              <w:spacing w:before="0" w:after="0" w:line="240" w:lineRule="exact"/>
              <w:jc w:val="left"/>
              <w:rPr>
                <w:rFonts w:ascii="宋体" w:hAnsi="宋体" w:eastAsia="宋体" w:cs="宋体"/>
                <w:sz w:val="18"/>
                <w:szCs w:val="18"/>
              </w:rPr>
            </w:pPr>
            <w:r>
              <w:rPr>
                <w:rFonts w:ascii="宋体" w:hAnsi="宋体" w:eastAsia="宋体" w:cs="宋体"/>
                <w:sz w:val="18"/>
                <w:szCs w:val="18"/>
              </w:rPr>
              <w:t>应收款项融资</w:t>
            </w:r>
          </w:p>
        </w:tc>
        <w:tc>
          <w:tcPr>
            <w:tcW w:w="1928" w:type="dxa"/>
            <w:tcBorders>
              <w:top w:val="single" w:color="auto" w:sz="2" w:space="0"/>
              <w:left w:val="single" w:color="auto" w:sz="2" w:space="0"/>
              <w:bottom w:val="single" w:color="auto" w:sz="2" w:space="0"/>
              <w:right w:val="single" w:color="auto" w:sz="2" w:space="0"/>
            </w:tcBorders>
            <w:vAlign w:val="center"/>
          </w:tcPr>
          <w:p w14:paraId="56D9A819">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6A999ECB">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7E197004">
            <w:pPr>
              <w:spacing w:before="0" w:after="0" w:line="240" w:lineRule="exact"/>
              <w:jc w:val="right"/>
              <w:rPr>
                <w:rFonts w:ascii="宋体" w:hAnsi="宋体" w:eastAsia="宋体" w:cs="宋体"/>
                <w:sz w:val="18"/>
                <w:szCs w:val="18"/>
              </w:rPr>
            </w:pPr>
            <w:r>
              <w:rPr>
                <w:rFonts w:ascii="宋体" w:hAnsi="宋体" w:eastAsia="宋体" w:cs="宋体"/>
                <w:sz w:val="18"/>
                <w:szCs w:val="18"/>
              </w:rPr>
              <w:t>2,292,928.00</w:t>
            </w:r>
          </w:p>
        </w:tc>
        <w:tc>
          <w:tcPr>
            <w:tcW w:w="1928" w:type="dxa"/>
            <w:tcBorders>
              <w:top w:val="single" w:color="auto" w:sz="2" w:space="0"/>
              <w:left w:val="single" w:color="auto" w:sz="2" w:space="0"/>
              <w:bottom w:val="single" w:color="auto" w:sz="2" w:space="0"/>
              <w:right w:val="single" w:color="auto" w:sz="2" w:space="0"/>
            </w:tcBorders>
            <w:vAlign w:val="center"/>
          </w:tcPr>
          <w:p w14:paraId="11CF7BD8">
            <w:pPr>
              <w:spacing w:before="0" w:after="0" w:line="240" w:lineRule="exact"/>
              <w:jc w:val="right"/>
              <w:rPr>
                <w:rFonts w:ascii="宋体" w:hAnsi="宋体" w:eastAsia="宋体" w:cs="宋体"/>
                <w:sz w:val="18"/>
                <w:szCs w:val="18"/>
              </w:rPr>
            </w:pPr>
            <w:r>
              <w:rPr>
                <w:rFonts w:ascii="宋体" w:hAnsi="宋体" w:eastAsia="宋体" w:cs="宋体"/>
                <w:sz w:val="18"/>
                <w:szCs w:val="18"/>
              </w:rPr>
              <w:t>2,292,928.00</w:t>
            </w:r>
          </w:p>
        </w:tc>
      </w:tr>
      <w:tr w14:paraId="424302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3532462">
            <w:pPr>
              <w:spacing w:before="40" w:after="40" w:line="240" w:lineRule="exact"/>
              <w:jc w:val="left"/>
              <w:rPr>
                <w:rFonts w:ascii="宋体" w:hAnsi="宋体" w:eastAsia="宋体" w:cs="宋体"/>
                <w:sz w:val="18"/>
                <w:szCs w:val="18"/>
              </w:rPr>
            </w:pPr>
            <w:r>
              <w:rPr>
                <w:rFonts w:ascii="宋体" w:hAnsi="宋体" w:eastAsia="宋体" w:cs="宋体"/>
                <w:sz w:val="18"/>
                <w:szCs w:val="18"/>
              </w:rPr>
              <w:t>二、非持续的公允价值计量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55C865C">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AC02C4A">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6A46716">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99F4093">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14:paraId="1EF9AC2A">
      <w:pPr>
        <w:keepNext/>
        <w:keepLines/>
        <w:spacing w:before="300" w:after="300" w:line="280" w:lineRule="exact"/>
        <w:jc w:val="left"/>
        <w:outlineLvl w:val="2"/>
        <w:rPr>
          <w:rFonts w:ascii="宋体" w:hAnsi="宋体" w:eastAsia="宋体" w:cs="宋体"/>
          <w:b/>
          <w:bCs/>
          <w:sz w:val="21"/>
          <w:szCs w:val="21"/>
        </w:rPr>
      </w:pPr>
      <w:bookmarkStart w:id="516" w:name="_Toc989399"/>
      <w:r>
        <w:rPr>
          <w:rFonts w:ascii="宋体" w:hAnsi="宋体" w:eastAsia="宋体" w:cs="宋体"/>
          <w:b/>
          <w:bCs/>
          <w:sz w:val="21"/>
          <w:szCs w:val="21"/>
        </w:rPr>
        <w:t>2、持续和非持续第一层次公允价值计量项目市价的确定依据</w:t>
      </w:r>
      <w:bookmarkEnd w:id="516"/>
    </w:p>
    <w:p w14:paraId="4220387E">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本公司按公允价值三个层次列示了以公允价值计量的金融资产工具于</w:t>
      </w:r>
      <w:r>
        <w:rPr>
          <w:rFonts w:hint="eastAsia" w:ascii="宋体" w:hAnsi="宋体" w:eastAsia="宋体" w:cs="宋体"/>
          <w:color w:val="FF0000"/>
          <w:sz w:val="21"/>
          <w:szCs w:val="21"/>
        </w:rPr>
        <w:t>2024年12月31日</w:t>
      </w:r>
      <w:r>
        <w:rPr>
          <w:rFonts w:hint="eastAsia" w:ascii="宋体" w:hAnsi="宋体" w:eastAsia="宋体" w:cs="宋体"/>
          <w:sz w:val="21"/>
          <w:szCs w:val="21"/>
        </w:rPr>
        <w:t>的账面价值。公允价值整体归类于三个层次时，依据的是公允价值计量时使用的各重要输入值所属三个层次中的最低层次。三个层次的定义如下：</w:t>
      </w:r>
    </w:p>
    <w:p w14:paraId="0A82D9EB">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第1层次：是在计量日能够取得的相同资产或负债在活跃市场上未经调整的报价；</w:t>
      </w:r>
    </w:p>
    <w:p w14:paraId="5059636E">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第2层次：是除第一层次输入值外相关资产或负债直接或间接可观察的输入值；</w:t>
      </w:r>
    </w:p>
    <w:p w14:paraId="3C6F1806">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第二层次输入值包括：1）活跃市场中类似资产或负债的报价；2）非活跃市场中相同或类似资产或负债的报价；3）除报价以外的其他可观察输入值，包括在正常报价间隔期间可观察的利率和收益率曲线、隐含波动率和信用利差等；4）市场验证的输入值等。</w:t>
      </w:r>
    </w:p>
    <w:p w14:paraId="195A8316">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第3层次：是相关资产或负债的不可观察输入值。</w:t>
      </w:r>
    </w:p>
    <w:p w14:paraId="0BD4EFEA">
      <w:pPr>
        <w:keepNext/>
        <w:keepLines/>
        <w:spacing w:before="300" w:after="300" w:line="280" w:lineRule="exact"/>
        <w:jc w:val="left"/>
        <w:outlineLvl w:val="2"/>
        <w:rPr>
          <w:rFonts w:ascii="宋体" w:hAnsi="宋体" w:eastAsia="宋体" w:cs="宋体"/>
          <w:b/>
          <w:bCs/>
          <w:sz w:val="21"/>
          <w:szCs w:val="21"/>
        </w:rPr>
      </w:pPr>
      <w:bookmarkStart w:id="517" w:name="_Toc989400"/>
      <w:r>
        <w:rPr>
          <w:rFonts w:ascii="宋体" w:hAnsi="宋体" w:eastAsia="宋体" w:cs="宋体"/>
          <w:b/>
          <w:bCs/>
          <w:sz w:val="21"/>
          <w:szCs w:val="21"/>
        </w:rPr>
        <w:t>3、持续和非持续第二层次公允价值计量项目，采用的估值技术和重要参数的定性及定量信息</w:t>
      </w:r>
      <w:bookmarkEnd w:id="517"/>
    </w:p>
    <w:p w14:paraId="0AD904CF">
      <w:pPr>
        <w:keepNext/>
        <w:keepLines/>
        <w:spacing w:before="300" w:after="300" w:line="280" w:lineRule="exact"/>
        <w:jc w:val="left"/>
        <w:outlineLvl w:val="2"/>
        <w:rPr>
          <w:rFonts w:ascii="宋体" w:hAnsi="宋体" w:eastAsia="宋体" w:cs="宋体"/>
          <w:b/>
          <w:bCs/>
          <w:sz w:val="21"/>
          <w:szCs w:val="21"/>
        </w:rPr>
      </w:pPr>
      <w:bookmarkStart w:id="518" w:name="_Toc989401"/>
      <w:r>
        <w:rPr>
          <w:rFonts w:ascii="宋体" w:hAnsi="宋体" w:eastAsia="宋体" w:cs="宋体"/>
          <w:b/>
          <w:bCs/>
          <w:sz w:val="21"/>
          <w:szCs w:val="21"/>
        </w:rPr>
        <w:t>4、持续和非持续第三层次公允价值计量项目，采用的估值技术和重要参数的定性及定量信息</w:t>
      </w:r>
      <w:bookmarkEnd w:id="518"/>
    </w:p>
    <w:p w14:paraId="19D03A01">
      <w:pPr>
        <w:pStyle w:val="2"/>
        <w:keepNext w:val="0"/>
        <w:keepLines w:val="0"/>
        <w:widowControl/>
        <w:suppressLineNumbers w:val="0"/>
        <w:spacing w:before="0" w:beforeAutospacing="0" w:after="0" w:afterAutospacing="0" w:line="360" w:lineRule="auto"/>
        <w:ind w:left="0" w:right="0" w:firstLine="392"/>
        <w:jc w:val="both"/>
        <w:rPr>
          <w:rFonts w:hint="default" w:ascii="Times New Roman" w:hAnsi="Times New Roman" w:cs="Times New Roman"/>
          <w:sz w:val="21"/>
          <w:szCs w:val="21"/>
        </w:rPr>
      </w:pPr>
      <w:r>
        <w:rPr>
          <w:rFonts w:hint="eastAsia" w:ascii="宋体" w:hAnsi="宋体" w:eastAsia="宋体" w:cs="宋体"/>
          <w:spacing w:val="-7"/>
          <w:sz w:val="21"/>
          <w:szCs w:val="21"/>
        </w:rPr>
        <w:t>本公司第三层次公允价值计量项目为应收款项融资。应收款项融资系应收票据，根据其</w:t>
      </w:r>
      <w:r>
        <w:rPr>
          <w:rFonts w:hint="eastAsia" w:ascii="宋体" w:hAnsi="宋体" w:eastAsia="宋体" w:cs="宋体"/>
          <w:spacing w:val="-5"/>
          <w:sz w:val="21"/>
          <w:szCs w:val="21"/>
        </w:rPr>
        <w:t>账面价值确定其公允价值。</w:t>
      </w:r>
    </w:p>
    <w:p w14:paraId="06516DB2">
      <w:pPr>
        <w:keepNext/>
        <w:keepLines/>
        <w:spacing w:before="300" w:after="300" w:line="280" w:lineRule="exact"/>
        <w:jc w:val="left"/>
        <w:outlineLvl w:val="2"/>
        <w:rPr>
          <w:rFonts w:ascii="宋体" w:hAnsi="宋体" w:eastAsia="宋体" w:cs="宋体"/>
          <w:b/>
          <w:bCs/>
          <w:sz w:val="21"/>
          <w:szCs w:val="21"/>
        </w:rPr>
      </w:pPr>
      <w:bookmarkStart w:id="519" w:name="_Toc989402"/>
      <w:r>
        <w:rPr>
          <w:rFonts w:ascii="宋体" w:hAnsi="宋体" w:eastAsia="宋体" w:cs="宋体"/>
          <w:b/>
          <w:bCs/>
          <w:sz w:val="21"/>
          <w:szCs w:val="21"/>
        </w:rPr>
        <w:t>5、持续的第三层次公允价值计量项目，期初与期末账面价值间的调节信息及不可观察参数敏感性分析</w:t>
      </w:r>
      <w:bookmarkEnd w:id="519"/>
    </w:p>
    <w:p w14:paraId="46471280">
      <w:pPr>
        <w:keepNext/>
        <w:keepLines/>
        <w:spacing w:before="300" w:after="300" w:line="280" w:lineRule="exact"/>
        <w:jc w:val="left"/>
        <w:outlineLvl w:val="2"/>
        <w:rPr>
          <w:rFonts w:ascii="宋体" w:hAnsi="宋体" w:eastAsia="宋体" w:cs="宋体"/>
          <w:b/>
          <w:bCs/>
          <w:sz w:val="21"/>
          <w:szCs w:val="21"/>
        </w:rPr>
      </w:pPr>
      <w:bookmarkStart w:id="520" w:name="_Toc989403"/>
      <w:r>
        <w:rPr>
          <w:rFonts w:ascii="宋体" w:hAnsi="宋体" w:eastAsia="宋体" w:cs="宋体"/>
          <w:b/>
          <w:bCs/>
          <w:sz w:val="21"/>
          <w:szCs w:val="21"/>
        </w:rPr>
        <w:t>6、持续的公允价值计量项目，本期内发生各层级之间转换的，转换的原因及确定转换时点的政策</w:t>
      </w:r>
      <w:bookmarkEnd w:id="520"/>
    </w:p>
    <w:p w14:paraId="0C2974F6">
      <w:pPr>
        <w:keepNext/>
        <w:keepLines/>
        <w:spacing w:before="300" w:after="300" w:line="280" w:lineRule="exact"/>
        <w:jc w:val="left"/>
        <w:outlineLvl w:val="2"/>
        <w:rPr>
          <w:rFonts w:ascii="宋体" w:hAnsi="宋体" w:eastAsia="宋体" w:cs="宋体"/>
          <w:b/>
          <w:bCs/>
          <w:sz w:val="21"/>
          <w:szCs w:val="21"/>
        </w:rPr>
      </w:pPr>
      <w:bookmarkStart w:id="521" w:name="_Toc989404"/>
      <w:r>
        <w:rPr>
          <w:rFonts w:ascii="宋体" w:hAnsi="宋体" w:eastAsia="宋体" w:cs="宋体"/>
          <w:b/>
          <w:bCs/>
          <w:sz w:val="21"/>
          <w:szCs w:val="21"/>
        </w:rPr>
        <w:t>7、本期内发生的估值技术变更及变更原因</w:t>
      </w:r>
      <w:bookmarkEnd w:id="521"/>
    </w:p>
    <w:p w14:paraId="6B5BC6E5">
      <w:pPr>
        <w:keepNext/>
        <w:keepLines/>
        <w:spacing w:before="300" w:after="300" w:line="280" w:lineRule="exact"/>
        <w:jc w:val="left"/>
        <w:outlineLvl w:val="2"/>
        <w:rPr>
          <w:rFonts w:ascii="宋体" w:hAnsi="宋体" w:eastAsia="宋体" w:cs="宋体"/>
          <w:b/>
          <w:bCs/>
          <w:sz w:val="21"/>
          <w:szCs w:val="21"/>
        </w:rPr>
      </w:pPr>
      <w:bookmarkStart w:id="522" w:name="_Toc989405"/>
      <w:r>
        <w:rPr>
          <w:rFonts w:ascii="宋体" w:hAnsi="宋体" w:eastAsia="宋体" w:cs="宋体"/>
          <w:b/>
          <w:bCs/>
          <w:sz w:val="21"/>
          <w:szCs w:val="21"/>
        </w:rPr>
        <w:t>8、不以公允价值计量的金融资产和金融负债的公允价值情况</w:t>
      </w:r>
      <w:bookmarkEnd w:id="522"/>
    </w:p>
    <w:p w14:paraId="3604DF91">
      <w:pPr>
        <w:pStyle w:val="2"/>
        <w:keepNext w:val="0"/>
        <w:keepLines w:val="0"/>
        <w:widowControl/>
        <w:suppressLineNumbers w:val="0"/>
        <w:spacing w:before="0" w:beforeAutospacing="0" w:after="0" w:afterAutospacing="0" w:line="360" w:lineRule="auto"/>
        <w:ind w:left="0" w:right="0" w:firstLine="392"/>
        <w:jc w:val="both"/>
        <w:rPr>
          <w:rFonts w:hint="default" w:ascii="Times New Roman" w:hAnsi="Times New Roman" w:cs="Times New Roman"/>
          <w:sz w:val="21"/>
          <w:szCs w:val="21"/>
        </w:rPr>
      </w:pPr>
      <w:r>
        <w:rPr>
          <w:rFonts w:hint="eastAsia" w:ascii="宋体" w:hAnsi="宋体" w:eastAsia="宋体" w:cs="宋体"/>
          <w:spacing w:val="-7"/>
          <w:sz w:val="21"/>
          <w:szCs w:val="21"/>
        </w:rPr>
        <w:t>不以公允价值计量的金融资产和负债主要包括：应收款项、短期借款、应付款项、一年内到期的非流动负债和长期借款、在活跃市场中没有报价且其公允价值不能可靠计量的权益工具投资。</w:t>
      </w:r>
    </w:p>
    <w:p w14:paraId="2D47B409">
      <w:pPr>
        <w:pStyle w:val="2"/>
        <w:keepNext w:val="0"/>
        <w:keepLines w:val="0"/>
        <w:widowControl/>
        <w:suppressLineNumbers w:val="0"/>
        <w:spacing w:before="0" w:beforeAutospacing="0" w:after="0" w:afterAutospacing="0" w:line="360" w:lineRule="auto"/>
        <w:ind w:left="0" w:right="0" w:firstLine="392"/>
        <w:jc w:val="both"/>
        <w:rPr>
          <w:rFonts w:hint="default" w:ascii="Times New Roman" w:hAnsi="Times New Roman" w:cs="Times New Roman"/>
          <w:sz w:val="21"/>
          <w:szCs w:val="21"/>
        </w:rPr>
      </w:pPr>
      <w:r>
        <w:rPr>
          <w:rFonts w:hint="eastAsia" w:ascii="宋体" w:hAnsi="宋体" w:eastAsia="宋体" w:cs="宋体"/>
          <w:spacing w:val="-7"/>
          <w:sz w:val="21"/>
          <w:szCs w:val="21"/>
        </w:rPr>
        <w:t>上述不以公允价值计量的金融资产和负债的账面价值与公允价值相差很小。</w:t>
      </w:r>
    </w:p>
    <w:p w14:paraId="65E47CE1">
      <w:pPr>
        <w:keepNext/>
        <w:keepLines/>
        <w:spacing w:before="300" w:after="300" w:line="280" w:lineRule="exact"/>
        <w:jc w:val="left"/>
        <w:outlineLvl w:val="2"/>
        <w:rPr>
          <w:rFonts w:ascii="宋体" w:hAnsi="宋体" w:eastAsia="宋体" w:cs="宋体"/>
          <w:b/>
          <w:bCs/>
          <w:sz w:val="21"/>
          <w:szCs w:val="21"/>
        </w:rPr>
      </w:pPr>
      <w:bookmarkStart w:id="523" w:name="_Toc989406"/>
      <w:r>
        <w:rPr>
          <w:rFonts w:ascii="宋体" w:hAnsi="宋体" w:eastAsia="宋体" w:cs="宋体"/>
          <w:b/>
          <w:bCs/>
          <w:sz w:val="21"/>
          <w:szCs w:val="21"/>
        </w:rPr>
        <w:t>9、其他</w:t>
      </w:r>
      <w:bookmarkEnd w:id="523"/>
    </w:p>
    <w:p w14:paraId="5849C727">
      <w:pPr>
        <w:keepNext/>
        <w:keepLines/>
        <w:spacing w:before="300" w:after="300" w:line="320" w:lineRule="exact"/>
        <w:jc w:val="left"/>
        <w:outlineLvl w:val="1"/>
        <w:rPr>
          <w:rFonts w:ascii="宋体" w:hAnsi="宋体" w:eastAsia="宋体" w:cs="宋体"/>
          <w:b/>
          <w:bCs/>
          <w:sz w:val="24"/>
          <w:szCs w:val="24"/>
        </w:rPr>
      </w:pPr>
      <w:bookmarkStart w:id="524" w:name="_Toc989407"/>
      <w:r>
        <w:rPr>
          <w:rFonts w:ascii="宋体" w:hAnsi="宋体" w:eastAsia="宋体" w:cs="宋体"/>
          <w:b/>
          <w:bCs/>
          <w:sz w:val="24"/>
          <w:szCs w:val="24"/>
        </w:rPr>
        <w:t>十四、关联方及关联交易</w:t>
      </w:r>
      <w:bookmarkEnd w:id="524"/>
    </w:p>
    <w:p w14:paraId="4547A063">
      <w:pPr>
        <w:keepNext/>
        <w:keepLines/>
        <w:spacing w:before="300" w:after="300" w:line="280" w:lineRule="exact"/>
        <w:jc w:val="left"/>
        <w:outlineLvl w:val="2"/>
        <w:rPr>
          <w:rFonts w:ascii="宋体" w:hAnsi="宋体" w:eastAsia="宋体" w:cs="宋体"/>
          <w:b/>
          <w:bCs/>
          <w:sz w:val="21"/>
          <w:szCs w:val="21"/>
        </w:rPr>
      </w:pPr>
      <w:bookmarkStart w:id="525" w:name="_Toc989408"/>
      <w:r>
        <w:rPr>
          <w:rFonts w:ascii="宋体" w:hAnsi="宋体" w:eastAsia="宋体" w:cs="宋体"/>
          <w:b/>
          <w:bCs/>
          <w:sz w:val="21"/>
          <w:szCs w:val="21"/>
        </w:rPr>
        <w:t>1、本企业的母公司情况</w:t>
      </w:r>
      <w:bookmarkEnd w:id="525"/>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396B96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E9E977F">
            <w:pPr>
              <w:spacing w:before="40" w:after="40" w:line="240" w:lineRule="exact"/>
              <w:jc w:val="center"/>
              <w:rPr>
                <w:rFonts w:ascii="宋体" w:hAnsi="宋体" w:eastAsia="宋体" w:cs="宋体"/>
                <w:sz w:val="18"/>
                <w:szCs w:val="18"/>
              </w:rPr>
            </w:pPr>
            <w:r>
              <w:rPr>
                <w:rFonts w:ascii="宋体" w:hAnsi="宋体" w:eastAsia="宋体" w:cs="宋体"/>
                <w:sz w:val="18"/>
                <w:szCs w:val="18"/>
              </w:rPr>
              <w:t>母公司名称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9A59ACD">
            <w:pPr>
              <w:spacing w:before="40" w:after="40" w:line="240" w:lineRule="exact"/>
              <w:jc w:val="center"/>
              <w:rPr>
                <w:rFonts w:ascii="宋体" w:hAnsi="宋体" w:eastAsia="宋体" w:cs="宋体"/>
                <w:sz w:val="18"/>
                <w:szCs w:val="18"/>
              </w:rPr>
            </w:pPr>
            <w:r>
              <w:rPr>
                <w:rFonts w:ascii="宋体" w:hAnsi="宋体" w:eastAsia="宋体" w:cs="宋体"/>
                <w:sz w:val="18"/>
                <w:szCs w:val="18"/>
              </w:rPr>
              <w:t>注册地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41189E6">
            <w:pPr>
              <w:spacing w:before="40" w:after="40" w:line="240" w:lineRule="exact"/>
              <w:jc w:val="center"/>
              <w:rPr>
                <w:rFonts w:ascii="宋体" w:hAnsi="宋体" w:eastAsia="宋体" w:cs="宋体"/>
                <w:sz w:val="18"/>
                <w:szCs w:val="18"/>
              </w:rPr>
            </w:pPr>
            <w:r>
              <w:rPr>
                <w:rFonts w:ascii="宋体" w:hAnsi="宋体" w:eastAsia="宋体" w:cs="宋体"/>
                <w:sz w:val="18"/>
                <w:szCs w:val="18"/>
              </w:rPr>
              <w:t>业务性质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A1EE033">
            <w:pPr>
              <w:spacing w:before="40" w:after="40" w:line="240" w:lineRule="exact"/>
              <w:jc w:val="center"/>
              <w:rPr>
                <w:rFonts w:ascii="宋体" w:hAnsi="宋体" w:eastAsia="宋体" w:cs="宋体"/>
                <w:sz w:val="18"/>
                <w:szCs w:val="18"/>
              </w:rPr>
            </w:pPr>
            <w:r>
              <w:rPr>
                <w:rFonts w:ascii="宋体" w:hAnsi="宋体" w:eastAsia="宋体" w:cs="宋体"/>
                <w:sz w:val="18"/>
                <w:szCs w:val="18"/>
              </w:rPr>
              <w:t>注册资本</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7F1BE1E">
            <w:pPr>
              <w:spacing w:before="40" w:after="40" w:line="240" w:lineRule="exact"/>
              <w:jc w:val="center"/>
              <w:rPr>
                <w:rFonts w:ascii="宋体" w:hAnsi="宋体" w:eastAsia="宋体" w:cs="宋体"/>
                <w:sz w:val="18"/>
                <w:szCs w:val="18"/>
              </w:rPr>
            </w:pPr>
            <w:r>
              <w:rPr>
                <w:rFonts w:ascii="宋体" w:hAnsi="宋体" w:eastAsia="宋体" w:cs="宋体"/>
                <w:sz w:val="18"/>
                <w:szCs w:val="18"/>
              </w:rPr>
              <w:t>母公司对本企业的持股比例</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FD7E14A">
            <w:pPr>
              <w:spacing w:before="40" w:after="40" w:line="240" w:lineRule="exact"/>
              <w:jc w:val="center"/>
              <w:rPr>
                <w:rFonts w:ascii="宋体" w:hAnsi="宋体" w:eastAsia="宋体" w:cs="宋体"/>
                <w:sz w:val="18"/>
                <w:szCs w:val="18"/>
              </w:rPr>
            </w:pPr>
            <w:r>
              <w:rPr>
                <w:rFonts w:ascii="宋体" w:hAnsi="宋体" w:eastAsia="宋体" w:cs="宋体"/>
                <w:sz w:val="18"/>
                <w:szCs w:val="18"/>
              </w:rPr>
              <w:t>母公司对本企业的表决权比例</w:t>
            </w:r>
          </w:p>
        </w:tc>
      </w:tr>
      <w:tr w14:paraId="3BF06E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6E05E798">
            <w:pPr>
              <w:spacing w:before="0" w:after="0" w:line="240" w:lineRule="exact"/>
              <w:jc w:val="left"/>
              <w:rPr>
                <w:rFonts w:ascii="宋体" w:hAnsi="宋体" w:eastAsia="宋体" w:cs="宋体"/>
                <w:sz w:val="18"/>
                <w:szCs w:val="18"/>
              </w:rPr>
            </w:pPr>
            <w:r>
              <w:rPr>
                <w:rFonts w:ascii="宋体" w:hAnsi="宋体" w:eastAsia="宋体" w:cs="宋体"/>
                <w:sz w:val="18"/>
                <w:szCs w:val="18"/>
              </w:rPr>
              <w:t>福建奥华集团有限公司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7AC61C7C">
            <w:pPr>
              <w:spacing w:before="0" w:after="0" w:line="240" w:lineRule="exact"/>
              <w:jc w:val="left"/>
              <w:rPr>
                <w:rFonts w:ascii="宋体" w:hAnsi="宋体" w:eastAsia="宋体" w:cs="宋体"/>
                <w:sz w:val="18"/>
                <w:szCs w:val="18"/>
              </w:rPr>
            </w:pPr>
            <w:r>
              <w:rPr>
                <w:rFonts w:ascii="宋体" w:hAnsi="宋体" w:eastAsia="宋体" w:cs="宋体"/>
                <w:sz w:val="18"/>
                <w:szCs w:val="18"/>
              </w:rPr>
              <w:t>福建省福州市</w:t>
            </w:r>
          </w:p>
        </w:tc>
        <w:tc>
          <w:tcPr>
            <w:tcW w:w="1606" w:type="dxa"/>
            <w:tcBorders>
              <w:top w:val="single" w:color="auto" w:sz="2" w:space="0"/>
              <w:left w:val="single" w:color="auto" w:sz="2" w:space="0"/>
              <w:bottom w:val="single" w:color="auto" w:sz="2" w:space="0"/>
              <w:right w:val="single" w:color="auto" w:sz="2" w:space="0"/>
            </w:tcBorders>
            <w:vAlign w:val="center"/>
          </w:tcPr>
          <w:p w14:paraId="2CFD7D6C">
            <w:pPr>
              <w:spacing w:before="0" w:after="0" w:line="240" w:lineRule="exact"/>
              <w:jc w:val="left"/>
              <w:rPr>
                <w:rFonts w:ascii="宋体" w:hAnsi="宋体" w:eastAsia="宋体" w:cs="宋体"/>
                <w:sz w:val="18"/>
                <w:szCs w:val="18"/>
              </w:rPr>
            </w:pPr>
            <w:r>
              <w:rPr>
                <w:rFonts w:ascii="宋体" w:hAnsi="宋体" w:eastAsia="宋体" w:cs="宋体"/>
                <w:sz w:val="18"/>
                <w:szCs w:val="18"/>
              </w:rPr>
              <w:t>对传媒、医药业、房地产业的投资等</w:t>
            </w:r>
          </w:p>
        </w:tc>
        <w:tc>
          <w:tcPr>
            <w:tcW w:w="1606" w:type="dxa"/>
            <w:tcBorders>
              <w:top w:val="single" w:color="auto" w:sz="2" w:space="0"/>
              <w:left w:val="single" w:color="auto" w:sz="2" w:space="0"/>
              <w:bottom w:val="single" w:color="auto" w:sz="2" w:space="0"/>
              <w:right w:val="single" w:color="auto" w:sz="2" w:space="0"/>
            </w:tcBorders>
            <w:vAlign w:val="center"/>
          </w:tcPr>
          <w:p w14:paraId="73B351C7">
            <w:pPr>
              <w:spacing w:before="0" w:after="0" w:line="240" w:lineRule="exact"/>
              <w:jc w:val="left"/>
              <w:rPr>
                <w:rFonts w:ascii="宋体" w:hAnsi="宋体" w:eastAsia="宋体" w:cs="宋体"/>
                <w:sz w:val="18"/>
                <w:szCs w:val="18"/>
              </w:rPr>
            </w:pPr>
            <w:r>
              <w:rPr>
                <w:rFonts w:ascii="宋体" w:hAnsi="宋体" w:eastAsia="宋体" w:cs="宋体"/>
                <w:sz w:val="18"/>
                <w:szCs w:val="18"/>
              </w:rPr>
              <w:t>5,000</w:t>
            </w:r>
          </w:p>
        </w:tc>
        <w:tc>
          <w:tcPr>
            <w:tcW w:w="1606" w:type="dxa"/>
            <w:tcBorders>
              <w:top w:val="single" w:color="auto" w:sz="2" w:space="0"/>
              <w:left w:val="single" w:color="auto" w:sz="2" w:space="0"/>
              <w:bottom w:val="single" w:color="auto" w:sz="2" w:space="0"/>
              <w:right w:val="single" w:color="auto" w:sz="2" w:space="0"/>
            </w:tcBorders>
            <w:vAlign w:val="center"/>
          </w:tcPr>
          <w:p w14:paraId="09E30EE1">
            <w:pPr>
              <w:spacing w:before="0" w:after="0" w:line="240" w:lineRule="exact"/>
              <w:jc w:val="right"/>
              <w:rPr>
                <w:rFonts w:ascii="宋体" w:hAnsi="宋体" w:eastAsia="宋体" w:cs="宋体"/>
                <w:sz w:val="18"/>
                <w:szCs w:val="18"/>
              </w:rPr>
            </w:pPr>
            <w:r>
              <w:rPr>
                <w:rFonts w:ascii="宋体" w:hAnsi="宋体" w:eastAsia="宋体" w:cs="宋体"/>
                <w:sz w:val="18"/>
                <w:szCs w:val="18"/>
              </w:rPr>
              <w:t>17.00%</w:t>
            </w:r>
          </w:p>
        </w:tc>
        <w:tc>
          <w:tcPr>
            <w:tcW w:w="1606" w:type="dxa"/>
            <w:tcBorders>
              <w:top w:val="single" w:color="auto" w:sz="2" w:space="0"/>
              <w:left w:val="single" w:color="auto" w:sz="2" w:space="0"/>
              <w:bottom w:val="single" w:color="auto" w:sz="2" w:space="0"/>
              <w:right w:val="single" w:color="auto" w:sz="2" w:space="0"/>
            </w:tcBorders>
            <w:vAlign w:val="center"/>
          </w:tcPr>
          <w:p w14:paraId="1532A53C">
            <w:pPr>
              <w:spacing w:before="0" w:after="0" w:line="240" w:lineRule="exact"/>
              <w:jc w:val="right"/>
              <w:rPr>
                <w:rFonts w:ascii="宋体" w:hAnsi="宋体" w:eastAsia="宋体" w:cs="宋体"/>
                <w:sz w:val="18"/>
                <w:szCs w:val="18"/>
              </w:rPr>
            </w:pPr>
            <w:r>
              <w:rPr>
                <w:rFonts w:ascii="宋体" w:hAnsi="宋体" w:eastAsia="宋体" w:cs="宋体"/>
                <w:sz w:val="18"/>
                <w:szCs w:val="18"/>
              </w:rPr>
              <w:t>17.00%</w:t>
            </w:r>
          </w:p>
        </w:tc>
      </w:tr>
    </w:tbl>
    <w:p w14:paraId="38E2AA3B">
      <w:pPr>
        <w:spacing w:before="100" w:after="100" w:line="240" w:lineRule="exact"/>
        <w:jc w:val="left"/>
        <w:rPr>
          <w:rFonts w:ascii="宋体" w:hAnsi="宋体" w:eastAsia="宋体" w:cs="宋体"/>
          <w:sz w:val="18"/>
          <w:szCs w:val="18"/>
        </w:rPr>
      </w:pPr>
      <w:r>
        <w:rPr>
          <w:rFonts w:ascii="宋体" w:hAnsi="宋体" w:eastAsia="宋体" w:cs="宋体"/>
          <w:sz w:val="18"/>
          <w:szCs w:val="18"/>
        </w:rPr>
        <w:t>本企业的母公司情况的说明</w:t>
      </w:r>
    </w:p>
    <w:p w14:paraId="24938E97">
      <w:pPr>
        <w:spacing w:before="40" w:after="40" w:line="240" w:lineRule="exact"/>
        <w:jc w:val="left"/>
        <w:rPr>
          <w:rFonts w:ascii="宋体" w:hAnsi="宋体" w:eastAsia="宋体" w:cs="宋体"/>
          <w:sz w:val="18"/>
          <w:szCs w:val="18"/>
        </w:rPr>
      </w:pPr>
      <w:r>
        <w:rPr>
          <w:rFonts w:ascii="宋体" w:hAnsi="宋体" w:eastAsia="宋体" w:cs="宋体"/>
          <w:sz w:val="18"/>
          <w:szCs w:val="18"/>
        </w:rPr>
        <w:t>本企业最终控制方是李国平、李国栋、叶理青。</w:t>
      </w:r>
    </w:p>
    <w:p w14:paraId="4825D52F">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54317C8B">
      <w:pPr>
        <w:keepNext/>
        <w:keepLines/>
        <w:spacing w:before="300" w:after="300" w:line="280" w:lineRule="exact"/>
        <w:jc w:val="left"/>
        <w:outlineLvl w:val="2"/>
        <w:rPr>
          <w:rFonts w:ascii="宋体" w:hAnsi="宋体" w:eastAsia="宋体" w:cs="宋体"/>
          <w:b/>
          <w:bCs/>
          <w:sz w:val="21"/>
          <w:szCs w:val="21"/>
        </w:rPr>
      </w:pPr>
      <w:bookmarkStart w:id="526" w:name="_Toc989409"/>
      <w:r>
        <w:rPr>
          <w:rFonts w:ascii="宋体" w:hAnsi="宋体" w:eastAsia="宋体" w:cs="宋体"/>
          <w:b/>
          <w:bCs/>
          <w:sz w:val="21"/>
          <w:szCs w:val="21"/>
        </w:rPr>
        <w:t>2、本企业的子公司情况</w:t>
      </w:r>
      <w:bookmarkEnd w:id="526"/>
    </w:p>
    <w:p w14:paraId="3C39C366">
      <w:pPr>
        <w:spacing w:before="40" w:after="40" w:line="240" w:lineRule="exact"/>
        <w:jc w:val="left"/>
        <w:rPr>
          <w:rFonts w:ascii="宋体" w:hAnsi="宋体" w:eastAsia="宋体" w:cs="宋体"/>
          <w:sz w:val="18"/>
          <w:szCs w:val="18"/>
        </w:rPr>
      </w:pPr>
      <w:r>
        <w:rPr>
          <w:rFonts w:ascii="宋体" w:hAnsi="宋体" w:eastAsia="宋体" w:cs="宋体"/>
          <w:sz w:val="18"/>
          <w:szCs w:val="18"/>
        </w:rPr>
        <w:t>本企业子公司的情况详见附注十（一）在子公司中的权益。</w:t>
      </w:r>
    </w:p>
    <w:p w14:paraId="0166CABD">
      <w:pPr>
        <w:keepNext/>
        <w:keepLines/>
        <w:spacing w:before="300" w:after="300" w:line="280" w:lineRule="exact"/>
        <w:jc w:val="left"/>
        <w:outlineLvl w:val="2"/>
        <w:rPr>
          <w:rFonts w:ascii="宋体" w:hAnsi="宋体" w:eastAsia="宋体" w:cs="宋体"/>
          <w:b/>
          <w:bCs/>
          <w:sz w:val="21"/>
          <w:szCs w:val="21"/>
        </w:rPr>
      </w:pPr>
      <w:bookmarkStart w:id="527" w:name="_Toc989410"/>
      <w:r>
        <w:rPr>
          <w:rFonts w:ascii="宋体" w:hAnsi="宋体" w:eastAsia="宋体" w:cs="宋体"/>
          <w:b/>
          <w:bCs/>
          <w:sz w:val="21"/>
          <w:szCs w:val="21"/>
        </w:rPr>
        <w:t>3、本企业合营和联营企业情况</w:t>
      </w:r>
      <w:bookmarkEnd w:id="527"/>
    </w:p>
    <w:p w14:paraId="51983F60">
      <w:pPr>
        <w:spacing w:before="40" w:after="40" w:line="240" w:lineRule="exact"/>
        <w:jc w:val="left"/>
        <w:rPr>
          <w:rFonts w:ascii="宋体" w:hAnsi="宋体" w:eastAsia="宋体" w:cs="宋体"/>
          <w:sz w:val="18"/>
          <w:szCs w:val="18"/>
        </w:rPr>
      </w:pPr>
      <w:r>
        <w:rPr>
          <w:rFonts w:ascii="宋体" w:hAnsi="宋体" w:eastAsia="宋体" w:cs="宋体"/>
          <w:sz w:val="18"/>
          <w:szCs w:val="18"/>
        </w:rPr>
        <w:t>本企业重要的合营或联营企业详见附注十（三）在合营安排或联营企业中的权益。</w:t>
      </w:r>
    </w:p>
    <w:p w14:paraId="2E46B1DF">
      <w:pPr>
        <w:spacing w:before="100" w:after="100" w:line="240" w:lineRule="exact"/>
        <w:jc w:val="left"/>
        <w:rPr>
          <w:rFonts w:ascii="宋体" w:hAnsi="宋体" w:eastAsia="宋体" w:cs="宋体"/>
          <w:sz w:val="18"/>
          <w:szCs w:val="18"/>
        </w:rPr>
      </w:pPr>
      <w:r>
        <w:rPr>
          <w:rFonts w:ascii="宋体" w:hAnsi="宋体" w:eastAsia="宋体" w:cs="宋体"/>
          <w:sz w:val="18"/>
          <w:szCs w:val="18"/>
        </w:rPr>
        <w:t>本期与本公司发生关联方交易，或前期与本公司发生关联方交易形成余额的其他合营或联营企业情况如下：</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10FCF3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C5A562A">
            <w:pPr>
              <w:spacing w:before="40" w:after="40" w:line="240" w:lineRule="exact"/>
              <w:jc w:val="center"/>
              <w:rPr>
                <w:rFonts w:ascii="宋体" w:hAnsi="宋体" w:eastAsia="宋体" w:cs="宋体"/>
                <w:sz w:val="18"/>
                <w:szCs w:val="18"/>
              </w:rPr>
            </w:pPr>
            <w:r>
              <w:rPr>
                <w:rFonts w:ascii="宋体" w:hAnsi="宋体" w:eastAsia="宋体" w:cs="宋体"/>
                <w:sz w:val="18"/>
                <w:szCs w:val="18"/>
              </w:rPr>
              <w:t>合营或联营企业名称</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634D4EA5">
            <w:pPr>
              <w:spacing w:before="40" w:after="40" w:line="240" w:lineRule="exact"/>
              <w:jc w:val="center"/>
              <w:rPr>
                <w:rFonts w:ascii="宋体" w:hAnsi="宋体" w:eastAsia="宋体" w:cs="宋体"/>
                <w:sz w:val="18"/>
                <w:szCs w:val="18"/>
              </w:rPr>
            </w:pPr>
            <w:r>
              <w:rPr>
                <w:rFonts w:ascii="宋体" w:hAnsi="宋体" w:eastAsia="宋体" w:cs="宋体"/>
                <w:sz w:val="18"/>
                <w:szCs w:val="18"/>
              </w:rPr>
              <w:t>与本企业关系</w:t>
            </w:r>
          </w:p>
        </w:tc>
      </w:tr>
    </w:tbl>
    <w:p w14:paraId="07B712CB">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66248AEE">
      <w:pPr>
        <w:keepNext/>
        <w:keepLines/>
        <w:spacing w:before="300" w:after="300" w:line="280" w:lineRule="exact"/>
        <w:jc w:val="left"/>
        <w:outlineLvl w:val="2"/>
        <w:rPr>
          <w:rFonts w:ascii="宋体" w:hAnsi="宋体" w:eastAsia="宋体" w:cs="宋体"/>
          <w:b/>
          <w:bCs/>
          <w:sz w:val="21"/>
          <w:szCs w:val="21"/>
        </w:rPr>
      </w:pPr>
      <w:bookmarkStart w:id="528" w:name="_Toc989411"/>
      <w:r>
        <w:rPr>
          <w:rFonts w:ascii="宋体" w:hAnsi="宋体" w:eastAsia="宋体" w:cs="宋体"/>
          <w:b/>
          <w:bCs/>
          <w:sz w:val="21"/>
          <w:szCs w:val="21"/>
        </w:rPr>
        <w:t>4、其他关联方情况</w:t>
      </w:r>
      <w:bookmarkEnd w:id="528"/>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7231CA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8E9062D">
            <w:pPr>
              <w:spacing w:before="40" w:after="40" w:line="240" w:lineRule="exact"/>
              <w:jc w:val="center"/>
              <w:rPr>
                <w:rFonts w:ascii="宋体" w:hAnsi="宋体" w:eastAsia="宋体" w:cs="宋体"/>
                <w:sz w:val="18"/>
                <w:szCs w:val="18"/>
              </w:rPr>
            </w:pPr>
            <w:r>
              <w:rPr>
                <w:rFonts w:ascii="宋体" w:hAnsi="宋体" w:eastAsia="宋体" w:cs="宋体"/>
                <w:sz w:val="18"/>
                <w:szCs w:val="18"/>
              </w:rPr>
              <w:t>其他关联方名称</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022813A">
            <w:pPr>
              <w:spacing w:before="40" w:after="40" w:line="240" w:lineRule="exact"/>
              <w:jc w:val="center"/>
              <w:rPr>
                <w:rFonts w:ascii="宋体" w:hAnsi="宋体" w:eastAsia="宋体" w:cs="宋体"/>
                <w:sz w:val="18"/>
                <w:szCs w:val="18"/>
              </w:rPr>
            </w:pPr>
            <w:r>
              <w:rPr>
                <w:rFonts w:ascii="宋体" w:hAnsi="宋体" w:eastAsia="宋体" w:cs="宋体"/>
                <w:sz w:val="18"/>
                <w:szCs w:val="18"/>
              </w:rPr>
              <w:t>其他关联方与本企业关系</w:t>
            </w:r>
          </w:p>
        </w:tc>
      </w:tr>
      <w:tr w14:paraId="1D0C1D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0DF5C904">
            <w:pPr>
              <w:spacing w:before="0" w:after="0" w:line="240" w:lineRule="exact"/>
              <w:jc w:val="left"/>
              <w:rPr>
                <w:rFonts w:ascii="宋体" w:hAnsi="宋体" w:eastAsia="宋体" w:cs="宋体"/>
                <w:sz w:val="18"/>
                <w:szCs w:val="18"/>
              </w:rPr>
            </w:pPr>
            <w:r>
              <w:rPr>
                <w:rFonts w:ascii="宋体" w:hAnsi="宋体" w:eastAsia="宋体" w:cs="宋体"/>
                <w:sz w:val="18"/>
                <w:szCs w:val="18"/>
              </w:rPr>
              <w:t>奥美（福建）广告有限公司</w:t>
            </w:r>
          </w:p>
        </w:tc>
        <w:tc>
          <w:tcPr>
            <w:tcW w:w="4820" w:type="dxa"/>
            <w:tcBorders>
              <w:top w:val="single" w:color="auto" w:sz="2" w:space="0"/>
              <w:left w:val="single" w:color="auto" w:sz="2" w:space="0"/>
              <w:bottom w:val="single" w:color="auto" w:sz="2" w:space="0"/>
              <w:right w:val="single" w:color="auto" w:sz="2" w:space="0"/>
            </w:tcBorders>
            <w:vAlign w:val="center"/>
          </w:tcPr>
          <w:p w14:paraId="7FA0A780">
            <w:pPr>
              <w:spacing w:before="0" w:after="0" w:line="240" w:lineRule="exact"/>
              <w:jc w:val="left"/>
              <w:rPr>
                <w:rFonts w:ascii="宋体" w:hAnsi="宋体" w:eastAsia="宋体" w:cs="宋体"/>
                <w:sz w:val="18"/>
                <w:szCs w:val="18"/>
              </w:rPr>
            </w:pPr>
            <w:r>
              <w:rPr>
                <w:rFonts w:ascii="宋体" w:hAnsi="宋体" w:eastAsia="宋体" w:cs="宋体"/>
                <w:sz w:val="18"/>
                <w:szCs w:val="18"/>
              </w:rPr>
              <w:t>实际控制人担任董事长的公司</w:t>
            </w:r>
          </w:p>
        </w:tc>
      </w:tr>
      <w:tr w14:paraId="27CFED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08B17F3A">
            <w:pPr>
              <w:spacing w:before="0" w:after="0" w:line="240" w:lineRule="exact"/>
              <w:jc w:val="left"/>
              <w:rPr>
                <w:rFonts w:ascii="宋体" w:hAnsi="宋体" w:eastAsia="宋体" w:cs="宋体"/>
                <w:sz w:val="18"/>
                <w:szCs w:val="18"/>
              </w:rPr>
            </w:pPr>
            <w:r>
              <w:rPr>
                <w:rFonts w:ascii="宋体" w:hAnsi="宋体" w:eastAsia="宋体" w:cs="宋体"/>
                <w:sz w:val="18"/>
                <w:szCs w:val="18"/>
              </w:rPr>
              <w:t>福州与见品牌设计有限公司</w:t>
            </w:r>
          </w:p>
        </w:tc>
        <w:tc>
          <w:tcPr>
            <w:tcW w:w="4820" w:type="dxa"/>
            <w:tcBorders>
              <w:top w:val="single" w:color="auto" w:sz="2" w:space="0"/>
              <w:left w:val="single" w:color="auto" w:sz="2" w:space="0"/>
              <w:bottom w:val="single" w:color="auto" w:sz="2" w:space="0"/>
              <w:right w:val="single" w:color="auto" w:sz="2" w:space="0"/>
            </w:tcBorders>
            <w:vAlign w:val="center"/>
          </w:tcPr>
          <w:p w14:paraId="7BEB465B">
            <w:pPr>
              <w:spacing w:before="0" w:after="0" w:line="240" w:lineRule="exact"/>
              <w:jc w:val="left"/>
              <w:rPr>
                <w:rFonts w:ascii="宋体" w:hAnsi="宋体" w:eastAsia="宋体" w:cs="宋体"/>
                <w:sz w:val="18"/>
                <w:szCs w:val="18"/>
              </w:rPr>
            </w:pPr>
            <w:r>
              <w:rPr>
                <w:rFonts w:ascii="宋体" w:hAnsi="宋体" w:eastAsia="宋体" w:cs="宋体"/>
                <w:sz w:val="18"/>
                <w:szCs w:val="18"/>
              </w:rPr>
              <w:t>控股股东参股的公司</w:t>
            </w:r>
          </w:p>
        </w:tc>
      </w:tr>
      <w:tr w14:paraId="614387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256637DE">
            <w:pPr>
              <w:spacing w:before="0" w:after="0" w:line="240" w:lineRule="exact"/>
              <w:jc w:val="left"/>
              <w:rPr>
                <w:rFonts w:ascii="宋体" w:hAnsi="宋体" w:eastAsia="宋体" w:cs="宋体"/>
                <w:sz w:val="18"/>
                <w:szCs w:val="18"/>
              </w:rPr>
            </w:pPr>
            <w:r>
              <w:rPr>
                <w:rFonts w:ascii="宋体" w:hAnsi="宋体" w:eastAsia="宋体" w:cs="宋体"/>
                <w:sz w:val="18"/>
                <w:szCs w:val="18"/>
              </w:rPr>
              <w:t>福建奥龙传媒有限公司</w:t>
            </w:r>
          </w:p>
        </w:tc>
        <w:tc>
          <w:tcPr>
            <w:tcW w:w="4820" w:type="dxa"/>
            <w:tcBorders>
              <w:top w:val="single" w:color="auto" w:sz="2" w:space="0"/>
              <w:left w:val="single" w:color="auto" w:sz="2" w:space="0"/>
              <w:bottom w:val="single" w:color="auto" w:sz="2" w:space="0"/>
              <w:right w:val="single" w:color="auto" w:sz="2" w:space="0"/>
            </w:tcBorders>
            <w:vAlign w:val="center"/>
          </w:tcPr>
          <w:p w14:paraId="073D1A59">
            <w:pPr>
              <w:spacing w:before="0" w:after="0" w:line="240" w:lineRule="exact"/>
              <w:jc w:val="left"/>
              <w:rPr>
                <w:rFonts w:ascii="宋体" w:hAnsi="宋体" w:eastAsia="宋体" w:cs="宋体"/>
                <w:sz w:val="18"/>
                <w:szCs w:val="18"/>
              </w:rPr>
            </w:pPr>
            <w:r>
              <w:rPr>
                <w:rFonts w:ascii="宋体" w:hAnsi="宋体" w:eastAsia="宋体" w:cs="宋体"/>
                <w:sz w:val="18"/>
                <w:szCs w:val="18"/>
              </w:rPr>
              <w:t>控股股东参股的公司</w:t>
            </w:r>
          </w:p>
        </w:tc>
      </w:tr>
      <w:tr w14:paraId="150863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53F0F3AB">
            <w:pPr>
              <w:spacing w:before="0" w:after="0" w:line="240" w:lineRule="exact"/>
              <w:jc w:val="left"/>
              <w:rPr>
                <w:rFonts w:ascii="宋体" w:hAnsi="宋体" w:eastAsia="宋体" w:cs="宋体"/>
                <w:sz w:val="18"/>
                <w:szCs w:val="18"/>
              </w:rPr>
            </w:pPr>
            <w:r>
              <w:rPr>
                <w:rFonts w:ascii="宋体" w:hAnsi="宋体" w:eastAsia="宋体" w:cs="宋体"/>
                <w:sz w:val="18"/>
                <w:szCs w:val="18"/>
              </w:rPr>
              <w:t>福建瑞泰来医药科技有限公司</w:t>
            </w:r>
          </w:p>
        </w:tc>
        <w:tc>
          <w:tcPr>
            <w:tcW w:w="4820" w:type="dxa"/>
            <w:tcBorders>
              <w:top w:val="single" w:color="auto" w:sz="2" w:space="0"/>
              <w:left w:val="single" w:color="auto" w:sz="2" w:space="0"/>
              <w:bottom w:val="single" w:color="auto" w:sz="2" w:space="0"/>
              <w:right w:val="single" w:color="auto" w:sz="2" w:space="0"/>
            </w:tcBorders>
            <w:vAlign w:val="center"/>
          </w:tcPr>
          <w:p w14:paraId="0FDA445D">
            <w:pPr>
              <w:spacing w:before="0" w:after="0" w:line="240" w:lineRule="exact"/>
              <w:jc w:val="left"/>
              <w:rPr>
                <w:rFonts w:ascii="宋体" w:hAnsi="宋体" w:eastAsia="宋体" w:cs="宋体"/>
                <w:sz w:val="18"/>
                <w:szCs w:val="18"/>
              </w:rPr>
            </w:pPr>
            <w:r>
              <w:rPr>
                <w:rFonts w:ascii="宋体" w:hAnsi="宋体" w:eastAsia="宋体" w:cs="宋体"/>
                <w:sz w:val="18"/>
                <w:szCs w:val="18"/>
              </w:rPr>
              <w:t>控股股东高管担任董事的公司</w:t>
            </w:r>
          </w:p>
        </w:tc>
      </w:tr>
      <w:tr w14:paraId="6CD637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67C0280A">
            <w:pPr>
              <w:spacing w:before="0" w:after="0" w:line="240" w:lineRule="exact"/>
              <w:jc w:val="left"/>
              <w:rPr>
                <w:rFonts w:ascii="宋体" w:hAnsi="宋体" w:eastAsia="宋体" w:cs="宋体"/>
                <w:sz w:val="18"/>
                <w:szCs w:val="18"/>
              </w:rPr>
            </w:pPr>
            <w:r>
              <w:rPr>
                <w:rFonts w:ascii="宋体" w:hAnsi="宋体" w:eastAsia="宋体" w:cs="宋体"/>
                <w:sz w:val="18"/>
                <w:szCs w:val="18"/>
              </w:rPr>
              <w:t>JWMPharmaceuticalServices,Inc.</w:t>
            </w:r>
          </w:p>
        </w:tc>
        <w:tc>
          <w:tcPr>
            <w:tcW w:w="4820" w:type="dxa"/>
            <w:tcBorders>
              <w:top w:val="single" w:color="auto" w:sz="2" w:space="0"/>
              <w:left w:val="single" w:color="auto" w:sz="2" w:space="0"/>
              <w:bottom w:val="single" w:color="auto" w:sz="2" w:space="0"/>
              <w:right w:val="single" w:color="auto" w:sz="2" w:space="0"/>
            </w:tcBorders>
            <w:vAlign w:val="center"/>
          </w:tcPr>
          <w:p w14:paraId="56056EC5">
            <w:pPr>
              <w:spacing w:before="0" w:after="0" w:line="240" w:lineRule="exact"/>
              <w:jc w:val="left"/>
              <w:rPr>
                <w:rFonts w:ascii="宋体" w:hAnsi="宋体" w:eastAsia="宋体" w:cs="宋体"/>
                <w:sz w:val="18"/>
                <w:szCs w:val="18"/>
              </w:rPr>
            </w:pPr>
            <w:r>
              <w:rPr>
                <w:rFonts w:ascii="宋体" w:hAnsi="宋体" w:eastAsia="宋体" w:cs="宋体"/>
                <w:sz w:val="18"/>
                <w:szCs w:val="18"/>
              </w:rPr>
              <w:t>首席科学家兼首席开发官毛伟忠控制的公司</w:t>
            </w:r>
          </w:p>
        </w:tc>
      </w:tr>
      <w:tr w14:paraId="7352CE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66ABE67F">
            <w:pPr>
              <w:spacing w:before="0" w:after="0" w:line="240" w:lineRule="exact"/>
              <w:jc w:val="left"/>
              <w:rPr>
                <w:rFonts w:ascii="宋体" w:hAnsi="宋体" w:eastAsia="宋体" w:cs="宋体"/>
                <w:sz w:val="18"/>
                <w:szCs w:val="18"/>
              </w:rPr>
            </w:pPr>
            <w:r>
              <w:rPr>
                <w:rFonts w:ascii="宋体" w:hAnsi="宋体" w:eastAsia="宋体" w:cs="宋体"/>
                <w:sz w:val="18"/>
                <w:szCs w:val="18"/>
              </w:rPr>
              <w:t>福州吉昂医学检验实验室有限公司</w:t>
            </w:r>
          </w:p>
        </w:tc>
        <w:tc>
          <w:tcPr>
            <w:tcW w:w="4820" w:type="dxa"/>
            <w:tcBorders>
              <w:top w:val="single" w:color="auto" w:sz="2" w:space="0"/>
              <w:left w:val="single" w:color="auto" w:sz="2" w:space="0"/>
              <w:bottom w:val="single" w:color="auto" w:sz="2" w:space="0"/>
              <w:right w:val="single" w:color="auto" w:sz="2" w:space="0"/>
            </w:tcBorders>
            <w:vAlign w:val="center"/>
          </w:tcPr>
          <w:p w14:paraId="30D9B2FA">
            <w:pPr>
              <w:spacing w:before="0" w:after="0" w:line="240" w:lineRule="exact"/>
              <w:jc w:val="left"/>
              <w:rPr>
                <w:rFonts w:ascii="宋体" w:hAnsi="宋体" w:eastAsia="宋体" w:cs="宋体"/>
                <w:sz w:val="18"/>
                <w:szCs w:val="18"/>
              </w:rPr>
            </w:pPr>
            <w:r>
              <w:rPr>
                <w:rFonts w:ascii="宋体" w:hAnsi="宋体" w:eastAsia="宋体" w:cs="宋体"/>
                <w:sz w:val="18"/>
                <w:szCs w:val="18"/>
              </w:rPr>
              <w:t>控股股东间接参股的公司</w:t>
            </w:r>
          </w:p>
        </w:tc>
      </w:tr>
      <w:tr w14:paraId="1C6646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62DF9016">
            <w:pPr>
              <w:spacing w:before="0" w:after="0" w:line="240" w:lineRule="exact"/>
              <w:jc w:val="left"/>
              <w:rPr>
                <w:rFonts w:ascii="宋体" w:hAnsi="宋体" w:eastAsia="宋体" w:cs="宋体"/>
                <w:sz w:val="18"/>
                <w:szCs w:val="18"/>
              </w:rPr>
            </w:pPr>
            <w:r>
              <w:rPr>
                <w:rFonts w:ascii="宋体" w:hAnsi="宋体" w:eastAsia="宋体" w:cs="宋体"/>
                <w:sz w:val="18"/>
                <w:szCs w:val="18"/>
              </w:rPr>
              <w:t>福建阿吉安生物科技有限公司</w:t>
            </w:r>
          </w:p>
        </w:tc>
        <w:tc>
          <w:tcPr>
            <w:tcW w:w="4820" w:type="dxa"/>
            <w:tcBorders>
              <w:top w:val="single" w:color="auto" w:sz="2" w:space="0"/>
              <w:left w:val="single" w:color="auto" w:sz="2" w:space="0"/>
              <w:bottom w:val="single" w:color="auto" w:sz="2" w:space="0"/>
              <w:right w:val="single" w:color="auto" w:sz="2" w:space="0"/>
            </w:tcBorders>
            <w:vAlign w:val="center"/>
          </w:tcPr>
          <w:p w14:paraId="3CB9361D">
            <w:pPr>
              <w:spacing w:before="0" w:after="0" w:line="240" w:lineRule="exact"/>
              <w:jc w:val="left"/>
              <w:rPr>
                <w:rFonts w:ascii="宋体" w:hAnsi="宋体" w:eastAsia="宋体" w:cs="宋体"/>
                <w:sz w:val="18"/>
                <w:szCs w:val="18"/>
              </w:rPr>
            </w:pPr>
            <w:r>
              <w:rPr>
                <w:rFonts w:ascii="宋体" w:hAnsi="宋体" w:eastAsia="宋体" w:cs="宋体"/>
                <w:sz w:val="18"/>
                <w:szCs w:val="18"/>
              </w:rPr>
              <w:t>控股股东高管担任董事的公司</w:t>
            </w:r>
          </w:p>
        </w:tc>
      </w:tr>
      <w:tr w14:paraId="7286E0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1CD0C4EB">
            <w:pPr>
              <w:spacing w:before="0" w:after="0" w:line="240" w:lineRule="exact"/>
              <w:jc w:val="left"/>
              <w:rPr>
                <w:rFonts w:ascii="宋体" w:hAnsi="宋体" w:eastAsia="宋体" w:cs="宋体"/>
                <w:sz w:val="18"/>
                <w:szCs w:val="18"/>
              </w:rPr>
            </w:pPr>
            <w:r>
              <w:rPr>
                <w:rFonts w:ascii="宋体" w:hAnsi="宋体" w:eastAsia="宋体" w:cs="宋体"/>
                <w:sz w:val="18"/>
                <w:szCs w:val="18"/>
              </w:rPr>
              <w:t>福州奥泰六期投资合伙企业（有限合伙）</w:t>
            </w:r>
          </w:p>
        </w:tc>
        <w:tc>
          <w:tcPr>
            <w:tcW w:w="4820" w:type="dxa"/>
            <w:tcBorders>
              <w:top w:val="single" w:color="auto" w:sz="2" w:space="0"/>
              <w:left w:val="single" w:color="auto" w:sz="2" w:space="0"/>
              <w:bottom w:val="single" w:color="auto" w:sz="2" w:space="0"/>
              <w:right w:val="single" w:color="auto" w:sz="2" w:space="0"/>
            </w:tcBorders>
            <w:vAlign w:val="center"/>
          </w:tcPr>
          <w:p w14:paraId="46C97428">
            <w:pPr>
              <w:spacing w:before="0" w:after="0" w:line="240" w:lineRule="exact"/>
              <w:jc w:val="left"/>
              <w:rPr>
                <w:rFonts w:ascii="宋体" w:hAnsi="宋体" w:eastAsia="宋体" w:cs="宋体"/>
                <w:sz w:val="18"/>
                <w:szCs w:val="18"/>
              </w:rPr>
            </w:pPr>
            <w:r>
              <w:rPr>
                <w:rFonts w:ascii="宋体" w:hAnsi="宋体" w:eastAsia="宋体" w:cs="宋体"/>
                <w:sz w:val="18"/>
                <w:szCs w:val="18"/>
              </w:rPr>
              <w:t>董事黄伏虎担任执行事务合伙人</w:t>
            </w:r>
          </w:p>
        </w:tc>
      </w:tr>
      <w:tr w14:paraId="0C2B1F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12B9CCE0">
            <w:pPr>
              <w:spacing w:before="0" w:after="0" w:line="240" w:lineRule="exact"/>
              <w:jc w:val="left"/>
              <w:rPr>
                <w:rFonts w:ascii="宋体" w:hAnsi="宋体" w:eastAsia="宋体" w:cs="宋体"/>
                <w:sz w:val="18"/>
                <w:szCs w:val="18"/>
              </w:rPr>
            </w:pPr>
            <w:r>
              <w:rPr>
                <w:rFonts w:ascii="宋体" w:hAnsi="宋体" w:eastAsia="宋体" w:cs="宋体"/>
                <w:sz w:val="18"/>
                <w:szCs w:val="18"/>
              </w:rPr>
              <w:t>福州奥泰五期投资合伙企业（有限合伙）</w:t>
            </w:r>
          </w:p>
        </w:tc>
        <w:tc>
          <w:tcPr>
            <w:tcW w:w="4820" w:type="dxa"/>
            <w:tcBorders>
              <w:top w:val="single" w:color="auto" w:sz="2" w:space="0"/>
              <w:left w:val="single" w:color="auto" w:sz="2" w:space="0"/>
              <w:bottom w:val="single" w:color="auto" w:sz="2" w:space="0"/>
              <w:right w:val="single" w:color="auto" w:sz="2" w:space="0"/>
            </w:tcBorders>
            <w:vAlign w:val="center"/>
          </w:tcPr>
          <w:p w14:paraId="262C70BC">
            <w:pPr>
              <w:spacing w:before="0" w:after="0" w:line="240" w:lineRule="exact"/>
              <w:jc w:val="left"/>
              <w:rPr>
                <w:rFonts w:ascii="宋体" w:hAnsi="宋体" w:eastAsia="宋体" w:cs="宋体"/>
                <w:sz w:val="18"/>
                <w:szCs w:val="18"/>
              </w:rPr>
            </w:pPr>
            <w:r>
              <w:rPr>
                <w:rFonts w:ascii="宋体" w:hAnsi="宋体" w:eastAsia="宋体" w:cs="宋体"/>
                <w:sz w:val="18"/>
                <w:szCs w:val="18"/>
              </w:rPr>
              <w:t>高管官建辉担任执行事务合伙人</w:t>
            </w:r>
          </w:p>
        </w:tc>
      </w:tr>
      <w:tr w14:paraId="6F4284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49397327">
            <w:pPr>
              <w:spacing w:before="0" w:after="0" w:line="240" w:lineRule="exact"/>
              <w:jc w:val="left"/>
              <w:rPr>
                <w:rFonts w:ascii="宋体" w:hAnsi="宋体" w:eastAsia="宋体" w:cs="宋体"/>
                <w:sz w:val="18"/>
                <w:szCs w:val="18"/>
              </w:rPr>
            </w:pPr>
            <w:r>
              <w:rPr>
                <w:rFonts w:ascii="宋体" w:hAnsi="宋体" w:eastAsia="宋体" w:cs="宋体"/>
                <w:sz w:val="18"/>
                <w:szCs w:val="18"/>
              </w:rPr>
              <w:t>劲久达大健康科技（福建）有限公司</w:t>
            </w:r>
          </w:p>
        </w:tc>
        <w:tc>
          <w:tcPr>
            <w:tcW w:w="4820" w:type="dxa"/>
            <w:tcBorders>
              <w:top w:val="single" w:color="auto" w:sz="2" w:space="0"/>
              <w:left w:val="single" w:color="auto" w:sz="2" w:space="0"/>
              <w:bottom w:val="single" w:color="auto" w:sz="2" w:space="0"/>
              <w:right w:val="single" w:color="auto" w:sz="2" w:space="0"/>
            </w:tcBorders>
            <w:vAlign w:val="center"/>
          </w:tcPr>
          <w:p w14:paraId="1A507907">
            <w:pPr>
              <w:spacing w:before="0" w:after="0" w:line="240" w:lineRule="exact"/>
              <w:jc w:val="left"/>
              <w:rPr>
                <w:rFonts w:ascii="宋体" w:hAnsi="宋体" w:eastAsia="宋体" w:cs="宋体"/>
                <w:sz w:val="18"/>
                <w:szCs w:val="18"/>
              </w:rPr>
            </w:pPr>
            <w:r>
              <w:rPr>
                <w:rFonts w:ascii="宋体" w:hAnsi="宋体" w:eastAsia="宋体" w:cs="宋体"/>
                <w:sz w:val="18"/>
                <w:szCs w:val="18"/>
              </w:rPr>
              <w:t>控股股东参股的公司</w:t>
            </w:r>
          </w:p>
        </w:tc>
      </w:tr>
      <w:tr w14:paraId="05BDCB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14:paraId="71B83CF0">
            <w:pPr>
              <w:spacing w:before="0" w:after="0" w:line="240" w:lineRule="exact"/>
              <w:jc w:val="left"/>
              <w:rPr>
                <w:rFonts w:ascii="宋体" w:hAnsi="宋体" w:eastAsia="宋体" w:cs="宋体"/>
                <w:sz w:val="18"/>
                <w:szCs w:val="18"/>
              </w:rPr>
            </w:pPr>
            <w:r>
              <w:rPr>
                <w:rFonts w:ascii="宋体" w:hAnsi="宋体" w:eastAsia="宋体" w:cs="宋体"/>
                <w:sz w:val="18"/>
                <w:szCs w:val="18"/>
              </w:rPr>
              <w:t>上海和则生投资发展有限公司</w:t>
            </w:r>
          </w:p>
        </w:tc>
        <w:tc>
          <w:tcPr>
            <w:tcW w:w="4820" w:type="dxa"/>
            <w:tcBorders>
              <w:top w:val="single" w:color="auto" w:sz="2" w:space="0"/>
              <w:left w:val="single" w:color="auto" w:sz="2" w:space="0"/>
              <w:bottom w:val="single" w:color="auto" w:sz="2" w:space="0"/>
              <w:right w:val="single" w:color="auto" w:sz="2" w:space="0"/>
            </w:tcBorders>
            <w:vAlign w:val="center"/>
          </w:tcPr>
          <w:p w14:paraId="49D7EE52">
            <w:pPr>
              <w:spacing w:before="0" w:after="0" w:line="240" w:lineRule="exact"/>
              <w:jc w:val="left"/>
              <w:rPr>
                <w:rFonts w:ascii="宋体" w:hAnsi="宋体" w:eastAsia="宋体" w:cs="宋体"/>
                <w:sz w:val="18"/>
                <w:szCs w:val="18"/>
              </w:rPr>
            </w:pPr>
            <w:r>
              <w:rPr>
                <w:rFonts w:ascii="宋体" w:hAnsi="宋体" w:eastAsia="宋体" w:cs="宋体"/>
                <w:sz w:val="18"/>
                <w:szCs w:val="18"/>
              </w:rPr>
              <w:t>实际控制人控制的公司</w:t>
            </w:r>
          </w:p>
        </w:tc>
      </w:tr>
    </w:tbl>
    <w:p w14:paraId="206B998D">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170EF11F">
      <w:pPr>
        <w:keepNext/>
        <w:keepLines/>
        <w:spacing w:before="300" w:after="300" w:line="280" w:lineRule="exact"/>
        <w:jc w:val="left"/>
        <w:outlineLvl w:val="2"/>
        <w:rPr>
          <w:rFonts w:ascii="宋体" w:hAnsi="宋体" w:eastAsia="宋体" w:cs="宋体"/>
          <w:b/>
          <w:bCs/>
          <w:sz w:val="21"/>
          <w:szCs w:val="21"/>
        </w:rPr>
      </w:pPr>
      <w:bookmarkStart w:id="529" w:name="_Toc989412"/>
      <w:r>
        <w:rPr>
          <w:rFonts w:ascii="宋体" w:hAnsi="宋体" w:eastAsia="宋体" w:cs="宋体"/>
          <w:b/>
          <w:bCs/>
          <w:sz w:val="21"/>
          <w:szCs w:val="21"/>
        </w:rPr>
        <w:t>5、关联交易情况</w:t>
      </w:r>
      <w:bookmarkEnd w:id="529"/>
    </w:p>
    <w:p w14:paraId="7635F5D1">
      <w:pPr>
        <w:keepNext/>
        <w:keepLines/>
        <w:spacing w:before="300" w:after="300" w:line="280" w:lineRule="exact"/>
        <w:jc w:val="left"/>
        <w:outlineLvl w:val="3"/>
        <w:rPr>
          <w:rFonts w:ascii="宋体" w:hAnsi="宋体" w:eastAsia="宋体" w:cs="宋体"/>
          <w:b/>
          <w:bCs/>
          <w:sz w:val="21"/>
          <w:szCs w:val="21"/>
        </w:rPr>
      </w:pPr>
      <w:bookmarkStart w:id="530" w:name="_Toc989413"/>
      <w:r>
        <w:rPr>
          <w:rFonts w:ascii="宋体" w:hAnsi="宋体" w:eastAsia="宋体" w:cs="宋体"/>
          <w:b/>
          <w:bCs/>
          <w:sz w:val="21"/>
          <w:szCs w:val="21"/>
        </w:rPr>
        <w:t>（1） 购销商品、提供和接受劳务的关联交易</w:t>
      </w:r>
      <w:bookmarkEnd w:id="530"/>
    </w:p>
    <w:p w14:paraId="5B635B08">
      <w:pPr>
        <w:spacing w:before="40" w:after="40" w:line="240" w:lineRule="exact"/>
        <w:jc w:val="left"/>
        <w:rPr>
          <w:rFonts w:ascii="宋体" w:hAnsi="宋体" w:eastAsia="宋体" w:cs="宋体"/>
          <w:sz w:val="18"/>
          <w:szCs w:val="18"/>
        </w:rPr>
      </w:pPr>
      <w:r>
        <w:rPr>
          <w:rFonts w:ascii="宋体" w:hAnsi="宋体" w:eastAsia="宋体" w:cs="宋体"/>
          <w:sz w:val="18"/>
          <w:szCs w:val="18"/>
        </w:rPr>
        <w:t>采购商品/接受劳务情况表</w:t>
      </w:r>
    </w:p>
    <w:p w14:paraId="25FE4B42">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3980E1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4E29C05">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FA12B18">
            <w:pPr>
              <w:spacing w:before="40" w:after="40" w:line="240" w:lineRule="exact"/>
              <w:jc w:val="center"/>
              <w:rPr>
                <w:rFonts w:ascii="宋体" w:hAnsi="宋体" w:eastAsia="宋体" w:cs="宋体"/>
                <w:sz w:val="18"/>
                <w:szCs w:val="18"/>
              </w:rPr>
            </w:pPr>
            <w:r>
              <w:rPr>
                <w:rFonts w:ascii="宋体" w:hAnsi="宋体" w:eastAsia="宋体" w:cs="宋体"/>
                <w:sz w:val="18"/>
                <w:szCs w:val="18"/>
              </w:rPr>
              <w:t>关联交易内容</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B8E84DD">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958A95A">
            <w:pPr>
              <w:spacing w:before="40" w:after="40" w:line="240" w:lineRule="exact"/>
              <w:jc w:val="center"/>
              <w:rPr>
                <w:rFonts w:ascii="宋体" w:hAnsi="宋体" w:eastAsia="宋体" w:cs="宋体"/>
                <w:sz w:val="18"/>
                <w:szCs w:val="18"/>
              </w:rPr>
            </w:pPr>
            <w:r>
              <w:rPr>
                <w:rFonts w:ascii="宋体" w:hAnsi="宋体" w:eastAsia="宋体" w:cs="宋体"/>
                <w:sz w:val="18"/>
                <w:szCs w:val="18"/>
              </w:rPr>
              <w:t>获批的交易额度</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828208D">
            <w:pPr>
              <w:spacing w:before="40" w:after="40" w:line="240" w:lineRule="exact"/>
              <w:jc w:val="center"/>
              <w:rPr>
                <w:rFonts w:ascii="宋体" w:hAnsi="宋体" w:eastAsia="宋体" w:cs="宋体"/>
                <w:sz w:val="18"/>
                <w:szCs w:val="18"/>
              </w:rPr>
            </w:pPr>
            <w:r>
              <w:rPr>
                <w:rFonts w:ascii="宋体" w:hAnsi="宋体" w:eastAsia="宋体" w:cs="宋体"/>
                <w:sz w:val="18"/>
                <w:szCs w:val="18"/>
              </w:rPr>
              <w:t>是否超过交易额度</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E28F8C6">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0F26F8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0644DA77">
            <w:pPr>
              <w:spacing w:before="0" w:after="0" w:line="240" w:lineRule="exact"/>
              <w:jc w:val="left"/>
              <w:rPr>
                <w:rFonts w:ascii="宋体" w:hAnsi="宋体" w:eastAsia="宋体" w:cs="宋体"/>
                <w:sz w:val="18"/>
                <w:szCs w:val="18"/>
              </w:rPr>
            </w:pPr>
            <w:r>
              <w:rPr>
                <w:rFonts w:ascii="宋体" w:hAnsi="宋体" w:eastAsia="宋体" w:cs="宋体"/>
                <w:sz w:val="18"/>
                <w:szCs w:val="18"/>
              </w:rPr>
              <w:t>奥美（福建）广告有限公司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3E136664">
            <w:pPr>
              <w:spacing w:before="0" w:after="0" w:line="240" w:lineRule="exact"/>
              <w:jc w:val="left"/>
              <w:rPr>
                <w:rFonts w:ascii="宋体" w:hAnsi="宋体" w:eastAsia="宋体" w:cs="宋体"/>
                <w:sz w:val="18"/>
                <w:szCs w:val="18"/>
              </w:rPr>
            </w:pPr>
            <w:r>
              <w:rPr>
                <w:rFonts w:ascii="宋体" w:hAnsi="宋体" w:eastAsia="宋体" w:cs="宋体"/>
                <w:sz w:val="18"/>
                <w:szCs w:val="18"/>
              </w:rPr>
              <w:t>设计、策划服务费用</w:t>
            </w:r>
          </w:p>
        </w:tc>
        <w:tc>
          <w:tcPr>
            <w:tcW w:w="1606" w:type="dxa"/>
            <w:tcBorders>
              <w:top w:val="single" w:color="auto" w:sz="2" w:space="0"/>
              <w:left w:val="single" w:color="auto" w:sz="2" w:space="0"/>
              <w:bottom w:val="single" w:color="auto" w:sz="2" w:space="0"/>
              <w:right w:val="single" w:color="auto" w:sz="2" w:space="0"/>
            </w:tcBorders>
            <w:vAlign w:val="center"/>
          </w:tcPr>
          <w:p w14:paraId="55FD0324">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7DB1EB5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E942919">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24F96372">
            <w:pPr>
              <w:spacing w:before="0" w:after="0" w:line="240" w:lineRule="exact"/>
              <w:jc w:val="right"/>
              <w:rPr>
                <w:rFonts w:ascii="宋体" w:hAnsi="宋体" w:eastAsia="宋体" w:cs="宋体"/>
                <w:sz w:val="18"/>
                <w:szCs w:val="18"/>
              </w:rPr>
            </w:pPr>
            <w:r>
              <w:rPr>
                <w:rFonts w:ascii="宋体" w:hAnsi="宋体" w:eastAsia="宋体" w:cs="宋体"/>
                <w:sz w:val="18"/>
                <w:szCs w:val="18"/>
              </w:rPr>
              <w:t>75,471.70</w:t>
            </w:r>
          </w:p>
        </w:tc>
      </w:tr>
      <w:tr w14:paraId="3FB824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5B10694D">
            <w:pPr>
              <w:spacing w:before="0" w:after="0" w:line="240" w:lineRule="exact"/>
              <w:jc w:val="left"/>
              <w:rPr>
                <w:rFonts w:ascii="宋体" w:hAnsi="宋体" w:eastAsia="宋体" w:cs="宋体"/>
                <w:sz w:val="18"/>
                <w:szCs w:val="18"/>
              </w:rPr>
            </w:pPr>
            <w:r>
              <w:rPr>
                <w:rFonts w:ascii="宋体" w:hAnsi="宋体" w:eastAsia="宋体" w:cs="宋体"/>
                <w:sz w:val="18"/>
                <w:szCs w:val="18"/>
              </w:rPr>
              <w:t>福州与见品牌设计有限公司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441EB237">
            <w:pPr>
              <w:spacing w:before="0" w:after="0" w:line="240" w:lineRule="exact"/>
              <w:jc w:val="left"/>
              <w:rPr>
                <w:rFonts w:ascii="宋体" w:hAnsi="宋体" w:eastAsia="宋体" w:cs="宋体"/>
                <w:sz w:val="18"/>
                <w:szCs w:val="18"/>
              </w:rPr>
            </w:pPr>
            <w:r>
              <w:rPr>
                <w:rFonts w:ascii="宋体" w:hAnsi="宋体" w:eastAsia="宋体" w:cs="宋体"/>
                <w:sz w:val="18"/>
                <w:szCs w:val="18"/>
              </w:rPr>
              <w:t>设计、策划服务费用</w:t>
            </w:r>
          </w:p>
        </w:tc>
        <w:tc>
          <w:tcPr>
            <w:tcW w:w="1606" w:type="dxa"/>
            <w:tcBorders>
              <w:top w:val="single" w:color="auto" w:sz="2" w:space="0"/>
              <w:left w:val="single" w:color="auto" w:sz="2" w:space="0"/>
              <w:bottom w:val="single" w:color="auto" w:sz="2" w:space="0"/>
              <w:right w:val="single" w:color="auto" w:sz="2" w:space="0"/>
            </w:tcBorders>
            <w:vAlign w:val="center"/>
          </w:tcPr>
          <w:p w14:paraId="724F240A">
            <w:pPr>
              <w:spacing w:before="0" w:after="0" w:line="240" w:lineRule="exact"/>
              <w:jc w:val="right"/>
              <w:rPr>
                <w:rFonts w:ascii="宋体" w:hAnsi="宋体" w:eastAsia="宋体" w:cs="宋体"/>
                <w:sz w:val="18"/>
                <w:szCs w:val="18"/>
              </w:rPr>
            </w:pPr>
            <w:r>
              <w:rPr>
                <w:rFonts w:ascii="宋体" w:hAnsi="宋体" w:eastAsia="宋体" w:cs="宋体"/>
                <w:sz w:val="18"/>
                <w:szCs w:val="18"/>
              </w:rPr>
              <w:t>87,295.90</w:t>
            </w:r>
          </w:p>
        </w:tc>
        <w:tc>
          <w:tcPr>
            <w:tcW w:w="1606" w:type="dxa"/>
            <w:tcBorders>
              <w:top w:val="single" w:color="auto" w:sz="2" w:space="0"/>
              <w:left w:val="single" w:color="auto" w:sz="2" w:space="0"/>
              <w:bottom w:val="single" w:color="auto" w:sz="2" w:space="0"/>
              <w:right w:val="single" w:color="auto" w:sz="2" w:space="0"/>
            </w:tcBorders>
            <w:vAlign w:val="center"/>
          </w:tcPr>
          <w:p w14:paraId="034E81F0">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DC63BBE">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C59CF21">
            <w:pPr>
              <w:spacing w:before="0" w:after="0" w:line="240" w:lineRule="exact"/>
              <w:jc w:val="right"/>
              <w:rPr>
                <w:rFonts w:ascii="宋体" w:hAnsi="宋体" w:eastAsia="宋体" w:cs="宋体"/>
                <w:sz w:val="18"/>
                <w:szCs w:val="18"/>
              </w:rPr>
            </w:pPr>
            <w:r>
              <w:rPr>
                <w:rFonts w:ascii="宋体" w:hAnsi="宋体" w:eastAsia="宋体" w:cs="宋体"/>
                <w:sz w:val="18"/>
                <w:szCs w:val="18"/>
              </w:rPr>
              <w:t>470,327.85</w:t>
            </w:r>
          </w:p>
        </w:tc>
      </w:tr>
      <w:tr w14:paraId="29C0EF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0DACD05B">
            <w:pPr>
              <w:spacing w:before="0" w:after="0" w:line="240" w:lineRule="exact"/>
              <w:jc w:val="left"/>
              <w:rPr>
                <w:rFonts w:ascii="宋体" w:hAnsi="宋体" w:eastAsia="宋体" w:cs="宋体"/>
                <w:sz w:val="18"/>
                <w:szCs w:val="18"/>
              </w:rPr>
            </w:pPr>
            <w:r>
              <w:rPr>
                <w:rFonts w:ascii="宋体" w:hAnsi="宋体" w:eastAsia="宋体" w:cs="宋体"/>
                <w:sz w:val="18"/>
                <w:szCs w:val="18"/>
              </w:rPr>
              <w:t>福建奥龙传媒有限公司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365E261D">
            <w:pPr>
              <w:spacing w:before="0" w:after="0" w:line="240" w:lineRule="exact"/>
              <w:jc w:val="left"/>
              <w:rPr>
                <w:rFonts w:ascii="宋体" w:hAnsi="宋体" w:eastAsia="宋体" w:cs="宋体"/>
                <w:sz w:val="18"/>
                <w:szCs w:val="18"/>
              </w:rPr>
            </w:pPr>
            <w:r>
              <w:rPr>
                <w:rFonts w:ascii="宋体" w:hAnsi="宋体" w:eastAsia="宋体" w:cs="宋体"/>
                <w:sz w:val="18"/>
                <w:szCs w:val="18"/>
              </w:rPr>
              <w:t>设计、策划服务费用</w:t>
            </w:r>
          </w:p>
        </w:tc>
        <w:tc>
          <w:tcPr>
            <w:tcW w:w="1606" w:type="dxa"/>
            <w:tcBorders>
              <w:top w:val="single" w:color="auto" w:sz="2" w:space="0"/>
              <w:left w:val="single" w:color="auto" w:sz="2" w:space="0"/>
              <w:bottom w:val="single" w:color="auto" w:sz="2" w:space="0"/>
              <w:right w:val="single" w:color="auto" w:sz="2" w:space="0"/>
            </w:tcBorders>
            <w:vAlign w:val="center"/>
          </w:tcPr>
          <w:p w14:paraId="65AE733C">
            <w:pPr>
              <w:spacing w:before="0" w:after="0" w:line="240" w:lineRule="exact"/>
              <w:jc w:val="right"/>
              <w:rPr>
                <w:rFonts w:ascii="宋体" w:hAnsi="宋体" w:eastAsia="宋体" w:cs="宋体"/>
                <w:sz w:val="18"/>
                <w:szCs w:val="18"/>
              </w:rPr>
            </w:pPr>
            <w:r>
              <w:rPr>
                <w:rFonts w:ascii="宋体" w:hAnsi="宋体" w:eastAsia="宋体" w:cs="宋体"/>
                <w:sz w:val="18"/>
                <w:szCs w:val="18"/>
              </w:rPr>
              <w:t>469,372.27</w:t>
            </w:r>
          </w:p>
        </w:tc>
        <w:tc>
          <w:tcPr>
            <w:tcW w:w="1606" w:type="dxa"/>
            <w:tcBorders>
              <w:top w:val="single" w:color="auto" w:sz="2" w:space="0"/>
              <w:left w:val="single" w:color="auto" w:sz="2" w:space="0"/>
              <w:bottom w:val="single" w:color="auto" w:sz="2" w:space="0"/>
              <w:right w:val="single" w:color="auto" w:sz="2" w:space="0"/>
            </w:tcBorders>
            <w:vAlign w:val="center"/>
          </w:tcPr>
          <w:p w14:paraId="4A1BF8A9">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9795A6A">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2D6B935B">
            <w:pPr>
              <w:spacing w:before="0" w:after="0" w:line="240" w:lineRule="exact"/>
              <w:jc w:val="right"/>
              <w:rPr>
                <w:rFonts w:ascii="宋体" w:hAnsi="宋体" w:eastAsia="宋体" w:cs="宋体"/>
                <w:sz w:val="18"/>
                <w:szCs w:val="18"/>
              </w:rPr>
            </w:pPr>
            <w:r>
              <w:rPr>
                <w:rFonts w:ascii="宋体" w:hAnsi="宋体" w:eastAsia="宋体" w:cs="宋体"/>
                <w:sz w:val="18"/>
                <w:szCs w:val="18"/>
              </w:rPr>
              <w:t>478,851.89</w:t>
            </w:r>
          </w:p>
        </w:tc>
      </w:tr>
      <w:tr w14:paraId="0E0751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4010669F">
            <w:pPr>
              <w:spacing w:before="0" w:after="0" w:line="240" w:lineRule="exact"/>
              <w:jc w:val="left"/>
              <w:rPr>
                <w:rFonts w:ascii="宋体" w:hAnsi="宋体" w:eastAsia="宋体" w:cs="宋体"/>
                <w:sz w:val="18"/>
                <w:szCs w:val="18"/>
              </w:rPr>
            </w:pPr>
            <w:r>
              <w:rPr>
                <w:rFonts w:ascii="宋体" w:hAnsi="宋体" w:eastAsia="宋体" w:cs="宋体"/>
                <w:sz w:val="18"/>
                <w:szCs w:val="18"/>
              </w:rPr>
              <w:t>福建瑞泰来医药科技有限公司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25704209">
            <w:pPr>
              <w:spacing w:before="0" w:after="0" w:line="240" w:lineRule="exact"/>
              <w:jc w:val="left"/>
              <w:rPr>
                <w:rFonts w:ascii="宋体" w:hAnsi="宋体" w:eastAsia="宋体" w:cs="宋体"/>
                <w:sz w:val="18"/>
                <w:szCs w:val="18"/>
              </w:rPr>
            </w:pPr>
            <w:r>
              <w:rPr>
                <w:rFonts w:ascii="宋体" w:hAnsi="宋体" w:eastAsia="宋体" w:cs="宋体"/>
                <w:sz w:val="18"/>
                <w:szCs w:val="18"/>
              </w:rPr>
              <w:t>技术服务/批件</w:t>
            </w:r>
          </w:p>
        </w:tc>
        <w:tc>
          <w:tcPr>
            <w:tcW w:w="1606" w:type="dxa"/>
            <w:tcBorders>
              <w:top w:val="single" w:color="auto" w:sz="2" w:space="0"/>
              <w:left w:val="single" w:color="auto" w:sz="2" w:space="0"/>
              <w:bottom w:val="single" w:color="auto" w:sz="2" w:space="0"/>
              <w:right w:val="single" w:color="auto" w:sz="2" w:space="0"/>
            </w:tcBorders>
            <w:vAlign w:val="center"/>
          </w:tcPr>
          <w:p w14:paraId="3D4F0295">
            <w:pPr>
              <w:spacing w:before="0" w:after="0" w:line="240" w:lineRule="exact"/>
              <w:jc w:val="right"/>
              <w:rPr>
                <w:rFonts w:ascii="宋体" w:hAnsi="宋体" w:eastAsia="宋体" w:cs="宋体"/>
                <w:sz w:val="18"/>
                <w:szCs w:val="18"/>
              </w:rPr>
            </w:pPr>
            <w:r>
              <w:rPr>
                <w:rFonts w:ascii="宋体" w:hAnsi="宋体" w:eastAsia="宋体" w:cs="宋体"/>
                <w:sz w:val="18"/>
                <w:szCs w:val="18"/>
              </w:rPr>
              <w:t>14,815,849.05</w:t>
            </w:r>
          </w:p>
        </w:tc>
        <w:tc>
          <w:tcPr>
            <w:tcW w:w="1606" w:type="dxa"/>
            <w:tcBorders>
              <w:top w:val="single" w:color="auto" w:sz="2" w:space="0"/>
              <w:left w:val="single" w:color="auto" w:sz="2" w:space="0"/>
              <w:bottom w:val="single" w:color="auto" w:sz="2" w:space="0"/>
              <w:right w:val="single" w:color="auto" w:sz="2" w:space="0"/>
            </w:tcBorders>
            <w:vAlign w:val="center"/>
          </w:tcPr>
          <w:p w14:paraId="5EA4A024">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0214E8F5">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88CE3C8">
            <w:pPr>
              <w:spacing w:before="0" w:after="0" w:line="240" w:lineRule="exact"/>
              <w:jc w:val="right"/>
              <w:rPr>
                <w:rFonts w:ascii="宋体" w:hAnsi="宋体" w:eastAsia="宋体" w:cs="宋体"/>
                <w:sz w:val="18"/>
                <w:szCs w:val="18"/>
              </w:rPr>
            </w:pPr>
            <w:r>
              <w:rPr>
                <w:rFonts w:ascii="宋体" w:hAnsi="宋体" w:eastAsia="宋体" w:cs="宋体"/>
                <w:sz w:val="18"/>
                <w:szCs w:val="18"/>
              </w:rPr>
              <w:t>31,464,285.97</w:t>
            </w:r>
          </w:p>
        </w:tc>
      </w:tr>
      <w:tr w14:paraId="5C8822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4BDBA03E">
            <w:pPr>
              <w:spacing w:before="0" w:after="0" w:line="240" w:lineRule="exact"/>
              <w:jc w:val="lef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vAlign w:val="center"/>
          </w:tcPr>
          <w:p w14:paraId="00AB09EE">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B013B48">
            <w:pPr>
              <w:spacing w:before="0" w:after="0" w:line="240" w:lineRule="exact"/>
              <w:jc w:val="right"/>
              <w:rPr>
                <w:rFonts w:ascii="宋体" w:hAnsi="宋体" w:eastAsia="宋体" w:cs="宋体"/>
                <w:sz w:val="18"/>
                <w:szCs w:val="18"/>
              </w:rPr>
            </w:pPr>
            <w:r>
              <w:rPr>
                <w:rFonts w:ascii="宋体" w:hAnsi="宋体" w:eastAsia="宋体" w:cs="宋体"/>
                <w:sz w:val="18"/>
                <w:szCs w:val="18"/>
              </w:rPr>
              <w:t>15,372,517.22</w:t>
            </w:r>
          </w:p>
        </w:tc>
        <w:tc>
          <w:tcPr>
            <w:tcW w:w="1606" w:type="dxa"/>
            <w:tcBorders>
              <w:top w:val="single" w:color="auto" w:sz="2" w:space="0"/>
              <w:left w:val="single" w:color="auto" w:sz="2" w:space="0"/>
              <w:bottom w:val="single" w:color="auto" w:sz="2" w:space="0"/>
              <w:right w:val="single" w:color="auto" w:sz="2" w:space="0"/>
            </w:tcBorders>
            <w:vAlign w:val="center"/>
          </w:tcPr>
          <w:p w14:paraId="0EDFAFC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8CBDD82">
            <w:pPr>
              <w:spacing w:before="0" w:after="0" w:line="240" w:lineRule="exact"/>
              <w:jc w:val="lef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1747E0B2">
            <w:pPr>
              <w:spacing w:before="0" w:after="0" w:line="240" w:lineRule="exact"/>
              <w:jc w:val="right"/>
              <w:rPr>
                <w:rFonts w:ascii="宋体" w:hAnsi="宋体" w:eastAsia="宋体" w:cs="宋体"/>
                <w:sz w:val="18"/>
                <w:szCs w:val="18"/>
              </w:rPr>
            </w:pPr>
            <w:r>
              <w:rPr>
                <w:rFonts w:ascii="宋体" w:hAnsi="宋体" w:eastAsia="宋体" w:cs="宋体"/>
                <w:sz w:val="18"/>
                <w:szCs w:val="18"/>
              </w:rPr>
              <w:t>32,488,937.41</w:t>
            </w:r>
          </w:p>
        </w:tc>
      </w:tr>
    </w:tbl>
    <w:p w14:paraId="02B007D8">
      <w:pPr>
        <w:spacing w:before="40" w:after="40" w:line="240" w:lineRule="exact"/>
        <w:jc w:val="left"/>
        <w:rPr>
          <w:rFonts w:ascii="宋体" w:hAnsi="宋体" w:eastAsia="宋体" w:cs="宋体"/>
          <w:sz w:val="18"/>
          <w:szCs w:val="18"/>
        </w:rPr>
      </w:pPr>
      <w:r>
        <w:rPr>
          <w:rFonts w:ascii="宋体" w:hAnsi="宋体" w:eastAsia="宋体" w:cs="宋体"/>
          <w:sz w:val="18"/>
          <w:szCs w:val="18"/>
        </w:rPr>
        <w:t>出售商品/提供劳务情况表</w:t>
      </w:r>
    </w:p>
    <w:p w14:paraId="09F711A4">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13DF22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11CBFB5">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FF996BF">
            <w:pPr>
              <w:spacing w:before="40" w:after="40" w:line="240" w:lineRule="exact"/>
              <w:jc w:val="center"/>
              <w:rPr>
                <w:rFonts w:ascii="宋体" w:hAnsi="宋体" w:eastAsia="宋体" w:cs="宋体"/>
                <w:sz w:val="18"/>
                <w:szCs w:val="18"/>
              </w:rPr>
            </w:pPr>
            <w:r>
              <w:rPr>
                <w:rFonts w:ascii="宋体" w:hAnsi="宋体" w:eastAsia="宋体" w:cs="宋体"/>
                <w:sz w:val="18"/>
                <w:szCs w:val="18"/>
              </w:rPr>
              <w:t>关联交易内容</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65138DD">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583BBC5">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4CE013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3EA95E7">
            <w:pPr>
              <w:spacing w:before="0" w:after="0" w:line="240" w:lineRule="exact"/>
              <w:jc w:val="left"/>
              <w:rPr>
                <w:rFonts w:ascii="宋体" w:hAnsi="宋体" w:eastAsia="宋体" w:cs="宋体"/>
                <w:sz w:val="18"/>
                <w:szCs w:val="18"/>
              </w:rPr>
            </w:pPr>
            <w:r>
              <w:rPr>
                <w:rFonts w:ascii="宋体" w:hAnsi="宋体" w:eastAsia="宋体" w:cs="宋体"/>
                <w:sz w:val="18"/>
                <w:szCs w:val="18"/>
              </w:rPr>
              <w:t>福建瑞泰来医药科技有限公司</w:t>
            </w:r>
          </w:p>
        </w:tc>
        <w:tc>
          <w:tcPr>
            <w:tcW w:w="2410" w:type="dxa"/>
            <w:tcBorders>
              <w:top w:val="single" w:color="auto" w:sz="2" w:space="0"/>
              <w:left w:val="single" w:color="auto" w:sz="2" w:space="0"/>
              <w:bottom w:val="single" w:color="auto" w:sz="2" w:space="0"/>
              <w:right w:val="single" w:color="auto" w:sz="2" w:space="0"/>
            </w:tcBorders>
            <w:vAlign w:val="center"/>
          </w:tcPr>
          <w:p w14:paraId="51AD505B">
            <w:pPr>
              <w:spacing w:before="0" w:after="0" w:line="240" w:lineRule="exact"/>
              <w:jc w:val="left"/>
              <w:rPr>
                <w:rFonts w:ascii="宋体" w:hAnsi="宋体" w:eastAsia="宋体" w:cs="宋体"/>
                <w:sz w:val="18"/>
                <w:szCs w:val="18"/>
              </w:rPr>
            </w:pPr>
            <w:r>
              <w:rPr>
                <w:rFonts w:ascii="宋体" w:hAnsi="宋体" w:eastAsia="宋体" w:cs="宋体"/>
                <w:sz w:val="18"/>
                <w:szCs w:val="18"/>
              </w:rPr>
              <w:t>技术服务</w:t>
            </w:r>
          </w:p>
        </w:tc>
        <w:tc>
          <w:tcPr>
            <w:tcW w:w="2410" w:type="dxa"/>
            <w:tcBorders>
              <w:top w:val="single" w:color="auto" w:sz="2" w:space="0"/>
              <w:left w:val="single" w:color="auto" w:sz="2" w:space="0"/>
              <w:bottom w:val="single" w:color="auto" w:sz="2" w:space="0"/>
              <w:right w:val="single" w:color="auto" w:sz="2" w:space="0"/>
            </w:tcBorders>
            <w:vAlign w:val="center"/>
          </w:tcPr>
          <w:p w14:paraId="592FD996">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06496C6">
            <w:pPr>
              <w:spacing w:before="0" w:after="0" w:line="240" w:lineRule="exact"/>
              <w:jc w:val="right"/>
              <w:rPr>
                <w:rFonts w:ascii="宋体" w:hAnsi="宋体" w:eastAsia="宋体" w:cs="宋体"/>
                <w:sz w:val="18"/>
                <w:szCs w:val="18"/>
              </w:rPr>
            </w:pPr>
            <w:r>
              <w:rPr>
                <w:rFonts w:ascii="宋体" w:hAnsi="宋体" w:eastAsia="宋体" w:cs="宋体"/>
                <w:sz w:val="18"/>
                <w:szCs w:val="18"/>
              </w:rPr>
              <w:t>6,552,169.80</w:t>
            </w:r>
          </w:p>
        </w:tc>
      </w:tr>
      <w:tr w14:paraId="307795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6724720">
            <w:pPr>
              <w:spacing w:before="0" w:after="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7F34E717">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5D9098F">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18601DB">
            <w:pPr>
              <w:spacing w:before="0" w:after="0" w:line="240" w:lineRule="exact"/>
              <w:jc w:val="right"/>
              <w:rPr>
                <w:rFonts w:ascii="宋体" w:hAnsi="宋体" w:eastAsia="宋体" w:cs="宋体"/>
                <w:sz w:val="18"/>
                <w:szCs w:val="18"/>
              </w:rPr>
            </w:pPr>
            <w:r>
              <w:rPr>
                <w:rFonts w:ascii="宋体" w:hAnsi="宋体" w:eastAsia="宋体" w:cs="宋体"/>
                <w:sz w:val="18"/>
                <w:szCs w:val="18"/>
              </w:rPr>
              <w:t>6,552,169.80</w:t>
            </w:r>
          </w:p>
        </w:tc>
      </w:tr>
    </w:tbl>
    <w:p w14:paraId="5A90E534">
      <w:pPr>
        <w:spacing w:before="100" w:after="100" w:line="240" w:lineRule="exact"/>
        <w:jc w:val="left"/>
        <w:rPr>
          <w:rFonts w:ascii="宋体" w:hAnsi="宋体" w:eastAsia="宋体" w:cs="宋体"/>
          <w:sz w:val="18"/>
          <w:szCs w:val="18"/>
        </w:rPr>
      </w:pPr>
      <w:r>
        <w:rPr>
          <w:rFonts w:ascii="宋体" w:hAnsi="宋体" w:eastAsia="宋体" w:cs="宋体"/>
          <w:sz w:val="18"/>
          <w:szCs w:val="18"/>
        </w:rPr>
        <w:t>购销商品、提供和接受劳务的关联交易说明</w:t>
      </w:r>
    </w:p>
    <w:p w14:paraId="77751FA9">
      <w:pPr>
        <w:keepNext/>
        <w:keepLines/>
        <w:spacing w:before="300" w:after="300" w:line="280" w:lineRule="exact"/>
        <w:jc w:val="left"/>
        <w:outlineLvl w:val="3"/>
        <w:rPr>
          <w:rFonts w:ascii="宋体" w:hAnsi="宋体" w:eastAsia="宋体" w:cs="宋体"/>
          <w:b/>
          <w:bCs/>
          <w:sz w:val="21"/>
          <w:szCs w:val="21"/>
        </w:rPr>
      </w:pPr>
      <w:bookmarkStart w:id="531" w:name="_Toc989414"/>
      <w:r>
        <w:rPr>
          <w:rFonts w:ascii="宋体" w:hAnsi="宋体" w:eastAsia="宋体" w:cs="宋体"/>
          <w:b/>
          <w:bCs/>
          <w:sz w:val="21"/>
          <w:szCs w:val="21"/>
        </w:rPr>
        <w:t>（2） 关联受托管理/承包及委托管理/出包情况</w:t>
      </w:r>
      <w:bookmarkEnd w:id="531"/>
    </w:p>
    <w:p w14:paraId="73D56BD4">
      <w:pPr>
        <w:spacing w:before="100" w:after="100" w:line="240" w:lineRule="exact"/>
        <w:jc w:val="left"/>
        <w:rPr>
          <w:rFonts w:ascii="宋体" w:hAnsi="宋体" w:eastAsia="宋体" w:cs="宋体"/>
          <w:sz w:val="18"/>
          <w:szCs w:val="18"/>
        </w:rPr>
      </w:pPr>
      <w:r>
        <w:rPr>
          <w:rFonts w:ascii="宋体" w:hAnsi="宋体" w:eastAsia="宋体" w:cs="宋体"/>
          <w:sz w:val="18"/>
          <w:szCs w:val="18"/>
        </w:rPr>
        <w:t>本公司受托管理/承包情况表：</w:t>
      </w:r>
    </w:p>
    <w:p w14:paraId="134A1FE2">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5502FD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580D687">
            <w:pPr>
              <w:spacing w:before="40" w:after="40" w:line="240" w:lineRule="exact"/>
              <w:jc w:val="center"/>
              <w:rPr>
                <w:rFonts w:ascii="宋体" w:hAnsi="宋体" w:eastAsia="宋体" w:cs="宋体"/>
                <w:sz w:val="18"/>
                <w:szCs w:val="18"/>
              </w:rPr>
            </w:pPr>
            <w:r>
              <w:rPr>
                <w:rFonts w:ascii="宋体" w:hAnsi="宋体" w:eastAsia="宋体" w:cs="宋体"/>
                <w:sz w:val="18"/>
                <w:szCs w:val="18"/>
              </w:rPr>
              <w:t>委托方/出包方名称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A46F3BC">
            <w:pPr>
              <w:spacing w:before="40" w:after="40" w:line="240" w:lineRule="exact"/>
              <w:jc w:val="center"/>
              <w:rPr>
                <w:rFonts w:ascii="宋体" w:hAnsi="宋体" w:eastAsia="宋体" w:cs="宋体"/>
                <w:sz w:val="18"/>
                <w:szCs w:val="18"/>
              </w:rPr>
            </w:pPr>
            <w:r>
              <w:rPr>
                <w:rFonts w:ascii="宋体" w:hAnsi="宋体" w:eastAsia="宋体" w:cs="宋体"/>
                <w:sz w:val="18"/>
                <w:szCs w:val="18"/>
              </w:rPr>
              <w:t>受托方/承包方名称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8435E21">
            <w:pPr>
              <w:spacing w:before="40" w:after="40" w:line="240" w:lineRule="exact"/>
              <w:jc w:val="center"/>
              <w:rPr>
                <w:rFonts w:ascii="宋体" w:hAnsi="宋体" w:eastAsia="宋体" w:cs="宋体"/>
                <w:sz w:val="18"/>
                <w:szCs w:val="18"/>
              </w:rPr>
            </w:pPr>
            <w:r>
              <w:rPr>
                <w:rFonts w:ascii="宋体" w:hAnsi="宋体" w:eastAsia="宋体" w:cs="宋体"/>
                <w:sz w:val="18"/>
                <w:szCs w:val="18"/>
              </w:rPr>
              <w:t>受托/承包资产类型</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FE502FF">
            <w:pPr>
              <w:spacing w:before="40" w:after="40" w:line="240" w:lineRule="exact"/>
              <w:jc w:val="center"/>
              <w:rPr>
                <w:rFonts w:ascii="宋体" w:hAnsi="宋体" w:eastAsia="宋体" w:cs="宋体"/>
                <w:sz w:val="18"/>
                <w:szCs w:val="18"/>
              </w:rPr>
            </w:pPr>
            <w:r>
              <w:rPr>
                <w:rFonts w:ascii="宋体" w:hAnsi="宋体" w:eastAsia="宋体" w:cs="宋体"/>
                <w:sz w:val="18"/>
                <w:szCs w:val="18"/>
              </w:rPr>
              <w:t>受托/承包起始日</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37938AF">
            <w:pPr>
              <w:spacing w:before="40" w:after="40" w:line="240" w:lineRule="exact"/>
              <w:jc w:val="center"/>
              <w:rPr>
                <w:rFonts w:ascii="宋体" w:hAnsi="宋体" w:eastAsia="宋体" w:cs="宋体"/>
                <w:sz w:val="18"/>
                <w:szCs w:val="18"/>
              </w:rPr>
            </w:pPr>
            <w:r>
              <w:rPr>
                <w:rFonts w:ascii="宋体" w:hAnsi="宋体" w:eastAsia="宋体" w:cs="宋体"/>
                <w:sz w:val="18"/>
                <w:szCs w:val="18"/>
              </w:rPr>
              <w:t>受托/承包终止日</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60208B0">
            <w:pPr>
              <w:spacing w:before="40" w:after="40" w:line="240" w:lineRule="exact"/>
              <w:jc w:val="center"/>
              <w:rPr>
                <w:rFonts w:ascii="宋体" w:hAnsi="宋体" w:eastAsia="宋体" w:cs="宋体"/>
                <w:sz w:val="18"/>
                <w:szCs w:val="18"/>
              </w:rPr>
            </w:pPr>
            <w:r>
              <w:rPr>
                <w:rFonts w:ascii="宋体" w:hAnsi="宋体" w:eastAsia="宋体" w:cs="宋体"/>
                <w:sz w:val="18"/>
                <w:szCs w:val="18"/>
              </w:rPr>
              <w:t>托管收益/承包收益定价依据</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4DA373B">
            <w:pPr>
              <w:spacing w:before="40" w:after="40" w:line="240" w:lineRule="exact"/>
              <w:jc w:val="center"/>
              <w:rPr>
                <w:rFonts w:ascii="宋体" w:hAnsi="宋体" w:eastAsia="宋体" w:cs="宋体"/>
                <w:sz w:val="18"/>
                <w:szCs w:val="18"/>
              </w:rPr>
            </w:pPr>
            <w:r>
              <w:rPr>
                <w:rFonts w:ascii="宋体" w:hAnsi="宋体" w:eastAsia="宋体" w:cs="宋体"/>
                <w:sz w:val="18"/>
                <w:szCs w:val="18"/>
              </w:rPr>
              <w:t>本期确认的托管收益/承包收益</w:t>
            </w:r>
          </w:p>
        </w:tc>
      </w:tr>
    </w:tbl>
    <w:p w14:paraId="4E824B7D">
      <w:pPr>
        <w:spacing w:before="100" w:after="100" w:line="240" w:lineRule="exact"/>
        <w:jc w:val="left"/>
        <w:rPr>
          <w:rFonts w:ascii="宋体" w:hAnsi="宋体" w:eastAsia="宋体" w:cs="宋体"/>
          <w:sz w:val="18"/>
          <w:szCs w:val="18"/>
        </w:rPr>
      </w:pPr>
      <w:r>
        <w:rPr>
          <w:rFonts w:ascii="宋体" w:hAnsi="宋体" w:eastAsia="宋体" w:cs="宋体"/>
          <w:sz w:val="18"/>
          <w:szCs w:val="18"/>
        </w:rPr>
        <w:t>关联托管/承包情况说明</w:t>
      </w:r>
    </w:p>
    <w:p w14:paraId="49C07598">
      <w:pPr>
        <w:spacing w:before="40" w:after="40" w:line="240" w:lineRule="exact"/>
        <w:jc w:val="left"/>
        <w:rPr>
          <w:rFonts w:ascii="宋体" w:hAnsi="宋体" w:eastAsia="宋体" w:cs="宋体"/>
          <w:sz w:val="18"/>
          <w:szCs w:val="18"/>
        </w:rPr>
      </w:pPr>
      <w:r>
        <w:rPr>
          <w:rFonts w:ascii="宋体" w:hAnsi="宋体" w:eastAsia="宋体" w:cs="宋体"/>
          <w:sz w:val="18"/>
          <w:szCs w:val="18"/>
        </w:rPr>
        <w:t>本公司委托管理/出包情况表：</w:t>
      </w:r>
    </w:p>
    <w:p w14:paraId="734BA86E">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415E98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9B83D2D">
            <w:pPr>
              <w:spacing w:before="40" w:after="40" w:line="240" w:lineRule="exact"/>
              <w:jc w:val="center"/>
              <w:rPr>
                <w:rFonts w:ascii="宋体" w:hAnsi="宋体" w:eastAsia="宋体" w:cs="宋体"/>
                <w:sz w:val="18"/>
                <w:szCs w:val="18"/>
              </w:rPr>
            </w:pPr>
            <w:r>
              <w:rPr>
                <w:rFonts w:ascii="宋体" w:hAnsi="宋体" w:eastAsia="宋体" w:cs="宋体"/>
                <w:sz w:val="18"/>
                <w:szCs w:val="18"/>
              </w:rPr>
              <w:t>委托方/出包方名称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96C77A1">
            <w:pPr>
              <w:spacing w:before="40" w:after="40" w:line="240" w:lineRule="exact"/>
              <w:jc w:val="center"/>
              <w:rPr>
                <w:rFonts w:ascii="宋体" w:hAnsi="宋体" w:eastAsia="宋体" w:cs="宋体"/>
                <w:sz w:val="18"/>
                <w:szCs w:val="18"/>
              </w:rPr>
            </w:pPr>
            <w:r>
              <w:rPr>
                <w:rFonts w:ascii="宋体" w:hAnsi="宋体" w:eastAsia="宋体" w:cs="宋体"/>
                <w:sz w:val="18"/>
                <w:szCs w:val="18"/>
              </w:rPr>
              <w:t>受托方/承包方名称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89AFD42">
            <w:pPr>
              <w:spacing w:before="40" w:after="40" w:line="240" w:lineRule="exact"/>
              <w:jc w:val="center"/>
              <w:rPr>
                <w:rFonts w:ascii="宋体" w:hAnsi="宋体" w:eastAsia="宋体" w:cs="宋体"/>
                <w:sz w:val="18"/>
                <w:szCs w:val="18"/>
              </w:rPr>
            </w:pPr>
            <w:r>
              <w:rPr>
                <w:rFonts w:ascii="宋体" w:hAnsi="宋体" w:eastAsia="宋体" w:cs="宋体"/>
                <w:sz w:val="18"/>
                <w:szCs w:val="18"/>
              </w:rPr>
              <w:t>委托/出包资产类型</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66029B4">
            <w:pPr>
              <w:spacing w:before="40" w:after="40" w:line="240" w:lineRule="exact"/>
              <w:jc w:val="center"/>
              <w:rPr>
                <w:rFonts w:ascii="宋体" w:hAnsi="宋体" w:eastAsia="宋体" w:cs="宋体"/>
                <w:sz w:val="18"/>
                <w:szCs w:val="18"/>
              </w:rPr>
            </w:pPr>
            <w:r>
              <w:rPr>
                <w:rFonts w:ascii="宋体" w:hAnsi="宋体" w:eastAsia="宋体" w:cs="宋体"/>
                <w:sz w:val="18"/>
                <w:szCs w:val="18"/>
              </w:rPr>
              <w:t>委托/出包起始日</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8704141">
            <w:pPr>
              <w:spacing w:before="40" w:after="40" w:line="240" w:lineRule="exact"/>
              <w:jc w:val="center"/>
              <w:rPr>
                <w:rFonts w:ascii="宋体" w:hAnsi="宋体" w:eastAsia="宋体" w:cs="宋体"/>
                <w:sz w:val="18"/>
                <w:szCs w:val="18"/>
              </w:rPr>
            </w:pPr>
            <w:r>
              <w:rPr>
                <w:rFonts w:ascii="宋体" w:hAnsi="宋体" w:eastAsia="宋体" w:cs="宋体"/>
                <w:sz w:val="18"/>
                <w:szCs w:val="18"/>
              </w:rPr>
              <w:t>委托/出包终止日</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BF7C9BA">
            <w:pPr>
              <w:spacing w:before="40" w:after="40" w:line="240" w:lineRule="exact"/>
              <w:jc w:val="center"/>
              <w:rPr>
                <w:rFonts w:ascii="宋体" w:hAnsi="宋体" w:eastAsia="宋体" w:cs="宋体"/>
                <w:sz w:val="18"/>
                <w:szCs w:val="18"/>
              </w:rPr>
            </w:pPr>
            <w:r>
              <w:rPr>
                <w:rFonts w:ascii="宋体" w:hAnsi="宋体" w:eastAsia="宋体" w:cs="宋体"/>
                <w:sz w:val="18"/>
                <w:szCs w:val="18"/>
              </w:rPr>
              <w:t>托管费/出包费定价依据</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ADEAA23">
            <w:pPr>
              <w:spacing w:before="40" w:after="40" w:line="240" w:lineRule="exact"/>
              <w:jc w:val="center"/>
              <w:rPr>
                <w:rFonts w:ascii="宋体" w:hAnsi="宋体" w:eastAsia="宋体" w:cs="宋体"/>
                <w:sz w:val="18"/>
                <w:szCs w:val="18"/>
              </w:rPr>
            </w:pPr>
            <w:r>
              <w:rPr>
                <w:rFonts w:ascii="宋体" w:hAnsi="宋体" w:eastAsia="宋体" w:cs="宋体"/>
                <w:sz w:val="18"/>
                <w:szCs w:val="18"/>
              </w:rPr>
              <w:t>本期确认的托管费/出包费</w:t>
            </w:r>
          </w:p>
        </w:tc>
      </w:tr>
    </w:tbl>
    <w:p w14:paraId="02F5D332">
      <w:pPr>
        <w:spacing w:before="100" w:after="100" w:line="240" w:lineRule="exact"/>
        <w:jc w:val="left"/>
        <w:rPr>
          <w:rFonts w:ascii="宋体" w:hAnsi="宋体" w:eastAsia="宋体" w:cs="宋体"/>
          <w:sz w:val="18"/>
          <w:szCs w:val="18"/>
        </w:rPr>
      </w:pPr>
      <w:r>
        <w:rPr>
          <w:rFonts w:ascii="宋体" w:hAnsi="宋体" w:eastAsia="宋体" w:cs="宋体"/>
          <w:sz w:val="18"/>
          <w:szCs w:val="18"/>
        </w:rPr>
        <w:t>关联管理/出包情况说明</w:t>
      </w:r>
    </w:p>
    <w:p w14:paraId="0889AF75">
      <w:pPr>
        <w:keepNext/>
        <w:keepLines/>
        <w:spacing w:before="300" w:after="300" w:line="280" w:lineRule="exact"/>
        <w:jc w:val="left"/>
        <w:outlineLvl w:val="3"/>
        <w:rPr>
          <w:rFonts w:ascii="宋体" w:hAnsi="宋体" w:eastAsia="宋体" w:cs="宋体"/>
          <w:b/>
          <w:bCs/>
          <w:sz w:val="21"/>
          <w:szCs w:val="21"/>
        </w:rPr>
      </w:pPr>
      <w:bookmarkStart w:id="532" w:name="_Toc989415"/>
      <w:r>
        <w:rPr>
          <w:rFonts w:ascii="宋体" w:hAnsi="宋体" w:eastAsia="宋体" w:cs="宋体"/>
          <w:b/>
          <w:bCs/>
          <w:sz w:val="21"/>
          <w:szCs w:val="21"/>
        </w:rPr>
        <w:t>（3） 关联租赁情况</w:t>
      </w:r>
      <w:bookmarkEnd w:id="532"/>
    </w:p>
    <w:p w14:paraId="24FF4F72">
      <w:pPr>
        <w:spacing w:before="100" w:after="100" w:line="240" w:lineRule="exact"/>
        <w:jc w:val="left"/>
        <w:rPr>
          <w:rFonts w:ascii="宋体" w:hAnsi="宋体" w:eastAsia="宋体" w:cs="宋体"/>
          <w:sz w:val="18"/>
          <w:szCs w:val="18"/>
        </w:rPr>
      </w:pPr>
      <w:r>
        <w:rPr>
          <w:rFonts w:ascii="宋体" w:hAnsi="宋体" w:eastAsia="宋体" w:cs="宋体"/>
          <w:sz w:val="18"/>
          <w:szCs w:val="18"/>
        </w:rPr>
        <w:t>本公司作为出租方：</w:t>
      </w:r>
    </w:p>
    <w:p w14:paraId="7127A9CA">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28F862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77EBD7D">
            <w:pPr>
              <w:spacing w:before="40" w:after="40" w:line="240" w:lineRule="exact"/>
              <w:jc w:val="center"/>
              <w:rPr>
                <w:rFonts w:ascii="宋体" w:hAnsi="宋体" w:eastAsia="宋体" w:cs="宋体"/>
                <w:sz w:val="18"/>
                <w:szCs w:val="18"/>
              </w:rPr>
            </w:pPr>
            <w:r>
              <w:rPr>
                <w:rFonts w:ascii="宋体" w:hAnsi="宋体" w:eastAsia="宋体" w:cs="宋体"/>
                <w:sz w:val="18"/>
                <w:szCs w:val="18"/>
              </w:rPr>
              <w:t>承租方名称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FCA0ADF">
            <w:pPr>
              <w:spacing w:before="40" w:after="40" w:line="240" w:lineRule="exact"/>
              <w:jc w:val="center"/>
              <w:rPr>
                <w:rFonts w:ascii="宋体" w:hAnsi="宋体" w:eastAsia="宋体" w:cs="宋体"/>
                <w:sz w:val="18"/>
                <w:szCs w:val="18"/>
              </w:rPr>
            </w:pPr>
            <w:r>
              <w:rPr>
                <w:rFonts w:ascii="宋体" w:hAnsi="宋体" w:eastAsia="宋体" w:cs="宋体"/>
                <w:sz w:val="18"/>
                <w:szCs w:val="18"/>
              </w:rPr>
              <w:t>租赁资产种类</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94FD652">
            <w:pPr>
              <w:spacing w:before="40" w:after="40" w:line="240" w:lineRule="exact"/>
              <w:jc w:val="center"/>
              <w:rPr>
                <w:rFonts w:ascii="宋体" w:hAnsi="宋体" w:eastAsia="宋体" w:cs="宋体"/>
                <w:sz w:val="18"/>
                <w:szCs w:val="18"/>
              </w:rPr>
            </w:pPr>
            <w:r>
              <w:rPr>
                <w:rFonts w:ascii="宋体" w:hAnsi="宋体" w:eastAsia="宋体" w:cs="宋体"/>
                <w:sz w:val="18"/>
                <w:szCs w:val="18"/>
              </w:rPr>
              <w:t>本期确认的租赁收入</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9D37706">
            <w:pPr>
              <w:spacing w:before="40" w:after="40" w:line="240" w:lineRule="exact"/>
              <w:jc w:val="center"/>
              <w:rPr>
                <w:rFonts w:ascii="宋体" w:hAnsi="宋体" w:eastAsia="宋体" w:cs="宋体"/>
                <w:sz w:val="18"/>
                <w:szCs w:val="18"/>
              </w:rPr>
            </w:pPr>
            <w:r>
              <w:rPr>
                <w:rFonts w:ascii="宋体" w:hAnsi="宋体" w:eastAsia="宋体" w:cs="宋体"/>
                <w:sz w:val="18"/>
                <w:szCs w:val="18"/>
              </w:rPr>
              <w:t>上期确认的租赁收入</w:t>
            </w:r>
          </w:p>
        </w:tc>
      </w:tr>
      <w:tr w14:paraId="67E105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4BC8FB93">
            <w:pPr>
              <w:spacing w:before="0" w:after="0" w:line="240" w:lineRule="exact"/>
              <w:jc w:val="left"/>
              <w:rPr>
                <w:rFonts w:ascii="宋体" w:hAnsi="宋体" w:eastAsia="宋体" w:cs="宋体"/>
                <w:sz w:val="18"/>
                <w:szCs w:val="18"/>
              </w:rPr>
            </w:pPr>
            <w:r>
              <w:rPr>
                <w:rFonts w:ascii="宋体" w:hAnsi="宋体" w:eastAsia="宋体" w:cs="宋体"/>
                <w:sz w:val="18"/>
                <w:szCs w:val="18"/>
              </w:rPr>
              <w:t>福建阿吉安生物科技有限公司</w:t>
            </w:r>
          </w:p>
        </w:tc>
        <w:tc>
          <w:tcPr>
            <w:tcW w:w="2410" w:type="dxa"/>
            <w:tcBorders>
              <w:top w:val="single" w:color="auto" w:sz="2" w:space="0"/>
              <w:left w:val="single" w:color="auto" w:sz="2" w:space="0"/>
              <w:bottom w:val="single" w:color="auto" w:sz="2" w:space="0"/>
              <w:right w:val="single" w:color="auto" w:sz="2" w:space="0"/>
            </w:tcBorders>
            <w:vAlign w:val="center"/>
          </w:tcPr>
          <w:p w14:paraId="72258289">
            <w:pPr>
              <w:spacing w:before="0" w:after="0" w:line="240" w:lineRule="exact"/>
              <w:jc w:val="left"/>
              <w:rPr>
                <w:rFonts w:ascii="宋体" w:hAnsi="宋体" w:eastAsia="宋体" w:cs="宋体"/>
                <w:sz w:val="18"/>
                <w:szCs w:val="18"/>
              </w:rPr>
            </w:pPr>
            <w:r>
              <w:rPr>
                <w:rFonts w:ascii="宋体" w:hAnsi="宋体" w:eastAsia="宋体" w:cs="宋体"/>
                <w:sz w:val="18"/>
                <w:szCs w:val="18"/>
              </w:rPr>
              <w:t>房屋建筑物</w:t>
            </w:r>
          </w:p>
        </w:tc>
        <w:tc>
          <w:tcPr>
            <w:tcW w:w="2410" w:type="dxa"/>
            <w:tcBorders>
              <w:top w:val="single" w:color="auto" w:sz="2" w:space="0"/>
              <w:left w:val="single" w:color="auto" w:sz="2" w:space="0"/>
              <w:bottom w:val="single" w:color="auto" w:sz="2" w:space="0"/>
              <w:right w:val="single" w:color="auto" w:sz="2" w:space="0"/>
            </w:tcBorders>
            <w:vAlign w:val="center"/>
          </w:tcPr>
          <w:p w14:paraId="1FC4858A">
            <w:pPr>
              <w:spacing w:before="0" w:after="0" w:line="240" w:lineRule="exact"/>
              <w:jc w:val="right"/>
              <w:rPr>
                <w:rFonts w:ascii="宋体" w:hAnsi="宋体" w:eastAsia="宋体" w:cs="宋体"/>
                <w:sz w:val="18"/>
                <w:szCs w:val="18"/>
              </w:rPr>
            </w:pPr>
            <w:r>
              <w:rPr>
                <w:rFonts w:ascii="宋体" w:hAnsi="宋体" w:eastAsia="宋体" w:cs="宋体"/>
                <w:sz w:val="18"/>
                <w:szCs w:val="18"/>
              </w:rPr>
              <w:t>600,776.64</w:t>
            </w:r>
          </w:p>
        </w:tc>
        <w:tc>
          <w:tcPr>
            <w:tcW w:w="2410" w:type="dxa"/>
            <w:tcBorders>
              <w:top w:val="single" w:color="auto" w:sz="2" w:space="0"/>
              <w:left w:val="single" w:color="auto" w:sz="2" w:space="0"/>
              <w:bottom w:val="single" w:color="auto" w:sz="2" w:space="0"/>
              <w:right w:val="single" w:color="auto" w:sz="2" w:space="0"/>
            </w:tcBorders>
            <w:vAlign w:val="center"/>
          </w:tcPr>
          <w:p w14:paraId="40B491FD">
            <w:pPr>
              <w:spacing w:before="0" w:after="0" w:line="240" w:lineRule="exact"/>
              <w:jc w:val="right"/>
              <w:rPr>
                <w:rFonts w:ascii="宋体" w:hAnsi="宋体" w:eastAsia="宋体" w:cs="宋体"/>
                <w:sz w:val="18"/>
                <w:szCs w:val="18"/>
              </w:rPr>
            </w:pPr>
            <w:r>
              <w:rPr>
                <w:rFonts w:ascii="宋体" w:hAnsi="宋体" w:eastAsia="宋体" w:cs="宋体"/>
                <w:sz w:val="18"/>
                <w:szCs w:val="18"/>
              </w:rPr>
              <w:t>600,776.64</w:t>
            </w:r>
          </w:p>
        </w:tc>
      </w:tr>
      <w:tr w14:paraId="20F5EF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676B4964">
            <w:pPr>
              <w:spacing w:before="0" w:after="0" w:line="240" w:lineRule="exact"/>
              <w:jc w:val="left"/>
              <w:rPr>
                <w:rFonts w:ascii="宋体" w:hAnsi="宋体" w:eastAsia="宋体" w:cs="宋体"/>
                <w:sz w:val="18"/>
                <w:szCs w:val="18"/>
              </w:rPr>
            </w:pPr>
            <w:r>
              <w:rPr>
                <w:rFonts w:ascii="宋体" w:hAnsi="宋体" w:eastAsia="宋体" w:cs="宋体"/>
                <w:sz w:val="18"/>
                <w:szCs w:val="18"/>
              </w:rPr>
              <w:t>福州吉昂医学检验实验室有限公司</w:t>
            </w:r>
          </w:p>
        </w:tc>
        <w:tc>
          <w:tcPr>
            <w:tcW w:w="2410" w:type="dxa"/>
            <w:tcBorders>
              <w:top w:val="single" w:color="auto" w:sz="2" w:space="0"/>
              <w:left w:val="single" w:color="auto" w:sz="2" w:space="0"/>
              <w:bottom w:val="single" w:color="auto" w:sz="2" w:space="0"/>
              <w:right w:val="single" w:color="auto" w:sz="2" w:space="0"/>
            </w:tcBorders>
            <w:vAlign w:val="center"/>
          </w:tcPr>
          <w:p w14:paraId="64C9AE26">
            <w:pPr>
              <w:spacing w:before="0" w:after="0" w:line="240" w:lineRule="exact"/>
              <w:jc w:val="left"/>
              <w:rPr>
                <w:rFonts w:ascii="宋体" w:hAnsi="宋体" w:eastAsia="宋体" w:cs="宋体"/>
                <w:sz w:val="18"/>
                <w:szCs w:val="18"/>
              </w:rPr>
            </w:pPr>
            <w:r>
              <w:rPr>
                <w:rFonts w:ascii="宋体" w:hAnsi="宋体" w:eastAsia="宋体" w:cs="宋体"/>
                <w:sz w:val="18"/>
                <w:szCs w:val="18"/>
              </w:rPr>
              <w:t>房屋建筑物</w:t>
            </w:r>
          </w:p>
        </w:tc>
        <w:tc>
          <w:tcPr>
            <w:tcW w:w="2410" w:type="dxa"/>
            <w:tcBorders>
              <w:top w:val="single" w:color="auto" w:sz="2" w:space="0"/>
              <w:left w:val="single" w:color="auto" w:sz="2" w:space="0"/>
              <w:bottom w:val="single" w:color="auto" w:sz="2" w:space="0"/>
              <w:right w:val="single" w:color="auto" w:sz="2" w:space="0"/>
            </w:tcBorders>
            <w:vAlign w:val="center"/>
          </w:tcPr>
          <w:p w14:paraId="302BA77D">
            <w:pPr>
              <w:spacing w:before="0" w:after="0" w:line="240" w:lineRule="exact"/>
              <w:jc w:val="right"/>
              <w:rPr>
                <w:rFonts w:ascii="宋体" w:hAnsi="宋体" w:eastAsia="宋体" w:cs="宋体"/>
                <w:sz w:val="18"/>
                <w:szCs w:val="18"/>
              </w:rPr>
            </w:pPr>
            <w:r>
              <w:rPr>
                <w:rFonts w:ascii="宋体" w:hAnsi="宋体" w:eastAsia="宋体" w:cs="宋体"/>
                <w:sz w:val="18"/>
                <w:szCs w:val="18"/>
              </w:rPr>
              <w:t>395,329.68</w:t>
            </w:r>
          </w:p>
        </w:tc>
        <w:tc>
          <w:tcPr>
            <w:tcW w:w="2410" w:type="dxa"/>
            <w:tcBorders>
              <w:top w:val="single" w:color="auto" w:sz="2" w:space="0"/>
              <w:left w:val="single" w:color="auto" w:sz="2" w:space="0"/>
              <w:bottom w:val="single" w:color="auto" w:sz="2" w:space="0"/>
              <w:right w:val="single" w:color="auto" w:sz="2" w:space="0"/>
            </w:tcBorders>
            <w:vAlign w:val="center"/>
          </w:tcPr>
          <w:p w14:paraId="5BC39241">
            <w:pPr>
              <w:spacing w:before="0" w:after="0" w:line="240" w:lineRule="exact"/>
              <w:jc w:val="right"/>
              <w:rPr>
                <w:rFonts w:ascii="宋体" w:hAnsi="宋体" w:eastAsia="宋体" w:cs="宋体"/>
                <w:sz w:val="18"/>
                <w:szCs w:val="18"/>
              </w:rPr>
            </w:pPr>
            <w:r>
              <w:rPr>
                <w:rFonts w:ascii="宋体" w:hAnsi="宋体" w:eastAsia="宋体" w:cs="宋体"/>
                <w:sz w:val="18"/>
                <w:szCs w:val="18"/>
              </w:rPr>
              <w:t>395,329.68</w:t>
            </w:r>
          </w:p>
        </w:tc>
      </w:tr>
      <w:tr w14:paraId="3F3F64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6EF53354">
            <w:pPr>
              <w:spacing w:before="0" w:after="0" w:line="240" w:lineRule="exact"/>
              <w:jc w:val="left"/>
              <w:rPr>
                <w:rFonts w:ascii="宋体" w:hAnsi="宋体" w:eastAsia="宋体" w:cs="宋体"/>
                <w:sz w:val="18"/>
                <w:szCs w:val="18"/>
              </w:rPr>
            </w:pPr>
            <w:r>
              <w:rPr>
                <w:rFonts w:ascii="宋体" w:hAnsi="宋体" w:eastAsia="宋体" w:cs="宋体"/>
                <w:sz w:val="18"/>
                <w:szCs w:val="18"/>
              </w:rPr>
              <w:t>福建瑞泰来医药科技有限公司</w:t>
            </w:r>
          </w:p>
        </w:tc>
        <w:tc>
          <w:tcPr>
            <w:tcW w:w="2410" w:type="dxa"/>
            <w:tcBorders>
              <w:top w:val="single" w:color="auto" w:sz="2" w:space="0"/>
              <w:left w:val="single" w:color="auto" w:sz="2" w:space="0"/>
              <w:bottom w:val="single" w:color="auto" w:sz="2" w:space="0"/>
              <w:right w:val="single" w:color="auto" w:sz="2" w:space="0"/>
            </w:tcBorders>
            <w:vAlign w:val="center"/>
          </w:tcPr>
          <w:p w14:paraId="641AAB9B">
            <w:pPr>
              <w:spacing w:before="0" w:after="0" w:line="240" w:lineRule="exact"/>
              <w:jc w:val="left"/>
              <w:rPr>
                <w:rFonts w:ascii="宋体" w:hAnsi="宋体" w:eastAsia="宋体" w:cs="宋体"/>
                <w:sz w:val="18"/>
                <w:szCs w:val="18"/>
              </w:rPr>
            </w:pPr>
            <w:r>
              <w:rPr>
                <w:rFonts w:ascii="宋体" w:hAnsi="宋体" w:eastAsia="宋体" w:cs="宋体"/>
                <w:sz w:val="18"/>
                <w:szCs w:val="18"/>
              </w:rPr>
              <w:t>房屋建筑物</w:t>
            </w:r>
          </w:p>
        </w:tc>
        <w:tc>
          <w:tcPr>
            <w:tcW w:w="2410" w:type="dxa"/>
            <w:tcBorders>
              <w:top w:val="single" w:color="auto" w:sz="2" w:space="0"/>
              <w:left w:val="single" w:color="auto" w:sz="2" w:space="0"/>
              <w:bottom w:val="single" w:color="auto" w:sz="2" w:space="0"/>
              <w:right w:val="single" w:color="auto" w:sz="2" w:space="0"/>
            </w:tcBorders>
            <w:vAlign w:val="center"/>
          </w:tcPr>
          <w:p w14:paraId="47FEEFC3">
            <w:pPr>
              <w:spacing w:before="0" w:after="0" w:line="240" w:lineRule="exact"/>
              <w:jc w:val="right"/>
              <w:rPr>
                <w:rFonts w:ascii="宋体" w:hAnsi="宋体" w:eastAsia="宋体" w:cs="宋体"/>
                <w:sz w:val="18"/>
                <w:szCs w:val="18"/>
              </w:rPr>
            </w:pPr>
            <w:r>
              <w:rPr>
                <w:rFonts w:ascii="宋体" w:hAnsi="宋体" w:eastAsia="宋体" w:cs="宋体"/>
                <w:sz w:val="18"/>
                <w:szCs w:val="18"/>
              </w:rPr>
              <w:t>11,009.16</w:t>
            </w:r>
          </w:p>
        </w:tc>
        <w:tc>
          <w:tcPr>
            <w:tcW w:w="2410" w:type="dxa"/>
            <w:tcBorders>
              <w:top w:val="single" w:color="auto" w:sz="2" w:space="0"/>
              <w:left w:val="single" w:color="auto" w:sz="2" w:space="0"/>
              <w:bottom w:val="single" w:color="auto" w:sz="2" w:space="0"/>
              <w:right w:val="single" w:color="auto" w:sz="2" w:space="0"/>
            </w:tcBorders>
            <w:vAlign w:val="center"/>
          </w:tcPr>
          <w:p w14:paraId="5C5E97C0">
            <w:pPr>
              <w:spacing w:before="0" w:after="0" w:line="240" w:lineRule="exact"/>
              <w:jc w:val="right"/>
              <w:rPr>
                <w:rFonts w:ascii="宋体" w:hAnsi="宋体" w:eastAsia="宋体" w:cs="宋体"/>
                <w:sz w:val="18"/>
                <w:szCs w:val="18"/>
              </w:rPr>
            </w:pPr>
            <w:r>
              <w:rPr>
                <w:rFonts w:ascii="宋体" w:hAnsi="宋体" w:eastAsia="宋体" w:cs="宋体"/>
                <w:sz w:val="18"/>
                <w:szCs w:val="18"/>
              </w:rPr>
              <w:t>33,027.50</w:t>
            </w:r>
          </w:p>
        </w:tc>
      </w:tr>
      <w:tr w14:paraId="467395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B4D575E">
            <w:pPr>
              <w:spacing w:before="0" w:after="0" w:line="240" w:lineRule="exact"/>
              <w:jc w:val="left"/>
              <w:rPr>
                <w:rFonts w:ascii="宋体" w:hAnsi="宋体" w:eastAsia="宋体" w:cs="宋体"/>
                <w:sz w:val="18"/>
                <w:szCs w:val="18"/>
              </w:rPr>
            </w:pPr>
            <w:r>
              <w:rPr>
                <w:rFonts w:ascii="宋体" w:hAnsi="宋体" w:eastAsia="宋体" w:cs="宋体"/>
                <w:sz w:val="18"/>
                <w:szCs w:val="18"/>
              </w:rPr>
              <w:t>福州奥泰六期投资合伙企业（有限合伙）</w:t>
            </w:r>
          </w:p>
        </w:tc>
        <w:tc>
          <w:tcPr>
            <w:tcW w:w="2410" w:type="dxa"/>
            <w:tcBorders>
              <w:top w:val="single" w:color="auto" w:sz="2" w:space="0"/>
              <w:left w:val="single" w:color="auto" w:sz="2" w:space="0"/>
              <w:bottom w:val="single" w:color="auto" w:sz="2" w:space="0"/>
              <w:right w:val="single" w:color="auto" w:sz="2" w:space="0"/>
            </w:tcBorders>
            <w:vAlign w:val="center"/>
          </w:tcPr>
          <w:p w14:paraId="0FC912A7">
            <w:pPr>
              <w:spacing w:before="0" w:after="0" w:line="240" w:lineRule="exact"/>
              <w:jc w:val="left"/>
              <w:rPr>
                <w:rFonts w:ascii="宋体" w:hAnsi="宋体" w:eastAsia="宋体" w:cs="宋体"/>
                <w:sz w:val="18"/>
                <w:szCs w:val="18"/>
              </w:rPr>
            </w:pPr>
            <w:r>
              <w:rPr>
                <w:rFonts w:ascii="宋体" w:hAnsi="宋体" w:eastAsia="宋体" w:cs="宋体"/>
                <w:sz w:val="18"/>
                <w:szCs w:val="18"/>
              </w:rPr>
              <w:t>房屋建筑物</w:t>
            </w:r>
          </w:p>
        </w:tc>
        <w:tc>
          <w:tcPr>
            <w:tcW w:w="2410" w:type="dxa"/>
            <w:tcBorders>
              <w:top w:val="single" w:color="auto" w:sz="2" w:space="0"/>
              <w:left w:val="single" w:color="auto" w:sz="2" w:space="0"/>
              <w:bottom w:val="single" w:color="auto" w:sz="2" w:space="0"/>
              <w:right w:val="single" w:color="auto" w:sz="2" w:space="0"/>
            </w:tcBorders>
            <w:vAlign w:val="center"/>
          </w:tcPr>
          <w:p w14:paraId="2620F2A1">
            <w:pPr>
              <w:spacing w:before="0" w:after="0" w:line="240" w:lineRule="exact"/>
              <w:jc w:val="right"/>
              <w:rPr>
                <w:rFonts w:ascii="宋体" w:hAnsi="宋体" w:eastAsia="宋体" w:cs="宋体"/>
                <w:sz w:val="18"/>
                <w:szCs w:val="18"/>
              </w:rPr>
            </w:pPr>
            <w:r>
              <w:rPr>
                <w:rFonts w:ascii="宋体" w:hAnsi="宋体" w:eastAsia="宋体" w:cs="宋体"/>
                <w:sz w:val="18"/>
                <w:szCs w:val="18"/>
              </w:rPr>
              <w:t>3,853.21</w:t>
            </w:r>
          </w:p>
        </w:tc>
        <w:tc>
          <w:tcPr>
            <w:tcW w:w="2410" w:type="dxa"/>
            <w:tcBorders>
              <w:top w:val="single" w:color="auto" w:sz="2" w:space="0"/>
              <w:left w:val="single" w:color="auto" w:sz="2" w:space="0"/>
              <w:bottom w:val="single" w:color="auto" w:sz="2" w:space="0"/>
              <w:right w:val="single" w:color="auto" w:sz="2" w:space="0"/>
            </w:tcBorders>
            <w:vAlign w:val="center"/>
          </w:tcPr>
          <w:p w14:paraId="70B11B22">
            <w:pPr>
              <w:spacing w:before="0" w:after="0" w:line="240" w:lineRule="exact"/>
              <w:jc w:val="right"/>
              <w:rPr>
                <w:rFonts w:ascii="宋体" w:hAnsi="宋体" w:eastAsia="宋体" w:cs="宋体"/>
                <w:sz w:val="18"/>
                <w:szCs w:val="18"/>
              </w:rPr>
            </w:pPr>
            <w:r>
              <w:rPr>
                <w:rFonts w:ascii="宋体" w:hAnsi="宋体" w:eastAsia="宋体" w:cs="宋体"/>
                <w:sz w:val="18"/>
                <w:szCs w:val="18"/>
              </w:rPr>
              <w:t>3,853.21</w:t>
            </w:r>
          </w:p>
        </w:tc>
      </w:tr>
      <w:tr w14:paraId="103CDD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6F61D009">
            <w:pPr>
              <w:spacing w:before="0" w:after="0" w:line="240" w:lineRule="exact"/>
              <w:jc w:val="left"/>
              <w:rPr>
                <w:rFonts w:ascii="宋体" w:hAnsi="宋体" w:eastAsia="宋体" w:cs="宋体"/>
                <w:sz w:val="18"/>
                <w:szCs w:val="18"/>
              </w:rPr>
            </w:pPr>
            <w:r>
              <w:rPr>
                <w:rFonts w:ascii="宋体" w:hAnsi="宋体" w:eastAsia="宋体" w:cs="宋体"/>
                <w:sz w:val="18"/>
                <w:szCs w:val="18"/>
              </w:rPr>
              <w:t>福州奥泰五期投资合伙企业（有限合伙）</w:t>
            </w:r>
          </w:p>
        </w:tc>
        <w:tc>
          <w:tcPr>
            <w:tcW w:w="2410" w:type="dxa"/>
            <w:tcBorders>
              <w:top w:val="single" w:color="auto" w:sz="2" w:space="0"/>
              <w:left w:val="single" w:color="auto" w:sz="2" w:space="0"/>
              <w:bottom w:val="single" w:color="auto" w:sz="2" w:space="0"/>
              <w:right w:val="single" w:color="auto" w:sz="2" w:space="0"/>
            </w:tcBorders>
            <w:vAlign w:val="center"/>
          </w:tcPr>
          <w:p w14:paraId="28A6CC4F">
            <w:pPr>
              <w:spacing w:before="0" w:after="0" w:line="240" w:lineRule="exact"/>
              <w:jc w:val="left"/>
              <w:rPr>
                <w:rFonts w:ascii="宋体" w:hAnsi="宋体" w:eastAsia="宋体" w:cs="宋体"/>
                <w:sz w:val="18"/>
                <w:szCs w:val="18"/>
              </w:rPr>
            </w:pPr>
            <w:r>
              <w:rPr>
                <w:rFonts w:ascii="宋体" w:hAnsi="宋体" w:eastAsia="宋体" w:cs="宋体"/>
                <w:sz w:val="18"/>
                <w:szCs w:val="18"/>
              </w:rPr>
              <w:t>房屋建筑物</w:t>
            </w:r>
          </w:p>
        </w:tc>
        <w:tc>
          <w:tcPr>
            <w:tcW w:w="2410" w:type="dxa"/>
            <w:tcBorders>
              <w:top w:val="single" w:color="auto" w:sz="2" w:space="0"/>
              <w:left w:val="single" w:color="auto" w:sz="2" w:space="0"/>
              <w:bottom w:val="single" w:color="auto" w:sz="2" w:space="0"/>
              <w:right w:val="single" w:color="auto" w:sz="2" w:space="0"/>
            </w:tcBorders>
            <w:vAlign w:val="center"/>
          </w:tcPr>
          <w:p w14:paraId="39F7302C">
            <w:pPr>
              <w:spacing w:before="0" w:after="0" w:line="240" w:lineRule="exact"/>
              <w:jc w:val="right"/>
              <w:rPr>
                <w:rFonts w:ascii="宋体" w:hAnsi="宋体" w:eastAsia="宋体" w:cs="宋体"/>
                <w:sz w:val="18"/>
                <w:szCs w:val="18"/>
              </w:rPr>
            </w:pPr>
            <w:r>
              <w:rPr>
                <w:rFonts w:ascii="宋体" w:hAnsi="宋体" w:eastAsia="宋体" w:cs="宋体"/>
                <w:sz w:val="18"/>
                <w:szCs w:val="18"/>
              </w:rPr>
              <w:t>3,853.21</w:t>
            </w:r>
          </w:p>
        </w:tc>
        <w:tc>
          <w:tcPr>
            <w:tcW w:w="2410" w:type="dxa"/>
            <w:tcBorders>
              <w:top w:val="single" w:color="auto" w:sz="2" w:space="0"/>
              <w:left w:val="single" w:color="auto" w:sz="2" w:space="0"/>
              <w:bottom w:val="single" w:color="auto" w:sz="2" w:space="0"/>
              <w:right w:val="single" w:color="auto" w:sz="2" w:space="0"/>
            </w:tcBorders>
            <w:vAlign w:val="center"/>
          </w:tcPr>
          <w:p w14:paraId="5E07410A">
            <w:pPr>
              <w:spacing w:before="0" w:after="0" w:line="240" w:lineRule="exact"/>
              <w:jc w:val="right"/>
              <w:rPr>
                <w:rFonts w:ascii="宋体" w:hAnsi="宋体" w:eastAsia="宋体" w:cs="宋体"/>
                <w:sz w:val="18"/>
                <w:szCs w:val="18"/>
              </w:rPr>
            </w:pPr>
            <w:r>
              <w:rPr>
                <w:rFonts w:ascii="宋体" w:hAnsi="宋体" w:eastAsia="宋体" w:cs="宋体"/>
                <w:sz w:val="18"/>
                <w:szCs w:val="18"/>
              </w:rPr>
              <w:t>3,853.21</w:t>
            </w:r>
          </w:p>
        </w:tc>
      </w:tr>
      <w:tr w14:paraId="2AD62B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DBD9931">
            <w:pPr>
              <w:spacing w:before="0" w:after="0" w:line="240" w:lineRule="exact"/>
              <w:jc w:val="left"/>
              <w:rPr>
                <w:rFonts w:ascii="宋体" w:hAnsi="宋体" w:eastAsia="宋体" w:cs="宋体"/>
                <w:sz w:val="18"/>
                <w:szCs w:val="18"/>
              </w:rPr>
            </w:pPr>
            <w:r>
              <w:rPr>
                <w:rFonts w:ascii="宋体" w:hAnsi="宋体" w:eastAsia="宋体" w:cs="宋体"/>
                <w:sz w:val="18"/>
                <w:szCs w:val="18"/>
              </w:rPr>
              <w:t>福州奥泰九期投资合伙企业（有限合伙）</w:t>
            </w:r>
          </w:p>
        </w:tc>
        <w:tc>
          <w:tcPr>
            <w:tcW w:w="2410" w:type="dxa"/>
            <w:tcBorders>
              <w:top w:val="single" w:color="auto" w:sz="2" w:space="0"/>
              <w:left w:val="single" w:color="auto" w:sz="2" w:space="0"/>
              <w:bottom w:val="single" w:color="auto" w:sz="2" w:space="0"/>
              <w:right w:val="single" w:color="auto" w:sz="2" w:space="0"/>
            </w:tcBorders>
            <w:vAlign w:val="center"/>
          </w:tcPr>
          <w:p w14:paraId="5F96D4AC">
            <w:pPr>
              <w:spacing w:before="0" w:after="0" w:line="240" w:lineRule="exact"/>
              <w:jc w:val="left"/>
              <w:rPr>
                <w:rFonts w:ascii="宋体" w:hAnsi="宋体" w:eastAsia="宋体" w:cs="宋体"/>
                <w:sz w:val="18"/>
                <w:szCs w:val="18"/>
              </w:rPr>
            </w:pPr>
            <w:r>
              <w:rPr>
                <w:rFonts w:ascii="宋体" w:hAnsi="宋体" w:eastAsia="宋体" w:cs="宋体"/>
                <w:sz w:val="18"/>
                <w:szCs w:val="18"/>
              </w:rPr>
              <w:t>房屋建筑物</w:t>
            </w:r>
          </w:p>
        </w:tc>
        <w:tc>
          <w:tcPr>
            <w:tcW w:w="2410" w:type="dxa"/>
            <w:tcBorders>
              <w:top w:val="single" w:color="auto" w:sz="2" w:space="0"/>
              <w:left w:val="single" w:color="auto" w:sz="2" w:space="0"/>
              <w:bottom w:val="single" w:color="auto" w:sz="2" w:space="0"/>
              <w:right w:val="single" w:color="auto" w:sz="2" w:space="0"/>
            </w:tcBorders>
            <w:vAlign w:val="center"/>
          </w:tcPr>
          <w:p w14:paraId="3D4FD02D">
            <w:pPr>
              <w:spacing w:before="0" w:after="0" w:line="240" w:lineRule="exact"/>
              <w:jc w:val="right"/>
              <w:rPr>
                <w:rFonts w:ascii="宋体" w:hAnsi="宋体" w:eastAsia="宋体" w:cs="宋体"/>
                <w:sz w:val="18"/>
                <w:szCs w:val="18"/>
              </w:rPr>
            </w:pPr>
            <w:r>
              <w:rPr>
                <w:rFonts w:ascii="宋体" w:hAnsi="宋体" w:eastAsia="宋体" w:cs="宋体"/>
                <w:sz w:val="18"/>
                <w:szCs w:val="18"/>
              </w:rPr>
              <w:t>3,853.21</w:t>
            </w:r>
          </w:p>
        </w:tc>
        <w:tc>
          <w:tcPr>
            <w:tcW w:w="2410" w:type="dxa"/>
            <w:tcBorders>
              <w:top w:val="single" w:color="auto" w:sz="2" w:space="0"/>
              <w:left w:val="single" w:color="auto" w:sz="2" w:space="0"/>
              <w:bottom w:val="single" w:color="auto" w:sz="2" w:space="0"/>
              <w:right w:val="single" w:color="auto" w:sz="2" w:space="0"/>
            </w:tcBorders>
            <w:vAlign w:val="center"/>
          </w:tcPr>
          <w:p w14:paraId="2F209EEE">
            <w:pPr>
              <w:spacing w:before="0" w:after="0" w:line="240" w:lineRule="exact"/>
              <w:jc w:val="right"/>
              <w:rPr>
                <w:rFonts w:ascii="宋体" w:hAnsi="宋体" w:eastAsia="宋体" w:cs="宋体"/>
                <w:sz w:val="18"/>
                <w:szCs w:val="18"/>
              </w:rPr>
            </w:pPr>
          </w:p>
        </w:tc>
      </w:tr>
      <w:tr w14:paraId="4D0839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4ED837A5">
            <w:pPr>
              <w:spacing w:before="0" w:after="0" w:line="240" w:lineRule="exact"/>
              <w:jc w:val="left"/>
              <w:rPr>
                <w:rFonts w:ascii="宋体" w:hAnsi="宋体" w:eastAsia="宋体" w:cs="宋体"/>
                <w:sz w:val="18"/>
                <w:szCs w:val="18"/>
              </w:rPr>
            </w:pPr>
            <w:r>
              <w:rPr>
                <w:rFonts w:ascii="宋体" w:hAnsi="宋体" w:eastAsia="宋体" w:cs="宋体"/>
                <w:sz w:val="18"/>
                <w:szCs w:val="18"/>
              </w:rPr>
              <w:t>劲久达大健康科技（福建）有限公司</w:t>
            </w:r>
          </w:p>
        </w:tc>
        <w:tc>
          <w:tcPr>
            <w:tcW w:w="2410" w:type="dxa"/>
            <w:tcBorders>
              <w:top w:val="single" w:color="auto" w:sz="2" w:space="0"/>
              <w:left w:val="single" w:color="auto" w:sz="2" w:space="0"/>
              <w:bottom w:val="single" w:color="auto" w:sz="2" w:space="0"/>
              <w:right w:val="single" w:color="auto" w:sz="2" w:space="0"/>
            </w:tcBorders>
            <w:vAlign w:val="center"/>
          </w:tcPr>
          <w:p w14:paraId="0B6BAB80">
            <w:pPr>
              <w:spacing w:before="0" w:after="0" w:line="240" w:lineRule="exact"/>
              <w:jc w:val="left"/>
              <w:rPr>
                <w:rFonts w:ascii="宋体" w:hAnsi="宋体" w:eastAsia="宋体" w:cs="宋体"/>
                <w:sz w:val="18"/>
                <w:szCs w:val="18"/>
              </w:rPr>
            </w:pPr>
            <w:r>
              <w:rPr>
                <w:rFonts w:ascii="宋体" w:hAnsi="宋体" w:eastAsia="宋体" w:cs="宋体"/>
                <w:sz w:val="18"/>
                <w:szCs w:val="18"/>
              </w:rPr>
              <w:t>房屋建筑物</w:t>
            </w:r>
          </w:p>
        </w:tc>
        <w:tc>
          <w:tcPr>
            <w:tcW w:w="2410" w:type="dxa"/>
            <w:tcBorders>
              <w:top w:val="single" w:color="auto" w:sz="2" w:space="0"/>
              <w:left w:val="single" w:color="auto" w:sz="2" w:space="0"/>
              <w:bottom w:val="single" w:color="auto" w:sz="2" w:space="0"/>
              <w:right w:val="single" w:color="auto" w:sz="2" w:space="0"/>
            </w:tcBorders>
            <w:vAlign w:val="center"/>
          </w:tcPr>
          <w:p w14:paraId="608DE20D">
            <w:pPr>
              <w:spacing w:before="0" w:after="0" w:line="240" w:lineRule="exact"/>
              <w:jc w:val="right"/>
              <w:rPr>
                <w:rFonts w:ascii="宋体" w:hAnsi="宋体" w:eastAsia="宋体" w:cs="宋体"/>
                <w:sz w:val="18"/>
                <w:szCs w:val="18"/>
              </w:rPr>
            </w:pPr>
            <w:r>
              <w:rPr>
                <w:rFonts w:ascii="宋体" w:hAnsi="宋体" w:eastAsia="宋体" w:cs="宋体"/>
                <w:sz w:val="18"/>
                <w:szCs w:val="18"/>
              </w:rPr>
              <w:t>2,285.72</w:t>
            </w:r>
          </w:p>
        </w:tc>
        <w:tc>
          <w:tcPr>
            <w:tcW w:w="2410" w:type="dxa"/>
            <w:tcBorders>
              <w:top w:val="single" w:color="auto" w:sz="2" w:space="0"/>
              <w:left w:val="single" w:color="auto" w:sz="2" w:space="0"/>
              <w:bottom w:val="single" w:color="auto" w:sz="2" w:space="0"/>
              <w:right w:val="single" w:color="auto" w:sz="2" w:space="0"/>
            </w:tcBorders>
            <w:vAlign w:val="center"/>
          </w:tcPr>
          <w:p w14:paraId="5EDCFD5A">
            <w:pPr>
              <w:spacing w:before="0" w:after="0" w:line="240" w:lineRule="exact"/>
              <w:jc w:val="right"/>
              <w:rPr>
                <w:rFonts w:ascii="宋体" w:hAnsi="宋体" w:eastAsia="宋体" w:cs="宋体"/>
                <w:sz w:val="18"/>
                <w:szCs w:val="18"/>
              </w:rPr>
            </w:pPr>
            <w:r>
              <w:rPr>
                <w:rFonts w:ascii="宋体" w:hAnsi="宋体" w:eastAsia="宋体" w:cs="宋体"/>
                <w:sz w:val="18"/>
                <w:szCs w:val="18"/>
              </w:rPr>
              <w:t>2,285.72</w:t>
            </w:r>
          </w:p>
        </w:tc>
      </w:tr>
      <w:tr w14:paraId="79D79F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D06AEC7">
            <w:pPr>
              <w:spacing w:before="0" w:after="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414DA9DF">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FC7A362">
            <w:pPr>
              <w:spacing w:before="0" w:after="0" w:line="240" w:lineRule="exact"/>
              <w:jc w:val="right"/>
              <w:rPr>
                <w:rFonts w:ascii="宋体" w:hAnsi="宋体" w:eastAsia="宋体" w:cs="宋体"/>
                <w:sz w:val="18"/>
                <w:szCs w:val="18"/>
              </w:rPr>
            </w:pPr>
            <w:r>
              <w:rPr>
                <w:rFonts w:ascii="宋体" w:hAnsi="宋体" w:eastAsia="宋体" w:cs="宋体"/>
                <w:sz w:val="18"/>
                <w:szCs w:val="18"/>
              </w:rPr>
              <w:t>1,020,960.83</w:t>
            </w:r>
          </w:p>
        </w:tc>
        <w:tc>
          <w:tcPr>
            <w:tcW w:w="2410" w:type="dxa"/>
            <w:tcBorders>
              <w:top w:val="single" w:color="auto" w:sz="2" w:space="0"/>
              <w:left w:val="single" w:color="auto" w:sz="2" w:space="0"/>
              <w:bottom w:val="single" w:color="auto" w:sz="2" w:space="0"/>
              <w:right w:val="single" w:color="auto" w:sz="2" w:space="0"/>
            </w:tcBorders>
            <w:vAlign w:val="center"/>
          </w:tcPr>
          <w:p w14:paraId="154C3CC7">
            <w:pPr>
              <w:spacing w:before="0" w:after="0" w:line="240" w:lineRule="exact"/>
              <w:jc w:val="right"/>
              <w:rPr>
                <w:rFonts w:ascii="宋体" w:hAnsi="宋体" w:eastAsia="宋体" w:cs="宋体"/>
                <w:sz w:val="18"/>
                <w:szCs w:val="18"/>
              </w:rPr>
            </w:pPr>
            <w:r>
              <w:rPr>
                <w:rFonts w:ascii="宋体" w:hAnsi="宋体" w:eastAsia="宋体" w:cs="宋体"/>
                <w:sz w:val="18"/>
                <w:szCs w:val="18"/>
              </w:rPr>
              <w:t>1,039,125.96</w:t>
            </w:r>
          </w:p>
        </w:tc>
      </w:tr>
    </w:tbl>
    <w:p w14:paraId="031C6E8B">
      <w:pPr>
        <w:spacing w:before="100" w:after="100" w:line="240" w:lineRule="exact"/>
        <w:jc w:val="left"/>
        <w:rPr>
          <w:rFonts w:ascii="宋体" w:hAnsi="宋体" w:eastAsia="宋体" w:cs="宋体"/>
          <w:sz w:val="18"/>
          <w:szCs w:val="18"/>
        </w:rPr>
      </w:pPr>
      <w:r>
        <w:rPr>
          <w:rFonts w:ascii="宋体" w:hAnsi="宋体" w:eastAsia="宋体" w:cs="宋体"/>
          <w:sz w:val="18"/>
          <w:szCs w:val="18"/>
        </w:rPr>
        <w:t>本公司作为承租方：</w:t>
      </w:r>
    </w:p>
    <w:p w14:paraId="2734A1FF">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03"/>
        <w:gridCol w:w="803"/>
        <w:gridCol w:w="803"/>
        <w:gridCol w:w="803"/>
        <w:gridCol w:w="803"/>
        <w:gridCol w:w="803"/>
        <w:gridCol w:w="803"/>
        <w:gridCol w:w="803"/>
        <w:gridCol w:w="803"/>
        <w:gridCol w:w="803"/>
        <w:gridCol w:w="803"/>
        <w:gridCol w:w="803"/>
      </w:tblGrid>
      <w:tr w14:paraId="3E4501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48F2E8F">
            <w:pPr>
              <w:spacing w:before="40" w:after="40" w:line="240" w:lineRule="exact"/>
              <w:jc w:val="center"/>
              <w:rPr>
                <w:rFonts w:ascii="宋体" w:hAnsi="宋体" w:eastAsia="宋体" w:cs="宋体"/>
                <w:sz w:val="18"/>
                <w:szCs w:val="18"/>
              </w:rPr>
            </w:pPr>
            <w:r>
              <w:rPr>
                <w:rFonts w:ascii="宋体" w:hAnsi="宋体" w:eastAsia="宋体" w:cs="宋体"/>
                <w:sz w:val="18"/>
                <w:szCs w:val="18"/>
              </w:rPr>
              <w:t>出租方名称</w:t>
            </w:r>
          </w:p>
        </w:tc>
        <w:tc>
          <w:tcPr>
            <w:tcW w:w="80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745F8F7">
            <w:pPr>
              <w:spacing w:before="40" w:after="40" w:line="240" w:lineRule="exact"/>
              <w:jc w:val="center"/>
              <w:rPr>
                <w:rFonts w:ascii="宋体" w:hAnsi="宋体" w:eastAsia="宋体" w:cs="宋体"/>
                <w:sz w:val="18"/>
                <w:szCs w:val="18"/>
              </w:rPr>
            </w:pPr>
            <w:r>
              <w:rPr>
                <w:rFonts w:ascii="宋体" w:hAnsi="宋体" w:eastAsia="宋体" w:cs="宋体"/>
                <w:sz w:val="18"/>
                <w:szCs w:val="18"/>
              </w:rPr>
              <w:t>租赁资产种类</w:t>
            </w:r>
          </w:p>
        </w:tc>
        <w:tc>
          <w:tcPr>
            <w:tcW w:w="160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FE6AA3E">
            <w:pPr>
              <w:spacing w:before="40" w:after="40" w:line="240" w:lineRule="exact"/>
              <w:jc w:val="center"/>
              <w:rPr>
                <w:rFonts w:ascii="宋体" w:hAnsi="宋体" w:eastAsia="宋体" w:cs="宋体"/>
                <w:sz w:val="18"/>
                <w:szCs w:val="18"/>
              </w:rPr>
            </w:pPr>
            <w:r>
              <w:rPr>
                <w:rFonts w:ascii="宋体" w:hAnsi="宋体" w:eastAsia="宋体" w:cs="宋体"/>
                <w:sz w:val="18"/>
                <w:szCs w:val="18"/>
              </w:rPr>
              <w:t>简化处理的短期租赁和低价值资产租赁的租金费用（如适用）</w:t>
            </w:r>
          </w:p>
        </w:tc>
        <w:tc>
          <w:tcPr>
            <w:tcW w:w="160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D182E57">
            <w:pPr>
              <w:spacing w:before="40" w:after="40" w:line="240" w:lineRule="exact"/>
              <w:jc w:val="center"/>
              <w:rPr>
                <w:rFonts w:ascii="宋体" w:hAnsi="宋体" w:eastAsia="宋体" w:cs="宋体"/>
                <w:sz w:val="18"/>
                <w:szCs w:val="18"/>
              </w:rPr>
            </w:pPr>
            <w:r>
              <w:rPr>
                <w:rFonts w:ascii="宋体" w:hAnsi="宋体" w:eastAsia="宋体" w:cs="宋体"/>
                <w:sz w:val="18"/>
                <w:szCs w:val="18"/>
              </w:rPr>
              <w:t>未纳入租赁负债计量的可变租赁付款额（如适用）</w:t>
            </w:r>
          </w:p>
        </w:tc>
        <w:tc>
          <w:tcPr>
            <w:tcW w:w="160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C28B7D4">
            <w:pPr>
              <w:spacing w:before="40" w:after="40" w:line="240" w:lineRule="exact"/>
              <w:jc w:val="center"/>
              <w:rPr>
                <w:rFonts w:ascii="宋体" w:hAnsi="宋体" w:eastAsia="宋体" w:cs="宋体"/>
                <w:sz w:val="18"/>
                <w:szCs w:val="18"/>
              </w:rPr>
            </w:pPr>
            <w:r>
              <w:rPr>
                <w:rFonts w:ascii="宋体" w:hAnsi="宋体" w:eastAsia="宋体" w:cs="宋体"/>
                <w:sz w:val="18"/>
                <w:szCs w:val="18"/>
              </w:rPr>
              <w:t>支付的租金</w:t>
            </w:r>
          </w:p>
        </w:tc>
        <w:tc>
          <w:tcPr>
            <w:tcW w:w="160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F632C29">
            <w:pPr>
              <w:spacing w:before="40" w:after="40" w:line="240" w:lineRule="exact"/>
              <w:jc w:val="center"/>
              <w:rPr>
                <w:rFonts w:ascii="宋体" w:hAnsi="宋体" w:eastAsia="宋体" w:cs="宋体"/>
                <w:sz w:val="18"/>
                <w:szCs w:val="18"/>
              </w:rPr>
            </w:pPr>
            <w:r>
              <w:rPr>
                <w:rFonts w:ascii="宋体" w:hAnsi="宋体" w:eastAsia="宋体" w:cs="宋体"/>
                <w:sz w:val="18"/>
                <w:szCs w:val="18"/>
              </w:rPr>
              <w:t>承担的租赁负债利息支出</w:t>
            </w:r>
          </w:p>
        </w:tc>
        <w:tc>
          <w:tcPr>
            <w:tcW w:w="160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3291BBD">
            <w:pPr>
              <w:spacing w:before="40" w:after="40" w:line="240" w:lineRule="exact"/>
              <w:jc w:val="center"/>
              <w:rPr>
                <w:rFonts w:ascii="宋体" w:hAnsi="宋体" w:eastAsia="宋体" w:cs="宋体"/>
                <w:sz w:val="18"/>
                <w:szCs w:val="18"/>
              </w:rPr>
            </w:pPr>
            <w:r>
              <w:rPr>
                <w:rFonts w:ascii="宋体" w:hAnsi="宋体" w:eastAsia="宋体" w:cs="宋体"/>
                <w:sz w:val="18"/>
                <w:szCs w:val="18"/>
              </w:rPr>
              <w:t>增加的使用权资产</w:t>
            </w:r>
          </w:p>
        </w:tc>
      </w:tr>
      <w:tr w14:paraId="048802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vMerge w:val="continue"/>
            <w:tcBorders>
              <w:top w:val="single" w:color="auto" w:sz="2" w:space="0"/>
              <w:left w:val="single" w:color="auto" w:sz="2" w:space="0"/>
              <w:bottom w:val="single" w:color="auto" w:sz="2" w:space="0"/>
              <w:right w:val="single" w:color="auto" w:sz="2" w:space="0"/>
            </w:tcBorders>
            <w:vAlign w:val="center"/>
          </w:tcPr>
          <w:p w14:paraId="15BAC447"/>
        </w:tc>
        <w:tc>
          <w:tcPr>
            <w:tcW w:w="803" w:type="dxa"/>
            <w:vMerge w:val="continue"/>
            <w:tcBorders>
              <w:top w:val="single" w:color="auto" w:sz="2" w:space="0"/>
              <w:left w:val="single" w:color="auto" w:sz="2" w:space="0"/>
              <w:bottom w:val="single" w:color="auto" w:sz="2" w:space="0"/>
              <w:right w:val="single" w:color="auto" w:sz="2" w:space="0"/>
            </w:tcBorders>
            <w:vAlign w:val="center"/>
          </w:tcPr>
          <w:p w14:paraId="603D6DA7"/>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0ABAA831">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369347C4">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3EA7B0B1">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7C7D8F7D">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399382D8">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71E919F3">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670C49DF">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06A06A13">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6E2F51B2">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14:paraId="69FE0E9C">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1CFA8B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14:paraId="238458DC">
            <w:pPr>
              <w:spacing w:before="0" w:after="0" w:line="240" w:lineRule="exact"/>
              <w:jc w:val="left"/>
              <w:rPr>
                <w:rFonts w:ascii="宋体" w:hAnsi="宋体" w:eastAsia="宋体" w:cs="宋体"/>
                <w:sz w:val="18"/>
                <w:szCs w:val="18"/>
              </w:rPr>
            </w:pPr>
            <w:r>
              <w:rPr>
                <w:rFonts w:ascii="宋体" w:hAnsi="宋体" w:eastAsia="宋体" w:cs="宋体"/>
                <w:sz w:val="18"/>
                <w:szCs w:val="18"/>
              </w:rPr>
              <w:t>上海和则生投资发展有限公司</w:t>
            </w:r>
          </w:p>
        </w:tc>
        <w:tc>
          <w:tcPr>
            <w:tcW w:w="803" w:type="dxa"/>
            <w:tcBorders>
              <w:top w:val="single" w:color="auto" w:sz="2" w:space="0"/>
              <w:left w:val="single" w:color="auto" w:sz="2" w:space="0"/>
              <w:bottom w:val="single" w:color="auto" w:sz="2" w:space="0"/>
              <w:right w:val="single" w:color="auto" w:sz="2" w:space="0"/>
            </w:tcBorders>
            <w:vAlign w:val="center"/>
          </w:tcPr>
          <w:p w14:paraId="198FF912">
            <w:pPr>
              <w:spacing w:before="0" w:after="0" w:line="240" w:lineRule="exact"/>
              <w:jc w:val="left"/>
              <w:rPr>
                <w:rFonts w:ascii="宋体" w:hAnsi="宋体" w:eastAsia="宋体" w:cs="宋体"/>
                <w:sz w:val="18"/>
                <w:szCs w:val="18"/>
              </w:rPr>
            </w:pPr>
            <w:r>
              <w:rPr>
                <w:rFonts w:ascii="宋体" w:hAnsi="宋体" w:eastAsia="宋体" w:cs="宋体"/>
                <w:sz w:val="18"/>
                <w:szCs w:val="18"/>
              </w:rPr>
              <w:t>运输</w:t>
            </w:r>
          </w:p>
          <w:p w14:paraId="55AB3095">
            <w:pPr>
              <w:spacing w:before="0" w:after="0" w:line="240" w:lineRule="exact"/>
              <w:jc w:val="left"/>
              <w:rPr>
                <w:rFonts w:ascii="宋体" w:hAnsi="宋体" w:eastAsia="宋体" w:cs="宋体"/>
                <w:sz w:val="18"/>
                <w:szCs w:val="18"/>
              </w:rPr>
            </w:pPr>
            <w:r>
              <w:rPr>
                <w:rFonts w:ascii="宋体" w:hAnsi="宋体" w:eastAsia="宋体" w:cs="宋体"/>
                <w:sz w:val="18"/>
                <w:szCs w:val="18"/>
              </w:rPr>
              <w:t>工具</w:t>
            </w:r>
          </w:p>
        </w:tc>
        <w:tc>
          <w:tcPr>
            <w:tcW w:w="803" w:type="dxa"/>
            <w:tcBorders>
              <w:top w:val="single" w:color="auto" w:sz="2" w:space="0"/>
              <w:left w:val="single" w:color="auto" w:sz="2" w:space="0"/>
              <w:bottom w:val="single" w:color="auto" w:sz="2" w:space="0"/>
              <w:right w:val="single" w:color="auto" w:sz="2" w:space="0"/>
            </w:tcBorders>
            <w:vAlign w:val="center"/>
          </w:tcPr>
          <w:p w14:paraId="7B754307">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3523EE95">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4BACF32B">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49397A7E">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436A2F1A">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c>
          <w:tcPr>
            <w:tcW w:w="803" w:type="dxa"/>
            <w:tcBorders>
              <w:top w:val="single" w:color="auto" w:sz="2" w:space="0"/>
              <w:left w:val="single" w:color="auto" w:sz="2" w:space="0"/>
              <w:bottom w:val="single" w:color="auto" w:sz="2" w:space="0"/>
              <w:right w:val="single" w:color="auto" w:sz="2" w:space="0"/>
            </w:tcBorders>
            <w:vAlign w:val="center"/>
          </w:tcPr>
          <w:p w14:paraId="226D3FEB">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c>
          <w:tcPr>
            <w:tcW w:w="803" w:type="dxa"/>
            <w:tcBorders>
              <w:top w:val="single" w:color="auto" w:sz="2" w:space="0"/>
              <w:left w:val="single" w:color="auto" w:sz="2" w:space="0"/>
              <w:bottom w:val="single" w:color="auto" w:sz="2" w:space="0"/>
              <w:right w:val="single" w:color="auto" w:sz="2" w:space="0"/>
            </w:tcBorders>
            <w:vAlign w:val="center"/>
          </w:tcPr>
          <w:p w14:paraId="581A53F3">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76439EF8">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353B4A9C">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c>
          <w:tcPr>
            <w:tcW w:w="803" w:type="dxa"/>
            <w:tcBorders>
              <w:top w:val="single" w:color="auto" w:sz="2" w:space="0"/>
              <w:left w:val="single" w:color="auto" w:sz="2" w:space="0"/>
              <w:bottom w:val="single" w:color="auto" w:sz="2" w:space="0"/>
              <w:right w:val="single" w:color="auto" w:sz="2" w:space="0"/>
            </w:tcBorders>
            <w:vAlign w:val="center"/>
          </w:tcPr>
          <w:p w14:paraId="6EA9069E">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r>
      <w:tr w14:paraId="76844B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14:paraId="4EE4E7CA">
            <w:pPr>
              <w:spacing w:before="0" w:after="0" w:line="240" w:lineRule="exact"/>
              <w:jc w:val="left"/>
              <w:rPr>
                <w:rFonts w:ascii="宋体" w:hAnsi="宋体" w:eastAsia="宋体" w:cs="宋体"/>
                <w:sz w:val="18"/>
                <w:szCs w:val="18"/>
              </w:rPr>
            </w:pPr>
            <w:r>
              <w:rPr>
                <w:rFonts w:ascii="宋体" w:hAnsi="宋体" w:eastAsia="宋体" w:cs="宋体"/>
                <w:sz w:val="18"/>
                <w:szCs w:val="18"/>
              </w:rPr>
              <w:t>北京奥华新传广告有限公司</w:t>
            </w:r>
          </w:p>
        </w:tc>
        <w:tc>
          <w:tcPr>
            <w:tcW w:w="803" w:type="dxa"/>
            <w:tcBorders>
              <w:top w:val="single" w:color="auto" w:sz="2" w:space="0"/>
              <w:left w:val="single" w:color="auto" w:sz="2" w:space="0"/>
              <w:bottom w:val="single" w:color="auto" w:sz="2" w:space="0"/>
              <w:right w:val="single" w:color="auto" w:sz="2" w:space="0"/>
            </w:tcBorders>
            <w:vAlign w:val="center"/>
          </w:tcPr>
          <w:p w14:paraId="43AB25CF">
            <w:pPr>
              <w:spacing w:before="0" w:after="0" w:line="240" w:lineRule="exact"/>
              <w:jc w:val="left"/>
              <w:rPr>
                <w:rFonts w:ascii="宋体" w:hAnsi="宋体" w:eastAsia="宋体" w:cs="宋体"/>
                <w:sz w:val="18"/>
                <w:szCs w:val="18"/>
              </w:rPr>
            </w:pPr>
            <w:r>
              <w:rPr>
                <w:rFonts w:ascii="宋体" w:hAnsi="宋体" w:eastAsia="宋体" w:cs="宋体"/>
                <w:sz w:val="18"/>
                <w:szCs w:val="18"/>
              </w:rPr>
              <w:t>运输</w:t>
            </w:r>
          </w:p>
          <w:p w14:paraId="59D24D0D">
            <w:pPr>
              <w:spacing w:before="0" w:after="0" w:line="240" w:lineRule="exact"/>
              <w:jc w:val="left"/>
              <w:rPr>
                <w:rFonts w:ascii="宋体" w:hAnsi="宋体" w:eastAsia="宋体" w:cs="宋体"/>
                <w:sz w:val="18"/>
                <w:szCs w:val="18"/>
              </w:rPr>
            </w:pPr>
            <w:r>
              <w:rPr>
                <w:rFonts w:ascii="宋体" w:hAnsi="宋体" w:eastAsia="宋体" w:cs="宋体"/>
                <w:sz w:val="18"/>
                <w:szCs w:val="18"/>
              </w:rPr>
              <w:t>工具</w:t>
            </w:r>
          </w:p>
        </w:tc>
        <w:tc>
          <w:tcPr>
            <w:tcW w:w="803" w:type="dxa"/>
            <w:tcBorders>
              <w:top w:val="single" w:color="auto" w:sz="2" w:space="0"/>
              <w:left w:val="single" w:color="auto" w:sz="2" w:space="0"/>
              <w:bottom w:val="single" w:color="auto" w:sz="2" w:space="0"/>
              <w:right w:val="single" w:color="auto" w:sz="2" w:space="0"/>
            </w:tcBorders>
            <w:vAlign w:val="center"/>
          </w:tcPr>
          <w:p w14:paraId="7FDCEE10">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7A8B2974">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12290170">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598FB114">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7EF7C1AB">
            <w:pPr>
              <w:spacing w:before="0" w:after="0" w:line="240" w:lineRule="exact"/>
              <w:jc w:val="right"/>
              <w:rPr>
                <w:rFonts w:ascii="宋体" w:hAnsi="宋体" w:eastAsia="宋体" w:cs="宋体"/>
                <w:sz w:val="18"/>
                <w:szCs w:val="18"/>
              </w:rPr>
            </w:pPr>
            <w:r>
              <w:rPr>
                <w:rFonts w:ascii="宋体" w:hAnsi="宋体" w:eastAsia="宋体" w:cs="宋体"/>
                <w:sz w:val="18"/>
                <w:szCs w:val="18"/>
              </w:rPr>
              <w:t>200,000.00</w:t>
            </w:r>
          </w:p>
        </w:tc>
        <w:tc>
          <w:tcPr>
            <w:tcW w:w="803" w:type="dxa"/>
            <w:tcBorders>
              <w:top w:val="single" w:color="auto" w:sz="2" w:space="0"/>
              <w:left w:val="single" w:color="auto" w:sz="2" w:space="0"/>
              <w:bottom w:val="single" w:color="auto" w:sz="2" w:space="0"/>
              <w:right w:val="single" w:color="auto" w:sz="2" w:space="0"/>
            </w:tcBorders>
            <w:vAlign w:val="center"/>
          </w:tcPr>
          <w:p w14:paraId="7EEB13B8">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3EE6C01B">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37D430A6">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1A6AD139">
            <w:pPr>
              <w:spacing w:before="0" w:after="0" w:line="240" w:lineRule="exact"/>
              <w:jc w:val="right"/>
              <w:rPr>
                <w:rFonts w:ascii="宋体" w:hAnsi="宋体" w:eastAsia="宋体" w:cs="宋体"/>
                <w:sz w:val="18"/>
                <w:szCs w:val="18"/>
              </w:rPr>
            </w:pPr>
            <w:r>
              <w:rPr>
                <w:rFonts w:ascii="宋体" w:hAnsi="宋体" w:eastAsia="宋体" w:cs="宋体"/>
                <w:sz w:val="18"/>
                <w:szCs w:val="18"/>
              </w:rPr>
              <w:t>176,991.15</w:t>
            </w:r>
          </w:p>
        </w:tc>
        <w:tc>
          <w:tcPr>
            <w:tcW w:w="803" w:type="dxa"/>
            <w:tcBorders>
              <w:top w:val="single" w:color="auto" w:sz="2" w:space="0"/>
              <w:left w:val="single" w:color="auto" w:sz="2" w:space="0"/>
              <w:bottom w:val="single" w:color="auto" w:sz="2" w:space="0"/>
              <w:right w:val="single" w:color="auto" w:sz="2" w:space="0"/>
            </w:tcBorders>
            <w:vAlign w:val="center"/>
          </w:tcPr>
          <w:p w14:paraId="08286A23">
            <w:pPr>
              <w:spacing w:before="0" w:after="0" w:line="240" w:lineRule="exact"/>
              <w:jc w:val="right"/>
              <w:rPr>
                <w:rFonts w:ascii="宋体" w:hAnsi="宋体" w:eastAsia="宋体" w:cs="宋体"/>
                <w:sz w:val="18"/>
                <w:szCs w:val="18"/>
              </w:rPr>
            </w:pPr>
          </w:p>
        </w:tc>
      </w:tr>
      <w:tr w14:paraId="7524FD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14:paraId="67D9BFF2">
            <w:pPr>
              <w:spacing w:before="0" w:after="0" w:line="240" w:lineRule="exact"/>
              <w:jc w:val="left"/>
              <w:rPr>
                <w:rFonts w:ascii="宋体" w:hAnsi="宋体" w:eastAsia="宋体" w:cs="宋体"/>
                <w:sz w:val="18"/>
                <w:szCs w:val="18"/>
              </w:rPr>
            </w:pPr>
            <w:r>
              <w:rPr>
                <w:rFonts w:ascii="宋体" w:hAnsi="宋体" w:eastAsia="宋体" w:cs="宋体"/>
                <w:sz w:val="18"/>
                <w:szCs w:val="18"/>
              </w:rPr>
              <w:t>合计</w:t>
            </w:r>
          </w:p>
        </w:tc>
        <w:tc>
          <w:tcPr>
            <w:tcW w:w="803" w:type="dxa"/>
            <w:tcBorders>
              <w:top w:val="single" w:color="auto" w:sz="2" w:space="0"/>
              <w:left w:val="single" w:color="auto" w:sz="2" w:space="0"/>
              <w:bottom w:val="single" w:color="auto" w:sz="2" w:space="0"/>
              <w:right w:val="single" w:color="auto" w:sz="2" w:space="0"/>
            </w:tcBorders>
            <w:vAlign w:val="center"/>
          </w:tcPr>
          <w:p w14:paraId="1A170165">
            <w:pPr>
              <w:spacing w:before="0" w:after="0" w:line="240" w:lineRule="exact"/>
              <w:jc w:val="lef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6C238B92">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2537B615">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15C60913">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443AFF3D">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410CCBED">
            <w:pPr>
              <w:spacing w:before="0" w:after="0" w:line="240" w:lineRule="exact"/>
              <w:jc w:val="right"/>
              <w:rPr>
                <w:rFonts w:ascii="宋体" w:hAnsi="宋体" w:eastAsia="宋体" w:cs="宋体"/>
                <w:sz w:val="18"/>
                <w:szCs w:val="18"/>
              </w:rPr>
            </w:pPr>
            <w:r>
              <w:rPr>
                <w:rFonts w:ascii="宋体" w:hAnsi="宋体" w:eastAsia="宋体" w:cs="宋体"/>
                <w:sz w:val="18"/>
                <w:szCs w:val="18"/>
              </w:rPr>
              <w:t>440,000.00</w:t>
            </w:r>
          </w:p>
        </w:tc>
        <w:tc>
          <w:tcPr>
            <w:tcW w:w="803" w:type="dxa"/>
            <w:tcBorders>
              <w:top w:val="single" w:color="auto" w:sz="2" w:space="0"/>
              <w:left w:val="single" w:color="auto" w:sz="2" w:space="0"/>
              <w:bottom w:val="single" w:color="auto" w:sz="2" w:space="0"/>
              <w:right w:val="single" w:color="auto" w:sz="2" w:space="0"/>
            </w:tcBorders>
            <w:vAlign w:val="center"/>
          </w:tcPr>
          <w:p w14:paraId="6D9EC102">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c>
          <w:tcPr>
            <w:tcW w:w="803" w:type="dxa"/>
            <w:tcBorders>
              <w:top w:val="single" w:color="auto" w:sz="2" w:space="0"/>
              <w:left w:val="single" w:color="auto" w:sz="2" w:space="0"/>
              <w:bottom w:val="single" w:color="auto" w:sz="2" w:space="0"/>
              <w:right w:val="single" w:color="auto" w:sz="2" w:space="0"/>
            </w:tcBorders>
            <w:vAlign w:val="center"/>
          </w:tcPr>
          <w:p w14:paraId="6E82C89B">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68EDE088">
            <w:pPr>
              <w:spacing w:before="0" w:after="0"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14:paraId="4A92E75F">
            <w:pPr>
              <w:spacing w:before="0" w:after="0" w:line="240" w:lineRule="exact"/>
              <w:jc w:val="right"/>
              <w:rPr>
                <w:rFonts w:ascii="宋体" w:hAnsi="宋体" w:eastAsia="宋体" w:cs="宋体"/>
                <w:sz w:val="18"/>
                <w:szCs w:val="18"/>
              </w:rPr>
            </w:pPr>
            <w:r>
              <w:rPr>
                <w:rFonts w:ascii="宋体" w:hAnsi="宋体" w:eastAsia="宋体" w:cs="宋体"/>
                <w:sz w:val="18"/>
                <w:szCs w:val="18"/>
              </w:rPr>
              <w:t>416,991.15</w:t>
            </w:r>
          </w:p>
        </w:tc>
        <w:tc>
          <w:tcPr>
            <w:tcW w:w="803" w:type="dxa"/>
            <w:tcBorders>
              <w:top w:val="single" w:color="auto" w:sz="2" w:space="0"/>
              <w:left w:val="single" w:color="auto" w:sz="2" w:space="0"/>
              <w:bottom w:val="single" w:color="auto" w:sz="2" w:space="0"/>
              <w:right w:val="single" w:color="auto" w:sz="2" w:space="0"/>
            </w:tcBorders>
            <w:vAlign w:val="center"/>
          </w:tcPr>
          <w:p w14:paraId="3B938321">
            <w:pPr>
              <w:spacing w:before="0" w:after="0" w:line="240" w:lineRule="exact"/>
              <w:jc w:val="right"/>
              <w:rPr>
                <w:rFonts w:ascii="宋体" w:hAnsi="宋体" w:eastAsia="宋体" w:cs="宋体"/>
                <w:sz w:val="18"/>
                <w:szCs w:val="18"/>
              </w:rPr>
            </w:pPr>
            <w:r>
              <w:rPr>
                <w:rFonts w:ascii="宋体" w:hAnsi="宋体" w:eastAsia="宋体" w:cs="宋体"/>
                <w:sz w:val="18"/>
                <w:szCs w:val="18"/>
              </w:rPr>
              <w:t>240,000.00</w:t>
            </w:r>
          </w:p>
        </w:tc>
      </w:tr>
    </w:tbl>
    <w:p w14:paraId="4A946D47">
      <w:pPr>
        <w:spacing w:before="100" w:after="100" w:line="240" w:lineRule="exact"/>
        <w:jc w:val="left"/>
        <w:rPr>
          <w:rFonts w:ascii="宋体" w:hAnsi="宋体" w:eastAsia="宋体" w:cs="宋体"/>
          <w:sz w:val="18"/>
          <w:szCs w:val="18"/>
        </w:rPr>
      </w:pPr>
      <w:r>
        <w:rPr>
          <w:rFonts w:ascii="宋体" w:hAnsi="宋体" w:eastAsia="宋体" w:cs="宋体"/>
          <w:sz w:val="18"/>
          <w:szCs w:val="18"/>
        </w:rPr>
        <w:t>关联租赁情况说明</w:t>
      </w:r>
    </w:p>
    <w:p w14:paraId="161987B3">
      <w:pPr>
        <w:keepNext/>
        <w:keepLines/>
        <w:spacing w:before="300" w:after="300" w:line="280" w:lineRule="exact"/>
        <w:jc w:val="left"/>
        <w:outlineLvl w:val="3"/>
        <w:rPr>
          <w:rFonts w:ascii="宋体" w:hAnsi="宋体" w:eastAsia="宋体" w:cs="宋体"/>
          <w:b/>
          <w:bCs/>
          <w:sz w:val="21"/>
          <w:szCs w:val="21"/>
        </w:rPr>
      </w:pPr>
      <w:bookmarkStart w:id="533" w:name="_Toc989416"/>
      <w:r>
        <w:rPr>
          <w:rFonts w:ascii="宋体" w:hAnsi="宋体" w:eastAsia="宋体" w:cs="宋体"/>
          <w:b/>
          <w:bCs/>
          <w:sz w:val="21"/>
          <w:szCs w:val="21"/>
        </w:rPr>
        <w:t>（4） 关联担保情况</w:t>
      </w:r>
      <w:bookmarkEnd w:id="533"/>
    </w:p>
    <w:p w14:paraId="471B6BA0">
      <w:pPr>
        <w:spacing w:before="100" w:after="100" w:line="240" w:lineRule="exact"/>
        <w:jc w:val="left"/>
        <w:rPr>
          <w:rFonts w:ascii="宋体" w:hAnsi="宋体" w:eastAsia="宋体" w:cs="宋体"/>
          <w:sz w:val="18"/>
          <w:szCs w:val="18"/>
        </w:rPr>
      </w:pPr>
      <w:r>
        <w:rPr>
          <w:rFonts w:ascii="宋体" w:hAnsi="宋体" w:eastAsia="宋体" w:cs="宋体"/>
          <w:sz w:val="18"/>
          <w:szCs w:val="18"/>
        </w:rPr>
        <w:t>本公司作为担保方</w:t>
      </w:r>
    </w:p>
    <w:p w14:paraId="4D636858">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25ECB1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64185A3">
            <w:pPr>
              <w:spacing w:before="40" w:after="40" w:line="240" w:lineRule="exact"/>
              <w:jc w:val="center"/>
              <w:rPr>
                <w:rFonts w:ascii="宋体" w:hAnsi="宋体" w:eastAsia="宋体" w:cs="宋体"/>
                <w:sz w:val="18"/>
                <w:szCs w:val="18"/>
              </w:rPr>
            </w:pPr>
            <w:r>
              <w:rPr>
                <w:rFonts w:ascii="宋体" w:hAnsi="宋体" w:eastAsia="宋体" w:cs="宋体"/>
                <w:sz w:val="18"/>
                <w:szCs w:val="18"/>
              </w:rPr>
              <w:t>被担保方</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71A717B">
            <w:pPr>
              <w:spacing w:before="40" w:after="40" w:line="240" w:lineRule="exact"/>
              <w:jc w:val="center"/>
              <w:rPr>
                <w:rFonts w:ascii="宋体" w:hAnsi="宋体" w:eastAsia="宋体" w:cs="宋体"/>
                <w:sz w:val="18"/>
                <w:szCs w:val="18"/>
              </w:rPr>
            </w:pPr>
            <w:r>
              <w:rPr>
                <w:rFonts w:ascii="宋体" w:hAnsi="宋体" w:eastAsia="宋体" w:cs="宋体"/>
                <w:sz w:val="18"/>
                <w:szCs w:val="18"/>
              </w:rPr>
              <w:t>担保金额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F6268CF">
            <w:pPr>
              <w:spacing w:before="40" w:after="40" w:line="240" w:lineRule="exact"/>
              <w:jc w:val="center"/>
              <w:rPr>
                <w:rFonts w:ascii="宋体" w:hAnsi="宋体" w:eastAsia="宋体" w:cs="宋体"/>
                <w:sz w:val="18"/>
                <w:szCs w:val="18"/>
              </w:rPr>
            </w:pPr>
            <w:r>
              <w:rPr>
                <w:rFonts w:ascii="宋体" w:hAnsi="宋体" w:eastAsia="宋体" w:cs="宋体"/>
                <w:sz w:val="18"/>
                <w:szCs w:val="18"/>
              </w:rPr>
              <w:t>担保起始日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8BE5BFD">
            <w:pPr>
              <w:spacing w:before="40" w:after="40" w:line="240" w:lineRule="exact"/>
              <w:jc w:val="center"/>
              <w:rPr>
                <w:rFonts w:ascii="宋体" w:hAnsi="宋体" w:eastAsia="宋体" w:cs="宋体"/>
                <w:sz w:val="18"/>
                <w:szCs w:val="18"/>
              </w:rPr>
            </w:pPr>
            <w:r>
              <w:rPr>
                <w:rFonts w:ascii="宋体" w:hAnsi="宋体" w:eastAsia="宋体" w:cs="宋体"/>
                <w:sz w:val="18"/>
                <w:szCs w:val="18"/>
              </w:rPr>
              <w:t>担保到期日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4961242">
            <w:pPr>
              <w:spacing w:before="40" w:after="40" w:line="240" w:lineRule="exact"/>
              <w:jc w:val="center"/>
              <w:rPr>
                <w:rFonts w:ascii="宋体" w:hAnsi="宋体" w:eastAsia="宋体" w:cs="宋体"/>
                <w:sz w:val="18"/>
                <w:szCs w:val="18"/>
              </w:rPr>
            </w:pPr>
            <w:r>
              <w:rPr>
                <w:rFonts w:ascii="宋体" w:hAnsi="宋体" w:eastAsia="宋体" w:cs="宋体"/>
                <w:sz w:val="18"/>
                <w:szCs w:val="18"/>
              </w:rPr>
              <w:t>担保是否已经履行完毕</w:t>
            </w:r>
          </w:p>
        </w:tc>
      </w:tr>
    </w:tbl>
    <w:p w14:paraId="31386686">
      <w:pPr>
        <w:spacing w:before="100" w:after="100" w:line="240" w:lineRule="exact"/>
        <w:jc w:val="left"/>
        <w:rPr>
          <w:rFonts w:ascii="宋体" w:hAnsi="宋体" w:eastAsia="宋体" w:cs="宋体"/>
          <w:sz w:val="18"/>
          <w:szCs w:val="18"/>
        </w:rPr>
      </w:pPr>
      <w:r>
        <w:rPr>
          <w:rFonts w:ascii="宋体" w:hAnsi="宋体" w:eastAsia="宋体" w:cs="宋体"/>
          <w:sz w:val="18"/>
          <w:szCs w:val="18"/>
        </w:rPr>
        <w:t>本公司作为被担保方</w:t>
      </w:r>
    </w:p>
    <w:p w14:paraId="1F257980">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2AFB98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0D7D311">
            <w:pPr>
              <w:spacing w:before="40" w:after="40" w:line="240" w:lineRule="exact"/>
              <w:jc w:val="center"/>
              <w:rPr>
                <w:rFonts w:ascii="宋体" w:hAnsi="宋体" w:eastAsia="宋体" w:cs="宋体"/>
                <w:sz w:val="18"/>
                <w:szCs w:val="18"/>
              </w:rPr>
            </w:pPr>
            <w:r>
              <w:rPr>
                <w:rFonts w:ascii="宋体" w:hAnsi="宋体" w:eastAsia="宋体" w:cs="宋体"/>
                <w:sz w:val="18"/>
                <w:szCs w:val="18"/>
              </w:rPr>
              <w:t>担保方</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8450308">
            <w:pPr>
              <w:spacing w:before="40" w:after="40" w:line="240" w:lineRule="exact"/>
              <w:jc w:val="center"/>
              <w:rPr>
                <w:rFonts w:ascii="宋体" w:hAnsi="宋体" w:eastAsia="宋体" w:cs="宋体"/>
                <w:sz w:val="18"/>
                <w:szCs w:val="18"/>
              </w:rPr>
            </w:pPr>
            <w:r>
              <w:rPr>
                <w:rFonts w:ascii="宋体" w:hAnsi="宋体" w:eastAsia="宋体" w:cs="宋体"/>
                <w:sz w:val="18"/>
                <w:szCs w:val="18"/>
              </w:rPr>
              <w:t>担保金额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793F5B5">
            <w:pPr>
              <w:spacing w:before="40" w:after="40" w:line="240" w:lineRule="exact"/>
              <w:jc w:val="center"/>
              <w:rPr>
                <w:rFonts w:ascii="宋体" w:hAnsi="宋体" w:eastAsia="宋体" w:cs="宋体"/>
                <w:sz w:val="18"/>
                <w:szCs w:val="18"/>
              </w:rPr>
            </w:pPr>
            <w:r>
              <w:rPr>
                <w:rFonts w:ascii="宋体" w:hAnsi="宋体" w:eastAsia="宋体" w:cs="宋体"/>
                <w:sz w:val="18"/>
                <w:szCs w:val="18"/>
              </w:rPr>
              <w:t>担保起始日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1E53978">
            <w:pPr>
              <w:spacing w:before="40" w:after="40" w:line="240" w:lineRule="exact"/>
              <w:jc w:val="center"/>
              <w:rPr>
                <w:rFonts w:ascii="宋体" w:hAnsi="宋体" w:eastAsia="宋体" w:cs="宋体"/>
                <w:sz w:val="18"/>
                <w:szCs w:val="18"/>
              </w:rPr>
            </w:pPr>
            <w:r>
              <w:rPr>
                <w:rFonts w:ascii="宋体" w:hAnsi="宋体" w:eastAsia="宋体" w:cs="宋体"/>
                <w:sz w:val="18"/>
                <w:szCs w:val="18"/>
              </w:rPr>
              <w:t>担保到期日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B13F7C5">
            <w:pPr>
              <w:spacing w:before="40" w:after="40" w:line="240" w:lineRule="exact"/>
              <w:jc w:val="center"/>
              <w:rPr>
                <w:rFonts w:ascii="宋体" w:hAnsi="宋体" w:eastAsia="宋体" w:cs="宋体"/>
                <w:sz w:val="18"/>
                <w:szCs w:val="18"/>
              </w:rPr>
            </w:pPr>
            <w:r>
              <w:rPr>
                <w:rFonts w:ascii="宋体" w:hAnsi="宋体" w:eastAsia="宋体" w:cs="宋体"/>
                <w:sz w:val="18"/>
                <w:szCs w:val="18"/>
              </w:rPr>
              <w:t>担保是否已经履行完毕</w:t>
            </w:r>
          </w:p>
        </w:tc>
      </w:tr>
      <w:tr w14:paraId="39A7C1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6978B1A2">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23C48528">
            <w:pPr>
              <w:spacing w:before="0" w:after="0" w:line="240" w:lineRule="exact"/>
              <w:jc w:val="right"/>
              <w:rPr>
                <w:rFonts w:ascii="宋体" w:hAnsi="宋体" w:eastAsia="宋体" w:cs="宋体"/>
                <w:sz w:val="18"/>
                <w:szCs w:val="18"/>
              </w:rPr>
            </w:pPr>
            <w:r>
              <w:rPr>
                <w:rFonts w:ascii="宋体" w:hAnsi="宋体" w:eastAsia="宋体" w:cs="宋体"/>
                <w:sz w:val="18"/>
                <w:szCs w:val="18"/>
              </w:rPr>
              <w:t>5,800.00</w:t>
            </w:r>
          </w:p>
        </w:tc>
        <w:tc>
          <w:tcPr>
            <w:tcW w:w="1928" w:type="dxa"/>
            <w:tcBorders>
              <w:top w:val="single" w:color="auto" w:sz="2" w:space="0"/>
              <w:left w:val="single" w:color="auto" w:sz="2" w:space="0"/>
              <w:bottom w:val="single" w:color="auto" w:sz="2" w:space="0"/>
              <w:right w:val="single" w:color="auto" w:sz="2" w:space="0"/>
            </w:tcBorders>
            <w:vAlign w:val="center"/>
          </w:tcPr>
          <w:p w14:paraId="7F0E12F0">
            <w:pPr>
              <w:spacing w:before="0" w:after="0" w:line="240" w:lineRule="exact"/>
              <w:jc w:val="left"/>
              <w:rPr>
                <w:rFonts w:ascii="宋体" w:hAnsi="宋体" w:eastAsia="宋体" w:cs="宋体"/>
                <w:sz w:val="18"/>
                <w:szCs w:val="18"/>
              </w:rPr>
            </w:pPr>
            <w:r>
              <w:rPr>
                <w:rFonts w:ascii="宋体" w:hAnsi="宋体" w:eastAsia="宋体" w:cs="宋体"/>
                <w:sz w:val="18"/>
                <w:szCs w:val="18"/>
              </w:rPr>
              <w:t>2018年12月20日</w:t>
            </w:r>
          </w:p>
        </w:tc>
        <w:tc>
          <w:tcPr>
            <w:tcW w:w="1928" w:type="dxa"/>
            <w:tcBorders>
              <w:top w:val="single" w:color="auto" w:sz="2" w:space="0"/>
              <w:left w:val="single" w:color="auto" w:sz="2" w:space="0"/>
              <w:bottom w:val="single" w:color="auto" w:sz="2" w:space="0"/>
              <w:right w:val="single" w:color="auto" w:sz="2" w:space="0"/>
            </w:tcBorders>
            <w:vAlign w:val="center"/>
          </w:tcPr>
          <w:p w14:paraId="07B98351">
            <w:pPr>
              <w:spacing w:before="0" w:after="0" w:line="240" w:lineRule="exact"/>
              <w:jc w:val="left"/>
              <w:rPr>
                <w:rFonts w:ascii="宋体" w:hAnsi="宋体" w:eastAsia="宋体" w:cs="宋体"/>
                <w:sz w:val="18"/>
                <w:szCs w:val="18"/>
              </w:rPr>
            </w:pPr>
            <w:r>
              <w:rPr>
                <w:rFonts w:ascii="宋体" w:hAnsi="宋体" w:eastAsia="宋体" w:cs="宋体"/>
                <w:sz w:val="18"/>
                <w:szCs w:val="18"/>
              </w:rPr>
              <w:t>2024年01月04日</w:t>
            </w:r>
          </w:p>
        </w:tc>
        <w:tc>
          <w:tcPr>
            <w:tcW w:w="1928" w:type="dxa"/>
            <w:tcBorders>
              <w:top w:val="single" w:color="auto" w:sz="2" w:space="0"/>
              <w:left w:val="single" w:color="auto" w:sz="2" w:space="0"/>
              <w:bottom w:val="single" w:color="auto" w:sz="2" w:space="0"/>
              <w:right w:val="single" w:color="auto" w:sz="2" w:space="0"/>
            </w:tcBorders>
            <w:vAlign w:val="center"/>
          </w:tcPr>
          <w:p w14:paraId="16350B62">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2F7F83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628F5E9A">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43304A78">
            <w:pPr>
              <w:spacing w:before="0" w:after="0" w:line="240" w:lineRule="exact"/>
              <w:jc w:val="right"/>
              <w:rPr>
                <w:rFonts w:ascii="宋体" w:hAnsi="宋体" w:eastAsia="宋体" w:cs="宋体"/>
                <w:sz w:val="18"/>
                <w:szCs w:val="18"/>
              </w:rPr>
            </w:pPr>
            <w:r>
              <w:rPr>
                <w:rFonts w:ascii="宋体" w:hAnsi="宋体" w:eastAsia="宋体" w:cs="宋体"/>
                <w:sz w:val="18"/>
                <w:szCs w:val="18"/>
              </w:rPr>
              <w:t>15,000.00</w:t>
            </w:r>
          </w:p>
        </w:tc>
        <w:tc>
          <w:tcPr>
            <w:tcW w:w="1928" w:type="dxa"/>
            <w:tcBorders>
              <w:top w:val="single" w:color="auto" w:sz="2" w:space="0"/>
              <w:left w:val="single" w:color="auto" w:sz="2" w:space="0"/>
              <w:bottom w:val="single" w:color="auto" w:sz="2" w:space="0"/>
              <w:right w:val="single" w:color="auto" w:sz="2" w:space="0"/>
            </w:tcBorders>
            <w:vAlign w:val="center"/>
          </w:tcPr>
          <w:p w14:paraId="1522842F">
            <w:pPr>
              <w:spacing w:before="0" w:after="0" w:line="240" w:lineRule="exact"/>
              <w:jc w:val="left"/>
              <w:rPr>
                <w:rFonts w:ascii="宋体" w:hAnsi="宋体" w:eastAsia="宋体" w:cs="宋体"/>
                <w:sz w:val="18"/>
                <w:szCs w:val="18"/>
              </w:rPr>
            </w:pPr>
            <w:r>
              <w:rPr>
                <w:rFonts w:ascii="宋体" w:hAnsi="宋体" w:eastAsia="宋体" w:cs="宋体"/>
                <w:sz w:val="18"/>
                <w:szCs w:val="18"/>
              </w:rPr>
              <w:t>2022年12月16日</w:t>
            </w:r>
          </w:p>
        </w:tc>
        <w:tc>
          <w:tcPr>
            <w:tcW w:w="1928" w:type="dxa"/>
            <w:tcBorders>
              <w:top w:val="single" w:color="auto" w:sz="2" w:space="0"/>
              <w:left w:val="single" w:color="auto" w:sz="2" w:space="0"/>
              <w:bottom w:val="single" w:color="auto" w:sz="2" w:space="0"/>
              <w:right w:val="single" w:color="auto" w:sz="2" w:space="0"/>
            </w:tcBorders>
            <w:vAlign w:val="center"/>
          </w:tcPr>
          <w:p w14:paraId="4A76D451">
            <w:pPr>
              <w:spacing w:before="0" w:after="0" w:line="240" w:lineRule="exact"/>
              <w:jc w:val="left"/>
              <w:rPr>
                <w:rFonts w:ascii="宋体" w:hAnsi="宋体" w:eastAsia="宋体" w:cs="宋体"/>
                <w:sz w:val="18"/>
                <w:szCs w:val="18"/>
              </w:rPr>
            </w:pPr>
            <w:r>
              <w:rPr>
                <w:rFonts w:ascii="宋体" w:hAnsi="宋体" w:eastAsia="宋体" w:cs="宋体"/>
                <w:sz w:val="18"/>
                <w:szCs w:val="18"/>
              </w:rPr>
              <w:t>2027年12月16日</w:t>
            </w:r>
          </w:p>
        </w:tc>
        <w:tc>
          <w:tcPr>
            <w:tcW w:w="1928" w:type="dxa"/>
            <w:tcBorders>
              <w:top w:val="single" w:color="auto" w:sz="2" w:space="0"/>
              <w:left w:val="single" w:color="auto" w:sz="2" w:space="0"/>
              <w:bottom w:val="single" w:color="auto" w:sz="2" w:space="0"/>
              <w:right w:val="single" w:color="auto" w:sz="2" w:space="0"/>
            </w:tcBorders>
            <w:vAlign w:val="center"/>
          </w:tcPr>
          <w:p w14:paraId="0C5ED599">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23AE54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44A25396">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4C3A96FE">
            <w:pPr>
              <w:spacing w:before="0" w:after="0" w:line="240" w:lineRule="exact"/>
              <w:jc w:val="right"/>
              <w:rPr>
                <w:rFonts w:ascii="宋体" w:hAnsi="宋体" w:eastAsia="宋体" w:cs="宋体"/>
                <w:sz w:val="18"/>
                <w:szCs w:val="18"/>
              </w:rPr>
            </w:pPr>
            <w:r>
              <w:rPr>
                <w:rFonts w:ascii="宋体" w:hAnsi="宋体" w:eastAsia="宋体" w:cs="宋体"/>
                <w:sz w:val="18"/>
                <w:szCs w:val="18"/>
              </w:rPr>
              <w:t>12,480.00</w:t>
            </w:r>
          </w:p>
        </w:tc>
        <w:tc>
          <w:tcPr>
            <w:tcW w:w="1928" w:type="dxa"/>
            <w:tcBorders>
              <w:top w:val="single" w:color="auto" w:sz="2" w:space="0"/>
              <w:left w:val="single" w:color="auto" w:sz="2" w:space="0"/>
              <w:bottom w:val="single" w:color="auto" w:sz="2" w:space="0"/>
              <w:right w:val="single" w:color="auto" w:sz="2" w:space="0"/>
            </w:tcBorders>
            <w:vAlign w:val="center"/>
          </w:tcPr>
          <w:p w14:paraId="682E13EA">
            <w:pPr>
              <w:spacing w:before="0" w:after="0" w:line="240" w:lineRule="exact"/>
              <w:jc w:val="left"/>
              <w:rPr>
                <w:rFonts w:ascii="宋体" w:hAnsi="宋体" w:eastAsia="宋体" w:cs="宋体"/>
                <w:sz w:val="18"/>
                <w:szCs w:val="18"/>
              </w:rPr>
            </w:pPr>
            <w:r>
              <w:rPr>
                <w:rFonts w:ascii="宋体" w:hAnsi="宋体" w:eastAsia="宋体" w:cs="宋体"/>
                <w:sz w:val="18"/>
                <w:szCs w:val="18"/>
              </w:rPr>
              <w:t>2022年11月25日</w:t>
            </w:r>
          </w:p>
        </w:tc>
        <w:tc>
          <w:tcPr>
            <w:tcW w:w="1928" w:type="dxa"/>
            <w:tcBorders>
              <w:top w:val="single" w:color="auto" w:sz="2" w:space="0"/>
              <w:left w:val="single" w:color="auto" w:sz="2" w:space="0"/>
              <w:bottom w:val="single" w:color="auto" w:sz="2" w:space="0"/>
              <w:right w:val="single" w:color="auto" w:sz="2" w:space="0"/>
            </w:tcBorders>
            <w:vAlign w:val="center"/>
          </w:tcPr>
          <w:p w14:paraId="19BF3365">
            <w:pPr>
              <w:spacing w:before="0" w:after="0" w:line="240" w:lineRule="exact"/>
              <w:jc w:val="left"/>
              <w:rPr>
                <w:rFonts w:ascii="宋体" w:hAnsi="宋体" w:eastAsia="宋体" w:cs="宋体"/>
                <w:sz w:val="18"/>
                <w:szCs w:val="18"/>
              </w:rPr>
            </w:pPr>
            <w:r>
              <w:rPr>
                <w:rFonts w:ascii="宋体" w:hAnsi="宋体" w:eastAsia="宋体" w:cs="宋体"/>
                <w:sz w:val="18"/>
                <w:szCs w:val="18"/>
              </w:rPr>
              <w:t>2025年11月17日</w:t>
            </w:r>
          </w:p>
        </w:tc>
        <w:tc>
          <w:tcPr>
            <w:tcW w:w="1928" w:type="dxa"/>
            <w:tcBorders>
              <w:top w:val="single" w:color="auto" w:sz="2" w:space="0"/>
              <w:left w:val="single" w:color="auto" w:sz="2" w:space="0"/>
              <w:bottom w:val="single" w:color="auto" w:sz="2" w:space="0"/>
              <w:right w:val="single" w:color="auto" w:sz="2" w:space="0"/>
            </w:tcBorders>
            <w:vAlign w:val="center"/>
          </w:tcPr>
          <w:p w14:paraId="500E379E">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379CC1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19A866D5">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77861284">
            <w:pPr>
              <w:spacing w:before="0" w:after="0" w:line="240" w:lineRule="exact"/>
              <w:jc w:val="right"/>
              <w:rPr>
                <w:rFonts w:ascii="宋体" w:hAnsi="宋体" w:eastAsia="宋体" w:cs="宋体"/>
                <w:sz w:val="18"/>
                <w:szCs w:val="18"/>
              </w:rPr>
            </w:pPr>
            <w:r>
              <w:rPr>
                <w:rFonts w:ascii="宋体" w:hAnsi="宋体" w:eastAsia="宋体" w:cs="宋体"/>
                <w:sz w:val="18"/>
                <w:szCs w:val="18"/>
              </w:rPr>
              <w:t>5,000.00</w:t>
            </w:r>
          </w:p>
        </w:tc>
        <w:tc>
          <w:tcPr>
            <w:tcW w:w="1928" w:type="dxa"/>
            <w:tcBorders>
              <w:top w:val="single" w:color="auto" w:sz="2" w:space="0"/>
              <w:left w:val="single" w:color="auto" w:sz="2" w:space="0"/>
              <w:bottom w:val="single" w:color="auto" w:sz="2" w:space="0"/>
              <w:right w:val="single" w:color="auto" w:sz="2" w:space="0"/>
            </w:tcBorders>
            <w:vAlign w:val="center"/>
          </w:tcPr>
          <w:p w14:paraId="481FAB17">
            <w:pPr>
              <w:spacing w:before="0" w:after="0" w:line="240" w:lineRule="exact"/>
              <w:jc w:val="left"/>
              <w:rPr>
                <w:rFonts w:ascii="宋体" w:hAnsi="宋体" w:eastAsia="宋体" w:cs="宋体"/>
                <w:sz w:val="18"/>
                <w:szCs w:val="18"/>
              </w:rPr>
            </w:pPr>
            <w:r>
              <w:rPr>
                <w:rFonts w:ascii="宋体" w:hAnsi="宋体" w:eastAsia="宋体" w:cs="宋体"/>
                <w:sz w:val="18"/>
                <w:szCs w:val="18"/>
              </w:rPr>
              <w:t>2023年07月10日</w:t>
            </w:r>
          </w:p>
        </w:tc>
        <w:tc>
          <w:tcPr>
            <w:tcW w:w="1928" w:type="dxa"/>
            <w:tcBorders>
              <w:top w:val="single" w:color="auto" w:sz="2" w:space="0"/>
              <w:left w:val="single" w:color="auto" w:sz="2" w:space="0"/>
              <w:bottom w:val="single" w:color="auto" w:sz="2" w:space="0"/>
              <w:right w:val="single" w:color="auto" w:sz="2" w:space="0"/>
            </w:tcBorders>
            <w:vAlign w:val="center"/>
          </w:tcPr>
          <w:p w14:paraId="10468685">
            <w:pPr>
              <w:spacing w:before="0" w:after="0" w:line="240" w:lineRule="exact"/>
              <w:jc w:val="left"/>
              <w:rPr>
                <w:rFonts w:ascii="宋体" w:hAnsi="宋体" w:eastAsia="宋体" w:cs="宋体"/>
                <w:sz w:val="18"/>
                <w:szCs w:val="18"/>
              </w:rPr>
            </w:pPr>
            <w:r>
              <w:rPr>
                <w:rFonts w:ascii="宋体" w:hAnsi="宋体" w:eastAsia="宋体" w:cs="宋体"/>
                <w:sz w:val="18"/>
                <w:szCs w:val="18"/>
              </w:rPr>
              <w:t>2024年11月26日</w:t>
            </w:r>
          </w:p>
        </w:tc>
        <w:tc>
          <w:tcPr>
            <w:tcW w:w="1928" w:type="dxa"/>
            <w:tcBorders>
              <w:top w:val="single" w:color="auto" w:sz="2" w:space="0"/>
              <w:left w:val="single" w:color="auto" w:sz="2" w:space="0"/>
              <w:bottom w:val="single" w:color="auto" w:sz="2" w:space="0"/>
              <w:right w:val="single" w:color="auto" w:sz="2" w:space="0"/>
            </w:tcBorders>
            <w:vAlign w:val="center"/>
          </w:tcPr>
          <w:p w14:paraId="69DD7F92">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6B1FDE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20FB5544">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09C28977">
            <w:pPr>
              <w:spacing w:before="0" w:after="0" w:line="240" w:lineRule="exact"/>
              <w:jc w:val="right"/>
              <w:rPr>
                <w:rFonts w:ascii="宋体" w:hAnsi="宋体" w:eastAsia="宋体" w:cs="宋体"/>
                <w:sz w:val="18"/>
                <w:szCs w:val="18"/>
              </w:rPr>
            </w:pPr>
            <w:r>
              <w:rPr>
                <w:rFonts w:ascii="宋体" w:hAnsi="宋体" w:eastAsia="宋体" w:cs="宋体"/>
                <w:sz w:val="18"/>
                <w:szCs w:val="18"/>
              </w:rPr>
              <w:t>3,000.00</w:t>
            </w:r>
          </w:p>
        </w:tc>
        <w:tc>
          <w:tcPr>
            <w:tcW w:w="1928" w:type="dxa"/>
            <w:tcBorders>
              <w:top w:val="single" w:color="auto" w:sz="2" w:space="0"/>
              <w:left w:val="single" w:color="auto" w:sz="2" w:space="0"/>
              <w:bottom w:val="single" w:color="auto" w:sz="2" w:space="0"/>
              <w:right w:val="single" w:color="auto" w:sz="2" w:space="0"/>
            </w:tcBorders>
            <w:vAlign w:val="center"/>
          </w:tcPr>
          <w:p w14:paraId="4F4FE9FC">
            <w:pPr>
              <w:spacing w:before="0" w:after="0" w:line="240" w:lineRule="exact"/>
              <w:jc w:val="left"/>
              <w:rPr>
                <w:rFonts w:ascii="宋体" w:hAnsi="宋体" w:eastAsia="宋体" w:cs="宋体"/>
                <w:sz w:val="18"/>
                <w:szCs w:val="18"/>
              </w:rPr>
            </w:pPr>
            <w:r>
              <w:rPr>
                <w:rFonts w:ascii="宋体" w:hAnsi="宋体" w:eastAsia="宋体" w:cs="宋体"/>
                <w:sz w:val="18"/>
                <w:szCs w:val="18"/>
              </w:rPr>
              <w:t>2023年11月10日</w:t>
            </w:r>
          </w:p>
        </w:tc>
        <w:tc>
          <w:tcPr>
            <w:tcW w:w="1928" w:type="dxa"/>
            <w:tcBorders>
              <w:top w:val="single" w:color="auto" w:sz="2" w:space="0"/>
              <w:left w:val="single" w:color="auto" w:sz="2" w:space="0"/>
              <w:bottom w:val="single" w:color="auto" w:sz="2" w:space="0"/>
              <w:right w:val="single" w:color="auto" w:sz="2" w:space="0"/>
            </w:tcBorders>
            <w:vAlign w:val="center"/>
          </w:tcPr>
          <w:p w14:paraId="0A3195A8">
            <w:pPr>
              <w:spacing w:before="0" w:after="0" w:line="240" w:lineRule="exact"/>
              <w:jc w:val="left"/>
              <w:rPr>
                <w:rFonts w:ascii="宋体" w:hAnsi="宋体" w:eastAsia="宋体" w:cs="宋体"/>
                <w:sz w:val="18"/>
                <w:szCs w:val="18"/>
              </w:rPr>
            </w:pPr>
            <w:r>
              <w:rPr>
                <w:rFonts w:ascii="宋体" w:hAnsi="宋体" w:eastAsia="宋体" w:cs="宋体"/>
                <w:sz w:val="18"/>
                <w:szCs w:val="18"/>
              </w:rPr>
              <w:t>2024年05月10日</w:t>
            </w:r>
          </w:p>
        </w:tc>
        <w:tc>
          <w:tcPr>
            <w:tcW w:w="1928" w:type="dxa"/>
            <w:tcBorders>
              <w:top w:val="single" w:color="auto" w:sz="2" w:space="0"/>
              <w:left w:val="single" w:color="auto" w:sz="2" w:space="0"/>
              <w:bottom w:val="single" w:color="auto" w:sz="2" w:space="0"/>
              <w:right w:val="single" w:color="auto" w:sz="2" w:space="0"/>
            </w:tcBorders>
            <w:vAlign w:val="center"/>
          </w:tcPr>
          <w:p w14:paraId="7B4BD739">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2BC2EA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35665BC3">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40E1E3D6">
            <w:pPr>
              <w:spacing w:before="0" w:after="0" w:line="240" w:lineRule="exact"/>
              <w:jc w:val="right"/>
              <w:rPr>
                <w:rFonts w:ascii="宋体" w:hAnsi="宋体" w:eastAsia="宋体" w:cs="宋体"/>
                <w:sz w:val="18"/>
                <w:szCs w:val="18"/>
              </w:rPr>
            </w:pPr>
            <w:r>
              <w:rPr>
                <w:rFonts w:ascii="宋体" w:hAnsi="宋体" w:eastAsia="宋体" w:cs="宋体"/>
                <w:sz w:val="18"/>
                <w:szCs w:val="18"/>
              </w:rPr>
              <w:t>4,000.00</w:t>
            </w:r>
          </w:p>
        </w:tc>
        <w:tc>
          <w:tcPr>
            <w:tcW w:w="1928" w:type="dxa"/>
            <w:tcBorders>
              <w:top w:val="single" w:color="auto" w:sz="2" w:space="0"/>
              <w:left w:val="single" w:color="auto" w:sz="2" w:space="0"/>
              <w:bottom w:val="single" w:color="auto" w:sz="2" w:space="0"/>
              <w:right w:val="single" w:color="auto" w:sz="2" w:space="0"/>
            </w:tcBorders>
            <w:vAlign w:val="center"/>
          </w:tcPr>
          <w:p w14:paraId="69FECD04">
            <w:pPr>
              <w:spacing w:before="0" w:after="0" w:line="240" w:lineRule="exact"/>
              <w:jc w:val="left"/>
              <w:rPr>
                <w:rFonts w:ascii="宋体" w:hAnsi="宋体" w:eastAsia="宋体" w:cs="宋体"/>
                <w:sz w:val="18"/>
                <w:szCs w:val="18"/>
              </w:rPr>
            </w:pPr>
            <w:r>
              <w:rPr>
                <w:rFonts w:ascii="宋体" w:hAnsi="宋体" w:eastAsia="宋体" w:cs="宋体"/>
                <w:sz w:val="18"/>
                <w:szCs w:val="18"/>
              </w:rPr>
              <w:t>2023年05月11日</w:t>
            </w:r>
          </w:p>
        </w:tc>
        <w:tc>
          <w:tcPr>
            <w:tcW w:w="1928" w:type="dxa"/>
            <w:tcBorders>
              <w:top w:val="single" w:color="auto" w:sz="2" w:space="0"/>
              <w:left w:val="single" w:color="auto" w:sz="2" w:space="0"/>
              <w:bottom w:val="single" w:color="auto" w:sz="2" w:space="0"/>
              <w:right w:val="single" w:color="auto" w:sz="2" w:space="0"/>
            </w:tcBorders>
            <w:vAlign w:val="center"/>
          </w:tcPr>
          <w:p w14:paraId="02319B8D">
            <w:pPr>
              <w:spacing w:before="0" w:after="0" w:line="240" w:lineRule="exact"/>
              <w:jc w:val="left"/>
              <w:rPr>
                <w:rFonts w:ascii="宋体" w:hAnsi="宋体" w:eastAsia="宋体" w:cs="宋体"/>
                <w:sz w:val="18"/>
                <w:szCs w:val="18"/>
              </w:rPr>
            </w:pPr>
            <w:r>
              <w:rPr>
                <w:rFonts w:ascii="宋体" w:hAnsi="宋体" w:eastAsia="宋体" w:cs="宋体"/>
                <w:sz w:val="18"/>
                <w:szCs w:val="18"/>
              </w:rPr>
              <w:t>2024年07月11日</w:t>
            </w:r>
          </w:p>
        </w:tc>
        <w:tc>
          <w:tcPr>
            <w:tcW w:w="1928" w:type="dxa"/>
            <w:tcBorders>
              <w:top w:val="single" w:color="auto" w:sz="2" w:space="0"/>
              <w:left w:val="single" w:color="auto" w:sz="2" w:space="0"/>
              <w:bottom w:val="single" w:color="auto" w:sz="2" w:space="0"/>
              <w:right w:val="single" w:color="auto" w:sz="2" w:space="0"/>
            </w:tcBorders>
            <w:vAlign w:val="center"/>
          </w:tcPr>
          <w:p w14:paraId="05A4A43C">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660795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479B905D">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7FFA5CE1">
            <w:pPr>
              <w:spacing w:before="0" w:after="0" w:line="240" w:lineRule="exact"/>
              <w:jc w:val="right"/>
              <w:rPr>
                <w:rFonts w:ascii="宋体" w:hAnsi="宋体" w:eastAsia="宋体" w:cs="宋体"/>
                <w:sz w:val="18"/>
                <w:szCs w:val="18"/>
              </w:rPr>
            </w:pPr>
            <w:r>
              <w:rPr>
                <w:rFonts w:ascii="宋体" w:hAnsi="宋体" w:eastAsia="宋体" w:cs="宋体"/>
                <w:sz w:val="18"/>
                <w:szCs w:val="18"/>
              </w:rPr>
              <w:t>2,000.00</w:t>
            </w:r>
          </w:p>
        </w:tc>
        <w:tc>
          <w:tcPr>
            <w:tcW w:w="1928" w:type="dxa"/>
            <w:tcBorders>
              <w:top w:val="single" w:color="auto" w:sz="2" w:space="0"/>
              <w:left w:val="single" w:color="auto" w:sz="2" w:space="0"/>
              <w:bottom w:val="single" w:color="auto" w:sz="2" w:space="0"/>
              <w:right w:val="single" w:color="auto" w:sz="2" w:space="0"/>
            </w:tcBorders>
            <w:vAlign w:val="center"/>
          </w:tcPr>
          <w:p w14:paraId="0B6498DD">
            <w:pPr>
              <w:spacing w:before="0" w:after="0" w:line="240" w:lineRule="exact"/>
              <w:jc w:val="left"/>
              <w:rPr>
                <w:rFonts w:ascii="宋体" w:hAnsi="宋体" w:eastAsia="宋体" w:cs="宋体"/>
                <w:sz w:val="18"/>
                <w:szCs w:val="18"/>
              </w:rPr>
            </w:pPr>
            <w:r>
              <w:rPr>
                <w:rFonts w:ascii="宋体" w:hAnsi="宋体" w:eastAsia="宋体" w:cs="宋体"/>
                <w:sz w:val="18"/>
                <w:szCs w:val="18"/>
              </w:rPr>
              <w:t>2023年06月26日</w:t>
            </w:r>
          </w:p>
        </w:tc>
        <w:tc>
          <w:tcPr>
            <w:tcW w:w="1928" w:type="dxa"/>
            <w:tcBorders>
              <w:top w:val="single" w:color="auto" w:sz="2" w:space="0"/>
              <w:left w:val="single" w:color="auto" w:sz="2" w:space="0"/>
              <w:bottom w:val="single" w:color="auto" w:sz="2" w:space="0"/>
              <w:right w:val="single" w:color="auto" w:sz="2" w:space="0"/>
            </w:tcBorders>
            <w:vAlign w:val="center"/>
          </w:tcPr>
          <w:p w14:paraId="28EC38FE">
            <w:pPr>
              <w:spacing w:before="0" w:after="0" w:line="240" w:lineRule="exact"/>
              <w:jc w:val="left"/>
              <w:rPr>
                <w:rFonts w:ascii="宋体" w:hAnsi="宋体" w:eastAsia="宋体" w:cs="宋体"/>
                <w:sz w:val="18"/>
                <w:szCs w:val="18"/>
              </w:rPr>
            </w:pPr>
            <w:r>
              <w:rPr>
                <w:rFonts w:ascii="宋体" w:hAnsi="宋体" w:eastAsia="宋体" w:cs="宋体"/>
                <w:sz w:val="18"/>
                <w:szCs w:val="18"/>
              </w:rPr>
              <w:t>2024年06月26日</w:t>
            </w:r>
          </w:p>
        </w:tc>
        <w:tc>
          <w:tcPr>
            <w:tcW w:w="1928" w:type="dxa"/>
            <w:tcBorders>
              <w:top w:val="single" w:color="auto" w:sz="2" w:space="0"/>
              <w:left w:val="single" w:color="auto" w:sz="2" w:space="0"/>
              <w:bottom w:val="single" w:color="auto" w:sz="2" w:space="0"/>
              <w:right w:val="single" w:color="auto" w:sz="2" w:space="0"/>
            </w:tcBorders>
            <w:vAlign w:val="center"/>
          </w:tcPr>
          <w:p w14:paraId="4A6A3C18">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662A20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2718E77B">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24197AF3">
            <w:pPr>
              <w:spacing w:before="0" w:after="0" w:line="240" w:lineRule="exact"/>
              <w:jc w:val="right"/>
              <w:rPr>
                <w:rFonts w:ascii="宋体" w:hAnsi="宋体" w:eastAsia="宋体" w:cs="宋体"/>
                <w:sz w:val="18"/>
                <w:szCs w:val="18"/>
              </w:rPr>
            </w:pPr>
            <w:r>
              <w:rPr>
                <w:rFonts w:ascii="宋体" w:hAnsi="宋体" w:eastAsia="宋体" w:cs="宋体"/>
                <w:sz w:val="18"/>
                <w:szCs w:val="18"/>
              </w:rPr>
              <w:t>1,000.00</w:t>
            </w:r>
          </w:p>
        </w:tc>
        <w:tc>
          <w:tcPr>
            <w:tcW w:w="1928" w:type="dxa"/>
            <w:tcBorders>
              <w:top w:val="single" w:color="auto" w:sz="2" w:space="0"/>
              <w:left w:val="single" w:color="auto" w:sz="2" w:space="0"/>
              <w:bottom w:val="single" w:color="auto" w:sz="2" w:space="0"/>
              <w:right w:val="single" w:color="auto" w:sz="2" w:space="0"/>
            </w:tcBorders>
            <w:vAlign w:val="center"/>
          </w:tcPr>
          <w:p w14:paraId="0B3D9ABA">
            <w:pPr>
              <w:spacing w:before="0" w:after="0" w:line="240" w:lineRule="exact"/>
              <w:jc w:val="left"/>
              <w:rPr>
                <w:rFonts w:ascii="宋体" w:hAnsi="宋体" w:eastAsia="宋体" w:cs="宋体"/>
                <w:sz w:val="18"/>
                <w:szCs w:val="18"/>
              </w:rPr>
            </w:pPr>
            <w:r>
              <w:rPr>
                <w:rFonts w:ascii="宋体" w:hAnsi="宋体" w:eastAsia="宋体" w:cs="宋体"/>
                <w:sz w:val="18"/>
                <w:szCs w:val="18"/>
              </w:rPr>
              <w:t>2023年07月10日</w:t>
            </w:r>
          </w:p>
        </w:tc>
        <w:tc>
          <w:tcPr>
            <w:tcW w:w="1928" w:type="dxa"/>
            <w:tcBorders>
              <w:top w:val="single" w:color="auto" w:sz="2" w:space="0"/>
              <w:left w:val="single" w:color="auto" w:sz="2" w:space="0"/>
              <w:bottom w:val="single" w:color="auto" w:sz="2" w:space="0"/>
              <w:right w:val="single" w:color="auto" w:sz="2" w:space="0"/>
            </w:tcBorders>
            <w:vAlign w:val="center"/>
          </w:tcPr>
          <w:p w14:paraId="584044EB">
            <w:pPr>
              <w:spacing w:before="0" w:after="0" w:line="240" w:lineRule="exact"/>
              <w:jc w:val="left"/>
              <w:rPr>
                <w:rFonts w:ascii="宋体" w:hAnsi="宋体" w:eastAsia="宋体" w:cs="宋体"/>
                <w:sz w:val="18"/>
                <w:szCs w:val="18"/>
              </w:rPr>
            </w:pPr>
            <w:r>
              <w:rPr>
                <w:rFonts w:ascii="宋体" w:hAnsi="宋体" w:eastAsia="宋体" w:cs="宋体"/>
                <w:sz w:val="18"/>
                <w:szCs w:val="18"/>
              </w:rPr>
              <w:t>2024年07月10日</w:t>
            </w:r>
          </w:p>
        </w:tc>
        <w:tc>
          <w:tcPr>
            <w:tcW w:w="1928" w:type="dxa"/>
            <w:tcBorders>
              <w:top w:val="single" w:color="auto" w:sz="2" w:space="0"/>
              <w:left w:val="single" w:color="auto" w:sz="2" w:space="0"/>
              <w:bottom w:val="single" w:color="auto" w:sz="2" w:space="0"/>
              <w:right w:val="single" w:color="auto" w:sz="2" w:space="0"/>
            </w:tcBorders>
            <w:vAlign w:val="center"/>
          </w:tcPr>
          <w:p w14:paraId="5784BF76">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4EA652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495FEFC6">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6D934C63">
            <w:pPr>
              <w:spacing w:before="0" w:after="0" w:line="240" w:lineRule="exact"/>
              <w:jc w:val="right"/>
              <w:rPr>
                <w:rFonts w:ascii="宋体" w:hAnsi="宋体" w:eastAsia="宋体" w:cs="宋体"/>
                <w:sz w:val="18"/>
                <w:szCs w:val="18"/>
              </w:rPr>
            </w:pPr>
            <w:r>
              <w:rPr>
                <w:rFonts w:ascii="宋体" w:hAnsi="宋体" w:eastAsia="宋体" w:cs="宋体"/>
                <w:sz w:val="18"/>
                <w:szCs w:val="18"/>
              </w:rPr>
              <w:t>6,500.00</w:t>
            </w:r>
          </w:p>
        </w:tc>
        <w:tc>
          <w:tcPr>
            <w:tcW w:w="1928" w:type="dxa"/>
            <w:tcBorders>
              <w:top w:val="single" w:color="auto" w:sz="2" w:space="0"/>
              <w:left w:val="single" w:color="auto" w:sz="2" w:space="0"/>
              <w:bottom w:val="single" w:color="auto" w:sz="2" w:space="0"/>
              <w:right w:val="single" w:color="auto" w:sz="2" w:space="0"/>
            </w:tcBorders>
            <w:vAlign w:val="center"/>
          </w:tcPr>
          <w:p w14:paraId="671A5136">
            <w:pPr>
              <w:spacing w:before="0" w:after="0" w:line="240" w:lineRule="exact"/>
              <w:jc w:val="left"/>
              <w:rPr>
                <w:rFonts w:ascii="宋体" w:hAnsi="宋体" w:eastAsia="宋体" w:cs="宋体"/>
                <w:sz w:val="18"/>
                <w:szCs w:val="18"/>
              </w:rPr>
            </w:pPr>
            <w:r>
              <w:rPr>
                <w:rFonts w:ascii="宋体" w:hAnsi="宋体" w:eastAsia="宋体" w:cs="宋体"/>
                <w:sz w:val="18"/>
                <w:szCs w:val="18"/>
              </w:rPr>
              <w:t>2023年12月26日</w:t>
            </w:r>
          </w:p>
        </w:tc>
        <w:tc>
          <w:tcPr>
            <w:tcW w:w="1928" w:type="dxa"/>
            <w:tcBorders>
              <w:top w:val="single" w:color="auto" w:sz="2" w:space="0"/>
              <w:left w:val="single" w:color="auto" w:sz="2" w:space="0"/>
              <w:bottom w:val="single" w:color="auto" w:sz="2" w:space="0"/>
              <w:right w:val="single" w:color="auto" w:sz="2" w:space="0"/>
            </w:tcBorders>
            <w:vAlign w:val="center"/>
          </w:tcPr>
          <w:p w14:paraId="16D37171">
            <w:pPr>
              <w:spacing w:before="0" w:after="0" w:line="240" w:lineRule="exact"/>
              <w:jc w:val="left"/>
              <w:rPr>
                <w:rFonts w:ascii="宋体" w:hAnsi="宋体" w:eastAsia="宋体" w:cs="宋体"/>
                <w:sz w:val="18"/>
                <w:szCs w:val="18"/>
              </w:rPr>
            </w:pPr>
            <w:r>
              <w:rPr>
                <w:rFonts w:ascii="宋体" w:hAnsi="宋体" w:eastAsia="宋体" w:cs="宋体"/>
                <w:sz w:val="18"/>
                <w:szCs w:val="18"/>
              </w:rPr>
              <w:t>2024年12月26日</w:t>
            </w:r>
          </w:p>
        </w:tc>
        <w:tc>
          <w:tcPr>
            <w:tcW w:w="1928" w:type="dxa"/>
            <w:tcBorders>
              <w:top w:val="single" w:color="auto" w:sz="2" w:space="0"/>
              <w:left w:val="single" w:color="auto" w:sz="2" w:space="0"/>
              <w:bottom w:val="single" w:color="auto" w:sz="2" w:space="0"/>
              <w:right w:val="single" w:color="auto" w:sz="2" w:space="0"/>
            </w:tcBorders>
            <w:vAlign w:val="center"/>
          </w:tcPr>
          <w:p w14:paraId="723A7C20">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359FAB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7B996143">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152EFA68">
            <w:pPr>
              <w:spacing w:before="0" w:after="0" w:line="240" w:lineRule="exact"/>
              <w:jc w:val="right"/>
              <w:rPr>
                <w:rFonts w:ascii="宋体" w:hAnsi="宋体" w:eastAsia="宋体" w:cs="宋体"/>
                <w:sz w:val="18"/>
                <w:szCs w:val="18"/>
              </w:rPr>
            </w:pPr>
            <w:r>
              <w:rPr>
                <w:rFonts w:ascii="宋体" w:hAnsi="宋体" w:eastAsia="宋体" w:cs="宋体"/>
                <w:sz w:val="18"/>
                <w:szCs w:val="18"/>
              </w:rPr>
              <w:t>2,000.00</w:t>
            </w:r>
          </w:p>
        </w:tc>
        <w:tc>
          <w:tcPr>
            <w:tcW w:w="1928" w:type="dxa"/>
            <w:tcBorders>
              <w:top w:val="single" w:color="auto" w:sz="2" w:space="0"/>
              <w:left w:val="single" w:color="auto" w:sz="2" w:space="0"/>
              <w:bottom w:val="single" w:color="auto" w:sz="2" w:space="0"/>
              <w:right w:val="single" w:color="auto" w:sz="2" w:space="0"/>
            </w:tcBorders>
            <w:vAlign w:val="center"/>
          </w:tcPr>
          <w:p w14:paraId="71551B1E">
            <w:pPr>
              <w:spacing w:before="0" w:after="0" w:line="240" w:lineRule="exact"/>
              <w:jc w:val="left"/>
              <w:rPr>
                <w:rFonts w:ascii="宋体" w:hAnsi="宋体" w:eastAsia="宋体" w:cs="宋体"/>
                <w:sz w:val="18"/>
                <w:szCs w:val="18"/>
              </w:rPr>
            </w:pPr>
            <w:r>
              <w:rPr>
                <w:rFonts w:ascii="宋体" w:hAnsi="宋体" w:eastAsia="宋体" w:cs="宋体"/>
                <w:sz w:val="18"/>
                <w:szCs w:val="18"/>
              </w:rPr>
              <w:t>2023年06月14日</w:t>
            </w:r>
          </w:p>
        </w:tc>
        <w:tc>
          <w:tcPr>
            <w:tcW w:w="1928" w:type="dxa"/>
            <w:tcBorders>
              <w:top w:val="single" w:color="auto" w:sz="2" w:space="0"/>
              <w:left w:val="single" w:color="auto" w:sz="2" w:space="0"/>
              <w:bottom w:val="single" w:color="auto" w:sz="2" w:space="0"/>
              <w:right w:val="single" w:color="auto" w:sz="2" w:space="0"/>
            </w:tcBorders>
            <w:vAlign w:val="center"/>
          </w:tcPr>
          <w:p w14:paraId="7EFA0181">
            <w:pPr>
              <w:spacing w:before="0" w:after="0" w:line="240" w:lineRule="exact"/>
              <w:jc w:val="left"/>
              <w:rPr>
                <w:rFonts w:ascii="宋体" w:hAnsi="宋体" w:eastAsia="宋体" w:cs="宋体"/>
                <w:sz w:val="18"/>
                <w:szCs w:val="18"/>
              </w:rPr>
            </w:pPr>
            <w:r>
              <w:rPr>
                <w:rFonts w:ascii="宋体" w:hAnsi="宋体" w:eastAsia="宋体" w:cs="宋体"/>
                <w:sz w:val="18"/>
                <w:szCs w:val="18"/>
              </w:rPr>
              <w:t>2024年03月02日</w:t>
            </w:r>
          </w:p>
        </w:tc>
        <w:tc>
          <w:tcPr>
            <w:tcW w:w="1928" w:type="dxa"/>
            <w:tcBorders>
              <w:top w:val="single" w:color="auto" w:sz="2" w:space="0"/>
              <w:left w:val="single" w:color="auto" w:sz="2" w:space="0"/>
              <w:bottom w:val="single" w:color="auto" w:sz="2" w:space="0"/>
              <w:right w:val="single" w:color="auto" w:sz="2" w:space="0"/>
            </w:tcBorders>
            <w:vAlign w:val="center"/>
          </w:tcPr>
          <w:p w14:paraId="7500A065">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44042D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2118D576">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7EEE2F8B">
            <w:pPr>
              <w:spacing w:before="0" w:after="0" w:line="240" w:lineRule="exact"/>
              <w:jc w:val="right"/>
              <w:rPr>
                <w:rFonts w:ascii="宋体" w:hAnsi="宋体" w:eastAsia="宋体" w:cs="宋体"/>
                <w:sz w:val="18"/>
                <w:szCs w:val="18"/>
              </w:rPr>
            </w:pPr>
            <w:r>
              <w:rPr>
                <w:rFonts w:ascii="宋体" w:hAnsi="宋体" w:eastAsia="宋体" w:cs="宋体"/>
                <w:sz w:val="18"/>
                <w:szCs w:val="18"/>
              </w:rPr>
              <w:t>7,000.00</w:t>
            </w:r>
          </w:p>
        </w:tc>
        <w:tc>
          <w:tcPr>
            <w:tcW w:w="1928" w:type="dxa"/>
            <w:tcBorders>
              <w:top w:val="single" w:color="auto" w:sz="2" w:space="0"/>
              <w:left w:val="single" w:color="auto" w:sz="2" w:space="0"/>
              <w:bottom w:val="single" w:color="auto" w:sz="2" w:space="0"/>
              <w:right w:val="single" w:color="auto" w:sz="2" w:space="0"/>
            </w:tcBorders>
            <w:vAlign w:val="center"/>
          </w:tcPr>
          <w:p w14:paraId="098A5C11">
            <w:pPr>
              <w:spacing w:before="0" w:after="0" w:line="240" w:lineRule="exact"/>
              <w:jc w:val="left"/>
              <w:rPr>
                <w:rFonts w:ascii="宋体" w:hAnsi="宋体" w:eastAsia="宋体" w:cs="宋体"/>
                <w:sz w:val="18"/>
                <w:szCs w:val="18"/>
              </w:rPr>
            </w:pPr>
            <w:r>
              <w:rPr>
                <w:rFonts w:ascii="宋体" w:hAnsi="宋体" w:eastAsia="宋体" w:cs="宋体"/>
                <w:sz w:val="18"/>
                <w:szCs w:val="18"/>
              </w:rPr>
              <w:t>2022年11月18日</w:t>
            </w:r>
          </w:p>
        </w:tc>
        <w:tc>
          <w:tcPr>
            <w:tcW w:w="1928" w:type="dxa"/>
            <w:tcBorders>
              <w:top w:val="single" w:color="auto" w:sz="2" w:space="0"/>
              <w:left w:val="single" w:color="auto" w:sz="2" w:space="0"/>
              <w:bottom w:val="single" w:color="auto" w:sz="2" w:space="0"/>
              <w:right w:val="single" w:color="auto" w:sz="2" w:space="0"/>
            </w:tcBorders>
            <w:vAlign w:val="center"/>
          </w:tcPr>
          <w:p w14:paraId="6791F097">
            <w:pPr>
              <w:spacing w:before="0" w:after="0" w:line="240" w:lineRule="exact"/>
              <w:jc w:val="left"/>
              <w:rPr>
                <w:rFonts w:ascii="宋体" w:hAnsi="宋体" w:eastAsia="宋体" w:cs="宋体"/>
                <w:sz w:val="18"/>
                <w:szCs w:val="18"/>
              </w:rPr>
            </w:pPr>
            <w:r>
              <w:rPr>
                <w:rFonts w:ascii="宋体" w:hAnsi="宋体" w:eastAsia="宋体" w:cs="宋体"/>
                <w:sz w:val="18"/>
                <w:szCs w:val="18"/>
              </w:rPr>
              <w:t>2024年04月09日</w:t>
            </w:r>
          </w:p>
        </w:tc>
        <w:tc>
          <w:tcPr>
            <w:tcW w:w="1928" w:type="dxa"/>
            <w:tcBorders>
              <w:top w:val="single" w:color="auto" w:sz="2" w:space="0"/>
              <w:left w:val="single" w:color="auto" w:sz="2" w:space="0"/>
              <w:bottom w:val="single" w:color="auto" w:sz="2" w:space="0"/>
              <w:right w:val="single" w:color="auto" w:sz="2" w:space="0"/>
            </w:tcBorders>
            <w:vAlign w:val="center"/>
          </w:tcPr>
          <w:p w14:paraId="74766CB5">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268288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78273A6D">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6D5FF605">
            <w:pPr>
              <w:spacing w:before="0" w:after="0" w:line="240" w:lineRule="exact"/>
              <w:jc w:val="right"/>
              <w:rPr>
                <w:rFonts w:ascii="宋体" w:hAnsi="宋体" w:eastAsia="宋体" w:cs="宋体"/>
                <w:sz w:val="18"/>
                <w:szCs w:val="18"/>
              </w:rPr>
            </w:pPr>
            <w:r>
              <w:rPr>
                <w:rFonts w:ascii="宋体" w:hAnsi="宋体" w:eastAsia="宋体" w:cs="宋体"/>
                <w:sz w:val="18"/>
                <w:szCs w:val="18"/>
              </w:rPr>
              <w:t>3,000.00</w:t>
            </w:r>
          </w:p>
        </w:tc>
        <w:tc>
          <w:tcPr>
            <w:tcW w:w="1928" w:type="dxa"/>
            <w:tcBorders>
              <w:top w:val="single" w:color="auto" w:sz="2" w:space="0"/>
              <w:left w:val="single" w:color="auto" w:sz="2" w:space="0"/>
              <w:bottom w:val="single" w:color="auto" w:sz="2" w:space="0"/>
              <w:right w:val="single" w:color="auto" w:sz="2" w:space="0"/>
            </w:tcBorders>
            <w:vAlign w:val="center"/>
          </w:tcPr>
          <w:p w14:paraId="704F145F">
            <w:pPr>
              <w:spacing w:before="0" w:after="0" w:line="240" w:lineRule="exact"/>
              <w:jc w:val="left"/>
              <w:rPr>
                <w:rFonts w:ascii="宋体" w:hAnsi="宋体" w:eastAsia="宋体" w:cs="宋体"/>
                <w:sz w:val="18"/>
                <w:szCs w:val="18"/>
              </w:rPr>
            </w:pPr>
            <w:r>
              <w:rPr>
                <w:rFonts w:ascii="宋体" w:hAnsi="宋体" w:eastAsia="宋体" w:cs="宋体"/>
                <w:sz w:val="18"/>
                <w:szCs w:val="18"/>
              </w:rPr>
              <w:t>2023年06月07日</w:t>
            </w:r>
          </w:p>
        </w:tc>
        <w:tc>
          <w:tcPr>
            <w:tcW w:w="1928" w:type="dxa"/>
            <w:tcBorders>
              <w:top w:val="single" w:color="auto" w:sz="2" w:space="0"/>
              <w:left w:val="single" w:color="auto" w:sz="2" w:space="0"/>
              <w:bottom w:val="single" w:color="auto" w:sz="2" w:space="0"/>
              <w:right w:val="single" w:color="auto" w:sz="2" w:space="0"/>
            </w:tcBorders>
            <w:vAlign w:val="center"/>
          </w:tcPr>
          <w:p w14:paraId="2EE15091">
            <w:pPr>
              <w:spacing w:before="0" w:after="0" w:line="240" w:lineRule="exact"/>
              <w:jc w:val="left"/>
              <w:rPr>
                <w:rFonts w:ascii="宋体" w:hAnsi="宋体" w:eastAsia="宋体" w:cs="宋体"/>
                <w:sz w:val="18"/>
                <w:szCs w:val="18"/>
              </w:rPr>
            </w:pPr>
            <w:r>
              <w:rPr>
                <w:rFonts w:ascii="宋体" w:hAnsi="宋体" w:eastAsia="宋体" w:cs="宋体"/>
                <w:sz w:val="18"/>
                <w:szCs w:val="18"/>
              </w:rPr>
              <w:t>2024年01月05日</w:t>
            </w:r>
          </w:p>
        </w:tc>
        <w:tc>
          <w:tcPr>
            <w:tcW w:w="1928" w:type="dxa"/>
            <w:tcBorders>
              <w:top w:val="single" w:color="auto" w:sz="2" w:space="0"/>
              <w:left w:val="single" w:color="auto" w:sz="2" w:space="0"/>
              <w:bottom w:val="single" w:color="auto" w:sz="2" w:space="0"/>
              <w:right w:val="single" w:color="auto" w:sz="2" w:space="0"/>
            </w:tcBorders>
            <w:vAlign w:val="center"/>
          </w:tcPr>
          <w:p w14:paraId="275F1A82">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6410AB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11F301E4">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08611EF4">
            <w:pPr>
              <w:spacing w:before="0" w:after="0" w:line="240" w:lineRule="exact"/>
              <w:jc w:val="right"/>
              <w:rPr>
                <w:rFonts w:ascii="宋体" w:hAnsi="宋体" w:eastAsia="宋体" w:cs="宋体"/>
                <w:sz w:val="18"/>
                <w:szCs w:val="18"/>
              </w:rPr>
            </w:pPr>
            <w:r>
              <w:rPr>
                <w:rFonts w:ascii="宋体" w:hAnsi="宋体" w:eastAsia="宋体" w:cs="宋体"/>
                <w:sz w:val="18"/>
                <w:szCs w:val="18"/>
              </w:rPr>
              <w:t>3,000.00</w:t>
            </w:r>
          </w:p>
        </w:tc>
        <w:tc>
          <w:tcPr>
            <w:tcW w:w="1928" w:type="dxa"/>
            <w:tcBorders>
              <w:top w:val="single" w:color="auto" w:sz="2" w:space="0"/>
              <w:left w:val="single" w:color="auto" w:sz="2" w:space="0"/>
              <w:bottom w:val="single" w:color="auto" w:sz="2" w:space="0"/>
              <w:right w:val="single" w:color="auto" w:sz="2" w:space="0"/>
            </w:tcBorders>
            <w:vAlign w:val="center"/>
          </w:tcPr>
          <w:p w14:paraId="78A60859">
            <w:pPr>
              <w:spacing w:before="0" w:after="0" w:line="240" w:lineRule="exact"/>
              <w:jc w:val="left"/>
              <w:rPr>
                <w:rFonts w:ascii="宋体" w:hAnsi="宋体" w:eastAsia="宋体" w:cs="宋体"/>
                <w:sz w:val="18"/>
                <w:szCs w:val="18"/>
              </w:rPr>
            </w:pPr>
            <w:r>
              <w:rPr>
                <w:rFonts w:ascii="宋体" w:hAnsi="宋体" w:eastAsia="宋体" w:cs="宋体"/>
                <w:sz w:val="18"/>
                <w:szCs w:val="18"/>
              </w:rPr>
              <w:t>2023年12月14日</w:t>
            </w:r>
          </w:p>
        </w:tc>
        <w:tc>
          <w:tcPr>
            <w:tcW w:w="1928" w:type="dxa"/>
            <w:tcBorders>
              <w:top w:val="single" w:color="auto" w:sz="2" w:space="0"/>
              <w:left w:val="single" w:color="auto" w:sz="2" w:space="0"/>
              <w:bottom w:val="single" w:color="auto" w:sz="2" w:space="0"/>
              <w:right w:val="single" w:color="auto" w:sz="2" w:space="0"/>
            </w:tcBorders>
            <w:vAlign w:val="center"/>
          </w:tcPr>
          <w:p w14:paraId="5E6C204E">
            <w:pPr>
              <w:spacing w:before="0" w:after="0" w:line="240" w:lineRule="exact"/>
              <w:jc w:val="left"/>
              <w:rPr>
                <w:rFonts w:ascii="宋体" w:hAnsi="宋体" w:eastAsia="宋体" w:cs="宋体"/>
                <w:sz w:val="18"/>
                <w:szCs w:val="18"/>
              </w:rPr>
            </w:pPr>
            <w:r>
              <w:rPr>
                <w:rFonts w:ascii="宋体" w:hAnsi="宋体" w:eastAsia="宋体" w:cs="宋体"/>
                <w:sz w:val="18"/>
                <w:szCs w:val="18"/>
              </w:rPr>
              <w:t>2024年12月14日</w:t>
            </w:r>
          </w:p>
        </w:tc>
        <w:tc>
          <w:tcPr>
            <w:tcW w:w="1928" w:type="dxa"/>
            <w:tcBorders>
              <w:top w:val="single" w:color="auto" w:sz="2" w:space="0"/>
              <w:left w:val="single" w:color="auto" w:sz="2" w:space="0"/>
              <w:bottom w:val="single" w:color="auto" w:sz="2" w:space="0"/>
              <w:right w:val="single" w:color="auto" w:sz="2" w:space="0"/>
            </w:tcBorders>
            <w:vAlign w:val="center"/>
          </w:tcPr>
          <w:p w14:paraId="236A1871">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7BCA20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1E1DE272">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0DA664A8">
            <w:pPr>
              <w:spacing w:before="0" w:after="0" w:line="240" w:lineRule="exact"/>
              <w:jc w:val="right"/>
              <w:rPr>
                <w:rFonts w:ascii="宋体" w:hAnsi="宋体" w:eastAsia="宋体" w:cs="宋体"/>
                <w:sz w:val="18"/>
                <w:szCs w:val="18"/>
              </w:rPr>
            </w:pPr>
            <w:r>
              <w:rPr>
                <w:rFonts w:ascii="宋体" w:hAnsi="宋体" w:eastAsia="宋体" w:cs="宋体"/>
                <w:sz w:val="18"/>
                <w:szCs w:val="18"/>
              </w:rPr>
              <w:t>6,000.00</w:t>
            </w:r>
          </w:p>
        </w:tc>
        <w:tc>
          <w:tcPr>
            <w:tcW w:w="1928" w:type="dxa"/>
            <w:tcBorders>
              <w:top w:val="single" w:color="auto" w:sz="2" w:space="0"/>
              <w:left w:val="single" w:color="auto" w:sz="2" w:space="0"/>
              <w:bottom w:val="single" w:color="auto" w:sz="2" w:space="0"/>
              <w:right w:val="single" w:color="auto" w:sz="2" w:space="0"/>
            </w:tcBorders>
            <w:vAlign w:val="center"/>
          </w:tcPr>
          <w:p w14:paraId="48AF353E">
            <w:pPr>
              <w:spacing w:before="0" w:after="0" w:line="240" w:lineRule="exact"/>
              <w:jc w:val="left"/>
              <w:rPr>
                <w:rFonts w:ascii="宋体" w:hAnsi="宋体" w:eastAsia="宋体" w:cs="宋体"/>
                <w:sz w:val="18"/>
                <w:szCs w:val="18"/>
              </w:rPr>
            </w:pPr>
            <w:r>
              <w:rPr>
                <w:rFonts w:ascii="宋体" w:hAnsi="宋体" w:eastAsia="宋体" w:cs="宋体"/>
                <w:sz w:val="18"/>
                <w:szCs w:val="18"/>
              </w:rPr>
              <w:t>2023年02月13日</w:t>
            </w:r>
          </w:p>
        </w:tc>
        <w:tc>
          <w:tcPr>
            <w:tcW w:w="1928" w:type="dxa"/>
            <w:tcBorders>
              <w:top w:val="single" w:color="auto" w:sz="2" w:space="0"/>
              <w:left w:val="single" w:color="auto" w:sz="2" w:space="0"/>
              <w:bottom w:val="single" w:color="auto" w:sz="2" w:space="0"/>
              <w:right w:val="single" w:color="auto" w:sz="2" w:space="0"/>
            </w:tcBorders>
            <w:vAlign w:val="center"/>
          </w:tcPr>
          <w:p w14:paraId="06C38889">
            <w:pPr>
              <w:spacing w:before="0" w:after="0" w:line="240" w:lineRule="exact"/>
              <w:jc w:val="left"/>
              <w:rPr>
                <w:rFonts w:ascii="宋体" w:hAnsi="宋体" w:eastAsia="宋体" w:cs="宋体"/>
                <w:sz w:val="18"/>
                <w:szCs w:val="18"/>
              </w:rPr>
            </w:pPr>
            <w:r>
              <w:rPr>
                <w:rFonts w:ascii="宋体" w:hAnsi="宋体" w:eastAsia="宋体" w:cs="宋体"/>
                <w:sz w:val="18"/>
                <w:szCs w:val="18"/>
              </w:rPr>
              <w:t>2024年09月15日</w:t>
            </w:r>
          </w:p>
        </w:tc>
        <w:tc>
          <w:tcPr>
            <w:tcW w:w="1928" w:type="dxa"/>
            <w:tcBorders>
              <w:top w:val="single" w:color="auto" w:sz="2" w:space="0"/>
              <w:left w:val="single" w:color="auto" w:sz="2" w:space="0"/>
              <w:bottom w:val="single" w:color="auto" w:sz="2" w:space="0"/>
              <w:right w:val="single" w:color="auto" w:sz="2" w:space="0"/>
            </w:tcBorders>
            <w:vAlign w:val="center"/>
          </w:tcPr>
          <w:p w14:paraId="0417A0A9">
            <w:pPr>
              <w:spacing w:before="0" w:after="0" w:line="240" w:lineRule="exact"/>
              <w:jc w:val="left"/>
              <w:rPr>
                <w:rFonts w:ascii="宋体" w:hAnsi="宋体" w:eastAsia="宋体" w:cs="宋体"/>
                <w:sz w:val="18"/>
                <w:szCs w:val="18"/>
              </w:rPr>
            </w:pPr>
            <w:r>
              <w:rPr>
                <w:rFonts w:ascii="宋体" w:hAnsi="宋体" w:eastAsia="宋体" w:cs="宋体"/>
                <w:sz w:val="18"/>
                <w:szCs w:val="18"/>
              </w:rPr>
              <w:t>是</w:t>
            </w:r>
          </w:p>
        </w:tc>
      </w:tr>
      <w:tr w14:paraId="33F9B4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4B27D9D7">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266C992E">
            <w:pPr>
              <w:spacing w:before="0" w:after="0" w:line="240" w:lineRule="exact"/>
              <w:jc w:val="right"/>
              <w:rPr>
                <w:rFonts w:ascii="宋体" w:hAnsi="宋体" w:eastAsia="宋体" w:cs="宋体"/>
                <w:sz w:val="18"/>
                <w:szCs w:val="18"/>
              </w:rPr>
            </w:pPr>
            <w:r>
              <w:rPr>
                <w:rFonts w:ascii="宋体" w:hAnsi="宋体" w:eastAsia="宋体" w:cs="宋体"/>
                <w:sz w:val="18"/>
                <w:szCs w:val="18"/>
              </w:rPr>
              <w:t>3,000.00</w:t>
            </w:r>
          </w:p>
        </w:tc>
        <w:tc>
          <w:tcPr>
            <w:tcW w:w="1928" w:type="dxa"/>
            <w:tcBorders>
              <w:top w:val="single" w:color="auto" w:sz="2" w:space="0"/>
              <w:left w:val="single" w:color="auto" w:sz="2" w:space="0"/>
              <w:bottom w:val="single" w:color="auto" w:sz="2" w:space="0"/>
              <w:right w:val="single" w:color="auto" w:sz="2" w:space="0"/>
            </w:tcBorders>
            <w:vAlign w:val="center"/>
          </w:tcPr>
          <w:p w14:paraId="1392C57D">
            <w:pPr>
              <w:spacing w:before="0" w:after="0" w:line="240" w:lineRule="exact"/>
              <w:jc w:val="left"/>
              <w:rPr>
                <w:rFonts w:ascii="宋体" w:hAnsi="宋体" w:eastAsia="宋体" w:cs="宋体"/>
                <w:sz w:val="18"/>
                <w:szCs w:val="18"/>
              </w:rPr>
            </w:pPr>
            <w:r>
              <w:rPr>
                <w:rFonts w:ascii="宋体" w:hAnsi="宋体" w:eastAsia="宋体" w:cs="宋体"/>
                <w:sz w:val="18"/>
                <w:szCs w:val="18"/>
              </w:rPr>
              <w:t>2024年06月12日</w:t>
            </w:r>
          </w:p>
        </w:tc>
        <w:tc>
          <w:tcPr>
            <w:tcW w:w="1928" w:type="dxa"/>
            <w:tcBorders>
              <w:top w:val="single" w:color="auto" w:sz="2" w:space="0"/>
              <w:left w:val="single" w:color="auto" w:sz="2" w:space="0"/>
              <w:bottom w:val="single" w:color="auto" w:sz="2" w:space="0"/>
              <w:right w:val="single" w:color="auto" w:sz="2" w:space="0"/>
            </w:tcBorders>
            <w:vAlign w:val="center"/>
          </w:tcPr>
          <w:p w14:paraId="10B13C59">
            <w:pPr>
              <w:spacing w:before="0" w:after="0" w:line="240" w:lineRule="exact"/>
              <w:jc w:val="left"/>
              <w:rPr>
                <w:rFonts w:ascii="宋体" w:hAnsi="宋体" w:eastAsia="宋体" w:cs="宋体"/>
                <w:sz w:val="18"/>
                <w:szCs w:val="18"/>
              </w:rPr>
            </w:pPr>
            <w:r>
              <w:rPr>
                <w:rFonts w:ascii="宋体" w:hAnsi="宋体" w:eastAsia="宋体" w:cs="宋体"/>
                <w:sz w:val="18"/>
                <w:szCs w:val="18"/>
              </w:rPr>
              <w:t>2025年06月12日</w:t>
            </w:r>
          </w:p>
        </w:tc>
        <w:tc>
          <w:tcPr>
            <w:tcW w:w="1928" w:type="dxa"/>
            <w:tcBorders>
              <w:top w:val="single" w:color="auto" w:sz="2" w:space="0"/>
              <w:left w:val="single" w:color="auto" w:sz="2" w:space="0"/>
              <w:bottom w:val="single" w:color="auto" w:sz="2" w:space="0"/>
              <w:right w:val="single" w:color="auto" w:sz="2" w:space="0"/>
            </w:tcBorders>
            <w:vAlign w:val="center"/>
          </w:tcPr>
          <w:p w14:paraId="2E9F3390">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070C04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26C28853">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5B829338">
            <w:pPr>
              <w:spacing w:before="0" w:after="0" w:line="240" w:lineRule="exact"/>
              <w:jc w:val="right"/>
              <w:rPr>
                <w:rFonts w:ascii="宋体" w:hAnsi="宋体" w:eastAsia="宋体" w:cs="宋体"/>
                <w:sz w:val="18"/>
                <w:szCs w:val="18"/>
              </w:rPr>
            </w:pPr>
            <w:r>
              <w:rPr>
                <w:rFonts w:ascii="宋体" w:hAnsi="宋体" w:eastAsia="宋体" w:cs="宋体"/>
                <w:sz w:val="18"/>
                <w:szCs w:val="18"/>
              </w:rPr>
              <w:t>2,000.00</w:t>
            </w:r>
          </w:p>
        </w:tc>
        <w:tc>
          <w:tcPr>
            <w:tcW w:w="1928" w:type="dxa"/>
            <w:tcBorders>
              <w:top w:val="single" w:color="auto" w:sz="2" w:space="0"/>
              <w:left w:val="single" w:color="auto" w:sz="2" w:space="0"/>
              <w:bottom w:val="single" w:color="auto" w:sz="2" w:space="0"/>
              <w:right w:val="single" w:color="auto" w:sz="2" w:space="0"/>
            </w:tcBorders>
            <w:vAlign w:val="center"/>
          </w:tcPr>
          <w:p w14:paraId="4D14AF7C">
            <w:pPr>
              <w:spacing w:before="0" w:after="0" w:line="240" w:lineRule="exact"/>
              <w:jc w:val="left"/>
              <w:rPr>
                <w:rFonts w:ascii="宋体" w:hAnsi="宋体" w:eastAsia="宋体" w:cs="宋体"/>
                <w:sz w:val="18"/>
                <w:szCs w:val="18"/>
              </w:rPr>
            </w:pPr>
            <w:r>
              <w:rPr>
                <w:rFonts w:ascii="宋体" w:hAnsi="宋体" w:eastAsia="宋体" w:cs="宋体"/>
                <w:sz w:val="18"/>
                <w:szCs w:val="18"/>
              </w:rPr>
              <w:t>2024年03月04日</w:t>
            </w:r>
          </w:p>
        </w:tc>
        <w:tc>
          <w:tcPr>
            <w:tcW w:w="1928" w:type="dxa"/>
            <w:tcBorders>
              <w:top w:val="single" w:color="auto" w:sz="2" w:space="0"/>
              <w:left w:val="single" w:color="auto" w:sz="2" w:space="0"/>
              <w:bottom w:val="single" w:color="auto" w:sz="2" w:space="0"/>
              <w:right w:val="single" w:color="auto" w:sz="2" w:space="0"/>
            </w:tcBorders>
            <w:vAlign w:val="center"/>
          </w:tcPr>
          <w:p w14:paraId="364EC617">
            <w:pPr>
              <w:spacing w:before="0" w:after="0" w:line="240" w:lineRule="exact"/>
              <w:jc w:val="left"/>
              <w:rPr>
                <w:rFonts w:ascii="宋体" w:hAnsi="宋体" w:eastAsia="宋体" w:cs="宋体"/>
                <w:sz w:val="18"/>
                <w:szCs w:val="18"/>
              </w:rPr>
            </w:pPr>
            <w:r>
              <w:rPr>
                <w:rFonts w:ascii="宋体" w:hAnsi="宋体" w:eastAsia="宋体" w:cs="宋体"/>
                <w:sz w:val="18"/>
                <w:szCs w:val="18"/>
              </w:rPr>
              <w:t>2025年01月12日</w:t>
            </w:r>
          </w:p>
        </w:tc>
        <w:tc>
          <w:tcPr>
            <w:tcW w:w="1928" w:type="dxa"/>
            <w:tcBorders>
              <w:top w:val="single" w:color="auto" w:sz="2" w:space="0"/>
              <w:left w:val="single" w:color="auto" w:sz="2" w:space="0"/>
              <w:bottom w:val="single" w:color="auto" w:sz="2" w:space="0"/>
              <w:right w:val="single" w:color="auto" w:sz="2" w:space="0"/>
            </w:tcBorders>
            <w:vAlign w:val="center"/>
          </w:tcPr>
          <w:p w14:paraId="626FDEEC">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14CA73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67ED6A2C">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0C4795DC">
            <w:pPr>
              <w:spacing w:before="0" w:after="0" w:line="240" w:lineRule="exact"/>
              <w:jc w:val="right"/>
              <w:rPr>
                <w:rFonts w:ascii="宋体" w:hAnsi="宋体" w:eastAsia="宋体" w:cs="宋体"/>
                <w:sz w:val="18"/>
                <w:szCs w:val="18"/>
              </w:rPr>
            </w:pPr>
            <w:r>
              <w:rPr>
                <w:rFonts w:ascii="宋体" w:hAnsi="宋体" w:eastAsia="宋体" w:cs="宋体"/>
                <w:sz w:val="18"/>
                <w:szCs w:val="18"/>
              </w:rPr>
              <w:t>10,580.00</w:t>
            </w:r>
          </w:p>
        </w:tc>
        <w:tc>
          <w:tcPr>
            <w:tcW w:w="1928" w:type="dxa"/>
            <w:tcBorders>
              <w:top w:val="single" w:color="auto" w:sz="2" w:space="0"/>
              <w:left w:val="single" w:color="auto" w:sz="2" w:space="0"/>
              <w:bottom w:val="single" w:color="auto" w:sz="2" w:space="0"/>
              <w:right w:val="single" w:color="auto" w:sz="2" w:space="0"/>
            </w:tcBorders>
            <w:vAlign w:val="center"/>
          </w:tcPr>
          <w:p w14:paraId="14A5BBA1">
            <w:pPr>
              <w:spacing w:before="0" w:after="0" w:line="240" w:lineRule="exact"/>
              <w:jc w:val="left"/>
              <w:rPr>
                <w:rFonts w:ascii="宋体" w:hAnsi="宋体" w:eastAsia="宋体" w:cs="宋体"/>
                <w:sz w:val="18"/>
                <w:szCs w:val="18"/>
              </w:rPr>
            </w:pPr>
            <w:r>
              <w:rPr>
                <w:rFonts w:ascii="宋体" w:hAnsi="宋体" w:eastAsia="宋体" w:cs="宋体"/>
                <w:sz w:val="18"/>
                <w:szCs w:val="18"/>
              </w:rPr>
              <w:t>2024年08月30日</w:t>
            </w:r>
          </w:p>
        </w:tc>
        <w:tc>
          <w:tcPr>
            <w:tcW w:w="1928" w:type="dxa"/>
            <w:tcBorders>
              <w:top w:val="single" w:color="auto" w:sz="2" w:space="0"/>
              <w:left w:val="single" w:color="auto" w:sz="2" w:space="0"/>
              <w:bottom w:val="single" w:color="auto" w:sz="2" w:space="0"/>
              <w:right w:val="single" w:color="auto" w:sz="2" w:space="0"/>
            </w:tcBorders>
            <w:vAlign w:val="center"/>
          </w:tcPr>
          <w:p w14:paraId="6A4DEF15">
            <w:pPr>
              <w:spacing w:before="0" w:after="0" w:line="240" w:lineRule="exact"/>
              <w:jc w:val="left"/>
              <w:rPr>
                <w:rFonts w:ascii="宋体" w:hAnsi="宋体" w:eastAsia="宋体" w:cs="宋体"/>
                <w:sz w:val="18"/>
                <w:szCs w:val="18"/>
              </w:rPr>
            </w:pPr>
            <w:r>
              <w:rPr>
                <w:rFonts w:ascii="宋体" w:hAnsi="宋体" w:eastAsia="宋体" w:cs="宋体"/>
                <w:sz w:val="18"/>
                <w:szCs w:val="18"/>
              </w:rPr>
              <w:t>2026年08月12日</w:t>
            </w:r>
          </w:p>
        </w:tc>
        <w:tc>
          <w:tcPr>
            <w:tcW w:w="1928" w:type="dxa"/>
            <w:tcBorders>
              <w:top w:val="single" w:color="auto" w:sz="2" w:space="0"/>
              <w:left w:val="single" w:color="auto" w:sz="2" w:space="0"/>
              <w:bottom w:val="single" w:color="auto" w:sz="2" w:space="0"/>
              <w:right w:val="single" w:color="auto" w:sz="2" w:space="0"/>
            </w:tcBorders>
            <w:vAlign w:val="center"/>
          </w:tcPr>
          <w:p w14:paraId="001E7DDF">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59CB3D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5402199C">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3A5777C1">
            <w:pPr>
              <w:spacing w:before="0" w:after="0" w:line="240" w:lineRule="exact"/>
              <w:jc w:val="right"/>
              <w:rPr>
                <w:rFonts w:ascii="宋体" w:hAnsi="宋体" w:eastAsia="宋体" w:cs="宋体"/>
                <w:sz w:val="18"/>
                <w:szCs w:val="18"/>
              </w:rPr>
            </w:pPr>
            <w:r>
              <w:rPr>
                <w:rFonts w:ascii="宋体" w:hAnsi="宋体" w:eastAsia="宋体" w:cs="宋体"/>
                <w:sz w:val="18"/>
                <w:szCs w:val="18"/>
              </w:rPr>
              <w:t>2,000.00</w:t>
            </w:r>
          </w:p>
        </w:tc>
        <w:tc>
          <w:tcPr>
            <w:tcW w:w="1928" w:type="dxa"/>
            <w:tcBorders>
              <w:top w:val="single" w:color="auto" w:sz="2" w:space="0"/>
              <w:left w:val="single" w:color="auto" w:sz="2" w:space="0"/>
              <w:bottom w:val="single" w:color="auto" w:sz="2" w:space="0"/>
              <w:right w:val="single" w:color="auto" w:sz="2" w:space="0"/>
            </w:tcBorders>
            <w:vAlign w:val="center"/>
          </w:tcPr>
          <w:p w14:paraId="5BA512C4">
            <w:pPr>
              <w:spacing w:before="0" w:after="0" w:line="240" w:lineRule="exact"/>
              <w:jc w:val="left"/>
              <w:rPr>
                <w:rFonts w:ascii="宋体" w:hAnsi="宋体" w:eastAsia="宋体" w:cs="宋体"/>
                <w:sz w:val="18"/>
                <w:szCs w:val="18"/>
              </w:rPr>
            </w:pPr>
            <w:r>
              <w:rPr>
                <w:rFonts w:ascii="宋体" w:hAnsi="宋体" w:eastAsia="宋体" w:cs="宋体"/>
                <w:sz w:val="18"/>
                <w:szCs w:val="18"/>
              </w:rPr>
              <w:t>2024年04月26日</w:t>
            </w:r>
          </w:p>
        </w:tc>
        <w:tc>
          <w:tcPr>
            <w:tcW w:w="1928" w:type="dxa"/>
            <w:tcBorders>
              <w:top w:val="single" w:color="auto" w:sz="2" w:space="0"/>
              <w:left w:val="single" w:color="auto" w:sz="2" w:space="0"/>
              <w:bottom w:val="single" w:color="auto" w:sz="2" w:space="0"/>
              <w:right w:val="single" w:color="auto" w:sz="2" w:space="0"/>
            </w:tcBorders>
            <w:vAlign w:val="center"/>
          </w:tcPr>
          <w:p w14:paraId="04C4DCB3">
            <w:pPr>
              <w:spacing w:before="0" w:after="0" w:line="240" w:lineRule="exact"/>
              <w:jc w:val="left"/>
              <w:rPr>
                <w:rFonts w:ascii="宋体" w:hAnsi="宋体" w:eastAsia="宋体" w:cs="宋体"/>
                <w:sz w:val="18"/>
                <w:szCs w:val="18"/>
              </w:rPr>
            </w:pPr>
            <w:r>
              <w:rPr>
                <w:rFonts w:ascii="宋体" w:hAnsi="宋体" w:eastAsia="宋体" w:cs="宋体"/>
                <w:sz w:val="18"/>
                <w:szCs w:val="18"/>
              </w:rPr>
              <w:t>2027年04月26日</w:t>
            </w:r>
          </w:p>
        </w:tc>
        <w:tc>
          <w:tcPr>
            <w:tcW w:w="1928" w:type="dxa"/>
            <w:tcBorders>
              <w:top w:val="single" w:color="auto" w:sz="2" w:space="0"/>
              <w:left w:val="single" w:color="auto" w:sz="2" w:space="0"/>
              <w:bottom w:val="single" w:color="auto" w:sz="2" w:space="0"/>
              <w:right w:val="single" w:color="auto" w:sz="2" w:space="0"/>
            </w:tcBorders>
            <w:vAlign w:val="center"/>
          </w:tcPr>
          <w:p w14:paraId="58A26476">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r w14:paraId="3ED56F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14:paraId="324B9426">
            <w:pPr>
              <w:spacing w:before="0" w:after="0" w:line="240" w:lineRule="exact"/>
              <w:jc w:val="left"/>
              <w:rPr>
                <w:rFonts w:ascii="宋体" w:hAnsi="宋体" w:eastAsia="宋体" w:cs="宋体"/>
                <w:sz w:val="18"/>
                <w:szCs w:val="18"/>
              </w:rPr>
            </w:pPr>
            <w:r>
              <w:rPr>
                <w:rFonts w:ascii="宋体" w:hAnsi="宋体" w:eastAsia="宋体" w:cs="宋体"/>
                <w:sz w:val="18"/>
                <w:szCs w:val="18"/>
              </w:rPr>
              <w:t>李国平</w:t>
            </w:r>
          </w:p>
        </w:tc>
        <w:tc>
          <w:tcPr>
            <w:tcW w:w="1928" w:type="dxa"/>
            <w:tcBorders>
              <w:top w:val="single" w:color="auto" w:sz="2" w:space="0"/>
              <w:left w:val="single" w:color="auto" w:sz="2" w:space="0"/>
              <w:bottom w:val="single" w:color="auto" w:sz="2" w:space="0"/>
              <w:right w:val="single" w:color="auto" w:sz="2" w:space="0"/>
            </w:tcBorders>
            <w:vAlign w:val="center"/>
          </w:tcPr>
          <w:p w14:paraId="0B1A44CA">
            <w:pPr>
              <w:spacing w:before="0" w:after="0" w:line="240" w:lineRule="exact"/>
              <w:jc w:val="right"/>
              <w:rPr>
                <w:rFonts w:ascii="宋体" w:hAnsi="宋体" w:eastAsia="宋体" w:cs="宋体"/>
                <w:sz w:val="18"/>
                <w:szCs w:val="18"/>
              </w:rPr>
            </w:pPr>
            <w:r>
              <w:rPr>
                <w:rFonts w:ascii="宋体" w:hAnsi="宋体" w:eastAsia="宋体" w:cs="宋体"/>
                <w:sz w:val="18"/>
                <w:szCs w:val="18"/>
              </w:rPr>
              <w:t>5,100.00</w:t>
            </w:r>
          </w:p>
        </w:tc>
        <w:tc>
          <w:tcPr>
            <w:tcW w:w="1928" w:type="dxa"/>
            <w:tcBorders>
              <w:top w:val="single" w:color="auto" w:sz="2" w:space="0"/>
              <w:left w:val="single" w:color="auto" w:sz="2" w:space="0"/>
              <w:bottom w:val="single" w:color="auto" w:sz="2" w:space="0"/>
              <w:right w:val="single" w:color="auto" w:sz="2" w:space="0"/>
            </w:tcBorders>
            <w:vAlign w:val="center"/>
          </w:tcPr>
          <w:p w14:paraId="4F879CD4">
            <w:pPr>
              <w:spacing w:before="0" w:after="0" w:line="240" w:lineRule="exact"/>
              <w:jc w:val="left"/>
              <w:rPr>
                <w:rFonts w:ascii="宋体" w:hAnsi="宋体" w:eastAsia="宋体" w:cs="宋体"/>
                <w:sz w:val="18"/>
                <w:szCs w:val="18"/>
              </w:rPr>
            </w:pPr>
            <w:r>
              <w:rPr>
                <w:rFonts w:ascii="宋体" w:hAnsi="宋体" w:eastAsia="宋体" w:cs="宋体"/>
                <w:sz w:val="18"/>
                <w:szCs w:val="18"/>
              </w:rPr>
              <w:t>2024年10月08日</w:t>
            </w:r>
          </w:p>
        </w:tc>
        <w:tc>
          <w:tcPr>
            <w:tcW w:w="1928" w:type="dxa"/>
            <w:tcBorders>
              <w:top w:val="single" w:color="auto" w:sz="2" w:space="0"/>
              <w:left w:val="single" w:color="auto" w:sz="2" w:space="0"/>
              <w:bottom w:val="single" w:color="auto" w:sz="2" w:space="0"/>
              <w:right w:val="single" w:color="auto" w:sz="2" w:space="0"/>
            </w:tcBorders>
            <w:vAlign w:val="center"/>
          </w:tcPr>
          <w:p w14:paraId="33443B1B">
            <w:pPr>
              <w:spacing w:before="0" w:after="0" w:line="240" w:lineRule="exact"/>
              <w:jc w:val="left"/>
              <w:rPr>
                <w:rFonts w:ascii="宋体" w:hAnsi="宋体" w:eastAsia="宋体" w:cs="宋体"/>
                <w:sz w:val="18"/>
                <w:szCs w:val="18"/>
              </w:rPr>
            </w:pPr>
            <w:r>
              <w:rPr>
                <w:rFonts w:ascii="宋体" w:hAnsi="宋体" w:eastAsia="宋体" w:cs="宋体"/>
                <w:sz w:val="18"/>
                <w:szCs w:val="18"/>
              </w:rPr>
              <w:t>2026年10月07日</w:t>
            </w:r>
          </w:p>
        </w:tc>
        <w:tc>
          <w:tcPr>
            <w:tcW w:w="1928" w:type="dxa"/>
            <w:tcBorders>
              <w:top w:val="single" w:color="auto" w:sz="2" w:space="0"/>
              <w:left w:val="single" w:color="auto" w:sz="2" w:space="0"/>
              <w:bottom w:val="single" w:color="auto" w:sz="2" w:space="0"/>
              <w:right w:val="single" w:color="auto" w:sz="2" w:space="0"/>
            </w:tcBorders>
            <w:vAlign w:val="center"/>
          </w:tcPr>
          <w:p w14:paraId="05B24099">
            <w:pPr>
              <w:spacing w:before="0" w:after="0" w:line="240" w:lineRule="exact"/>
              <w:jc w:val="left"/>
              <w:rPr>
                <w:rFonts w:ascii="宋体" w:hAnsi="宋体" w:eastAsia="宋体" w:cs="宋体"/>
                <w:sz w:val="18"/>
                <w:szCs w:val="18"/>
              </w:rPr>
            </w:pPr>
            <w:r>
              <w:rPr>
                <w:rFonts w:ascii="宋体" w:hAnsi="宋体" w:eastAsia="宋体" w:cs="宋体"/>
                <w:sz w:val="18"/>
                <w:szCs w:val="18"/>
              </w:rPr>
              <w:t>否</w:t>
            </w:r>
          </w:p>
        </w:tc>
      </w:tr>
    </w:tbl>
    <w:p w14:paraId="13162E74">
      <w:pPr>
        <w:spacing w:before="100" w:after="100" w:line="240" w:lineRule="exact"/>
        <w:jc w:val="left"/>
        <w:rPr>
          <w:rFonts w:ascii="宋体" w:hAnsi="宋体" w:eastAsia="宋体" w:cs="宋体"/>
          <w:sz w:val="18"/>
          <w:szCs w:val="18"/>
        </w:rPr>
      </w:pPr>
      <w:r>
        <w:rPr>
          <w:rFonts w:ascii="宋体" w:hAnsi="宋体" w:eastAsia="宋体" w:cs="宋体"/>
          <w:sz w:val="18"/>
          <w:szCs w:val="18"/>
        </w:rPr>
        <w:t>关联担保情况说明</w:t>
      </w:r>
    </w:p>
    <w:p w14:paraId="7C3B1DD0">
      <w:pPr>
        <w:keepNext/>
        <w:keepLines/>
        <w:spacing w:before="300" w:after="300" w:line="280" w:lineRule="exact"/>
        <w:jc w:val="left"/>
        <w:outlineLvl w:val="3"/>
        <w:rPr>
          <w:rFonts w:ascii="宋体" w:hAnsi="宋体" w:eastAsia="宋体" w:cs="宋体"/>
          <w:b/>
          <w:bCs/>
          <w:sz w:val="21"/>
          <w:szCs w:val="21"/>
        </w:rPr>
      </w:pPr>
      <w:bookmarkStart w:id="534" w:name="_Toc989417"/>
      <w:r>
        <w:rPr>
          <w:rFonts w:ascii="宋体" w:hAnsi="宋体" w:eastAsia="宋体" w:cs="宋体"/>
          <w:b/>
          <w:bCs/>
          <w:sz w:val="21"/>
          <w:szCs w:val="21"/>
        </w:rPr>
        <w:t>（5） 关联方资金拆借</w:t>
      </w:r>
      <w:bookmarkEnd w:id="534"/>
    </w:p>
    <w:p w14:paraId="7ADFE8C0">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3F76B7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04EB3B4">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BD4DA3A">
            <w:pPr>
              <w:spacing w:before="40" w:after="40" w:line="240" w:lineRule="exact"/>
              <w:jc w:val="center"/>
              <w:rPr>
                <w:rFonts w:ascii="宋体" w:hAnsi="宋体" w:eastAsia="宋体" w:cs="宋体"/>
                <w:sz w:val="18"/>
                <w:szCs w:val="18"/>
              </w:rPr>
            </w:pPr>
            <w:r>
              <w:rPr>
                <w:rFonts w:ascii="宋体" w:hAnsi="宋体" w:eastAsia="宋体" w:cs="宋体"/>
                <w:sz w:val="18"/>
                <w:szCs w:val="18"/>
              </w:rPr>
              <w:t>拆借金额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943FE6E">
            <w:pPr>
              <w:spacing w:before="40" w:after="40" w:line="240" w:lineRule="exact"/>
              <w:jc w:val="center"/>
              <w:rPr>
                <w:rFonts w:ascii="宋体" w:hAnsi="宋体" w:eastAsia="宋体" w:cs="宋体"/>
                <w:sz w:val="18"/>
                <w:szCs w:val="18"/>
              </w:rPr>
            </w:pPr>
            <w:r>
              <w:rPr>
                <w:rFonts w:ascii="宋体" w:hAnsi="宋体" w:eastAsia="宋体" w:cs="宋体"/>
                <w:sz w:val="18"/>
                <w:szCs w:val="18"/>
              </w:rPr>
              <w:t>起始日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95B472B">
            <w:pPr>
              <w:spacing w:before="40" w:after="40" w:line="240" w:lineRule="exact"/>
              <w:jc w:val="center"/>
              <w:rPr>
                <w:rFonts w:ascii="宋体" w:hAnsi="宋体" w:eastAsia="宋体" w:cs="宋体"/>
                <w:sz w:val="18"/>
                <w:szCs w:val="18"/>
              </w:rPr>
            </w:pPr>
            <w:r>
              <w:rPr>
                <w:rFonts w:ascii="宋体" w:hAnsi="宋体" w:eastAsia="宋体" w:cs="宋体"/>
                <w:sz w:val="18"/>
                <w:szCs w:val="18"/>
              </w:rPr>
              <w:t>到期日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D6E4B1B">
            <w:pPr>
              <w:spacing w:before="40" w:after="40" w:line="240" w:lineRule="exact"/>
              <w:jc w:val="center"/>
              <w:rPr>
                <w:rFonts w:ascii="宋体" w:hAnsi="宋体" w:eastAsia="宋体" w:cs="宋体"/>
                <w:sz w:val="18"/>
                <w:szCs w:val="18"/>
              </w:rPr>
            </w:pPr>
            <w:r>
              <w:rPr>
                <w:rFonts w:ascii="宋体" w:hAnsi="宋体" w:eastAsia="宋体" w:cs="宋体"/>
                <w:sz w:val="18"/>
                <w:szCs w:val="18"/>
              </w:rPr>
              <w:t>说明</w:t>
            </w:r>
          </w:p>
        </w:tc>
      </w:tr>
      <w:tr w14:paraId="415FFD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671490EA">
            <w:pPr>
              <w:spacing w:before="40" w:after="40" w:line="240" w:lineRule="exact"/>
              <w:jc w:val="left"/>
              <w:rPr>
                <w:rFonts w:ascii="宋体" w:hAnsi="宋体" w:eastAsia="宋体" w:cs="宋体"/>
                <w:sz w:val="18"/>
                <w:szCs w:val="18"/>
              </w:rPr>
            </w:pPr>
            <w:r>
              <w:rPr>
                <w:rFonts w:ascii="宋体" w:hAnsi="宋体" w:eastAsia="宋体" w:cs="宋体"/>
                <w:sz w:val="18"/>
                <w:szCs w:val="18"/>
              </w:rPr>
              <w:t>拆入</w:t>
            </w:r>
          </w:p>
        </w:tc>
      </w:tr>
      <w:tr w14:paraId="44EC4B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5B869D55">
            <w:pPr>
              <w:spacing w:before="40" w:after="40" w:line="240" w:lineRule="exact"/>
              <w:jc w:val="left"/>
              <w:rPr>
                <w:rFonts w:ascii="宋体" w:hAnsi="宋体" w:eastAsia="宋体" w:cs="宋体"/>
                <w:sz w:val="18"/>
                <w:szCs w:val="18"/>
              </w:rPr>
            </w:pPr>
            <w:r>
              <w:rPr>
                <w:rFonts w:ascii="宋体" w:hAnsi="宋体" w:eastAsia="宋体" w:cs="宋体"/>
                <w:sz w:val="18"/>
                <w:szCs w:val="18"/>
              </w:rPr>
              <w:t>拆出</w:t>
            </w:r>
          </w:p>
        </w:tc>
      </w:tr>
    </w:tbl>
    <w:p w14:paraId="7F3E3A7B">
      <w:pPr>
        <w:keepNext/>
        <w:keepLines/>
        <w:spacing w:before="300" w:after="300" w:line="280" w:lineRule="exact"/>
        <w:jc w:val="left"/>
        <w:outlineLvl w:val="3"/>
        <w:rPr>
          <w:rFonts w:ascii="宋体" w:hAnsi="宋体" w:eastAsia="宋体" w:cs="宋体"/>
          <w:b/>
          <w:bCs/>
          <w:sz w:val="21"/>
          <w:szCs w:val="21"/>
        </w:rPr>
      </w:pPr>
      <w:bookmarkStart w:id="535" w:name="_Toc989418"/>
      <w:r>
        <w:rPr>
          <w:rFonts w:ascii="宋体" w:hAnsi="宋体" w:eastAsia="宋体" w:cs="宋体"/>
          <w:b/>
          <w:bCs/>
          <w:sz w:val="21"/>
          <w:szCs w:val="21"/>
        </w:rPr>
        <w:t>（6） 关联方资产转让、债务重组情况</w:t>
      </w:r>
      <w:bookmarkEnd w:id="535"/>
    </w:p>
    <w:p w14:paraId="1E16902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01F12E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ECC1D16">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6F368CA">
            <w:pPr>
              <w:spacing w:before="40" w:after="40" w:line="240" w:lineRule="exact"/>
              <w:jc w:val="center"/>
              <w:rPr>
                <w:rFonts w:ascii="宋体" w:hAnsi="宋体" w:eastAsia="宋体" w:cs="宋体"/>
                <w:sz w:val="18"/>
                <w:szCs w:val="18"/>
              </w:rPr>
            </w:pPr>
            <w:r>
              <w:rPr>
                <w:rFonts w:ascii="宋体" w:hAnsi="宋体" w:eastAsia="宋体" w:cs="宋体"/>
                <w:sz w:val="18"/>
                <w:szCs w:val="18"/>
              </w:rPr>
              <w:t>关联交易内容</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88BF736">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72434F9">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bl>
    <w:p w14:paraId="6ABDCA8E">
      <w:pPr>
        <w:keepNext/>
        <w:keepLines/>
        <w:spacing w:before="300" w:after="300" w:line="280" w:lineRule="exact"/>
        <w:jc w:val="left"/>
        <w:outlineLvl w:val="3"/>
        <w:rPr>
          <w:rFonts w:ascii="宋体" w:hAnsi="宋体" w:eastAsia="宋体" w:cs="宋体"/>
          <w:b/>
          <w:bCs/>
          <w:sz w:val="21"/>
          <w:szCs w:val="21"/>
        </w:rPr>
      </w:pPr>
      <w:bookmarkStart w:id="536" w:name="_Toc989419"/>
      <w:r>
        <w:rPr>
          <w:rFonts w:ascii="宋体" w:hAnsi="宋体" w:eastAsia="宋体" w:cs="宋体"/>
          <w:b/>
          <w:bCs/>
          <w:sz w:val="21"/>
          <w:szCs w:val="21"/>
        </w:rPr>
        <w:t>（7） 关键管理人员报酬</w:t>
      </w:r>
      <w:bookmarkEnd w:id="536"/>
    </w:p>
    <w:p w14:paraId="350704F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5E1A6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D43EF9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C559883">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6F89571">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0B1298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73399A92">
            <w:pPr>
              <w:spacing w:before="0" w:after="0" w:line="240" w:lineRule="exact"/>
              <w:jc w:val="left"/>
              <w:rPr>
                <w:rFonts w:ascii="宋体" w:hAnsi="宋体" w:eastAsia="宋体" w:cs="宋体"/>
                <w:sz w:val="18"/>
                <w:szCs w:val="18"/>
              </w:rPr>
            </w:pPr>
            <w:r>
              <w:rPr>
                <w:rFonts w:ascii="宋体" w:hAnsi="宋体" w:eastAsia="宋体" w:cs="宋体"/>
                <w:sz w:val="18"/>
                <w:szCs w:val="18"/>
              </w:rPr>
              <w:t>关键管理人员薪酬</w:t>
            </w:r>
          </w:p>
        </w:tc>
        <w:tc>
          <w:tcPr>
            <w:tcW w:w="3213" w:type="dxa"/>
            <w:tcBorders>
              <w:top w:val="single" w:color="auto" w:sz="2" w:space="0"/>
              <w:left w:val="single" w:color="auto" w:sz="2" w:space="0"/>
              <w:bottom w:val="single" w:color="auto" w:sz="2" w:space="0"/>
              <w:right w:val="single" w:color="auto" w:sz="2" w:space="0"/>
            </w:tcBorders>
            <w:vAlign w:val="center"/>
          </w:tcPr>
          <w:p w14:paraId="2F04D8A0">
            <w:pPr>
              <w:spacing w:before="0" w:after="0" w:line="240" w:lineRule="exact"/>
              <w:jc w:val="right"/>
              <w:rPr>
                <w:rFonts w:ascii="宋体" w:hAnsi="宋体" w:eastAsia="宋体" w:cs="宋体"/>
                <w:sz w:val="18"/>
                <w:szCs w:val="18"/>
              </w:rPr>
            </w:pPr>
            <w:r>
              <w:rPr>
                <w:rFonts w:hint="eastAsia" w:ascii="宋体" w:hAnsi="宋体" w:eastAsia="宋体" w:cs="宋体"/>
                <w:sz w:val="18"/>
                <w:szCs w:val="18"/>
              </w:rPr>
              <w:t xml:space="preserve">9,942,682.42 </w:t>
            </w:r>
          </w:p>
        </w:tc>
        <w:tc>
          <w:tcPr>
            <w:tcW w:w="3213" w:type="dxa"/>
            <w:tcBorders>
              <w:top w:val="single" w:color="auto" w:sz="2" w:space="0"/>
              <w:left w:val="single" w:color="auto" w:sz="2" w:space="0"/>
              <w:bottom w:val="single" w:color="auto" w:sz="2" w:space="0"/>
              <w:right w:val="single" w:color="auto" w:sz="2" w:space="0"/>
            </w:tcBorders>
            <w:vAlign w:val="center"/>
          </w:tcPr>
          <w:p w14:paraId="3777A8BF">
            <w:pPr>
              <w:spacing w:before="0" w:after="0" w:line="240" w:lineRule="exact"/>
              <w:jc w:val="right"/>
              <w:rPr>
                <w:rFonts w:ascii="宋体" w:hAnsi="宋体" w:eastAsia="宋体" w:cs="宋体"/>
                <w:sz w:val="18"/>
                <w:szCs w:val="18"/>
              </w:rPr>
            </w:pPr>
            <w:r>
              <w:rPr>
                <w:rFonts w:ascii="宋体" w:hAnsi="宋体" w:eastAsia="宋体" w:cs="宋体"/>
                <w:sz w:val="18"/>
                <w:szCs w:val="18"/>
              </w:rPr>
              <w:t>10,492,038.07</w:t>
            </w:r>
          </w:p>
        </w:tc>
      </w:tr>
    </w:tbl>
    <w:p w14:paraId="0B92AE2B">
      <w:pPr>
        <w:keepNext/>
        <w:keepLines/>
        <w:spacing w:before="300" w:after="300" w:line="280" w:lineRule="exact"/>
        <w:jc w:val="left"/>
        <w:outlineLvl w:val="3"/>
        <w:rPr>
          <w:rFonts w:ascii="宋体" w:hAnsi="宋体" w:eastAsia="宋体" w:cs="宋体"/>
          <w:b/>
          <w:bCs/>
          <w:sz w:val="21"/>
          <w:szCs w:val="21"/>
        </w:rPr>
      </w:pPr>
      <w:bookmarkStart w:id="537" w:name="_Toc989420"/>
      <w:r>
        <w:rPr>
          <w:rFonts w:ascii="宋体" w:hAnsi="宋体" w:eastAsia="宋体" w:cs="宋体"/>
          <w:b/>
          <w:bCs/>
          <w:sz w:val="21"/>
          <w:szCs w:val="21"/>
        </w:rPr>
        <w:t>（8） 其他关联交易</w:t>
      </w:r>
      <w:bookmarkEnd w:id="537"/>
    </w:p>
    <w:tbl>
      <w:tblPr>
        <w:tblStyle w:val="3"/>
        <w:tblW w:w="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05"/>
        <w:gridCol w:w="1943"/>
        <w:gridCol w:w="1739"/>
        <w:gridCol w:w="1646"/>
        <w:gridCol w:w="1095"/>
      </w:tblGrid>
      <w:tr w14:paraId="170524A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blHeader/>
        </w:trPr>
        <w:tc>
          <w:tcPr>
            <w:tcW w:w="210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534BE3A9">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eastAsia" w:ascii="宋体" w:hAnsi="宋体" w:eastAsia="宋体" w:cs="宋体"/>
                <w:sz w:val="18"/>
                <w:szCs w:val="18"/>
              </w:rPr>
              <w:t>交易类型</w:t>
            </w:r>
          </w:p>
        </w:tc>
        <w:tc>
          <w:tcPr>
            <w:tcW w:w="194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E4D54BB">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eastAsia" w:ascii="宋体" w:hAnsi="宋体" w:eastAsia="宋体" w:cs="宋体"/>
                <w:sz w:val="18"/>
                <w:szCs w:val="18"/>
              </w:rPr>
              <w:t>关联方名称</w:t>
            </w:r>
          </w:p>
        </w:tc>
        <w:tc>
          <w:tcPr>
            <w:tcW w:w="173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AD7A22A">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eastAsia" w:ascii="宋体" w:hAnsi="宋体" w:eastAsia="宋体" w:cs="宋体"/>
                <w:sz w:val="18"/>
                <w:szCs w:val="18"/>
              </w:rPr>
              <w:t>本期发生额</w:t>
            </w:r>
          </w:p>
        </w:tc>
        <w:tc>
          <w:tcPr>
            <w:tcW w:w="164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1A5C95B">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eastAsia" w:ascii="宋体" w:hAnsi="宋体" w:eastAsia="宋体" w:cs="宋体"/>
                <w:sz w:val="18"/>
                <w:szCs w:val="18"/>
              </w:rPr>
              <w:t>上期发生额</w:t>
            </w:r>
          </w:p>
        </w:tc>
        <w:tc>
          <w:tcPr>
            <w:tcW w:w="109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C438CEA">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eastAsia" w:ascii="宋体" w:hAnsi="宋体" w:eastAsia="宋体" w:cs="宋体"/>
                <w:spacing w:val="-16"/>
                <w:sz w:val="18"/>
                <w:szCs w:val="18"/>
              </w:rPr>
              <w:t>定价方式及决策程序</w:t>
            </w:r>
          </w:p>
        </w:tc>
      </w:tr>
      <w:tr w14:paraId="728F8D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0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0F212CA7">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代表企业或由企业代表另一方进行债务结算</w:t>
            </w:r>
          </w:p>
        </w:tc>
        <w:tc>
          <w:tcPr>
            <w:tcW w:w="1943" w:type="dxa"/>
            <w:tcBorders>
              <w:top w:val="nil"/>
              <w:left w:val="nil"/>
              <w:bottom w:val="single" w:color="auto" w:sz="8" w:space="0"/>
              <w:right w:val="single" w:color="auto" w:sz="8" w:space="0"/>
            </w:tcBorders>
            <w:shd w:val="clear" w:color="auto" w:fill="auto"/>
            <w:tcMar>
              <w:left w:w="108" w:type="dxa"/>
              <w:right w:w="108" w:type="dxa"/>
            </w:tcMar>
            <w:vAlign w:val="center"/>
          </w:tcPr>
          <w:p w14:paraId="33029368">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阿吉安（福州）基因医学检验实验室有限公司</w:t>
            </w:r>
          </w:p>
        </w:tc>
        <w:tc>
          <w:tcPr>
            <w:tcW w:w="1739" w:type="dxa"/>
            <w:tcBorders>
              <w:top w:val="nil"/>
              <w:left w:val="nil"/>
              <w:bottom w:val="single" w:color="auto" w:sz="8" w:space="0"/>
              <w:right w:val="single" w:color="auto" w:sz="8" w:space="0"/>
            </w:tcBorders>
            <w:shd w:val="clear" w:color="auto" w:fill="auto"/>
            <w:tcMar>
              <w:left w:w="108" w:type="dxa"/>
              <w:right w:w="108" w:type="dxa"/>
            </w:tcMar>
            <w:vAlign w:val="center"/>
          </w:tcPr>
          <w:p w14:paraId="6162B56F">
            <w:pPr>
              <w:pStyle w:val="2"/>
              <w:keepNext w:val="0"/>
              <w:keepLines w:val="0"/>
              <w:widowControl/>
              <w:suppressLineNumbers w:val="0"/>
              <w:spacing w:before="0" w:beforeAutospacing="0" w:after="0" w:afterAutospacing="0" w:line="240" w:lineRule="atLeast"/>
              <w:ind w:left="0" w:right="0"/>
              <w:jc w:val="right"/>
              <w:rPr>
                <w:rFonts w:hint="default" w:ascii="Times New Roman" w:hAnsi="Times New Roman" w:cs="Times New Roman"/>
                <w:sz w:val="21"/>
                <w:szCs w:val="21"/>
              </w:rPr>
            </w:pPr>
            <w:r>
              <w:rPr>
                <w:rFonts w:hint="eastAsia" w:ascii="宋体" w:hAnsi="宋体" w:eastAsia="宋体" w:cs="宋体"/>
                <w:sz w:val="18"/>
                <w:szCs w:val="18"/>
              </w:rPr>
              <w:t>61,126.82</w:t>
            </w:r>
          </w:p>
        </w:tc>
        <w:tc>
          <w:tcPr>
            <w:tcW w:w="1646" w:type="dxa"/>
            <w:tcBorders>
              <w:top w:val="nil"/>
              <w:left w:val="nil"/>
              <w:bottom w:val="single" w:color="auto" w:sz="8" w:space="0"/>
              <w:right w:val="single" w:color="auto" w:sz="8" w:space="0"/>
            </w:tcBorders>
            <w:shd w:val="clear" w:color="auto" w:fill="auto"/>
            <w:tcMar>
              <w:left w:w="108" w:type="dxa"/>
              <w:right w:w="108" w:type="dxa"/>
            </w:tcMar>
            <w:vAlign w:val="center"/>
          </w:tcPr>
          <w:p w14:paraId="09A1A460">
            <w:pPr>
              <w:pStyle w:val="2"/>
              <w:keepNext w:val="0"/>
              <w:keepLines w:val="0"/>
              <w:widowControl/>
              <w:suppressLineNumbers w:val="0"/>
              <w:spacing w:before="0" w:beforeAutospacing="0" w:after="0" w:afterAutospacing="0" w:line="240" w:lineRule="atLeast"/>
              <w:ind w:left="0" w:right="0"/>
              <w:jc w:val="right"/>
              <w:rPr>
                <w:rFonts w:hint="default" w:ascii="Times New Roman" w:hAnsi="Times New Roman" w:cs="Times New Roman"/>
                <w:sz w:val="21"/>
                <w:szCs w:val="21"/>
              </w:rPr>
            </w:pPr>
            <w:r>
              <w:rPr>
                <w:rFonts w:hint="default" w:ascii="Times New Roman" w:hAnsi="Times New Roman" w:cs="Times New Roman"/>
                <w:sz w:val="18"/>
                <w:szCs w:val="18"/>
              </w:rPr>
              <w:t>63,356.71</w:t>
            </w:r>
          </w:p>
        </w:tc>
        <w:tc>
          <w:tcPr>
            <w:tcW w:w="1095" w:type="dxa"/>
            <w:tcBorders>
              <w:top w:val="nil"/>
              <w:left w:val="nil"/>
              <w:bottom w:val="single" w:color="auto" w:sz="8" w:space="0"/>
              <w:right w:val="single" w:color="auto" w:sz="8" w:space="0"/>
            </w:tcBorders>
            <w:shd w:val="clear" w:color="auto" w:fill="auto"/>
            <w:tcMar>
              <w:left w:w="108" w:type="dxa"/>
              <w:right w:w="108" w:type="dxa"/>
            </w:tcMar>
            <w:vAlign w:val="center"/>
          </w:tcPr>
          <w:p w14:paraId="3B65B652">
            <w:pPr>
              <w:pStyle w:val="2"/>
              <w:keepNext w:val="0"/>
              <w:keepLines w:val="0"/>
              <w:widowControl/>
              <w:suppressLineNumbers w:val="0"/>
              <w:spacing w:before="0" w:beforeAutospacing="0" w:after="0" w:afterAutospacing="0" w:line="240" w:lineRule="atLeast"/>
              <w:ind w:left="0" w:right="0"/>
              <w:rPr>
                <w:rFonts w:hint="default" w:ascii="Times New Roman" w:hAnsi="Times New Roman" w:cs="Times New Roman"/>
                <w:sz w:val="21"/>
                <w:szCs w:val="21"/>
              </w:rPr>
            </w:pPr>
            <w:r>
              <w:rPr>
                <w:rFonts w:hint="eastAsia" w:ascii="宋体" w:hAnsi="宋体" w:eastAsia="宋体" w:cs="宋体"/>
                <w:sz w:val="18"/>
                <w:szCs w:val="18"/>
              </w:rPr>
              <w:t> </w:t>
            </w:r>
          </w:p>
        </w:tc>
      </w:tr>
      <w:tr w14:paraId="0BCF451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0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595E1D70">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代表企业或由企业代表另一方进行债务结算</w:t>
            </w:r>
          </w:p>
        </w:tc>
        <w:tc>
          <w:tcPr>
            <w:tcW w:w="1943" w:type="dxa"/>
            <w:tcBorders>
              <w:top w:val="nil"/>
              <w:left w:val="nil"/>
              <w:bottom w:val="single" w:color="auto" w:sz="8" w:space="0"/>
              <w:right w:val="single" w:color="auto" w:sz="8" w:space="0"/>
            </w:tcBorders>
            <w:shd w:val="clear" w:color="auto" w:fill="auto"/>
            <w:tcMar>
              <w:left w:w="108" w:type="dxa"/>
              <w:right w:w="108" w:type="dxa"/>
            </w:tcMar>
            <w:vAlign w:val="center"/>
          </w:tcPr>
          <w:p w14:paraId="6DD9F246">
            <w:pPr>
              <w:pStyle w:val="2"/>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18"/>
                <w:szCs w:val="18"/>
              </w:rPr>
              <w:t>福州吉昂医学检验实验室有限公司</w:t>
            </w:r>
          </w:p>
        </w:tc>
        <w:tc>
          <w:tcPr>
            <w:tcW w:w="1739" w:type="dxa"/>
            <w:tcBorders>
              <w:top w:val="nil"/>
              <w:left w:val="nil"/>
              <w:bottom w:val="single" w:color="auto" w:sz="8" w:space="0"/>
              <w:right w:val="single" w:color="auto" w:sz="8" w:space="0"/>
            </w:tcBorders>
            <w:shd w:val="clear" w:color="auto" w:fill="auto"/>
            <w:tcMar>
              <w:left w:w="108" w:type="dxa"/>
              <w:right w:w="108" w:type="dxa"/>
            </w:tcMar>
            <w:vAlign w:val="center"/>
          </w:tcPr>
          <w:p w14:paraId="628D6F22">
            <w:pPr>
              <w:pStyle w:val="2"/>
              <w:keepNext w:val="0"/>
              <w:keepLines w:val="0"/>
              <w:widowControl/>
              <w:suppressLineNumbers w:val="0"/>
              <w:spacing w:before="0" w:beforeAutospacing="0" w:after="0" w:afterAutospacing="0" w:line="240" w:lineRule="atLeast"/>
              <w:ind w:left="0" w:right="0"/>
              <w:jc w:val="right"/>
              <w:rPr>
                <w:rFonts w:hint="default" w:ascii="Times New Roman" w:hAnsi="Times New Roman" w:cs="Times New Roman"/>
                <w:sz w:val="21"/>
                <w:szCs w:val="21"/>
              </w:rPr>
            </w:pPr>
            <w:r>
              <w:rPr>
                <w:rFonts w:hint="eastAsia" w:ascii="宋体" w:hAnsi="宋体" w:eastAsia="宋体" w:cs="宋体"/>
                <w:sz w:val="18"/>
                <w:szCs w:val="18"/>
              </w:rPr>
              <w:t>334,237.04</w:t>
            </w:r>
          </w:p>
        </w:tc>
        <w:tc>
          <w:tcPr>
            <w:tcW w:w="1646" w:type="dxa"/>
            <w:tcBorders>
              <w:top w:val="nil"/>
              <w:left w:val="nil"/>
              <w:bottom w:val="single" w:color="auto" w:sz="8" w:space="0"/>
              <w:right w:val="single" w:color="auto" w:sz="8" w:space="0"/>
            </w:tcBorders>
            <w:shd w:val="clear" w:color="auto" w:fill="auto"/>
            <w:tcMar>
              <w:left w:w="108" w:type="dxa"/>
              <w:right w:w="108" w:type="dxa"/>
            </w:tcMar>
            <w:vAlign w:val="center"/>
          </w:tcPr>
          <w:p w14:paraId="4494D025">
            <w:pPr>
              <w:pStyle w:val="2"/>
              <w:keepNext w:val="0"/>
              <w:keepLines w:val="0"/>
              <w:widowControl/>
              <w:suppressLineNumbers w:val="0"/>
              <w:spacing w:before="0" w:beforeAutospacing="0" w:after="0" w:afterAutospacing="0" w:line="240" w:lineRule="atLeast"/>
              <w:ind w:left="0" w:right="0"/>
              <w:jc w:val="right"/>
              <w:rPr>
                <w:rFonts w:hint="default" w:ascii="Times New Roman" w:hAnsi="Times New Roman" w:cs="Times New Roman"/>
                <w:sz w:val="21"/>
                <w:szCs w:val="21"/>
              </w:rPr>
            </w:pPr>
            <w:r>
              <w:rPr>
                <w:rFonts w:hint="default" w:ascii="Times New Roman" w:hAnsi="Times New Roman" w:cs="Times New Roman"/>
                <w:sz w:val="18"/>
                <w:szCs w:val="18"/>
              </w:rPr>
              <w:t>337,740.29</w:t>
            </w:r>
          </w:p>
        </w:tc>
        <w:tc>
          <w:tcPr>
            <w:tcW w:w="1095" w:type="dxa"/>
            <w:tcBorders>
              <w:top w:val="nil"/>
              <w:left w:val="nil"/>
              <w:bottom w:val="single" w:color="auto" w:sz="8" w:space="0"/>
              <w:right w:val="single" w:color="auto" w:sz="8" w:space="0"/>
            </w:tcBorders>
            <w:shd w:val="clear" w:color="auto" w:fill="auto"/>
            <w:tcMar>
              <w:left w:w="108" w:type="dxa"/>
              <w:right w:w="108" w:type="dxa"/>
            </w:tcMar>
            <w:vAlign w:val="center"/>
          </w:tcPr>
          <w:p w14:paraId="79762A25">
            <w:pPr>
              <w:pStyle w:val="2"/>
              <w:keepNext w:val="0"/>
              <w:keepLines w:val="0"/>
              <w:widowControl/>
              <w:suppressLineNumbers w:val="0"/>
              <w:spacing w:before="0" w:beforeAutospacing="0" w:after="0" w:afterAutospacing="0" w:line="240" w:lineRule="atLeast"/>
              <w:ind w:left="0" w:right="0"/>
              <w:rPr>
                <w:rFonts w:hint="default" w:ascii="Times New Roman" w:hAnsi="Times New Roman" w:cs="Times New Roman"/>
                <w:sz w:val="21"/>
                <w:szCs w:val="21"/>
              </w:rPr>
            </w:pPr>
            <w:r>
              <w:rPr>
                <w:rFonts w:hint="eastAsia" w:ascii="宋体" w:hAnsi="宋体" w:eastAsia="宋体" w:cs="宋体"/>
                <w:sz w:val="18"/>
                <w:szCs w:val="18"/>
              </w:rPr>
              <w:t> </w:t>
            </w:r>
          </w:p>
        </w:tc>
      </w:tr>
      <w:tr w14:paraId="713FF21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40" w:hRule="atLeast"/>
        </w:trPr>
        <w:tc>
          <w:tcPr>
            <w:tcW w:w="210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09D700A5">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eastAsia" w:ascii="宋体" w:hAnsi="宋体" w:eastAsia="宋体" w:cs="宋体"/>
                <w:sz w:val="18"/>
                <w:szCs w:val="18"/>
              </w:rPr>
              <w:t>合计</w:t>
            </w:r>
          </w:p>
        </w:tc>
        <w:tc>
          <w:tcPr>
            <w:tcW w:w="1943" w:type="dxa"/>
            <w:tcBorders>
              <w:top w:val="nil"/>
              <w:left w:val="nil"/>
              <w:bottom w:val="single" w:color="auto" w:sz="8" w:space="0"/>
              <w:right w:val="single" w:color="auto" w:sz="8" w:space="0"/>
            </w:tcBorders>
            <w:shd w:val="clear" w:color="auto" w:fill="auto"/>
            <w:tcMar>
              <w:left w:w="108" w:type="dxa"/>
              <w:right w:w="108" w:type="dxa"/>
            </w:tcMar>
            <w:vAlign w:val="center"/>
          </w:tcPr>
          <w:p w14:paraId="0F4CD7E1">
            <w:pPr>
              <w:pStyle w:val="2"/>
              <w:keepNext w:val="0"/>
              <w:keepLines w:val="0"/>
              <w:widowControl/>
              <w:suppressLineNumbers w:val="0"/>
              <w:spacing w:before="0" w:beforeAutospacing="0" w:after="0" w:afterAutospacing="0" w:line="240" w:lineRule="atLeast"/>
              <w:ind w:left="0" w:right="0"/>
              <w:rPr>
                <w:rFonts w:hint="default" w:ascii="Times New Roman" w:hAnsi="Times New Roman" w:cs="Times New Roman"/>
                <w:sz w:val="21"/>
                <w:szCs w:val="21"/>
              </w:rPr>
            </w:pPr>
            <w:r>
              <w:rPr>
                <w:rFonts w:hint="eastAsia" w:ascii="宋体" w:hAnsi="宋体" w:eastAsia="宋体" w:cs="宋体"/>
                <w:sz w:val="18"/>
                <w:szCs w:val="18"/>
              </w:rPr>
              <w:t> </w:t>
            </w:r>
          </w:p>
        </w:tc>
        <w:tc>
          <w:tcPr>
            <w:tcW w:w="1739" w:type="dxa"/>
            <w:tcBorders>
              <w:top w:val="nil"/>
              <w:left w:val="nil"/>
              <w:bottom w:val="single" w:color="auto" w:sz="8" w:space="0"/>
              <w:right w:val="single" w:color="auto" w:sz="8" w:space="0"/>
            </w:tcBorders>
            <w:shd w:val="clear" w:color="auto" w:fill="auto"/>
            <w:tcMar>
              <w:left w:w="108" w:type="dxa"/>
              <w:right w:w="108" w:type="dxa"/>
            </w:tcMar>
            <w:vAlign w:val="center"/>
          </w:tcPr>
          <w:p w14:paraId="22A78E8E">
            <w:pPr>
              <w:pStyle w:val="2"/>
              <w:keepNext w:val="0"/>
              <w:keepLines w:val="0"/>
              <w:widowControl/>
              <w:suppressLineNumbers w:val="0"/>
              <w:spacing w:before="0" w:beforeAutospacing="0" w:after="0" w:afterAutospacing="0" w:line="240" w:lineRule="atLeast"/>
              <w:ind w:left="0" w:right="0"/>
              <w:jc w:val="right"/>
              <w:rPr>
                <w:rFonts w:hint="default" w:ascii="Times New Roman" w:hAnsi="Times New Roman" w:cs="Times New Roman"/>
                <w:sz w:val="21"/>
                <w:szCs w:val="21"/>
              </w:rPr>
            </w:pPr>
            <w:r>
              <w:rPr>
                <w:rFonts w:hint="eastAsia" w:ascii="宋体" w:hAnsi="宋体" w:eastAsia="宋体" w:cs="宋体"/>
                <w:sz w:val="18"/>
                <w:szCs w:val="18"/>
              </w:rPr>
              <w:t>395,363.86</w:t>
            </w:r>
          </w:p>
        </w:tc>
        <w:tc>
          <w:tcPr>
            <w:tcW w:w="1646" w:type="dxa"/>
            <w:tcBorders>
              <w:top w:val="nil"/>
              <w:left w:val="nil"/>
              <w:bottom w:val="single" w:color="auto" w:sz="8" w:space="0"/>
              <w:right w:val="single" w:color="auto" w:sz="8" w:space="0"/>
            </w:tcBorders>
            <w:shd w:val="clear" w:color="auto" w:fill="auto"/>
            <w:tcMar>
              <w:left w:w="108" w:type="dxa"/>
              <w:right w:w="108" w:type="dxa"/>
            </w:tcMar>
            <w:vAlign w:val="center"/>
          </w:tcPr>
          <w:p w14:paraId="5E76F619">
            <w:pPr>
              <w:pStyle w:val="2"/>
              <w:keepNext w:val="0"/>
              <w:keepLines w:val="0"/>
              <w:widowControl/>
              <w:suppressLineNumbers w:val="0"/>
              <w:spacing w:before="0" w:beforeAutospacing="0" w:after="0" w:afterAutospacing="0" w:line="240" w:lineRule="atLeast"/>
              <w:ind w:left="0" w:right="0"/>
              <w:jc w:val="right"/>
              <w:rPr>
                <w:rFonts w:hint="default" w:ascii="Times New Roman" w:hAnsi="Times New Roman" w:cs="Times New Roman"/>
                <w:sz w:val="21"/>
                <w:szCs w:val="21"/>
              </w:rPr>
            </w:pPr>
            <w:r>
              <w:rPr>
                <w:rFonts w:hint="default" w:ascii="Times New Roman" w:hAnsi="Times New Roman" w:cs="Times New Roman"/>
                <w:sz w:val="18"/>
                <w:szCs w:val="18"/>
              </w:rPr>
              <w:t>401,097.00</w:t>
            </w:r>
          </w:p>
        </w:tc>
        <w:tc>
          <w:tcPr>
            <w:tcW w:w="1095" w:type="dxa"/>
            <w:tcBorders>
              <w:top w:val="nil"/>
              <w:left w:val="nil"/>
              <w:bottom w:val="single" w:color="auto" w:sz="8" w:space="0"/>
              <w:right w:val="single" w:color="auto" w:sz="8" w:space="0"/>
            </w:tcBorders>
            <w:shd w:val="clear" w:color="auto" w:fill="auto"/>
            <w:tcMar>
              <w:left w:w="108" w:type="dxa"/>
              <w:right w:w="108" w:type="dxa"/>
            </w:tcMar>
            <w:vAlign w:val="center"/>
          </w:tcPr>
          <w:p w14:paraId="18F73ED1">
            <w:pPr>
              <w:pStyle w:val="2"/>
              <w:keepNext w:val="0"/>
              <w:keepLines w:val="0"/>
              <w:widowControl/>
              <w:suppressLineNumbers w:val="0"/>
              <w:spacing w:before="0" w:beforeAutospacing="0" w:after="0" w:afterAutospacing="0" w:line="240" w:lineRule="atLeast"/>
              <w:ind w:left="0" w:right="0"/>
              <w:rPr>
                <w:rFonts w:hint="default" w:ascii="Times New Roman" w:hAnsi="Times New Roman" w:cs="Times New Roman"/>
                <w:sz w:val="21"/>
                <w:szCs w:val="21"/>
              </w:rPr>
            </w:pPr>
            <w:r>
              <w:rPr>
                <w:rFonts w:hint="eastAsia" w:ascii="宋体" w:hAnsi="宋体" w:eastAsia="宋体" w:cs="宋体"/>
                <w:sz w:val="18"/>
                <w:szCs w:val="18"/>
              </w:rPr>
              <w:t> </w:t>
            </w:r>
          </w:p>
        </w:tc>
      </w:tr>
    </w:tbl>
    <w:p w14:paraId="667EA1DA">
      <w:pPr>
        <w:keepNext/>
        <w:keepLines/>
        <w:spacing w:before="300" w:after="300" w:line="280" w:lineRule="exact"/>
        <w:jc w:val="left"/>
        <w:outlineLvl w:val="2"/>
        <w:rPr>
          <w:rFonts w:ascii="宋体" w:hAnsi="宋体" w:eastAsia="宋体" w:cs="宋体"/>
          <w:b/>
          <w:bCs/>
          <w:sz w:val="21"/>
          <w:szCs w:val="21"/>
        </w:rPr>
      </w:pPr>
      <w:bookmarkStart w:id="538" w:name="_Toc989421"/>
      <w:r>
        <w:rPr>
          <w:rFonts w:ascii="宋体" w:hAnsi="宋体" w:eastAsia="宋体" w:cs="宋体"/>
          <w:b/>
          <w:bCs/>
          <w:sz w:val="21"/>
          <w:szCs w:val="21"/>
        </w:rPr>
        <w:t>6、关联方应收应付款项</w:t>
      </w:r>
      <w:bookmarkEnd w:id="538"/>
    </w:p>
    <w:p w14:paraId="4EC07FB3">
      <w:pPr>
        <w:keepNext/>
        <w:keepLines/>
        <w:spacing w:before="300" w:after="300" w:line="280" w:lineRule="exact"/>
        <w:jc w:val="left"/>
        <w:outlineLvl w:val="3"/>
        <w:rPr>
          <w:rFonts w:ascii="宋体" w:hAnsi="宋体" w:eastAsia="宋体" w:cs="宋体"/>
          <w:b/>
          <w:bCs/>
          <w:sz w:val="21"/>
          <w:szCs w:val="21"/>
        </w:rPr>
      </w:pPr>
      <w:bookmarkStart w:id="539" w:name="_Toc989422"/>
      <w:r>
        <w:rPr>
          <w:rFonts w:ascii="宋体" w:hAnsi="宋体" w:eastAsia="宋体" w:cs="宋体"/>
          <w:b/>
          <w:bCs/>
          <w:sz w:val="21"/>
          <w:szCs w:val="21"/>
        </w:rPr>
        <w:t>（1） 应收项目</w:t>
      </w:r>
      <w:bookmarkEnd w:id="539"/>
    </w:p>
    <w:p w14:paraId="29541B4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74A595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8B796BE">
            <w:pPr>
              <w:spacing w:before="40" w:after="40" w:line="240" w:lineRule="exact"/>
              <w:jc w:val="center"/>
              <w:rPr>
                <w:rFonts w:ascii="宋体" w:hAnsi="宋体" w:eastAsia="宋体" w:cs="宋体"/>
                <w:sz w:val="18"/>
                <w:szCs w:val="18"/>
              </w:rPr>
            </w:pPr>
            <w:r>
              <w:rPr>
                <w:rFonts w:ascii="宋体" w:hAnsi="宋体" w:eastAsia="宋体" w:cs="宋体"/>
                <w:sz w:val="18"/>
                <w:szCs w:val="18"/>
              </w:rPr>
              <w:t>项目名称</w:t>
            </w:r>
          </w:p>
        </w:tc>
        <w:tc>
          <w:tcPr>
            <w:tcW w:w="160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418F45C">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321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98E0755">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35A11773">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50BCFE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E91778E"/>
        </w:tc>
        <w:tc>
          <w:tcPr>
            <w:tcW w:w="160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FF69770"/>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3E320AB">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14686EF">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49DD0E3">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6125351">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r>
      <w:tr w14:paraId="12F990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2CF74649">
            <w:pPr>
              <w:spacing w:before="0" w:after="0" w:line="240" w:lineRule="exact"/>
              <w:jc w:val="left"/>
              <w:rPr>
                <w:rFonts w:ascii="宋体" w:hAnsi="宋体" w:eastAsia="宋体" w:cs="宋体"/>
                <w:sz w:val="18"/>
                <w:szCs w:val="18"/>
              </w:rPr>
            </w:pPr>
            <w:r>
              <w:rPr>
                <w:rFonts w:ascii="宋体" w:hAnsi="宋体" w:eastAsia="宋体" w:cs="宋体"/>
                <w:sz w:val="18"/>
                <w:szCs w:val="18"/>
              </w:rPr>
              <w:t>应收账款</w:t>
            </w:r>
          </w:p>
        </w:tc>
        <w:tc>
          <w:tcPr>
            <w:tcW w:w="1606" w:type="dxa"/>
            <w:tcBorders>
              <w:top w:val="single" w:color="auto" w:sz="2" w:space="0"/>
              <w:left w:val="single" w:color="auto" w:sz="2" w:space="0"/>
              <w:bottom w:val="single" w:color="auto" w:sz="2" w:space="0"/>
              <w:right w:val="single" w:color="auto" w:sz="2" w:space="0"/>
            </w:tcBorders>
            <w:vAlign w:val="center"/>
          </w:tcPr>
          <w:p w14:paraId="7877DEDD">
            <w:pPr>
              <w:spacing w:before="0" w:after="0" w:line="240" w:lineRule="exact"/>
              <w:jc w:val="left"/>
              <w:rPr>
                <w:rFonts w:ascii="宋体" w:hAnsi="宋体" w:eastAsia="宋体" w:cs="宋体"/>
                <w:sz w:val="18"/>
                <w:szCs w:val="18"/>
              </w:rPr>
            </w:pPr>
            <w:r>
              <w:rPr>
                <w:rFonts w:ascii="宋体" w:hAnsi="宋体" w:eastAsia="宋体" w:cs="宋体"/>
                <w:sz w:val="18"/>
                <w:szCs w:val="18"/>
              </w:rPr>
              <w:t>阿吉安（福州）基因医学检验实验室有限公司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0E32918C">
            <w:pPr>
              <w:spacing w:before="0" w:after="0" w:line="240" w:lineRule="exact"/>
              <w:jc w:val="right"/>
              <w:rPr>
                <w:rFonts w:ascii="宋体" w:hAnsi="宋体" w:eastAsia="宋体" w:cs="宋体"/>
                <w:sz w:val="18"/>
                <w:szCs w:val="18"/>
              </w:rPr>
            </w:pPr>
            <w:r>
              <w:rPr>
                <w:rFonts w:ascii="宋体" w:hAnsi="宋体" w:eastAsia="宋体" w:cs="宋体"/>
                <w:sz w:val="18"/>
                <w:szCs w:val="18"/>
              </w:rPr>
              <w:t>140,268.45</w:t>
            </w:r>
          </w:p>
        </w:tc>
        <w:tc>
          <w:tcPr>
            <w:tcW w:w="1606" w:type="dxa"/>
            <w:tcBorders>
              <w:top w:val="single" w:color="auto" w:sz="2" w:space="0"/>
              <w:left w:val="single" w:color="auto" w:sz="2" w:space="0"/>
              <w:bottom w:val="single" w:color="auto" w:sz="2" w:space="0"/>
              <w:right w:val="single" w:color="auto" w:sz="2" w:space="0"/>
            </w:tcBorders>
            <w:vAlign w:val="center"/>
          </w:tcPr>
          <w:p w14:paraId="171CC200">
            <w:pPr>
              <w:spacing w:before="0" w:after="0" w:line="240" w:lineRule="exact"/>
              <w:jc w:val="right"/>
              <w:rPr>
                <w:rFonts w:ascii="宋体" w:hAnsi="宋体" w:eastAsia="宋体" w:cs="宋体"/>
                <w:sz w:val="18"/>
                <w:szCs w:val="18"/>
              </w:rPr>
            </w:pPr>
            <w:r>
              <w:rPr>
                <w:rFonts w:ascii="宋体" w:hAnsi="宋体" w:eastAsia="宋体" w:cs="宋体"/>
                <w:sz w:val="18"/>
                <w:szCs w:val="18"/>
              </w:rPr>
              <w:t>7,013.42</w:t>
            </w:r>
          </w:p>
        </w:tc>
        <w:tc>
          <w:tcPr>
            <w:tcW w:w="1606" w:type="dxa"/>
            <w:tcBorders>
              <w:top w:val="single" w:color="auto" w:sz="2" w:space="0"/>
              <w:left w:val="single" w:color="auto" w:sz="2" w:space="0"/>
              <w:bottom w:val="single" w:color="auto" w:sz="2" w:space="0"/>
              <w:right w:val="single" w:color="auto" w:sz="2" w:space="0"/>
            </w:tcBorders>
            <w:vAlign w:val="center"/>
          </w:tcPr>
          <w:p w14:paraId="3E61CAD3">
            <w:pPr>
              <w:spacing w:before="0" w:after="0" w:line="240" w:lineRule="exact"/>
              <w:jc w:val="right"/>
              <w:rPr>
                <w:rFonts w:ascii="宋体" w:hAnsi="宋体" w:eastAsia="宋体" w:cs="宋体"/>
                <w:sz w:val="18"/>
                <w:szCs w:val="18"/>
              </w:rPr>
            </w:pPr>
            <w:r>
              <w:rPr>
                <w:rFonts w:ascii="宋体" w:hAnsi="宋体" w:eastAsia="宋体" w:cs="宋体"/>
                <w:sz w:val="18"/>
                <w:szCs w:val="18"/>
              </w:rPr>
              <w:t>217,158.41</w:t>
            </w:r>
          </w:p>
        </w:tc>
        <w:tc>
          <w:tcPr>
            <w:tcW w:w="1606" w:type="dxa"/>
            <w:tcBorders>
              <w:top w:val="single" w:color="auto" w:sz="2" w:space="0"/>
              <w:left w:val="single" w:color="auto" w:sz="2" w:space="0"/>
              <w:bottom w:val="single" w:color="auto" w:sz="2" w:space="0"/>
              <w:right w:val="single" w:color="auto" w:sz="2" w:space="0"/>
            </w:tcBorders>
            <w:vAlign w:val="center"/>
          </w:tcPr>
          <w:p w14:paraId="06C76CE1">
            <w:pPr>
              <w:spacing w:before="0" w:after="0" w:line="240" w:lineRule="exact"/>
              <w:jc w:val="right"/>
              <w:rPr>
                <w:rFonts w:ascii="宋体" w:hAnsi="宋体" w:eastAsia="宋体" w:cs="宋体"/>
                <w:sz w:val="18"/>
                <w:szCs w:val="18"/>
              </w:rPr>
            </w:pPr>
            <w:r>
              <w:rPr>
                <w:rFonts w:ascii="宋体" w:hAnsi="宋体" w:eastAsia="宋体" w:cs="宋体"/>
                <w:sz w:val="18"/>
                <w:szCs w:val="18"/>
              </w:rPr>
              <w:t>10,857.92</w:t>
            </w:r>
          </w:p>
        </w:tc>
      </w:tr>
      <w:tr w14:paraId="50D92E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51AEFA66">
            <w:pPr>
              <w:spacing w:before="0" w:after="0" w:line="240" w:lineRule="exact"/>
              <w:jc w:val="left"/>
              <w:rPr>
                <w:rFonts w:ascii="宋体" w:hAnsi="宋体" w:eastAsia="宋体" w:cs="宋体"/>
                <w:sz w:val="18"/>
                <w:szCs w:val="18"/>
              </w:rPr>
            </w:pPr>
            <w:r>
              <w:rPr>
                <w:rFonts w:ascii="宋体" w:hAnsi="宋体" w:eastAsia="宋体" w:cs="宋体"/>
                <w:sz w:val="18"/>
                <w:szCs w:val="18"/>
              </w:rPr>
              <w:t>应收账款</w:t>
            </w:r>
          </w:p>
        </w:tc>
        <w:tc>
          <w:tcPr>
            <w:tcW w:w="1606" w:type="dxa"/>
            <w:tcBorders>
              <w:top w:val="single" w:color="auto" w:sz="2" w:space="0"/>
              <w:left w:val="single" w:color="auto" w:sz="2" w:space="0"/>
              <w:bottom w:val="single" w:color="auto" w:sz="2" w:space="0"/>
              <w:right w:val="single" w:color="auto" w:sz="2" w:space="0"/>
            </w:tcBorders>
            <w:vAlign w:val="center"/>
          </w:tcPr>
          <w:p w14:paraId="6AB28394">
            <w:pPr>
              <w:spacing w:before="0" w:after="0" w:line="240" w:lineRule="exact"/>
              <w:jc w:val="left"/>
              <w:rPr>
                <w:rFonts w:ascii="宋体" w:hAnsi="宋体" w:eastAsia="宋体" w:cs="宋体"/>
                <w:sz w:val="18"/>
                <w:szCs w:val="18"/>
              </w:rPr>
            </w:pPr>
            <w:r>
              <w:rPr>
                <w:rFonts w:ascii="宋体" w:hAnsi="宋体" w:eastAsia="宋体" w:cs="宋体"/>
                <w:sz w:val="18"/>
                <w:szCs w:val="18"/>
              </w:rPr>
              <w:t>福州吉昂医学检验实验室有限公司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7E6A0CCF">
            <w:pPr>
              <w:spacing w:before="0" w:after="0" w:line="240" w:lineRule="exact"/>
              <w:jc w:val="right"/>
              <w:rPr>
                <w:rFonts w:ascii="宋体" w:hAnsi="宋体" w:eastAsia="宋体" w:cs="宋体"/>
                <w:sz w:val="18"/>
                <w:szCs w:val="18"/>
              </w:rPr>
            </w:pPr>
            <w:r>
              <w:rPr>
                <w:rFonts w:ascii="宋体" w:hAnsi="宋体" w:eastAsia="宋体" w:cs="宋体"/>
                <w:sz w:val="18"/>
                <w:szCs w:val="18"/>
              </w:rPr>
              <w:t>116,833.12</w:t>
            </w:r>
          </w:p>
        </w:tc>
        <w:tc>
          <w:tcPr>
            <w:tcW w:w="1606" w:type="dxa"/>
            <w:tcBorders>
              <w:top w:val="single" w:color="auto" w:sz="2" w:space="0"/>
              <w:left w:val="single" w:color="auto" w:sz="2" w:space="0"/>
              <w:bottom w:val="single" w:color="auto" w:sz="2" w:space="0"/>
              <w:right w:val="single" w:color="auto" w:sz="2" w:space="0"/>
            </w:tcBorders>
            <w:vAlign w:val="center"/>
          </w:tcPr>
          <w:p w14:paraId="24D3A24D">
            <w:pPr>
              <w:spacing w:before="0" w:after="0" w:line="240" w:lineRule="exact"/>
              <w:jc w:val="right"/>
              <w:rPr>
                <w:rFonts w:ascii="宋体" w:hAnsi="宋体" w:eastAsia="宋体" w:cs="宋体"/>
                <w:sz w:val="18"/>
                <w:szCs w:val="18"/>
              </w:rPr>
            </w:pPr>
            <w:r>
              <w:rPr>
                <w:rFonts w:ascii="宋体" w:hAnsi="宋体" w:eastAsia="宋体" w:cs="宋体"/>
                <w:sz w:val="18"/>
                <w:szCs w:val="18"/>
              </w:rPr>
              <w:t>5,841.66</w:t>
            </w:r>
          </w:p>
        </w:tc>
        <w:tc>
          <w:tcPr>
            <w:tcW w:w="1606" w:type="dxa"/>
            <w:tcBorders>
              <w:top w:val="single" w:color="auto" w:sz="2" w:space="0"/>
              <w:left w:val="single" w:color="auto" w:sz="2" w:space="0"/>
              <w:bottom w:val="single" w:color="auto" w:sz="2" w:space="0"/>
              <w:right w:val="single" w:color="auto" w:sz="2" w:space="0"/>
            </w:tcBorders>
            <w:vAlign w:val="center"/>
          </w:tcPr>
          <w:p w14:paraId="4616F1C1">
            <w:pPr>
              <w:spacing w:before="0" w:after="0" w:line="240" w:lineRule="exact"/>
              <w:jc w:val="right"/>
              <w:rPr>
                <w:rFonts w:ascii="宋体" w:hAnsi="宋体" w:eastAsia="宋体" w:cs="宋体"/>
                <w:sz w:val="18"/>
                <w:szCs w:val="18"/>
              </w:rPr>
            </w:pPr>
            <w:r>
              <w:rPr>
                <w:rFonts w:ascii="宋体" w:hAnsi="宋体" w:eastAsia="宋体" w:cs="宋体"/>
                <w:sz w:val="18"/>
                <w:szCs w:val="18"/>
              </w:rPr>
              <w:t>168,916.24</w:t>
            </w:r>
          </w:p>
        </w:tc>
        <w:tc>
          <w:tcPr>
            <w:tcW w:w="1606" w:type="dxa"/>
            <w:tcBorders>
              <w:top w:val="single" w:color="auto" w:sz="2" w:space="0"/>
              <w:left w:val="single" w:color="auto" w:sz="2" w:space="0"/>
              <w:bottom w:val="single" w:color="auto" w:sz="2" w:space="0"/>
              <w:right w:val="single" w:color="auto" w:sz="2" w:space="0"/>
            </w:tcBorders>
            <w:vAlign w:val="center"/>
          </w:tcPr>
          <w:p w14:paraId="0F29EDBF">
            <w:pPr>
              <w:spacing w:before="0" w:after="0" w:line="240" w:lineRule="exact"/>
              <w:jc w:val="right"/>
              <w:rPr>
                <w:rFonts w:ascii="宋体" w:hAnsi="宋体" w:eastAsia="宋体" w:cs="宋体"/>
                <w:sz w:val="18"/>
                <w:szCs w:val="18"/>
              </w:rPr>
            </w:pPr>
            <w:r>
              <w:rPr>
                <w:rFonts w:ascii="宋体" w:hAnsi="宋体" w:eastAsia="宋体" w:cs="宋体"/>
                <w:sz w:val="18"/>
                <w:szCs w:val="18"/>
              </w:rPr>
              <w:t>8,445.81</w:t>
            </w:r>
          </w:p>
        </w:tc>
      </w:tr>
      <w:tr w14:paraId="6B6FE3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560694B3">
            <w:pPr>
              <w:spacing w:before="0" w:after="0" w:line="240" w:lineRule="exact"/>
              <w:jc w:val="left"/>
              <w:rPr>
                <w:rFonts w:ascii="宋体" w:hAnsi="宋体" w:eastAsia="宋体" w:cs="宋体"/>
                <w:sz w:val="18"/>
                <w:szCs w:val="18"/>
              </w:rPr>
            </w:pPr>
            <w:r>
              <w:rPr>
                <w:rFonts w:ascii="宋体" w:hAnsi="宋体" w:eastAsia="宋体" w:cs="宋体"/>
                <w:sz w:val="18"/>
                <w:szCs w:val="18"/>
              </w:rPr>
              <w:t>应收账款</w:t>
            </w:r>
          </w:p>
        </w:tc>
        <w:tc>
          <w:tcPr>
            <w:tcW w:w="1606" w:type="dxa"/>
            <w:tcBorders>
              <w:top w:val="single" w:color="auto" w:sz="2" w:space="0"/>
              <w:left w:val="single" w:color="auto" w:sz="2" w:space="0"/>
              <w:bottom w:val="single" w:color="auto" w:sz="2" w:space="0"/>
              <w:right w:val="single" w:color="auto" w:sz="2" w:space="0"/>
            </w:tcBorders>
            <w:vAlign w:val="center"/>
          </w:tcPr>
          <w:p w14:paraId="36B04A03">
            <w:pPr>
              <w:spacing w:before="0" w:after="0" w:line="240" w:lineRule="exact"/>
              <w:jc w:val="left"/>
              <w:rPr>
                <w:rFonts w:ascii="宋体" w:hAnsi="宋体" w:eastAsia="宋体" w:cs="宋体"/>
                <w:sz w:val="18"/>
                <w:szCs w:val="18"/>
              </w:rPr>
            </w:pPr>
            <w:r>
              <w:rPr>
                <w:rFonts w:ascii="宋体" w:hAnsi="宋体" w:eastAsia="宋体" w:cs="宋体"/>
                <w:sz w:val="18"/>
                <w:szCs w:val="18"/>
              </w:rPr>
              <w:t>福建瑞泰来医药科技有限公司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3B1B1798">
            <w:pPr>
              <w:spacing w:before="0" w:after="0" w:line="240" w:lineRule="exact"/>
              <w:jc w:val="right"/>
              <w:rPr>
                <w:rFonts w:ascii="宋体" w:hAnsi="宋体" w:eastAsia="宋体" w:cs="宋体"/>
                <w:sz w:val="18"/>
                <w:szCs w:val="18"/>
              </w:rPr>
            </w:pPr>
            <w:r>
              <w:rPr>
                <w:rFonts w:ascii="宋体" w:hAnsi="宋体" w:eastAsia="宋体" w:cs="宋体"/>
                <w:sz w:val="18"/>
                <w:szCs w:val="18"/>
              </w:rPr>
              <w:t>1,250,800.00</w:t>
            </w:r>
          </w:p>
        </w:tc>
        <w:tc>
          <w:tcPr>
            <w:tcW w:w="1606" w:type="dxa"/>
            <w:tcBorders>
              <w:top w:val="single" w:color="auto" w:sz="2" w:space="0"/>
              <w:left w:val="single" w:color="auto" w:sz="2" w:space="0"/>
              <w:bottom w:val="single" w:color="auto" w:sz="2" w:space="0"/>
              <w:right w:val="single" w:color="auto" w:sz="2" w:space="0"/>
            </w:tcBorders>
            <w:vAlign w:val="center"/>
          </w:tcPr>
          <w:p w14:paraId="758461B3">
            <w:pPr>
              <w:spacing w:before="0" w:after="0" w:line="240" w:lineRule="exact"/>
              <w:jc w:val="right"/>
              <w:rPr>
                <w:rFonts w:ascii="宋体" w:hAnsi="宋体" w:eastAsia="宋体" w:cs="宋体"/>
                <w:sz w:val="18"/>
                <w:szCs w:val="18"/>
              </w:rPr>
            </w:pPr>
            <w:r>
              <w:rPr>
                <w:rFonts w:ascii="宋体" w:hAnsi="宋体" w:eastAsia="宋体" w:cs="宋体"/>
                <w:sz w:val="18"/>
                <w:szCs w:val="18"/>
              </w:rPr>
              <w:t>62,540.00</w:t>
            </w:r>
          </w:p>
        </w:tc>
        <w:tc>
          <w:tcPr>
            <w:tcW w:w="1606" w:type="dxa"/>
            <w:tcBorders>
              <w:top w:val="single" w:color="auto" w:sz="2" w:space="0"/>
              <w:left w:val="single" w:color="auto" w:sz="2" w:space="0"/>
              <w:bottom w:val="single" w:color="auto" w:sz="2" w:space="0"/>
              <w:right w:val="single" w:color="auto" w:sz="2" w:space="0"/>
            </w:tcBorders>
            <w:vAlign w:val="center"/>
          </w:tcPr>
          <w:p w14:paraId="3E4BC560">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69B06C3">
            <w:pPr>
              <w:spacing w:before="0" w:after="0" w:line="240" w:lineRule="exact"/>
              <w:jc w:val="right"/>
              <w:rPr>
                <w:rFonts w:ascii="宋体" w:hAnsi="宋体" w:eastAsia="宋体" w:cs="宋体"/>
                <w:sz w:val="18"/>
                <w:szCs w:val="18"/>
              </w:rPr>
            </w:pPr>
          </w:p>
        </w:tc>
      </w:tr>
      <w:tr w14:paraId="765183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7E220D0">
            <w:pPr>
              <w:spacing w:before="0" w:after="0" w:line="240" w:lineRule="exact"/>
              <w:jc w:val="left"/>
              <w:rPr>
                <w:rFonts w:ascii="宋体" w:hAnsi="宋体" w:eastAsia="宋体" w:cs="宋体"/>
                <w:sz w:val="18"/>
                <w:szCs w:val="18"/>
              </w:rPr>
            </w:pPr>
            <w:r>
              <w:rPr>
                <w:rFonts w:ascii="宋体" w:hAnsi="宋体" w:eastAsia="宋体" w:cs="宋体"/>
                <w:sz w:val="18"/>
                <w:szCs w:val="18"/>
              </w:rPr>
              <w:t>预付款项</w:t>
            </w:r>
          </w:p>
        </w:tc>
        <w:tc>
          <w:tcPr>
            <w:tcW w:w="1606" w:type="dxa"/>
            <w:tcBorders>
              <w:top w:val="single" w:color="auto" w:sz="2" w:space="0"/>
              <w:left w:val="single" w:color="auto" w:sz="2" w:space="0"/>
              <w:bottom w:val="single" w:color="auto" w:sz="2" w:space="0"/>
              <w:right w:val="single" w:color="auto" w:sz="2" w:space="0"/>
            </w:tcBorders>
            <w:vAlign w:val="center"/>
          </w:tcPr>
          <w:p w14:paraId="19E59A7E">
            <w:pPr>
              <w:spacing w:before="0" w:after="0" w:line="240" w:lineRule="exact"/>
              <w:jc w:val="left"/>
              <w:rPr>
                <w:rFonts w:ascii="宋体" w:hAnsi="宋体" w:eastAsia="宋体" w:cs="宋体"/>
                <w:sz w:val="18"/>
                <w:szCs w:val="18"/>
              </w:rPr>
            </w:pPr>
            <w:r>
              <w:rPr>
                <w:rFonts w:ascii="宋体" w:hAnsi="宋体" w:eastAsia="宋体" w:cs="宋体"/>
                <w:sz w:val="18"/>
                <w:szCs w:val="18"/>
              </w:rPr>
              <w:t>福州与见品牌设计有限公司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3970ED7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0CB62A4">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DA1DC39">
            <w:pPr>
              <w:spacing w:before="0" w:after="0" w:line="240" w:lineRule="exact"/>
              <w:jc w:val="right"/>
              <w:rPr>
                <w:rFonts w:ascii="宋体" w:hAnsi="宋体" w:eastAsia="宋体" w:cs="宋体"/>
                <w:sz w:val="18"/>
                <w:szCs w:val="18"/>
              </w:rPr>
            </w:pPr>
            <w:r>
              <w:rPr>
                <w:rFonts w:ascii="宋体" w:hAnsi="宋体" w:eastAsia="宋体" w:cs="宋体"/>
                <w:sz w:val="18"/>
                <w:szCs w:val="18"/>
              </w:rPr>
              <w:t>1,522.64</w:t>
            </w:r>
          </w:p>
        </w:tc>
        <w:tc>
          <w:tcPr>
            <w:tcW w:w="1606" w:type="dxa"/>
            <w:tcBorders>
              <w:top w:val="single" w:color="auto" w:sz="2" w:space="0"/>
              <w:left w:val="single" w:color="auto" w:sz="2" w:space="0"/>
              <w:bottom w:val="single" w:color="auto" w:sz="2" w:space="0"/>
              <w:right w:val="single" w:color="auto" w:sz="2" w:space="0"/>
            </w:tcBorders>
            <w:vAlign w:val="center"/>
          </w:tcPr>
          <w:p w14:paraId="24E73DDF">
            <w:pPr>
              <w:spacing w:before="0" w:after="0" w:line="240" w:lineRule="exact"/>
              <w:jc w:val="right"/>
              <w:rPr>
                <w:rFonts w:ascii="宋体" w:hAnsi="宋体" w:eastAsia="宋体" w:cs="宋体"/>
                <w:sz w:val="18"/>
                <w:szCs w:val="18"/>
              </w:rPr>
            </w:pPr>
          </w:p>
        </w:tc>
      </w:tr>
      <w:tr w14:paraId="5BF09F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5786B34A">
            <w:pPr>
              <w:spacing w:before="0" w:after="0" w:line="240" w:lineRule="exact"/>
              <w:jc w:val="left"/>
              <w:rPr>
                <w:rFonts w:ascii="宋体" w:hAnsi="宋体" w:eastAsia="宋体" w:cs="宋体"/>
                <w:sz w:val="18"/>
                <w:szCs w:val="18"/>
              </w:rPr>
            </w:pPr>
            <w:r>
              <w:rPr>
                <w:rFonts w:ascii="宋体" w:hAnsi="宋体" w:eastAsia="宋体" w:cs="宋体"/>
                <w:sz w:val="18"/>
                <w:szCs w:val="18"/>
              </w:rPr>
              <w:t>其他非流动资产</w:t>
            </w:r>
          </w:p>
        </w:tc>
        <w:tc>
          <w:tcPr>
            <w:tcW w:w="1606" w:type="dxa"/>
            <w:tcBorders>
              <w:top w:val="single" w:color="auto" w:sz="2" w:space="0"/>
              <w:left w:val="single" w:color="auto" w:sz="2" w:space="0"/>
              <w:bottom w:val="single" w:color="auto" w:sz="2" w:space="0"/>
              <w:right w:val="single" w:color="auto" w:sz="2" w:space="0"/>
            </w:tcBorders>
            <w:vAlign w:val="center"/>
          </w:tcPr>
          <w:p w14:paraId="2D9034BF">
            <w:pPr>
              <w:spacing w:before="0" w:after="0" w:line="240" w:lineRule="exact"/>
              <w:jc w:val="left"/>
              <w:rPr>
                <w:rFonts w:ascii="宋体" w:hAnsi="宋体" w:eastAsia="宋体" w:cs="宋体"/>
                <w:sz w:val="18"/>
                <w:szCs w:val="18"/>
              </w:rPr>
            </w:pPr>
            <w:r>
              <w:rPr>
                <w:rFonts w:ascii="宋体" w:hAnsi="宋体" w:eastAsia="宋体" w:cs="宋体"/>
                <w:sz w:val="18"/>
                <w:szCs w:val="18"/>
              </w:rPr>
              <w:t>福建瑞泰来医药科技有</w:t>
            </w:r>
          </w:p>
          <w:p w14:paraId="4418C9BE">
            <w:pPr>
              <w:spacing w:before="0" w:after="0" w:line="240" w:lineRule="exact"/>
              <w:jc w:val="left"/>
              <w:rPr>
                <w:rFonts w:ascii="宋体" w:hAnsi="宋体" w:eastAsia="宋体" w:cs="宋体"/>
                <w:sz w:val="18"/>
                <w:szCs w:val="18"/>
              </w:rPr>
            </w:pPr>
            <w:r>
              <w:rPr>
                <w:rFonts w:ascii="宋体" w:hAnsi="宋体" w:eastAsia="宋体" w:cs="宋体"/>
                <w:sz w:val="18"/>
                <w:szCs w:val="18"/>
              </w:rPr>
              <w:t>限公司（注）</w:t>
            </w:r>
          </w:p>
        </w:tc>
        <w:tc>
          <w:tcPr>
            <w:tcW w:w="1606" w:type="dxa"/>
            <w:tcBorders>
              <w:top w:val="single" w:color="auto" w:sz="2" w:space="0"/>
              <w:left w:val="single" w:color="auto" w:sz="2" w:space="0"/>
              <w:bottom w:val="single" w:color="auto" w:sz="2" w:space="0"/>
              <w:right w:val="single" w:color="auto" w:sz="2" w:space="0"/>
            </w:tcBorders>
            <w:vAlign w:val="center"/>
          </w:tcPr>
          <w:p w14:paraId="03F4C4B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944649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9804FDE">
            <w:pPr>
              <w:spacing w:before="0" w:after="0" w:line="240" w:lineRule="exact"/>
              <w:jc w:val="right"/>
              <w:rPr>
                <w:rFonts w:ascii="宋体" w:hAnsi="宋体" w:eastAsia="宋体" w:cs="宋体"/>
                <w:sz w:val="18"/>
                <w:szCs w:val="18"/>
              </w:rPr>
            </w:pPr>
            <w:r>
              <w:rPr>
                <w:rFonts w:ascii="宋体" w:hAnsi="宋体" w:eastAsia="宋体" w:cs="宋体"/>
                <w:sz w:val="18"/>
                <w:szCs w:val="18"/>
              </w:rPr>
              <w:t>6,005,600.00</w:t>
            </w:r>
          </w:p>
        </w:tc>
        <w:tc>
          <w:tcPr>
            <w:tcW w:w="1606" w:type="dxa"/>
            <w:tcBorders>
              <w:top w:val="single" w:color="auto" w:sz="2" w:space="0"/>
              <w:left w:val="single" w:color="auto" w:sz="2" w:space="0"/>
              <w:bottom w:val="single" w:color="auto" w:sz="2" w:space="0"/>
              <w:right w:val="single" w:color="auto" w:sz="2" w:space="0"/>
            </w:tcBorders>
            <w:vAlign w:val="center"/>
          </w:tcPr>
          <w:p w14:paraId="229C1384">
            <w:pPr>
              <w:spacing w:before="0" w:after="0" w:line="240" w:lineRule="exact"/>
              <w:jc w:val="right"/>
              <w:rPr>
                <w:rFonts w:ascii="宋体" w:hAnsi="宋体" w:eastAsia="宋体" w:cs="宋体"/>
                <w:sz w:val="18"/>
                <w:szCs w:val="18"/>
              </w:rPr>
            </w:pPr>
          </w:p>
        </w:tc>
      </w:tr>
    </w:tbl>
    <w:p w14:paraId="262A1FF8">
      <w:pPr>
        <w:keepNext/>
        <w:keepLines/>
        <w:spacing w:before="300" w:after="300" w:line="280" w:lineRule="exact"/>
        <w:jc w:val="left"/>
        <w:outlineLvl w:val="3"/>
        <w:rPr>
          <w:rFonts w:ascii="宋体" w:hAnsi="宋体" w:eastAsia="宋体" w:cs="宋体"/>
          <w:b/>
          <w:bCs/>
          <w:sz w:val="21"/>
          <w:szCs w:val="21"/>
        </w:rPr>
      </w:pPr>
      <w:bookmarkStart w:id="540" w:name="_Toc989423"/>
      <w:r>
        <w:rPr>
          <w:rFonts w:ascii="宋体" w:hAnsi="宋体" w:eastAsia="宋体" w:cs="宋体"/>
          <w:b/>
          <w:bCs/>
          <w:sz w:val="21"/>
          <w:szCs w:val="21"/>
        </w:rPr>
        <w:t>（2） 应付项目</w:t>
      </w:r>
      <w:bookmarkEnd w:id="540"/>
    </w:p>
    <w:p w14:paraId="6D3018E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530CC8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8FCE81E">
            <w:pPr>
              <w:spacing w:before="40" w:after="40" w:line="240" w:lineRule="exact"/>
              <w:jc w:val="center"/>
              <w:rPr>
                <w:rFonts w:ascii="宋体" w:hAnsi="宋体" w:eastAsia="宋体" w:cs="宋体"/>
                <w:sz w:val="18"/>
                <w:szCs w:val="18"/>
              </w:rPr>
            </w:pPr>
            <w:r>
              <w:rPr>
                <w:rFonts w:ascii="宋体" w:hAnsi="宋体" w:eastAsia="宋体" w:cs="宋体"/>
                <w:sz w:val="18"/>
                <w:szCs w:val="18"/>
              </w:rPr>
              <w:t>项目名称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9907F7A">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7C7E46B">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6AFBD13">
            <w:pPr>
              <w:spacing w:before="40" w:after="40" w:line="240" w:lineRule="exact"/>
              <w:jc w:val="center"/>
              <w:rPr>
                <w:rFonts w:ascii="宋体" w:hAnsi="宋体" w:eastAsia="宋体" w:cs="宋体"/>
                <w:sz w:val="18"/>
                <w:szCs w:val="18"/>
              </w:rPr>
            </w:pPr>
            <w:r>
              <w:rPr>
                <w:rFonts w:ascii="宋体" w:hAnsi="宋体" w:eastAsia="宋体" w:cs="宋体"/>
                <w:sz w:val="18"/>
                <w:szCs w:val="18"/>
              </w:rPr>
              <w:t>期初账面余额</w:t>
            </w:r>
          </w:p>
        </w:tc>
      </w:tr>
      <w:tr w14:paraId="7657DC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14FBE107">
            <w:pPr>
              <w:spacing w:before="0" w:after="0" w:line="240" w:lineRule="exact"/>
              <w:jc w:val="left"/>
              <w:rPr>
                <w:rFonts w:ascii="宋体" w:hAnsi="宋体" w:eastAsia="宋体" w:cs="宋体"/>
                <w:sz w:val="18"/>
                <w:szCs w:val="18"/>
              </w:rPr>
            </w:pPr>
            <w:r>
              <w:rPr>
                <w:rFonts w:ascii="宋体" w:hAnsi="宋体" w:eastAsia="宋体" w:cs="宋体"/>
                <w:sz w:val="18"/>
                <w:szCs w:val="18"/>
              </w:rPr>
              <w:t>应付账款</w:t>
            </w:r>
          </w:p>
        </w:tc>
        <w:tc>
          <w:tcPr>
            <w:tcW w:w="2410" w:type="dxa"/>
            <w:tcBorders>
              <w:top w:val="single" w:color="auto" w:sz="2" w:space="0"/>
              <w:left w:val="single" w:color="auto" w:sz="2" w:space="0"/>
              <w:bottom w:val="single" w:color="auto" w:sz="2" w:space="0"/>
              <w:right w:val="single" w:color="auto" w:sz="2" w:space="0"/>
            </w:tcBorders>
            <w:vAlign w:val="center"/>
          </w:tcPr>
          <w:p w14:paraId="7FBA4763">
            <w:pPr>
              <w:spacing w:before="0" w:after="0" w:line="240" w:lineRule="exact"/>
              <w:jc w:val="left"/>
              <w:rPr>
                <w:rFonts w:ascii="宋体" w:hAnsi="宋体" w:eastAsia="宋体" w:cs="宋体"/>
                <w:sz w:val="18"/>
                <w:szCs w:val="18"/>
              </w:rPr>
            </w:pPr>
            <w:r>
              <w:rPr>
                <w:rFonts w:ascii="宋体" w:hAnsi="宋体" w:eastAsia="宋体" w:cs="宋体"/>
                <w:sz w:val="18"/>
                <w:szCs w:val="18"/>
              </w:rPr>
              <w:t>福建奥龙传媒有限公司</w:t>
            </w:r>
          </w:p>
        </w:tc>
        <w:tc>
          <w:tcPr>
            <w:tcW w:w="2410" w:type="dxa"/>
            <w:tcBorders>
              <w:top w:val="single" w:color="auto" w:sz="2" w:space="0"/>
              <w:left w:val="single" w:color="auto" w:sz="2" w:space="0"/>
              <w:bottom w:val="single" w:color="auto" w:sz="2" w:space="0"/>
              <w:right w:val="single" w:color="auto" w:sz="2" w:space="0"/>
            </w:tcBorders>
            <w:vAlign w:val="center"/>
          </w:tcPr>
          <w:p w14:paraId="7384118E">
            <w:pPr>
              <w:spacing w:before="0" w:after="0" w:line="240" w:lineRule="exact"/>
              <w:jc w:val="right"/>
              <w:rPr>
                <w:rFonts w:ascii="宋体" w:hAnsi="宋体" w:eastAsia="宋体" w:cs="宋体"/>
                <w:sz w:val="18"/>
                <w:szCs w:val="18"/>
              </w:rPr>
            </w:pPr>
            <w:r>
              <w:rPr>
                <w:rFonts w:ascii="宋体" w:hAnsi="宋体" w:eastAsia="宋体" w:cs="宋体"/>
                <w:sz w:val="18"/>
                <w:szCs w:val="18"/>
              </w:rPr>
              <w:t>4,800.00</w:t>
            </w:r>
          </w:p>
        </w:tc>
        <w:tc>
          <w:tcPr>
            <w:tcW w:w="2410" w:type="dxa"/>
            <w:tcBorders>
              <w:top w:val="single" w:color="auto" w:sz="2" w:space="0"/>
              <w:left w:val="single" w:color="auto" w:sz="2" w:space="0"/>
              <w:bottom w:val="single" w:color="auto" w:sz="2" w:space="0"/>
              <w:right w:val="single" w:color="auto" w:sz="2" w:space="0"/>
            </w:tcBorders>
            <w:vAlign w:val="center"/>
          </w:tcPr>
          <w:p w14:paraId="6B2148A5">
            <w:pPr>
              <w:spacing w:before="0" w:after="0" w:line="240" w:lineRule="exact"/>
              <w:jc w:val="right"/>
              <w:rPr>
                <w:rFonts w:ascii="宋体" w:hAnsi="宋体" w:eastAsia="宋体" w:cs="宋体"/>
                <w:sz w:val="18"/>
                <w:szCs w:val="18"/>
              </w:rPr>
            </w:pPr>
            <w:r>
              <w:rPr>
                <w:rFonts w:ascii="宋体" w:hAnsi="宋体" w:eastAsia="宋体" w:cs="宋体"/>
                <w:sz w:val="18"/>
                <w:szCs w:val="18"/>
              </w:rPr>
              <w:t>195,400.00</w:t>
            </w:r>
          </w:p>
        </w:tc>
      </w:tr>
      <w:tr w14:paraId="7FF684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108A9903">
            <w:pPr>
              <w:spacing w:before="0" w:after="0" w:line="240" w:lineRule="exact"/>
              <w:jc w:val="left"/>
              <w:rPr>
                <w:rFonts w:ascii="宋体" w:hAnsi="宋体" w:eastAsia="宋体" w:cs="宋体"/>
                <w:sz w:val="18"/>
                <w:szCs w:val="18"/>
              </w:rPr>
            </w:pPr>
            <w:r>
              <w:rPr>
                <w:rFonts w:ascii="宋体" w:hAnsi="宋体" w:eastAsia="宋体" w:cs="宋体"/>
                <w:sz w:val="18"/>
                <w:szCs w:val="18"/>
              </w:rPr>
              <w:t>应付账款</w:t>
            </w:r>
          </w:p>
        </w:tc>
        <w:tc>
          <w:tcPr>
            <w:tcW w:w="2410" w:type="dxa"/>
            <w:tcBorders>
              <w:top w:val="single" w:color="auto" w:sz="2" w:space="0"/>
              <w:left w:val="single" w:color="auto" w:sz="2" w:space="0"/>
              <w:bottom w:val="single" w:color="auto" w:sz="2" w:space="0"/>
              <w:right w:val="single" w:color="auto" w:sz="2" w:space="0"/>
            </w:tcBorders>
            <w:vAlign w:val="center"/>
          </w:tcPr>
          <w:p w14:paraId="2518797B">
            <w:pPr>
              <w:spacing w:before="0" w:after="0" w:line="240" w:lineRule="exact"/>
              <w:jc w:val="left"/>
              <w:rPr>
                <w:rFonts w:ascii="宋体" w:hAnsi="宋体" w:eastAsia="宋体" w:cs="宋体"/>
                <w:sz w:val="18"/>
                <w:szCs w:val="18"/>
              </w:rPr>
            </w:pPr>
            <w:r>
              <w:rPr>
                <w:rFonts w:ascii="宋体" w:hAnsi="宋体" w:eastAsia="宋体" w:cs="宋体"/>
                <w:sz w:val="18"/>
                <w:szCs w:val="18"/>
              </w:rPr>
              <w:t>福州与见品牌设计有限公司</w:t>
            </w:r>
          </w:p>
        </w:tc>
        <w:tc>
          <w:tcPr>
            <w:tcW w:w="2410" w:type="dxa"/>
            <w:tcBorders>
              <w:top w:val="single" w:color="auto" w:sz="2" w:space="0"/>
              <w:left w:val="single" w:color="auto" w:sz="2" w:space="0"/>
              <w:bottom w:val="single" w:color="auto" w:sz="2" w:space="0"/>
              <w:right w:val="single" w:color="auto" w:sz="2" w:space="0"/>
            </w:tcBorders>
            <w:vAlign w:val="center"/>
          </w:tcPr>
          <w:p w14:paraId="0DC2B68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E70B109">
            <w:pPr>
              <w:spacing w:before="0" w:after="0" w:line="240" w:lineRule="exact"/>
              <w:jc w:val="right"/>
              <w:rPr>
                <w:rFonts w:ascii="宋体" w:hAnsi="宋体" w:eastAsia="宋体" w:cs="宋体"/>
                <w:sz w:val="18"/>
                <w:szCs w:val="18"/>
              </w:rPr>
            </w:pPr>
            <w:r>
              <w:rPr>
                <w:rFonts w:ascii="宋体" w:hAnsi="宋体" w:eastAsia="宋体" w:cs="宋体"/>
                <w:sz w:val="18"/>
                <w:szCs w:val="18"/>
              </w:rPr>
              <w:t>40,000.00</w:t>
            </w:r>
          </w:p>
        </w:tc>
      </w:tr>
      <w:tr w14:paraId="55167D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C9FD6D7">
            <w:pPr>
              <w:spacing w:before="0" w:after="0" w:line="240" w:lineRule="exact"/>
              <w:jc w:val="left"/>
              <w:rPr>
                <w:rFonts w:ascii="宋体" w:hAnsi="宋体" w:eastAsia="宋体" w:cs="宋体"/>
                <w:sz w:val="18"/>
                <w:szCs w:val="18"/>
              </w:rPr>
            </w:pPr>
            <w:r>
              <w:rPr>
                <w:rFonts w:ascii="宋体" w:hAnsi="宋体" w:eastAsia="宋体" w:cs="宋体"/>
                <w:sz w:val="18"/>
                <w:szCs w:val="18"/>
              </w:rPr>
              <w:t>应付账款</w:t>
            </w:r>
          </w:p>
        </w:tc>
        <w:tc>
          <w:tcPr>
            <w:tcW w:w="2410" w:type="dxa"/>
            <w:tcBorders>
              <w:top w:val="single" w:color="auto" w:sz="2" w:space="0"/>
              <w:left w:val="single" w:color="auto" w:sz="2" w:space="0"/>
              <w:bottom w:val="single" w:color="auto" w:sz="2" w:space="0"/>
              <w:right w:val="single" w:color="auto" w:sz="2" w:space="0"/>
            </w:tcBorders>
            <w:vAlign w:val="center"/>
          </w:tcPr>
          <w:p w14:paraId="2A16DDD5">
            <w:pPr>
              <w:spacing w:before="0" w:after="0" w:line="240" w:lineRule="exact"/>
              <w:jc w:val="left"/>
              <w:rPr>
                <w:rFonts w:ascii="宋体" w:hAnsi="宋体" w:eastAsia="宋体" w:cs="宋体"/>
                <w:sz w:val="18"/>
                <w:szCs w:val="18"/>
              </w:rPr>
            </w:pPr>
            <w:r>
              <w:rPr>
                <w:rFonts w:ascii="宋体" w:hAnsi="宋体" w:eastAsia="宋体" w:cs="宋体"/>
                <w:sz w:val="18"/>
                <w:szCs w:val="18"/>
              </w:rPr>
              <w:t>福建瑞泰来医药科技有限公司</w:t>
            </w:r>
          </w:p>
        </w:tc>
        <w:tc>
          <w:tcPr>
            <w:tcW w:w="2410" w:type="dxa"/>
            <w:tcBorders>
              <w:top w:val="single" w:color="auto" w:sz="2" w:space="0"/>
              <w:left w:val="single" w:color="auto" w:sz="2" w:space="0"/>
              <w:bottom w:val="single" w:color="auto" w:sz="2" w:space="0"/>
              <w:right w:val="single" w:color="auto" w:sz="2" w:space="0"/>
            </w:tcBorders>
            <w:vAlign w:val="center"/>
          </w:tcPr>
          <w:p w14:paraId="79CDCC83">
            <w:pPr>
              <w:spacing w:before="0" w:after="0" w:line="240" w:lineRule="exact"/>
              <w:jc w:val="right"/>
              <w:rPr>
                <w:rFonts w:ascii="宋体" w:hAnsi="宋体" w:eastAsia="宋体" w:cs="宋体"/>
                <w:sz w:val="18"/>
                <w:szCs w:val="18"/>
              </w:rPr>
            </w:pPr>
            <w:r>
              <w:rPr>
                <w:rFonts w:ascii="宋体" w:hAnsi="宋体" w:eastAsia="宋体" w:cs="宋体"/>
                <w:sz w:val="18"/>
                <w:szCs w:val="18"/>
              </w:rPr>
              <w:t>3,273,584.94</w:t>
            </w:r>
          </w:p>
        </w:tc>
        <w:tc>
          <w:tcPr>
            <w:tcW w:w="2410" w:type="dxa"/>
            <w:tcBorders>
              <w:top w:val="single" w:color="auto" w:sz="2" w:space="0"/>
              <w:left w:val="single" w:color="auto" w:sz="2" w:space="0"/>
              <w:bottom w:val="single" w:color="auto" w:sz="2" w:space="0"/>
              <w:right w:val="single" w:color="auto" w:sz="2" w:space="0"/>
            </w:tcBorders>
            <w:vAlign w:val="center"/>
          </w:tcPr>
          <w:p w14:paraId="6696A181">
            <w:pPr>
              <w:spacing w:before="0" w:after="0" w:line="240" w:lineRule="exact"/>
              <w:jc w:val="right"/>
              <w:rPr>
                <w:rFonts w:ascii="宋体" w:hAnsi="宋体" w:eastAsia="宋体" w:cs="宋体"/>
                <w:sz w:val="18"/>
                <w:szCs w:val="18"/>
              </w:rPr>
            </w:pPr>
            <w:r>
              <w:rPr>
                <w:rFonts w:ascii="宋体" w:hAnsi="宋体" w:eastAsia="宋体" w:cs="宋体"/>
                <w:sz w:val="18"/>
                <w:szCs w:val="18"/>
              </w:rPr>
              <w:t>3,188,679.28</w:t>
            </w:r>
          </w:p>
        </w:tc>
      </w:tr>
      <w:tr w14:paraId="0D7AF6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466C5363">
            <w:pPr>
              <w:spacing w:before="0" w:after="0" w:line="240" w:lineRule="exact"/>
              <w:jc w:val="left"/>
              <w:rPr>
                <w:rFonts w:ascii="宋体" w:hAnsi="宋体" w:eastAsia="宋体" w:cs="宋体"/>
                <w:sz w:val="18"/>
                <w:szCs w:val="18"/>
              </w:rPr>
            </w:pPr>
            <w:r>
              <w:rPr>
                <w:rFonts w:ascii="宋体" w:hAnsi="宋体" w:eastAsia="宋体" w:cs="宋体"/>
                <w:sz w:val="18"/>
                <w:szCs w:val="18"/>
              </w:rPr>
              <w:t>应付账款</w:t>
            </w:r>
          </w:p>
        </w:tc>
        <w:tc>
          <w:tcPr>
            <w:tcW w:w="2410" w:type="dxa"/>
            <w:tcBorders>
              <w:top w:val="single" w:color="auto" w:sz="2" w:space="0"/>
              <w:left w:val="single" w:color="auto" w:sz="2" w:space="0"/>
              <w:bottom w:val="single" w:color="auto" w:sz="2" w:space="0"/>
              <w:right w:val="single" w:color="auto" w:sz="2" w:space="0"/>
            </w:tcBorders>
            <w:vAlign w:val="center"/>
          </w:tcPr>
          <w:p w14:paraId="22974202">
            <w:pPr>
              <w:spacing w:before="0" w:after="0" w:line="240" w:lineRule="exact"/>
              <w:jc w:val="left"/>
              <w:rPr>
                <w:rFonts w:ascii="宋体" w:hAnsi="宋体" w:eastAsia="宋体" w:cs="宋体"/>
                <w:sz w:val="18"/>
                <w:szCs w:val="18"/>
              </w:rPr>
            </w:pPr>
            <w:r>
              <w:rPr>
                <w:rFonts w:ascii="宋体" w:hAnsi="宋体" w:eastAsia="宋体" w:cs="宋体"/>
                <w:sz w:val="18"/>
                <w:szCs w:val="18"/>
              </w:rPr>
              <w:t>黄伏虎</w:t>
            </w:r>
          </w:p>
        </w:tc>
        <w:tc>
          <w:tcPr>
            <w:tcW w:w="2410" w:type="dxa"/>
            <w:tcBorders>
              <w:top w:val="single" w:color="auto" w:sz="2" w:space="0"/>
              <w:left w:val="single" w:color="auto" w:sz="2" w:space="0"/>
              <w:bottom w:val="single" w:color="auto" w:sz="2" w:space="0"/>
              <w:right w:val="single" w:color="auto" w:sz="2" w:space="0"/>
            </w:tcBorders>
            <w:vAlign w:val="center"/>
          </w:tcPr>
          <w:p w14:paraId="456D319B">
            <w:pPr>
              <w:spacing w:before="0" w:after="0" w:line="240" w:lineRule="exact"/>
              <w:jc w:val="right"/>
              <w:rPr>
                <w:rFonts w:ascii="宋体" w:hAnsi="宋体" w:eastAsia="宋体" w:cs="宋体"/>
                <w:sz w:val="18"/>
                <w:szCs w:val="18"/>
              </w:rPr>
            </w:pPr>
            <w:r>
              <w:rPr>
                <w:rFonts w:ascii="宋体" w:hAnsi="宋体" w:eastAsia="宋体" w:cs="宋体"/>
                <w:sz w:val="18"/>
                <w:szCs w:val="18"/>
              </w:rPr>
              <w:t>46,392.40</w:t>
            </w:r>
          </w:p>
        </w:tc>
        <w:tc>
          <w:tcPr>
            <w:tcW w:w="2410" w:type="dxa"/>
            <w:tcBorders>
              <w:top w:val="single" w:color="auto" w:sz="2" w:space="0"/>
              <w:left w:val="single" w:color="auto" w:sz="2" w:space="0"/>
              <w:bottom w:val="single" w:color="auto" w:sz="2" w:space="0"/>
              <w:right w:val="single" w:color="auto" w:sz="2" w:space="0"/>
            </w:tcBorders>
            <w:vAlign w:val="center"/>
          </w:tcPr>
          <w:p w14:paraId="3E107B56">
            <w:pPr>
              <w:spacing w:before="0" w:after="0" w:line="240" w:lineRule="exact"/>
              <w:jc w:val="right"/>
              <w:rPr>
                <w:rFonts w:ascii="宋体" w:hAnsi="宋体" w:eastAsia="宋体" w:cs="宋体"/>
                <w:sz w:val="18"/>
                <w:szCs w:val="18"/>
              </w:rPr>
            </w:pPr>
          </w:p>
        </w:tc>
      </w:tr>
      <w:tr w14:paraId="15EF46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3D97E93">
            <w:pPr>
              <w:spacing w:before="0" w:after="0" w:line="240" w:lineRule="exact"/>
              <w:jc w:val="left"/>
              <w:rPr>
                <w:rFonts w:ascii="宋体" w:hAnsi="宋体" w:eastAsia="宋体" w:cs="宋体"/>
                <w:sz w:val="18"/>
                <w:szCs w:val="18"/>
              </w:rPr>
            </w:pPr>
            <w:r>
              <w:rPr>
                <w:rFonts w:ascii="宋体" w:hAnsi="宋体" w:eastAsia="宋体" w:cs="宋体"/>
                <w:sz w:val="18"/>
                <w:szCs w:val="18"/>
              </w:rPr>
              <w:t>其他应付款</w:t>
            </w:r>
          </w:p>
        </w:tc>
        <w:tc>
          <w:tcPr>
            <w:tcW w:w="2410" w:type="dxa"/>
            <w:tcBorders>
              <w:top w:val="single" w:color="auto" w:sz="2" w:space="0"/>
              <w:left w:val="single" w:color="auto" w:sz="2" w:space="0"/>
              <w:bottom w:val="single" w:color="auto" w:sz="2" w:space="0"/>
              <w:right w:val="single" w:color="auto" w:sz="2" w:space="0"/>
            </w:tcBorders>
            <w:vAlign w:val="center"/>
          </w:tcPr>
          <w:p w14:paraId="3073406D">
            <w:pPr>
              <w:spacing w:before="0" w:after="0" w:line="240" w:lineRule="exact"/>
              <w:jc w:val="left"/>
              <w:rPr>
                <w:rFonts w:ascii="宋体" w:hAnsi="宋体" w:eastAsia="宋体" w:cs="宋体"/>
                <w:sz w:val="18"/>
                <w:szCs w:val="18"/>
              </w:rPr>
            </w:pPr>
            <w:r>
              <w:rPr>
                <w:rFonts w:ascii="宋体" w:hAnsi="宋体" w:eastAsia="宋体" w:cs="宋体"/>
                <w:sz w:val="18"/>
                <w:szCs w:val="18"/>
              </w:rPr>
              <w:t>阿吉安（福州）基因医学检验实验室有限公司</w:t>
            </w:r>
          </w:p>
        </w:tc>
        <w:tc>
          <w:tcPr>
            <w:tcW w:w="2410" w:type="dxa"/>
            <w:tcBorders>
              <w:top w:val="single" w:color="auto" w:sz="2" w:space="0"/>
              <w:left w:val="single" w:color="auto" w:sz="2" w:space="0"/>
              <w:bottom w:val="single" w:color="auto" w:sz="2" w:space="0"/>
              <w:right w:val="single" w:color="auto" w:sz="2" w:space="0"/>
            </w:tcBorders>
            <w:vAlign w:val="center"/>
          </w:tcPr>
          <w:p w14:paraId="7ADBF46D">
            <w:pPr>
              <w:spacing w:before="0" w:after="0" w:line="240" w:lineRule="exact"/>
              <w:jc w:val="right"/>
              <w:rPr>
                <w:rFonts w:ascii="宋体" w:hAnsi="宋体" w:eastAsia="宋体" w:cs="宋体"/>
                <w:sz w:val="18"/>
                <w:szCs w:val="18"/>
              </w:rPr>
            </w:pPr>
            <w:r>
              <w:rPr>
                <w:rFonts w:ascii="宋体" w:hAnsi="宋体" w:eastAsia="宋体" w:cs="宋体"/>
                <w:sz w:val="18"/>
                <w:szCs w:val="18"/>
              </w:rPr>
              <w:t>61,760.00</w:t>
            </w:r>
          </w:p>
        </w:tc>
        <w:tc>
          <w:tcPr>
            <w:tcW w:w="2410" w:type="dxa"/>
            <w:tcBorders>
              <w:top w:val="single" w:color="auto" w:sz="2" w:space="0"/>
              <w:left w:val="single" w:color="auto" w:sz="2" w:space="0"/>
              <w:bottom w:val="single" w:color="auto" w:sz="2" w:space="0"/>
              <w:right w:val="single" w:color="auto" w:sz="2" w:space="0"/>
            </w:tcBorders>
            <w:vAlign w:val="center"/>
          </w:tcPr>
          <w:p w14:paraId="7F6ED688">
            <w:pPr>
              <w:spacing w:before="0" w:after="0" w:line="240" w:lineRule="exact"/>
              <w:jc w:val="right"/>
              <w:rPr>
                <w:rFonts w:ascii="宋体" w:hAnsi="宋体" w:eastAsia="宋体" w:cs="宋体"/>
                <w:sz w:val="18"/>
                <w:szCs w:val="18"/>
              </w:rPr>
            </w:pPr>
            <w:r>
              <w:rPr>
                <w:rFonts w:ascii="宋体" w:hAnsi="宋体" w:eastAsia="宋体" w:cs="宋体"/>
                <w:sz w:val="18"/>
                <w:szCs w:val="18"/>
              </w:rPr>
              <w:t>61,760.00</w:t>
            </w:r>
          </w:p>
        </w:tc>
      </w:tr>
      <w:tr w14:paraId="727365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8B67AE0">
            <w:pPr>
              <w:spacing w:before="0" w:after="0" w:line="240" w:lineRule="exact"/>
              <w:jc w:val="left"/>
              <w:rPr>
                <w:rFonts w:ascii="宋体" w:hAnsi="宋体" w:eastAsia="宋体" w:cs="宋体"/>
                <w:sz w:val="18"/>
                <w:szCs w:val="18"/>
              </w:rPr>
            </w:pPr>
            <w:r>
              <w:rPr>
                <w:rFonts w:ascii="宋体" w:hAnsi="宋体" w:eastAsia="宋体" w:cs="宋体"/>
                <w:sz w:val="18"/>
                <w:szCs w:val="18"/>
              </w:rPr>
              <w:t>其他应付款</w:t>
            </w:r>
          </w:p>
        </w:tc>
        <w:tc>
          <w:tcPr>
            <w:tcW w:w="2410" w:type="dxa"/>
            <w:tcBorders>
              <w:top w:val="single" w:color="auto" w:sz="2" w:space="0"/>
              <w:left w:val="single" w:color="auto" w:sz="2" w:space="0"/>
              <w:bottom w:val="single" w:color="auto" w:sz="2" w:space="0"/>
              <w:right w:val="single" w:color="auto" w:sz="2" w:space="0"/>
            </w:tcBorders>
            <w:vAlign w:val="center"/>
          </w:tcPr>
          <w:p w14:paraId="04C5038C">
            <w:pPr>
              <w:spacing w:before="0" w:after="0" w:line="240" w:lineRule="exact"/>
              <w:jc w:val="left"/>
              <w:rPr>
                <w:rFonts w:ascii="宋体" w:hAnsi="宋体" w:eastAsia="宋体" w:cs="宋体"/>
                <w:sz w:val="18"/>
                <w:szCs w:val="18"/>
              </w:rPr>
            </w:pPr>
            <w:r>
              <w:rPr>
                <w:rFonts w:ascii="宋体" w:hAnsi="宋体" w:eastAsia="宋体" w:cs="宋体"/>
                <w:sz w:val="18"/>
                <w:szCs w:val="18"/>
              </w:rPr>
              <w:t>福州吉昂医学检验实验室有限公司</w:t>
            </w:r>
          </w:p>
        </w:tc>
        <w:tc>
          <w:tcPr>
            <w:tcW w:w="2410" w:type="dxa"/>
            <w:tcBorders>
              <w:top w:val="single" w:color="auto" w:sz="2" w:space="0"/>
              <w:left w:val="single" w:color="auto" w:sz="2" w:space="0"/>
              <w:bottom w:val="single" w:color="auto" w:sz="2" w:space="0"/>
              <w:right w:val="single" w:color="auto" w:sz="2" w:space="0"/>
            </w:tcBorders>
            <w:vAlign w:val="center"/>
          </w:tcPr>
          <w:p w14:paraId="0144913E">
            <w:pPr>
              <w:spacing w:before="0" w:after="0" w:line="240" w:lineRule="exact"/>
              <w:jc w:val="right"/>
              <w:rPr>
                <w:rFonts w:ascii="宋体" w:hAnsi="宋体" w:eastAsia="宋体" w:cs="宋体"/>
                <w:sz w:val="18"/>
                <w:szCs w:val="18"/>
              </w:rPr>
            </w:pPr>
            <w:r>
              <w:rPr>
                <w:rFonts w:ascii="宋体" w:hAnsi="宋体" w:eastAsia="宋体" w:cs="宋体"/>
                <w:sz w:val="18"/>
                <w:szCs w:val="18"/>
              </w:rPr>
              <w:t>40,640.00</w:t>
            </w:r>
          </w:p>
        </w:tc>
        <w:tc>
          <w:tcPr>
            <w:tcW w:w="2410" w:type="dxa"/>
            <w:tcBorders>
              <w:top w:val="single" w:color="auto" w:sz="2" w:space="0"/>
              <w:left w:val="single" w:color="auto" w:sz="2" w:space="0"/>
              <w:bottom w:val="single" w:color="auto" w:sz="2" w:space="0"/>
              <w:right w:val="single" w:color="auto" w:sz="2" w:space="0"/>
            </w:tcBorders>
            <w:vAlign w:val="center"/>
          </w:tcPr>
          <w:p w14:paraId="63309B17">
            <w:pPr>
              <w:spacing w:before="0" w:after="0" w:line="240" w:lineRule="exact"/>
              <w:jc w:val="right"/>
              <w:rPr>
                <w:rFonts w:ascii="宋体" w:hAnsi="宋体" w:eastAsia="宋体" w:cs="宋体"/>
                <w:sz w:val="18"/>
                <w:szCs w:val="18"/>
              </w:rPr>
            </w:pPr>
            <w:r>
              <w:rPr>
                <w:rFonts w:ascii="宋体" w:hAnsi="宋体" w:eastAsia="宋体" w:cs="宋体"/>
                <w:sz w:val="18"/>
                <w:szCs w:val="18"/>
              </w:rPr>
              <w:t>40,640.00</w:t>
            </w:r>
          </w:p>
        </w:tc>
      </w:tr>
      <w:tr w14:paraId="4B7DB8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0C9F256">
            <w:pPr>
              <w:spacing w:before="0" w:after="0" w:line="240" w:lineRule="exact"/>
              <w:jc w:val="left"/>
              <w:rPr>
                <w:rFonts w:ascii="宋体" w:hAnsi="宋体" w:eastAsia="宋体" w:cs="宋体"/>
                <w:sz w:val="18"/>
                <w:szCs w:val="18"/>
              </w:rPr>
            </w:pPr>
            <w:r>
              <w:rPr>
                <w:rFonts w:ascii="宋体" w:hAnsi="宋体" w:eastAsia="宋体" w:cs="宋体"/>
                <w:sz w:val="18"/>
                <w:szCs w:val="18"/>
              </w:rPr>
              <w:t>预收账款</w:t>
            </w:r>
          </w:p>
        </w:tc>
        <w:tc>
          <w:tcPr>
            <w:tcW w:w="2410" w:type="dxa"/>
            <w:tcBorders>
              <w:top w:val="single" w:color="auto" w:sz="2" w:space="0"/>
              <w:left w:val="single" w:color="auto" w:sz="2" w:space="0"/>
              <w:bottom w:val="single" w:color="auto" w:sz="2" w:space="0"/>
              <w:right w:val="single" w:color="auto" w:sz="2" w:space="0"/>
            </w:tcBorders>
            <w:vAlign w:val="center"/>
          </w:tcPr>
          <w:p w14:paraId="18D50A0D">
            <w:pPr>
              <w:spacing w:before="0" w:after="0" w:line="240" w:lineRule="exact"/>
              <w:jc w:val="left"/>
              <w:rPr>
                <w:rFonts w:ascii="宋体" w:hAnsi="宋体" w:eastAsia="宋体" w:cs="宋体"/>
                <w:sz w:val="18"/>
                <w:szCs w:val="18"/>
              </w:rPr>
            </w:pPr>
            <w:r>
              <w:rPr>
                <w:rFonts w:ascii="宋体" w:hAnsi="宋体" w:eastAsia="宋体" w:cs="宋体"/>
                <w:sz w:val="18"/>
                <w:szCs w:val="18"/>
              </w:rPr>
              <w:t>福州奥泰五期投资合伙企业（有限合伙）</w:t>
            </w:r>
          </w:p>
        </w:tc>
        <w:tc>
          <w:tcPr>
            <w:tcW w:w="2410" w:type="dxa"/>
            <w:tcBorders>
              <w:top w:val="single" w:color="auto" w:sz="2" w:space="0"/>
              <w:left w:val="single" w:color="auto" w:sz="2" w:space="0"/>
              <w:bottom w:val="single" w:color="auto" w:sz="2" w:space="0"/>
              <w:right w:val="single" w:color="auto" w:sz="2" w:space="0"/>
            </w:tcBorders>
            <w:vAlign w:val="center"/>
          </w:tcPr>
          <w:p w14:paraId="08050A4D">
            <w:pPr>
              <w:spacing w:before="0" w:after="0" w:line="240" w:lineRule="exact"/>
              <w:jc w:val="right"/>
              <w:rPr>
                <w:rFonts w:ascii="宋体" w:hAnsi="宋体" w:eastAsia="宋体" w:cs="宋体"/>
                <w:sz w:val="18"/>
                <w:szCs w:val="18"/>
              </w:rPr>
            </w:pPr>
            <w:r>
              <w:rPr>
                <w:rFonts w:ascii="宋体" w:hAnsi="宋体" w:eastAsia="宋体" w:cs="宋体"/>
                <w:sz w:val="18"/>
                <w:szCs w:val="18"/>
              </w:rPr>
              <w:t>2,889.91</w:t>
            </w:r>
          </w:p>
        </w:tc>
        <w:tc>
          <w:tcPr>
            <w:tcW w:w="2410" w:type="dxa"/>
            <w:tcBorders>
              <w:top w:val="single" w:color="auto" w:sz="2" w:space="0"/>
              <w:left w:val="single" w:color="auto" w:sz="2" w:space="0"/>
              <w:bottom w:val="single" w:color="auto" w:sz="2" w:space="0"/>
              <w:right w:val="single" w:color="auto" w:sz="2" w:space="0"/>
            </w:tcBorders>
            <w:vAlign w:val="center"/>
          </w:tcPr>
          <w:p w14:paraId="2C5D8B01">
            <w:pPr>
              <w:spacing w:before="0" w:after="0" w:line="240" w:lineRule="exact"/>
              <w:jc w:val="right"/>
              <w:rPr>
                <w:rFonts w:ascii="宋体" w:hAnsi="宋体" w:eastAsia="宋体" w:cs="宋体"/>
                <w:sz w:val="18"/>
                <w:szCs w:val="18"/>
              </w:rPr>
            </w:pPr>
            <w:r>
              <w:rPr>
                <w:rFonts w:ascii="宋体" w:hAnsi="宋体" w:eastAsia="宋体" w:cs="宋体"/>
                <w:sz w:val="18"/>
                <w:szCs w:val="18"/>
              </w:rPr>
              <w:t>2,889.91</w:t>
            </w:r>
          </w:p>
        </w:tc>
      </w:tr>
      <w:tr w14:paraId="6ECE70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4ED8139">
            <w:pPr>
              <w:spacing w:before="0" w:after="0" w:line="240" w:lineRule="exact"/>
              <w:jc w:val="left"/>
              <w:rPr>
                <w:rFonts w:ascii="宋体" w:hAnsi="宋体" w:eastAsia="宋体" w:cs="宋体"/>
                <w:sz w:val="18"/>
                <w:szCs w:val="18"/>
              </w:rPr>
            </w:pPr>
            <w:r>
              <w:rPr>
                <w:rFonts w:ascii="宋体" w:hAnsi="宋体" w:eastAsia="宋体" w:cs="宋体"/>
                <w:sz w:val="18"/>
                <w:szCs w:val="18"/>
              </w:rPr>
              <w:t>预收账款</w:t>
            </w:r>
          </w:p>
        </w:tc>
        <w:tc>
          <w:tcPr>
            <w:tcW w:w="2410" w:type="dxa"/>
            <w:tcBorders>
              <w:top w:val="single" w:color="auto" w:sz="2" w:space="0"/>
              <w:left w:val="single" w:color="auto" w:sz="2" w:space="0"/>
              <w:bottom w:val="single" w:color="auto" w:sz="2" w:space="0"/>
              <w:right w:val="single" w:color="auto" w:sz="2" w:space="0"/>
            </w:tcBorders>
            <w:vAlign w:val="center"/>
          </w:tcPr>
          <w:p w14:paraId="4EFF8EFE">
            <w:pPr>
              <w:spacing w:before="0" w:after="0" w:line="240" w:lineRule="exact"/>
              <w:jc w:val="left"/>
              <w:rPr>
                <w:rFonts w:ascii="宋体" w:hAnsi="宋体" w:eastAsia="宋体" w:cs="宋体"/>
                <w:sz w:val="18"/>
                <w:szCs w:val="18"/>
              </w:rPr>
            </w:pPr>
            <w:r>
              <w:rPr>
                <w:rFonts w:ascii="宋体" w:hAnsi="宋体" w:eastAsia="宋体" w:cs="宋体"/>
                <w:sz w:val="18"/>
                <w:szCs w:val="18"/>
              </w:rPr>
              <w:t>福州奥泰六期投资合伙企业（有限</w:t>
            </w:r>
          </w:p>
          <w:p w14:paraId="1AC09CC9">
            <w:pPr>
              <w:spacing w:before="0" w:after="0" w:line="240" w:lineRule="exact"/>
              <w:jc w:val="left"/>
              <w:rPr>
                <w:rFonts w:ascii="宋体" w:hAnsi="宋体" w:eastAsia="宋体" w:cs="宋体"/>
                <w:sz w:val="18"/>
                <w:szCs w:val="18"/>
              </w:rPr>
            </w:pPr>
            <w:r>
              <w:rPr>
                <w:rFonts w:ascii="宋体" w:hAnsi="宋体" w:eastAsia="宋体" w:cs="宋体"/>
                <w:sz w:val="18"/>
                <w:szCs w:val="18"/>
              </w:rPr>
              <w:t>合伙）</w:t>
            </w:r>
          </w:p>
        </w:tc>
        <w:tc>
          <w:tcPr>
            <w:tcW w:w="2410" w:type="dxa"/>
            <w:tcBorders>
              <w:top w:val="single" w:color="auto" w:sz="2" w:space="0"/>
              <w:left w:val="single" w:color="auto" w:sz="2" w:space="0"/>
              <w:bottom w:val="single" w:color="auto" w:sz="2" w:space="0"/>
              <w:right w:val="single" w:color="auto" w:sz="2" w:space="0"/>
            </w:tcBorders>
            <w:vAlign w:val="center"/>
          </w:tcPr>
          <w:p w14:paraId="092C1FF8">
            <w:pPr>
              <w:spacing w:before="0" w:after="0" w:line="240" w:lineRule="exact"/>
              <w:jc w:val="right"/>
              <w:rPr>
                <w:rFonts w:ascii="宋体" w:hAnsi="宋体" w:eastAsia="宋体" w:cs="宋体"/>
                <w:sz w:val="18"/>
                <w:szCs w:val="18"/>
              </w:rPr>
            </w:pPr>
            <w:r>
              <w:rPr>
                <w:rFonts w:ascii="宋体" w:hAnsi="宋体" w:eastAsia="宋体" w:cs="宋体"/>
                <w:sz w:val="18"/>
                <w:szCs w:val="18"/>
              </w:rPr>
              <w:t>2,889.91</w:t>
            </w:r>
          </w:p>
        </w:tc>
        <w:tc>
          <w:tcPr>
            <w:tcW w:w="2410" w:type="dxa"/>
            <w:tcBorders>
              <w:top w:val="single" w:color="auto" w:sz="2" w:space="0"/>
              <w:left w:val="single" w:color="auto" w:sz="2" w:space="0"/>
              <w:bottom w:val="single" w:color="auto" w:sz="2" w:space="0"/>
              <w:right w:val="single" w:color="auto" w:sz="2" w:space="0"/>
            </w:tcBorders>
            <w:vAlign w:val="center"/>
          </w:tcPr>
          <w:p w14:paraId="2B3B39F9">
            <w:pPr>
              <w:spacing w:before="0" w:after="0" w:line="240" w:lineRule="exact"/>
              <w:jc w:val="right"/>
              <w:rPr>
                <w:rFonts w:ascii="宋体" w:hAnsi="宋体" w:eastAsia="宋体" w:cs="宋体"/>
                <w:sz w:val="18"/>
                <w:szCs w:val="18"/>
              </w:rPr>
            </w:pPr>
            <w:r>
              <w:rPr>
                <w:rFonts w:ascii="宋体" w:hAnsi="宋体" w:eastAsia="宋体" w:cs="宋体"/>
                <w:sz w:val="18"/>
                <w:szCs w:val="18"/>
              </w:rPr>
              <w:t>2,889.91</w:t>
            </w:r>
          </w:p>
        </w:tc>
      </w:tr>
    </w:tbl>
    <w:p w14:paraId="5DB7908A">
      <w:pPr>
        <w:keepNext/>
        <w:keepLines/>
        <w:spacing w:before="300" w:after="300" w:line="280" w:lineRule="exact"/>
        <w:jc w:val="left"/>
        <w:outlineLvl w:val="2"/>
        <w:rPr>
          <w:rFonts w:ascii="宋体" w:hAnsi="宋体" w:eastAsia="宋体" w:cs="宋体"/>
          <w:b/>
          <w:bCs/>
          <w:sz w:val="21"/>
          <w:szCs w:val="21"/>
        </w:rPr>
      </w:pPr>
      <w:bookmarkStart w:id="541" w:name="_Toc989424"/>
      <w:r>
        <w:rPr>
          <w:rFonts w:ascii="宋体" w:hAnsi="宋体" w:eastAsia="宋体" w:cs="宋体"/>
          <w:b/>
          <w:bCs/>
          <w:sz w:val="21"/>
          <w:szCs w:val="21"/>
        </w:rPr>
        <w:t>7、关联方承诺</w:t>
      </w:r>
      <w:bookmarkEnd w:id="541"/>
    </w:p>
    <w:p w14:paraId="091C3C7C">
      <w:pPr>
        <w:keepNext/>
        <w:keepLines/>
        <w:spacing w:before="300" w:after="300" w:line="280" w:lineRule="exact"/>
        <w:jc w:val="left"/>
        <w:outlineLvl w:val="2"/>
        <w:rPr>
          <w:rFonts w:ascii="宋体" w:hAnsi="宋体" w:eastAsia="宋体" w:cs="宋体"/>
          <w:b/>
          <w:bCs/>
          <w:sz w:val="21"/>
          <w:szCs w:val="21"/>
        </w:rPr>
      </w:pPr>
      <w:bookmarkStart w:id="542" w:name="_Toc989425"/>
      <w:r>
        <w:rPr>
          <w:rFonts w:ascii="宋体" w:hAnsi="宋体" w:eastAsia="宋体" w:cs="宋体"/>
          <w:b/>
          <w:bCs/>
          <w:sz w:val="21"/>
          <w:szCs w:val="21"/>
        </w:rPr>
        <w:t>8、其他</w:t>
      </w:r>
      <w:bookmarkEnd w:id="542"/>
    </w:p>
    <w:p w14:paraId="5C78B279">
      <w:pPr>
        <w:keepNext/>
        <w:keepLines/>
        <w:spacing w:before="300" w:after="300" w:line="320" w:lineRule="exact"/>
        <w:jc w:val="left"/>
        <w:outlineLvl w:val="1"/>
        <w:rPr>
          <w:rFonts w:ascii="宋体" w:hAnsi="宋体" w:eastAsia="宋体" w:cs="宋体"/>
          <w:b/>
          <w:bCs/>
          <w:sz w:val="24"/>
          <w:szCs w:val="24"/>
        </w:rPr>
      </w:pPr>
      <w:bookmarkStart w:id="543" w:name="_Toc989426"/>
      <w:r>
        <w:rPr>
          <w:rFonts w:ascii="宋体" w:hAnsi="宋体" w:eastAsia="宋体" w:cs="宋体"/>
          <w:b/>
          <w:bCs/>
          <w:sz w:val="24"/>
          <w:szCs w:val="24"/>
        </w:rPr>
        <w:t>十五、股份支付</w:t>
      </w:r>
      <w:bookmarkEnd w:id="543"/>
    </w:p>
    <w:p w14:paraId="67BB75C7">
      <w:pPr>
        <w:keepNext/>
        <w:keepLines/>
        <w:spacing w:before="300" w:after="300" w:line="280" w:lineRule="exact"/>
        <w:jc w:val="left"/>
        <w:outlineLvl w:val="2"/>
        <w:rPr>
          <w:rFonts w:ascii="宋体" w:hAnsi="宋体" w:eastAsia="宋体" w:cs="宋体"/>
          <w:b/>
          <w:bCs/>
          <w:sz w:val="21"/>
          <w:szCs w:val="21"/>
        </w:rPr>
      </w:pPr>
      <w:bookmarkStart w:id="544" w:name="_Toc989427"/>
      <w:r>
        <w:rPr>
          <w:rFonts w:ascii="宋体" w:hAnsi="宋体" w:eastAsia="宋体" w:cs="宋体"/>
          <w:b/>
          <w:bCs/>
          <w:sz w:val="21"/>
          <w:szCs w:val="21"/>
        </w:rPr>
        <w:t>1、股份支付总体情况</w:t>
      </w:r>
      <w:bookmarkEnd w:id="544"/>
    </w:p>
    <w:p w14:paraId="1C268D3A">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B56CA17">
      <w:pPr>
        <w:keepNext/>
        <w:keepLines/>
        <w:spacing w:before="300" w:after="300" w:line="280" w:lineRule="exact"/>
        <w:jc w:val="left"/>
        <w:outlineLvl w:val="2"/>
        <w:rPr>
          <w:rFonts w:ascii="宋体" w:hAnsi="宋体" w:eastAsia="宋体" w:cs="宋体"/>
          <w:b/>
          <w:bCs/>
          <w:sz w:val="21"/>
          <w:szCs w:val="21"/>
        </w:rPr>
      </w:pPr>
      <w:bookmarkStart w:id="545" w:name="_Toc989428"/>
      <w:r>
        <w:rPr>
          <w:rFonts w:ascii="宋体" w:hAnsi="宋体" w:eastAsia="宋体" w:cs="宋体"/>
          <w:b/>
          <w:bCs/>
          <w:sz w:val="21"/>
          <w:szCs w:val="21"/>
        </w:rPr>
        <w:t>2、以权益结算的股份支付情况</w:t>
      </w:r>
      <w:bookmarkEnd w:id="545"/>
    </w:p>
    <w:p w14:paraId="4A96B361">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FC7DA0D">
      <w:pPr>
        <w:keepNext/>
        <w:keepLines/>
        <w:spacing w:before="300" w:after="300" w:line="280" w:lineRule="exact"/>
        <w:jc w:val="left"/>
        <w:outlineLvl w:val="2"/>
        <w:rPr>
          <w:rFonts w:ascii="宋体" w:hAnsi="宋体" w:eastAsia="宋体" w:cs="宋体"/>
          <w:b/>
          <w:bCs/>
          <w:sz w:val="21"/>
          <w:szCs w:val="21"/>
        </w:rPr>
      </w:pPr>
      <w:bookmarkStart w:id="546" w:name="_Toc989429"/>
      <w:r>
        <w:rPr>
          <w:rFonts w:ascii="宋体" w:hAnsi="宋体" w:eastAsia="宋体" w:cs="宋体"/>
          <w:b/>
          <w:bCs/>
          <w:sz w:val="21"/>
          <w:szCs w:val="21"/>
        </w:rPr>
        <w:t>3、以现金结算的股份支付情况</w:t>
      </w:r>
      <w:bookmarkEnd w:id="546"/>
    </w:p>
    <w:p w14:paraId="15C122D9">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AFCC528">
      <w:pPr>
        <w:keepNext/>
        <w:keepLines/>
        <w:spacing w:before="300" w:after="300" w:line="280" w:lineRule="exact"/>
        <w:jc w:val="left"/>
        <w:outlineLvl w:val="2"/>
        <w:rPr>
          <w:rFonts w:ascii="宋体" w:hAnsi="宋体" w:eastAsia="宋体" w:cs="宋体"/>
          <w:b/>
          <w:bCs/>
          <w:sz w:val="21"/>
          <w:szCs w:val="21"/>
        </w:rPr>
      </w:pPr>
      <w:bookmarkStart w:id="547" w:name="_Toc989430"/>
      <w:r>
        <w:rPr>
          <w:rFonts w:ascii="宋体" w:hAnsi="宋体" w:eastAsia="宋体" w:cs="宋体"/>
          <w:b/>
          <w:bCs/>
          <w:sz w:val="21"/>
          <w:szCs w:val="21"/>
        </w:rPr>
        <w:t>4、本期股份支付费用</w:t>
      </w:r>
      <w:bookmarkEnd w:id="547"/>
    </w:p>
    <w:p w14:paraId="3468A25E">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C122F72">
      <w:pPr>
        <w:keepNext/>
        <w:keepLines/>
        <w:spacing w:before="300" w:after="300" w:line="280" w:lineRule="exact"/>
        <w:jc w:val="left"/>
        <w:outlineLvl w:val="2"/>
        <w:rPr>
          <w:rFonts w:ascii="宋体" w:hAnsi="宋体" w:eastAsia="宋体" w:cs="宋体"/>
          <w:b/>
          <w:bCs/>
          <w:sz w:val="21"/>
          <w:szCs w:val="21"/>
        </w:rPr>
      </w:pPr>
      <w:bookmarkStart w:id="548" w:name="_Toc989431"/>
      <w:r>
        <w:rPr>
          <w:rFonts w:ascii="宋体" w:hAnsi="宋体" w:eastAsia="宋体" w:cs="宋体"/>
          <w:b/>
          <w:bCs/>
          <w:sz w:val="21"/>
          <w:szCs w:val="21"/>
        </w:rPr>
        <w:t>5、股份支付的修改、终止情况</w:t>
      </w:r>
      <w:bookmarkEnd w:id="548"/>
    </w:p>
    <w:p w14:paraId="24845400">
      <w:pPr>
        <w:keepNext/>
        <w:keepLines/>
        <w:spacing w:before="300" w:after="300" w:line="280" w:lineRule="exact"/>
        <w:jc w:val="left"/>
        <w:outlineLvl w:val="2"/>
        <w:rPr>
          <w:rFonts w:ascii="宋体" w:hAnsi="宋体" w:eastAsia="宋体" w:cs="宋体"/>
          <w:b/>
          <w:bCs/>
          <w:sz w:val="21"/>
          <w:szCs w:val="21"/>
        </w:rPr>
      </w:pPr>
      <w:bookmarkStart w:id="549" w:name="_Toc989432"/>
      <w:r>
        <w:rPr>
          <w:rFonts w:ascii="宋体" w:hAnsi="宋体" w:eastAsia="宋体" w:cs="宋体"/>
          <w:b/>
          <w:bCs/>
          <w:sz w:val="21"/>
          <w:szCs w:val="21"/>
        </w:rPr>
        <w:t xml:space="preserve">6、其他 </w:t>
      </w:r>
      <w:bookmarkEnd w:id="549"/>
    </w:p>
    <w:p w14:paraId="3E85B7AC">
      <w:pPr>
        <w:keepNext/>
        <w:keepLines/>
        <w:spacing w:before="300" w:after="300" w:line="320" w:lineRule="exact"/>
        <w:jc w:val="left"/>
        <w:outlineLvl w:val="1"/>
        <w:rPr>
          <w:rFonts w:ascii="宋体" w:hAnsi="宋体" w:eastAsia="宋体" w:cs="宋体"/>
          <w:b/>
          <w:bCs/>
          <w:sz w:val="24"/>
          <w:szCs w:val="24"/>
        </w:rPr>
      </w:pPr>
      <w:bookmarkStart w:id="550" w:name="_Toc989433"/>
      <w:r>
        <w:rPr>
          <w:rFonts w:ascii="宋体" w:hAnsi="宋体" w:eastAsia="宋体" w:cs="宋体"/>
          <w:b/>
          <w:bCs/>
          <w:sz w:val="24"/>
          <w:szCs w:val="24"/>
        </w:rPr>
        <w:t>十六、承诺及或有事项</w:t>
      </w:r>
      <w:bookmarkEnd w:id="550"/>
    </w:p>
    <w:p w14:paraId="5BA6FBCE">
      <w:pPr>
        <w:keepNext/>
        <w:keepLines/>
        <w:spacing w:before="300" w:after="300" w:line="280" w:lineRule="exact"/>
        <w:jc w:val="left"/>
        <w:outlineLvl w:val="2"/>
        <w:rPr>
          <w:rFonts w:ascii="宋体" w:hAnsi="宋体" w:eastAsia="宋体" w:cs="宋体"/>
          <w:b/>
          <w:bCs/>
          <w:sz w:val="21"/>
          <w:szCs w:val="21"/>
        </w:rPr>
      </w:pPr>
      <w:bookmarkStart w:id="551" w:name="_Toc989434"/>
      <w:r>
        <w:rPr>
          <w:rFonts w:ascii="宋体" w:hAnsi="宋体" w:eastAsia="宋体" w:cs="宋体"/>
          <w:b/>
          <w:bCs/>
          <w:sz w:val="21"/>
          <w:szCs w:val="21"/>
        </w:rPr>
        <w:t>1、重要承诺事项</w:t>
      </w:r>
      <w:bookmarkEnd w:id="551"/>
    </w:p>
    <w:p w14:paraId="2446C87A">
      <w:pPr>
        <w:spacing w:before="100" w:after="100" w:line="240" w:lineRule="exact"/>
        <w:jc w:val="left"/>
        <w:rPr>
          <w:rFonts w:ascii="宋体" w:hAnsi="宋体" w:eastAsia="宋体" w:cs="宋体"/>
          <w:sz w:val="18"/>
          <w:szCs w:val="18"/>
        </w:rPr>
      </w:pPr>
      <w:r>
        <w:rPr>
          <w:rFonts w:ascii="宋体" w:hAnsi="宋体" w:eastAsia="宋体" w:cs="宋体"/>
          <w:sz w:val="18"/>
          <w:szCs w:val="18"/>
        </w:rPr>
        <w:t>资产负债表日存在的重要承诺</w:t>
      </w:r>
    </w:p>
    <w:p w14:paraId="5F96B0E9">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1、创新药控股子公司广生中霖增资扩股暨引入投资者导致的本公司回购义务</w:t>
      </w:r>
    </w:p>
    <w:p w14:paraId="55D84A1E">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本公司子公司福建广生中霖生物科技有限公司（以下简称目标公司或广生中霖）于2023年1月以增资扩股方式引入投资者，福州创新创科投资合伙企业（有限合伙）、宁德市汇聚一号股权投资合伙企业（有限合伙）、杭州泰鲲股权投资基金合伙企业（有限合伙）、杭州泰誉四期创业投资合伙企业（有限合伙）合计增资22,000万元，增资完成后前述投资方合计取得广生中霖的股权比例为9.9099%，并附加股权回购条款，具体为：</w:t>
      </w:r>
    </w:p>
    <w:p w14:paraId="360A6A03">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（1）上市安排：目标公司在本次交易完成日后3年内独立在A股（指在上海证券交易所和深圳证券交易所上市，不包含新三板和北交所挂牌）或者港股（指在香港联交所上市）完成IPO上市。</w:t>
      </w:r>
    </w:p>
    <w:p w14:paraId="4556E189">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2）发行股份收购：本次投资交易完成日满1年，投资方可向广生中霖控股股东(即本公司，以下同)发出书面通知，有权要求广生中霖控股股东启动发行股份或“发行股份+现金”的方式购买投资方持有的少数股东权益的程序。如果投资方选择采取“发行股份+现金”的方式，现金比例由双方协商确定。</w:t>
      </w:r>
    </w:p>
    <w:p w14:paraId="08883CB0">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3）股权回购：若协议约定的上市计划未能完成，且自本次投资交易完成日起满3年，投资方未能通过第（2）条实现退出的，投资方有权要求控股股东及（或）控股股东指定并获得投资方同意的第三方（不包括广生中霖）以现金的方式按照约定价格一次性回购投资方所持广生中霖股权。回购对价为以下方式确定的价格孰高者：</w:t>
      </w:r>
    </w:p>
    <w:p w14:paraId="76CF4FE3">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1）投资方投资本金及8%（单利）的年化利率；</w:t>
      </w:r>
    </w:p>
    <w:p w14:paraId="4323F9E9">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回购价格=投资款*（1+8%（单利）*缴付投资款天数/365）（自交易完成日起算至股权回购价款付清之日止）-股权持有期间投资方取得的目标公司发放的现金红利。</w:t>
      </w:r>
    </w:p>
    <w:p w14:paraId="6EC4D404">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2）各方认可的资产评估机构出具的评估报告中投资方持有的广生中霖股权的评估价值，其中，资产评估机构的费用由广生中霖承担。</w:t>
      </w:r>
    </w:p>
    <w:p w14:paraId="5D439445">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若控股股东促使投资方同意的第三方按照上述回购条件受让投资方持有的广生中霖全部股权，投资方视同控股股东履行了回购义务。</w:t>
      </w:r>
    </w:p>
    <w:p w14:paraId="0FB55DE0">
      <w:pPr>
        <w:pStyle w:val="2"/>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1"/>
          <w:szCs w:val="21"/>
        </w:rPr>
      </w:pPr>
      <w:r>
        <w:rPr>
          <w:rFonts w:hint="eastAsia" w:ascii="宋体" w:hAnsi="宋体" w:eastAsia="宋体" w:cs="宋体"/>
          <w:sz w:val="21"/>
          <w:szCs w:val="21"/>
        </w:rPr>
        <w:t>自本次投资交易完成日起</w:t>
      </w:r>
      <w:r>
        <w:rPr>
          <w:rFonts w:hint="default" w:ascii="Times New Roman" w:hAnsi="Times New Roman" w:eastAsia="宋体" w:cs="Times New Roman"/>
          <w:sz w:val="21"/>
          <w:szCs w:val="21"/>
        </w:rPr>
        <w:t>3</w:t>
      </w:r>
      <w:r>
        <w:rPr>
          <w:rFonts w:hint="eastAsia" w:ascii="宋体" w:hAnsi="宋体" w:eastAsia="宋体" w:cs="宋体"/>
          <w:sz w:val="21"/>
          <w:szCs w:val="21"/>
        </w:rPr>
        <w:t>年内，若控股股东存在以下情形，投资方有权随时要求控股股东的股权回购义务提前到期，投资方有权要求控股股东提前履行股权回购义务：（</w:t>
      </w:r>
      <w:r>
        <w:rPr>
          <w:rFonts w:hint="default" w:ascii="Times New Roman" w:hAnsi="Times New Roman" w:eastAsia="宋体" w:cs="Times New Roman"/>
          <w:sz w:val="21"/>
          <w:szCs w:val="21"/>
        </w:rPr>
        <w:t>i</w:t>
      </w:r>
      <w:r>
        <w:rPr>
          <w:rFonts w:hint="eastAsia" w:ascii="宋体" w:hAnsi="宋体" w:eastAsia="宋体" w:cs="宋体"/>
          <w:sz w:val="21"/>
          <w:szCs w:val="21"/>
        </w:rPr>
        <w:t>）实际控制人对控股股东的控制权发生变动，或控股股东对目标公司的控制权发生变动；（</w:t>
      </w:r>
      <w:r>
        <w:rPr>
          <w:rFonts w:hint="default" w:ascii="Times New Roman" w:hAnsi="Times New Roman" w:eastAsia="宋体" w:cs="Times New Roman"/>
          <w:sz w:val="21"/>
          <w:szCs w:val="21"/>
        </w:rPr>
        <w:t>ii</w:t>
      </w:r>
      <w:r>
        <w:rPr>
          <w:rFonts w:hint="eastAsia" w:ascii="宋体" w:hAnsi="宋体" w:eastAsia="宋体" w:cs="宋体"/>
          <w:sz w:val="21"/>
          <w:szCs w:val="21"/>
        </w:rPr>
        <w:t>）证券交易所对控股股东的股票交易进行特别处理（</w:t>
      </w:r>
      <w:r>
        <w:rPr>
          <w:rFonts w:hint="default" w:ascii="Times New Roman" w:hAnsi="Times New Roman" w:eastAsia="宋体" w:cs="Times New Roman"/>
          <w:sz w:val="21"/>
          <w:szCs w:val="21"/>
        </w:rPr>
        <w:t>ST</w:t>
      </w:r>
      <w:r>
        <w:rPr>
          <w:rFonts w:hint="eastAsia" w:ascii="宋体" w:hAnsi="宋体" w:eastAsia="宋体" w:cs="宋体"/>
          <w:sz w:val="21"/>
          <w:szCs w:val="21"/>
        </w:rPr>
        <w:t>）；（</w:t>
      </w:r>
      <w:r>
        <w:rPr>
          <w:rFonts w:hint="default" w:ascii="Times New Roman" w:hAnsi="Times New Roman" w:eastAsia="宋体" w:cs="Times New Roman"/>
          <w:sz w:val="21"/>
          <w:szCs w:val="21"/>
        </w:rPr>
        <w:t>iii</w:t>
      </w:r>
      <w:r>
        <w:rPr>
          <w:rFonts w:hint="eastAsia" w:ascii="宋体" w:hAnsi="宋体" w:eastAsia="宋体" w:cs="宋体"/>
          <w:sz w:val="21"/>
          <w:szCs w:val="21"/>
        </w:rPr>
        <w:t>）控股股东被出具否定意见、无法表示意见的审计报告或被出具证明存在严重违法违规情形的保留意见；（</w:t>
      </w:r>
      <w:r>
        <w:rPr>
          <w:rFonts w:hint="default" w:ascii="Times New Roman" w:hAnsi="Times New Roman" w:eastAsia="宋体" w:cs="Times New Roman"/>
          <w:sz w:val="21"/>
          <w:szCs w:val="21"/>
        </w:rPr>
        <w:t>iiii</w:t>
      </w:r>
      <w:r>
        <w:rPr>
          <w:rFonts w:hint="eastAsia" w:ascii="宋体" w:hAnsi="宋体" w:eastAsia="宋体" w:cs="宋体"/>
          <w:sz w:val="21"/>
          <w:szCs w:val="21"/>
        </w:rPr>
        <w:t>）控股股东被法院强制执行金额超过</w:t>
      </w:r>
      <w:r>
        <w:rPr>
          <w:rFonts w:hint="default" w:ascii="Times New Roman" w:hAnsi="Times New Roman" w:eastAsia="宋体" w:cs="Times New Roman"/>
          <w:sz w:val="21"/>
          <w:szCs w:val="21"/>
        </w:rPr>
        <w:t>5,000</w:t>
      </w:r>
      <w:r>
        <w:rPr>
          <w:rFonts w:hint="eastAsia" w:ascii="宋体" w:hAnsi="宋体" w:eastAsia="宋体" w:cs="宋体"/>
          <w:sz w:val="21"/>
          <w:szCs w:val="21"/>
        </w:rPr>
        <w:t>万元且持续状态超过</w:t>
      </w:r>
      <w:r>
        <w:rPr>
          <w:rFonts w:hint="default" w:ascii="Times New Roman" w:hAnsi="Times New Roman" w:eastAsia="宋体" w:cs="Times New Roman"/>
          <w:sz w:val="21"/>
          <w:szCs w:val="21"/>
        </w:rPr>
        <w:t>3</w:t>
      </w:r>
      <w:r>
        <w:rPr>
          <w:rFonts w:hint="eastAsia" w:ascii="宋体" w:hAnsi="宋体" w:eastAsia="宋体" w:cs="宋体"/>
          <w:sz w:val="21"/>
          <w:szCs w:val="21"/>
        </w:rPr>
        <w:t>个月；（</w:t>
      </w:r>
      <w:r>
        <w:rPr>
          <w:rFonts w:hint="default" w:ascii="Times New Roman" w:hAnsi="Times New Roman" w:eastAsia="宋体" w:cs="Times New Roman"/>
          <w:sz w:val="21"/>
          <w:szCs w:val="21"/>
        </w:rPr>
        <w:t>iiiii</w:t>
      </w:r>
      <w:r>
        <w:rPr>
          <w:rFonts w:hint="eastAsia" w:ascii="宋体" w:hAnsi="宋体" w:eastAsia="宋体" w:cs="宋体"/>
          <w:sz w:val="21"/>
          <w:szCs w:val="21"/>
        </w:rPr>
        <w:t>）控股股东可能导致丧失履行现金回购义务能力的情形。</w:t>
      </w:r>
    </w:p>
    <w:p w14:paraId="5A480DA5">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（4）权利调整</w:t>
      </w:r>
    </w:p>
    <w:p w14:paraId="2542E11D">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若广生中霖提交上市申请并获得受理的，则自广生中霖上市申请材料受理之日起，本补充协议自动终止。但是若广生中霖最终未能完成上市并流通的，则各方同意本补充协议自广生中霖申请撤回之日或者中国证监会或其它有权部门不予核准广生中霖上市申请之日自动恢复法律效力，并对各方自始具有约束力。</w:t>
      </w:r>
    </w:p>
    <w:p w14:paraId="197B108F">
      <w:pPr>
        <w:keepNext/>
        <w:keepLines/>
        <w:spacing w:before="300" w:after="300" w:line="280" w:lineRule="exact"/>
        <w:jc w:val="left"/>
        <w:outlineLvl w:val="2"/>
        <w:rPr>
          <w:rFonts w:ascii="宋体" w:hAnsi="宋体" w:eastAsia="宋体" w:cs="宋体"/>
          <w:b/>
          <w:bCs/>
          <w:sz w:val="21"/>
          <w:szCs w:val="21"/>
        </w:rPr>
      </w:pPr>
      <w:bookmarkStart w:id="552" w:name="_Toc989435"/>
      <w:r>
        <w:rPr>
          <w:rFonts w:ascii="宋体" w:hAnsi="宋体" w:eastAsia="宋体" w:cs="宋体"/>
          <w:b/>
          <w:bCs/>
          <w:sz w:val="21"/>
          <w:szCs w:val="21"/>
        </w:rPr>
        <w:t>2、或有事项</w:t>
      </w:r>
      <w:bookmarkEnd w:id="552"/>
    </w:p>
    <w:p w14:paraId="76E2A167">
      <w:pPr>
        <w:keepNext/>
        <w:keepLines/>
        <w:spacing w:before="300" w:after="300" w:line="280" w:lineRule="exact"/>
        <w:jc w:val="left"/>
        <w:outlineLvl w:val="3"/>
        <w:rPr>
          <w:rFonts w:ascii="宋体" w:hAnsi="宋体" w:eastAsia="宋体" w:cs="宋体"/>
          <w:b/>
          <w:bCs/>
          <w:sz w:val="21"/>
          <w:szCs w:val="21"/>
        </w:rPr>
      </w:pPr>
      <w:bookmarkStart w:id="553" w:name="_Toc989436"/>
      <w:r>
        <w:rPr>
          <w:rFonts w:ascii="宋体" w:hAnsi="宋体" w:eastAsia="宋体" w:cs="宋体"/>
          <w:b/>
          <w:bCs/>
          <w:sz w:val="21"/>
          <w:szCs w:val="21"/>
        </w:rPr>
        <w:t>（1） 资产负债表日存在的重要或有事项</w:t>
      </w:r>
      <w:bookmarkEnd w:id="553"/>
    </w:p>
    <w:p w14:paraId="0085405F">
      <w:pPr>
        <w:keepNext w:val="0"/>
        <w:keepLines w:val="0"/>
        <w:widowControl/>
        <w:numPr>
          <w:ilvl w:val="0"/>
          <w:numId w:val="4"/>
        </w:numPr>
        <w:suppressLineNumbers w:val="0"/>
        <w:spacing w:before="0" w:beforeAutospacing="1" w:after="0" w:afterAutospacing="1"/>
        <w:ind w:left="720" w:hanging="360"/>
      </w:pPr>
      <w:r>
        <w:rPr>
          <w:rStyle w:val="6"/>
          <w:rFonts w:hint="eastAsia" w:ascii="宋体" w:hAnsi="宋体" w:eastAsia="宋体" w:cs="宋体"/>
          <w:sz w:val="18"/>
          <w:szCs w:val="18"/>
        </w:rPr>
        <w:t>未决诉讼或仲裁形成的或有事项及其财务影响</w:t>
      </w:r>
    </w:p>
    <w:tbl>
      <w:tblPr>
        <w:tblStyle w:val="3"/>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72"/>
        <w:gridCol w:w="1115"/>
        <w:gridCol w:w="1331"/>
        <w:gridCol w:w="1826"/>
        <w:gridCol w:w="2324"/>
        <w:gridCol w:w="1327"/>
        <w:gridCol w:w="1432"/>
      </w:tblGrid>
      <w:tr w14:paraId="1F990A5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40" w:hRule="atLeast"/>
          <w:tblHeader/>
        </w:trPr>
        <w:tc>
          <w:tcPr>
            <w:tcW w:w="191" w:type="pct"/>
            <w:tcBorders>
              <w:top w:val="single" w:color="auto" w:sz="8" w:space="0"/>
              <w:left w:val="single" w:color="auto" w:sz="8" w:space="0"/>
              <w:bottom w:val="single" w:color="auto" w:sz="8" w:space="0"/>
              <w:right w:val="single" w:color="auto" w:sz="8" w:space="0"/>
            </w:tcBorders>
            <w:shd w:val="clear" w:color="auto" w:fill="auto"/>
            <w:tcMar>
              <w:left w:w="45" w:type="dxa"/>
              <w:right w:w="45" w:type="dxa"/>
            </w:tcMar>
            <w:vAlign w:val="center"/>
          </w:tcPr>
          <w:p w14:paraId="7D8A19A4">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eastAsia" w:ascii="宋体" w:hAnsi="宋体" w:eastAsia="宋体" w:cs="宋体"/>
                <w:snapToGrid w:val="0"/>
                <w:sz w:val="18"/>
                <w:szCs w:val="18"/>
              </w:rPr>
              <w:t>序号</w:t>
            </w:r>
          </w:p>
        </w:tc>
        <w:tc>
          <w:tcPr>
            <w:tcW w:w="573" w:type="pct"/>
            <w:tcBorders>
              <w:top w:val="single" w:color="auto" w:sz="8" w:space="0"/>
              <w:left w:val="nil"/>
              <w:bottom w:val="single" w:color="auto" w:sz="8" w:space="0"/>
              <w:right w:val="single" w:color="auto" w:sz="8" w:space="0"/>
            </w:tcBorders>
            <w:shd w:val="clear" w:color="auto" w:fill="auto"/>
            <w:tcMar>
              <w:left w:w="45" w:type="dxa"/>
              <w:right w:w="45" w:type="dxa"/>
            </w:tcMar>
            <w:vAlign w:val="center"/>
          </w:tcPr>
          <w:p w14:paraId="6F1E48C9">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eastAsia" w:ascii="宋体" w:hAnsi="宋体" w:eastAsia="宋体" w:cs="宋体"/>
                <w:snapToGrid w:val="0"/>
                <w:sz w:val="18"/>
                <w:szCs w:val="18"/>
              </w:rPr>
              <w:t>案号</w:t>
            </w:r>
          </w:p>
        </w:tc>
        <w:tc>
          <w:tcPr>
            <w:tcW w:w="684" w:type="pct"/>
            <w:tcBorders>
              <w:top w:val="single" w:color="auto" w:sz="8" w:space="0"/>
              <w:left w:val="nil"/>
              <w:bottom w:val="single" w:color="auto" w:sz="8" w:space="0"/>
              <w:right w:val="single" w:color="auto" w:sz="8" w:space="0"/>
            </w:tcBorders>
            <w:shd w:val="clear" w:color="auto" w:fill="auto"/>
            <w:tcMar>
              <w:left w:w="45" w:type="dxa"/>
              <w:right w:w="45" w:type="dxa"/>
            </w:tcMar>
            <w:vAlign w:val="center"/>
          </w:tcPr>
          <w:p w14:paraId="42EC3FF5">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ascii="Arial Narrow" w:hAnsi="Arial Narrow" w:eastAsia="Arial Narrow" w:cs="Arial Narrow"/>
                <w:snapToGrid w:val="0"/>
                <w:color w:val="000000"/>
                <w:sz w:val="18"/>
                <w:szCs w:val="18"/>
                <w:u w:val="none"/>
              </w:rPr>
              <w:t>原告</w:t>
            </w:r>
          </w:p>
        </w:tc>
        <w:tc>
          <w:tcPr>
            <w:tcW w:w="938" w:type="pct"/>
            <w:tcBorders>
              <w:top w:val="single" w:color="auto" w:sz="8" w:space="0"/>
              <w:left w:val="nil"/>
              <w:bottom w:val="single" w:color="auto" w:sz="8" w:space="0"/>
              <w:right w:val="single" w:color="auto" w:sz="8" w:space="0"/>
            </w:tcBorders>
            <w:shd w:val="clear" w:color="auto" w:fill="auto"/>
            <w:tcMar>
              <w:left w:w="45" w:type="dxa"/>
              <w:right w:w="45" w:type="dxa"/>
            </w:tcMar>
            <w:vAlign w:val="center"/>
          </w:tcPr>
          <w:p w14:paraId="4E6DFEFC">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eastAsia" w:ascii="宋体" w:hAnsi="宋体" w:eastAsia="宋体" w:cs="宋体"/>
                <w:b/>
                <w:bCs/>
                <w:snapToGrid w:val="0"/>
                <w:color w:val="000000"/>
                <w:sz w:val="18"/>
                <w:szCs w:val="18"/>
                <w:u w:val="none"/>
              </w:rPr>
              <w:t>被告</w:t>
            </w:r>
          </w:p>
        </w:tc>
        <w:tc>
          <w:tcPr>
            <w:tcW w:w="1194" w:type="pct"/>
            <w:tcBorders>
              <w:top w:val="single" w:color="auto" w:sz="8" w:space="0"/>
              <w:left w:val="nil"/>
              <w:bottom w:val="single" w:color="auto" w:sz="8" w:space="0"/>
              <w:right w:val="single" w:color="auto" w:sz="8" w:space="0"/>
            </w:tcBorders>
            <w:shd w:val="clear" w:color="auto" w:fill="auto"/>
            <w:tcMar>
              <w:left w:w="45" w:type="dxa"/>
              <w:right w:w="45" w:type="dxa"/>
            </w:tcMar>
            <w:vAlign w:val="center"/>
          </w:tcPr>
          <w:p w14:paraId="5FBDA1CE">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Arial Narrow" w:hAnsi="Arial Narrow" w:eastAsia="Arial Narrow" w:cs="Arial Narrow"/>
                <w:snapToGrid w:val="0"/>
                <w:color w:val="000000"/>
                <w:sz w:val="18"/>
                <w:szCs w:val="18"/>
                <w:u w:val="none"/>
              </w:rPr>
              <w:t>案由</w:t>
            </w:r>
          </w:p>
        </w:tc>
        <w:tc>
          <w:tcPr>
            <w:tcW w:w="682" w:type="pct"/>
            <w:tcBorders>
              <w:top w:val="single" w:color="auto" w:sz="8" w:space="0"/>
              <w:left w:val="nil"/>
              <w:bottom w:val="single" w:color="auto" w:sz="8" w:space="0"/>
              <w:right w:val="single" w:color="auto" w:sz="8" w:space="0"/>
            </w:tcBorders>
            <w:shd w:val="clear" w:color="auto" w:fill="auto"/>
            <w:tcMar>
              <w:left w:w="45" w:type="dxa"/>
              <w:right w:w="45" w:type="dxa"/>
            </w:tcMar>
            <w:vAlign w:val="center"/>
          </w:tcPr>
          <w:p w14:paraId="0410C696">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Arial Narrow" w:hAnsi="Arial Narrow" w:eastAsia="Arial Narrow" w:cs="Arial Narrow"/>
                <w:snapToGrid w:val="0"/>
                <w:color w:val="000000"/>
                <w:sz w:val="18"/>
                <w:szCs w:val="18"/>
                <w:u w:val="none"/>
              </w:rPr>
              <w:t>金额</w:t>
            </w:r>
          </w:p>
        </w:tc>
        <w:tc>
          <w:tcPr>
            <w:tcW w:w="736" w:type="pct"/>
            <w:tcBorders>
              <w:top w:val="single" w:color="auto" w:sz="8" w:space="0"/>
              <w:left w:val="nil"/>
              <w:bottom w:val="single" w:color="auto" w:sz="8" w:space="0"/>
              <w:right w:val="single" w:color="auto" w:sz="8" w:space="0"/>
            </w:tcBorders>
            <w:shd w:val="clear" w:color="auto" w:fill="auto"/>
            <w:tcMar>
              <w:left w:w="45" w:type="dxa"/>
              <w:right w:w="45" w:type="dxa"/>
            </w:tcMar>
            <w:vAlign w:val="center"/>
          </w:tcPr>
          <w:p w14:paraId="4A013748">
            <w:pPr>
              <w:pStyle w:val="2"/>
              <w:keepNext w:val="0"/>
              <w:keepLines w:val="0"/>
              <w:widowControl/>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eastAsia" w:ascii="宋体" w:hAnsi="宋体" w:eastAsia="宋体" w:cs="宋体"/>
                <w:snapToGrid w:val="0"/>
                <w:sz w:val="18"/>
                <w:szCs w:val="18"/>
              </w:rPr>
              <w:t>案件进展（截至报告日）</w:t>
            </w:r>
          </w:p>
        </w:tc>
      </w:tr>
      <w:tr w14:paraId="304FC35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340" w:hRule="atLeast"/>
        </w:trPr>
        <w:tc>
          <w:tcPr>
            <w:tcW w:w="191" w:type="pct"/>
            <w:tcBorders>
              <w:top w:val="nil"/>
              <w:left w:val="single" w:color="auto" w:sz="8" w:space="0"/>
              <w:bottom w:val="single" w:color="auto" w:sz="8" w:space="0"/>
              <w:right w:val="single" w:color="auto" w:sz="8" w:space="0"/>
            </w:tcBorders>
            <w:shd w:val="clear" w:color="auto" w:fill="auto"/>
            <w:tcMar>
              <w:left w:w="45" w:type="dxa"/>
              <w:right w:w="45" w:type="dxa"/>
            </w:tcMar>
            <w:vAlign w:val="center"/>
          </w:tcPr>
          <w:p w14:paraId="7AB0CF1A">
            <w:pPr>
              <w:pStyle w:val="2"/>
              <w:keepNext w:val="0"/>
              <w:keepLines w:val="0"/>
              <w:widowControl/>
              <w:suppressLineNumbers w:val="0"/>
              <w:spacing w:before="0" w:beforeAutospacing="0" w:after="0" w:afterAutospacing="0" w:line="240" w:lineRule="atLeast"/>
              <w:ind w:left="0" w:right="0"/>
              <w:rPr>
                <w:rFonts w:hint="default" w:ascii="Times New Roman" w:hAnsi="Times New Roman" w:cs="Times New Roman"/>
                <w:sz w:val="21"/>
                <w:szCs w:val="21"/>
              </w:rPr>
            </w:pPr>
            <w:r>
              <w:rPr>
                <w:rFonts w:hint="default" w:ascii="Arial Narrow" w:hAnsi="Arial Narrow" w:eastAsia="Arial Narrow" w:cs="Arial Narrow"/>
                <w:snapToGrid w:val="0"/>
                <w:sz w:val="18"/>
                <w:szCs w:val="18"/>
              </w:rPr>
              <w:t>1</w:t>
            </w:r>
          </w:p>
        </w:tc>
        <w:tc>
          <w:tcPr>
            <w:tcW w:w="573" w:type="pct"/>
            <w:tcBorders>
              <w:top w:val="nil"/>
              <w:left w:val="nil"/>
              <w:bottom w:val="single" w:color="auto" w:sz="8" w:space="0"/>
              <w:right w:val="single" w:color="auto" w:sz="8" w:space="0"/>
            </w:tcBorders>
            <w:shd w:val="clear" w:color="auto" w:fill="auto"/>
            <w:tcMar>
              <w:left w:w="45" w:type="dxa"/>
              <w:right w:w="45" w:type="dxa"/>
            </w:tcMar>
            <w:vAlign w:val="center"/>
          </w:tcPr>
          <w:p w14:paraId="022580F6">
            <w:pPr>
              <w:pStyle w:val="2"/>
              <w:keepNext w:val="0"/>
              <w:keepLines w:val="0"/>
              <w:widowControl/>
              <w:suppressLineNumbers w:val="0"/>
              <w:spacing w:before="0" w:beforeAutospacing="0" w:after="0" w:afterAutospacing="0" w:line="240" w:lineRule="atLeast"/>
              <w:ind w:left="0" w:right="0"/>
              <w:rPr>
                <w:rFonts w:hint="default" w:ascii="Times New Roman" w:hAnsi="Times New Roman" w:cs="Times New Roman"/>
                <w:sz w:val="21"/>
                <w:szCs w:val="21"/>
              </w:rPr>
            </w:pPr>
            <w:r>
              <w:rPr>
                <w:rFonts w:hint="default" w:ascii="Arial Narrow" w:hAnsi="Arial Narrow" w:eastAsia="Arial Narrow" w:cs="Arial Narrow"/>
                <w:snapToGrid w:val="0"/>
                <w:sz w:val="18"/>
                <w:szCs w:val="18"/>
              </w:rPr>
              <w:t> </w:t>
            </w:r>
          </w:p>
        </w:tc>
        <w:tc>
          <w:tcPr>
            <w:tcW w:w="684" w:type="pct"/>
            <w:tcBorders>
              <w:top w:val="nil"/>
              <w:left w:val="nil"/>
              <w:bottom w:val="single" w:color="auto" w:sz="8" w:space="0"/>
              <w:right w:val="single" w:color="auto" w:sz="8" w:space="0"/>
            </w:tcBorders>
            <w:shd w:val="clear" w:color="auto" w:fill="auto"/>
            <w:tcMar>
              <w:left w:w="45" w:type="dxa"/>
              <w:right w:w="45" w:type="dxa"/>
            </w:tcMar>
            <w:vAlign w:val="center"/>
          </w:tcPr>
          <w:p w14:paraId="4E67D50F">
            <w:pPr>
              <w:pStyle w:val="2"/>
              <w:keepNext w:val="0"/>
              <w:keepLines w:val="0"/>
              <w:widowControl/>
              <w:suppressLineNumbers w:val="0"/>
              <w:spacing w:before="0" w:beforeAutospacing="0" w:after="0" w:afterAutospacing="0" w:line="240" w:lineRule="atLeast"/>
              <w:ind w:left="0" w:right="0"/>
              <w:rPr>
                <w:rFonts w:hint="default" w:ascii="Times New Roman" w:hAnsi="Times New Roman" w:cs="Times New Roman"/>
                <w:sz w:val="21"/>
                <w:szCs w:val="21"/>
              </w:rPr>
            </w:pPr>
            <w:r>
              <w:rPr>
                <w:rFonts w:hint="eastAsia" w:ascii="宋体" w:hAnsi="宋体" w:eastAsia="宋体" w:cs="宋体"/>
                <w:snapToGrid w:val="0"/>
                <w:sz w:val="18"/>
                <w:szCs w:val="18"/>
              </w:rPr>
              <w:t>公司</w:t>
            </w:r>
          </w:p>
        </w:tc>
        <w:tc>
          <w:tcPr>
            <w:tcW w:w="938" w:type="pct"/>
            <w:tcBorders>
              <w:top w:val="nil"/>
              <w:left w:val="nil"/>
              <w:bottom w:val="single" w:color="auto" w:sz="8" w:space="0"/>
              <w:right w:val="single" w:color="auto" w:sz="8" w:space="0"/>
            </w:tcBorders>
            <w:shd w:val="clear" w:color="auto" w:fill="auto"/>
            <w:tcMar>
              <w:left w:w="45" w:type="dxa"/>
              <w:right w:w="45" w:type="dxa"/>
            </w:tcMar>
            <w:vAlign w:val="center"/>
          </w:tcPr>
          <w:p w14:paraId="039CCAB1">
            <w:pPr>
              <w:pStyle w:val="2"/>
              <w:keepNext w:val="0"/>
              <w:keepLines w:val="0"/>
              <w:widowControl/>
              <w:suppressLineNumbers w:val="0"/>
              <w:spacing w:before="0" w:beforeAutospacing="0" w:after="0" w:afterAutospacing="0" w:line="240" w:lineRule="atLeast"/>
              <w:ind w:left="0" w:right="0"/>
              <w:rPr>
                <w:rFonts w:hint="default" w:ascii="Times New Roman" w:hAnsi="Times New Roman" w:cs="Times New Roman"/>
                <w:sz w:val="21"/>
                <w:szCs w:val="21"/>
              </w:rPr>
            </w:pPr>
            <w:r>
              <w:rPr>
                <w:rFonts w:hint="eastAsia" w:ascii="宋体" w:hAnsi="宋体" w:eastAsia="宋体" w:cs="宋体"/>
                <w:snapToGrid w:val="0"/>
                <w:sz w:val="18"/>
                <w:szCs w:val="18"/>
              </w:rPr>
              <w:t>与歌礼药业</w:t>
            </w:r>
            <w:r>
              <w:rPr>
                <w:rFonts w:hint="default" w:ascii="Arial Narrow" w:hAnsi="Arial Narrow" w:eastAsia="Arial Narrow" w:cs="Arial Narrow"/>
                <w:snapToGrid w:val="0"/>
                <w:sz w:val="18"/>
                <w:szCs w:val="18"/>
              </w:rPr>
              <w:t>(</w:t>
            </w:r>
            <w:r>
              <w:rPr>
                <w:rFonts w:hint="eastAsia" w:ascii="宋体" w:hAnsi="宋体" w:eastAsia="宋体" w:cs="宋体"/>
                <w:snapToGrid w:val="0"/>
                <w:sz w:val="18"/>
                <w:szCs w:val="18"/>
              </w:rPr>
              <w:t>浙江</w:t>
            </w:r>
            <w:r>
              <w:rPr>
                <w:rFonts w:hint="default" w:ascii="Arial Narrow" w:hAnsi="Arial Narrow" w:eastAsia="Arial Narrow" w:cs="Arial Narrow"/>
                <w:snapToGrid w:val="0"/>
                <w:sz w:val="18"/>
                <w:szCs w:val="18"/>
              </w:rPr>
              <w:t>)</w:t>
            </w:r>
            <w:r>
              <w:rPr>
                <w:rFonts w:hint="eastAsia" w:ascii="宋体" w:hAnsi="宋体" w:eastAsia="宋体" w:cs="宋体"/>
                <w:snapToGrid w:val="0"/>
                <w:sz w:val="18"/>
                <w:szCs w:val="18"/>
              </w:rPr>
              <w:t>有限公司</w:t>
            </w:r>
          </w:p>
        </w:tc>
        <w:tc>
          <w:tcPr>
            <w:tcW w:w="1194" w:type="pct"/>
            <w:tcBorders>
              <w:top w:val="nil"/>
              <w:left w:val="nil"/>
              <w:bottom w:val="single" w:color="auto" w:sz="8" w:space="0"/>
              <w:right w:val="single" w:color="auto" w:sz="8" w:space="0"/>
            </w:tcBorders>
            <w:shd w:val="clear" w:color="auto" w:fill="auto"/>
            <w:tcMar>
              <w:left w:w="45" w:type="dxa"/>
              <w:right w:w="45" w:type="dxa"/>
            </w:tcMar>
            <w:vAlign w:val="center"/>
          </w:tcPr>
          <w:p w14:paraId="2DBFFBA3">
            <w:pPr>
              <w:pStyle w:val="2"/>
              <w:keepNext w:val="0"/>
              <w:keepLines w:val="0"/>
              <w:widowControl/>
              <w:suppressLineNumbers w:val="0"/>
              <w:spacing w:before="0" w:beforeAutospacing="0" w:after="0" w:afterAutospacing="0" w:line="240" w:lineRule="atLeast"/>
              <w:ind w:left="0" w:right="0"/>
              <w:rPr>
                <w:rFonts w:hint="default" w:ascii="Times New Roman" w:hAnsi="Times New Roman" w:cs="Times New Roman"/>
                <w:sz w:val="21"/>
                <w:szCs w:val="21"/>
              </w:rPr>
            </w:pPr>
            <w:r>
              <w:rPr>
                <w:rFonts w:hint="eastAsia" w:ascii="宋体" w:hAnsi="宋体" w:eastAsia="宋体" w:cs="宋体"/>
                <w:snapToGrid w:val="0"/>
                <w:sz w:val="18"/>
                <w:szCs w:val="18"/>
              </w:rPr>
              <w:t>合同纠纷</w:t>
            </w:r>
          </w:p>
        </w:tc>
        <w:tc>
          <w:tcPr>
            <w:tcW w:w="682" w:type="pct"/>
            <w:tcBorders>
              <w:top w:val="nil"/>
              <w:left w:val="nil"/>
              <w:bottom w:val="single" w:color="auto" w:sz="8" w:space="0"/>
              <w:right w:val="single" w:color="auto" w:sz="8" w:space="0"/>
            </w:tcBorders>
            <w:shd w:val="clear" w:color="auto" w:fill="auto"/>
            <w:tcMar>
              <w:left w:w="45" w:type="dxa"/>
              <w:right w:w="45" w:type="dxa"/>
            </w:tcMar>
            <w:vAlign w:val="center"/>
          </w:tcPr>
          <w:p w14:paraId="69CA70F0">
            <w:pPr>
              <w:pStyle w:val="2"/>
              <w:keepNext w:val="0"/>
              <w:keepLines w:val="0"/>
              <w:widowControl/>
              <w:suppressLineNumbers w:val="0"/>
              <w:spacing w:before="0" w:beforeAutospacing="0" w:after="0" w:afterAutospacing="0" w:line="240" w:lineRule="atLeast"/>
              <w:ind w:left="0" w:right="0"/>
              <w:rPr>
                <w:rFonts w:hint="default" w:ascii="Times New Roman" w:hAnsi="Times New Roman" w:cs="Times New Roman"/>
                <w:sz w:val="21"/>
                <w:szCs w:val="21"/>
              </w:rPr>
            </w:pPr>
            <w:r>
              <w:rPr>
                <w:rFonts w:hint="default" w:ascii="Arial Narrow" w:hAnsi="Arial Narrow" w:eastAsia="Arial Narrow" w:cs="Arial Narrow"/>
                <w:snapToGrid w:val="0"/>
                <w:sz w:val="18"/>
                <w:szCs w:val="18"/>
              </w:rPr>
              <w:t>3,768.87</w:t>
            </w:r>
            <w:r>
              <w:rPr>
                <w:rFonts w:hint="eastAsia" w:ascii="宋体" w:hAnsi="宋体" w:eastAsia="宋体" w:cs="宋体"/>
                <w:snapToGrid w:val="0"/>
                <w:sz w:val="18"/>
                <w:szCs w:val="18"/>
              </w:rPr>
              <w:t>万元</w:t>
            </w:r>
          </w:p>
        </w:tc>
        <w:tc>
          <w:tcPr>
            <w:tcW w:w="736" w:type="pct"/>
            <w:tcBorders>
              <w:top w:val="nil"/>
              <w:left w:val="nil"/>
              <w:bottom w:val="single" w:color="auto" w:sz="8" w:space="0"/>
              <w:right w:val="single" w:color="auto" w:sz="8" w:space="0"/>
            </w:tcBorders>
            <w:shd w:val="clear" w:color="auto" w:fill="auto"/>
            <w:tcMar>
              <w:left w:w="45" w:type="dxa"/>
              <w:right w:w="45" w:type="dxa"/>
            </w:tcMar>
            <w:vAlign w:val="center"/>
          </w:tcPr>
          <w:p w14:paraId="63997AB5">
            <w:pPr>
              <w:pStyle w:val="2"/>
              <w:keepNext w:val="0"/>
              <w:keepLines w:val="0"/>
              <w:widowControl/>
              <w:suppressLineNumbers w:val="0"/>
              <w:spacing w:before="0" w:beforeAutospacing="0" w:after="0" w:afterAutospacing="0" w:line="240" w:lineRule="atLeast"/>
              <w:ind w:left="0" w:right="0"/>
              <w:rPr>
                <w:rFonts w:hint="default" w:ascii="Times New Roman" w:hAnsi="Times New Roman" w:cs="Times New Roman"/>
                <w:sz w:val="21"/>
                <w:szCs w:val="21"/>
              </w:rPr>
            </w:pPr>
            <w:r>
              <w:rPr>
                <w:rFonts w:hint="default" w:ascii="Arial Narrow" w:hAnsi="Arial Narrow" w:eastAsia="Arial Narrow" w:cs="Arial Narrow"/>
                <w:snapToGrid w:val="0"/>
                <w:sz w:val="18"/>
                <w:szCs w:val="18"/>
              </w:rPr>
              <w:t> </w:t>
            </w:r>
          </w:p>
        </w:tc>
      </w:tr>
    </w:tbl>
    <w:p w14:paraId="13D4552F">
      <w:pPr>
        <w:pStyle w:val="2"/>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sz w:val="21"/>
          <w:szCs w:val="21"/>
        </w:rPr>
        <w:t>公司于2024年3月13日提起与歌礼药业(浙江)有限公司有关合同纠纷事宜的仲裁，仲裁请求金额为人民币3,768.87万元，2025年3月10日，上海国际经济贸易仲裁委员会(上海国际仲裁中心)作出裁决，裁决歌礼药业赔偿1,808,164片利托那韦片的货款损失人民币 8,317.554.40元及相应资金占用损失，资金占用损失以前述金额为基数，按照现行一年期LPR3.45%(日利率按照年利率的三百六十五分之一计算)的标准，自2023年12月14日开始计算，计至歌礼药业足额支付款项之日止;(三)裁决歌礼药业赔偿5,181.340片利托那韦片的部分货款损失人民币 2,383,416.40元及相应资金占用损失，资金占用损失以前述金额为基数，按照现行一年期LPR3.45%(日利率按照年利率的三百六十五分之一计算)的标准，自2024年3月15日开始计算，计至歌礼药业足额支付款项之日止;2025年3月20日公司收到歌礼仲裁赔偿款11,307,532.70元。</w:t>
      </w:r>
    </w:p>
    <w:p w14:paraId="78A6638B">
      <w:pPr>
        <w:keepNext/>
        <w:keepLines/>
        <w:spacing w:before="300" w:after="300" w:line="280" w:lineRule="exact"/>
        <w:jc w:val="left"/>
        <w:outlineLvl w:val="3"/>
        <w:rPr>
          <w:rFonts w:ascii="宋体" w:hAnsi="宋体" w:eastAsia="宋体" w:cs="宋体"/>
          <w:b/>
          <w:bCs/>
          <w:sz w:val="21"/>
          <w:szCs w:val="21"/>
        </w:rPr>
      </w:pPr>
      <w:bookmarkStart w:id="554" w:name="_Toc989437"/>
      <w:r>
        <w:rPr>
          <w:rFonts w:ascii="宋体" w:hAnsi="宋体" w:eastAsia="宋体" w:cs="宋体"/>
          <w:b/>
          <w:bCs/>
          <w:sz w:val="21"/>
          <w:szCs w:val="21"/>
        </w:rPr>
        <w:t>（2） 公司没有需要披露的重要或有事项，也应予以说明</w:t>
      </w:r>
      <w:bookmarkEnd w:id="554"/>
    </w:p>
    <w:p w14:paraId="6AD51317">
      <w:pPr>
        <w:spacing w:before="40" w:after="40" w:line="240" w:lineRule="exact"/>
        <w:jc w:val="left"/>
        <w:rPr>
          <w:rFonts w:ascii="宋体" w:hAnsi="宋体" w:eastAsia="宋体" w:cs="宋体"/>
          <w:sz w:val="18"/>
          <w:szCs w:val="18"/>
        </w:rPr>
      </w:pPr>
      <w:r>
        <w:rPr>
          <w:rFonts w:ascii="宋体" w:hAnsi="宋体" w:eastAsia="宋体" w:cs="宋体"/>
          <w:sz w:val="18"/>
          <w:szCs w:val="18"/>
        </w:rPr>
        <w:t>公司不存在需要披露的重要或有事项。</w:t>
      </w:r>
    </w:p>
    <w:p w14:paraId="33D91FE4">
      <w:pPr>
        <w:keepNext/>
        <w:keepLines/>
        <w:spacing w:before="300" w:after="300" w:line="280" w:lineRule="exact"/>
        <w:jc w:val="left"/>
        <w:outlineLvl w:val="2"/>
        <w:rPr>
          <w:rFonts w:ascii="宋体" w:hAnsi="宋体" w:eastAsia="宋体" w:cs="宋体"/>
          <w:b/>
          <w:bCs/>
          <w:sz w:val="21"/>
          <w:szCs w:val="21"/>
        </w:rPr>
      </w:pPr>
      <w:bookmarkStart w:id="555" w:name="_Toc989438"/>
      <w:r>
        <w:rPr>
          <w:rFonts w:ascii="宋体" w:hAnsi="宋体" w:eastAsia="宋体" w:cs="宋体"/>
          <w:b/>
          <w:bCs/>
          <w:sz w:val="21"/>
          <w:szCs w:val="21"/>
        </w:rPr>
        <w:t>3、其他</w:t>
      </w:r>
      <w:bookmarkEnd w:id="555"/>
    </w:p>
    <w:p w14:paraId="1EFBCE7C">
      <w:pPr>
        <w:keepNext/>
        <w:keepLines/>
        <w:spacing w:before="300" w:after="300" w:line="320" w:lineRule="exact"/>
        <w:jc w:val="left"/>
        <w:outlineLvl w:val="1"/>
        <w:rPr>
          <w:rFonts w:ascii="宋体" w:hAnsi="宋体" w:eastAsia="宋体" w:cs="宋体"/>
          <w:b/>
          <w:bCs/>
          <w:sz w:val="24"/>
          <w:szCs w:val="24"/>
        </w:rPr>
      </w:pPr>
      <w:bookmarkStart w:id="556" w:name="_Toc989439"/>
      <w:r>
        <w:rPr>
          <w:rFonts w:ascii="宋体" w:hAnsi="宋体" w:eastAsia="宋体" w:cs="宋体"/>
          <w:b/>
          <w:bCs/>
          <w:sz w:val="24"/>
          <w:szCs w:val="24"/>
        </w:rPr>
        <w:t>十七、资产负债表日后事项</w:t>
      </w:r>
      <w:bookmarkEnd w:id="556"/>
    </w:p>
    <w:p w14:paraId="01FF25EA">
      <w:pPr>
        <w:keepNext/>
        <w:keepLines/>
        <w:spacing w:before="300" w:after="300" w:line="280" w:lineRule="exact"/>
        <w:jc w:val="left"/>
        <w:outlineLvl w:val="2"/>
        <w:rPr>
          <w:rFonts w:ascii="宋体" w:hAnsi="宋体" w:eastAsia="宋体" w:cs="宋体"/>
          <w:b/>
          <w:bCs/>
          <w:sz w:val="21"/>
          <w:szCs w:val="21"/>
        </w:rPr>
      </w:pPr>
      <w:bookmarkStart w:id="557" w:name="_Toc989440"/>
      <w:r>
        <w:rPr>
          <w:rFonts w:ascii="宋体" w:hAnsi="宋体" w:eastAsia="宋体" w:cs="宋体"/>
          <w:b/>
          <w:bCs/>
          <w:sz w:val="21"/>
          <w:szCs w:val="21"/>
        </w:rPr>
        <w:t>1、重要的非调整事项</w:t>
      </w:r>
      <w:bookmarkEnd w:id="557"/>
    </w:p>
    <w:p w14:paraId="00DD098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49D1F2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749C34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6166285">
            <w:pPr>
              <w:spacing w:before="40" w:after="40" w:line="240" w:lineRule="exact"/>
              <w:jc w:val="center"/>
              <w:rPr>
                <w:rFonts w:ascii="宋体" w:hAnsi="宋体" w:eastAsia="宋体" w:cs="宋体"/>
                <w:sz w:val="18"/>
                <w:szCs w:val="18"/>
              </w:rPr>
            </w:pPr>
            <w:r>
              <w:rPr>
                <w:rFonts w:ascii="宋体" w:hAnsi="宋体" w:eastAsia="宋体" w:cs="宋体"/>
                <w:sz w:val="18"/>
                <w:szCs w:val="18"/>
              </w:rPr>
              <w:t>内容</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614B8D2">
            <w:pPr>
              <w:spacing w:before="40" w:after="40" w:line="240" w:lineRule="exact"/>
              <w:jc w:val="center"/>
              <w:rPr>
                <w:rFonts w:ascii="宋体" w:hAnsi="宋体" w:eastAsia="宋体" w:cs="宋体"/>
                <w:sz w:val="18"/>
                <w:szCs w:val="18"/>
              </w:rPr>
            </w:pPr>
            <w:r>
              <w:rPr>
                <w:rFonts w:ascii="宋体" w:hAnsi="宋体" w:eastAsia="宋体" w:cs="宋体"/>
                <w:sz w:val="18"/>
                <w:szCs w:val="18"/>
              </w:rPr>
              <w:t>对财务状况和经营成果的影响数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BCF2EF9">
            <w:pPr>
              <w:spacing w:before="40" w:after="40" w:line="240" w:lineRule="exact"/>
              <w:jc w:val="center"/>
              <w:rPr>
                <w:rFonts w:ascii="宋体" w:hAnsi="宋体" w:eastAsia="宋体" w:cs="宋体"/>
                <w:sz w:val="18"/>
                <w:szCs w:val="18"/>
              </w:rPr>
            </w:pPr>
            <w:r>
              <w:rPr>
                <w:rFonts w:ascii="宋体" w:hAnsi="宋体" w:eastAsia="宋体" w:cs="宋体"/>
                <w:sz w:val="18"/>
                <w:szCs w:val="18"/>
              </w:rPr>
              <w:t>无法估计影响数的原因</w:t>
            </w:r>
          </w:p>
        </w:tc>
      </w:tr>
      <w:tr w14:paraId="5128D3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0E15FA9">
            <w:pPr>
              <w:spacing w:before="40" w:after="40" w:line="240" w:lineRule="exact"/>
              <w:jc w:val="left"/>
              <w:rPr>
                <w:rFonts w:ascii="宋体" w:hAnsi="宋体" w:eastAsia="宋体" w:cs="宋体"/>
                <w:sz w:val="18"/>
                <w:szCs w:val="18"/>
              </w:rPr>
            </w:pPr>
            <w:r>
              <w:rPr>
                <w:rFonts w:ascii="宋体" w:hAnsi="宋体" w:eastAsia="宋体" w:cs="宋体"/>
                <w:sz w:val="18"/>
                <w:szCs w:val="18"/>
              </w:rPr>
              <w:t>股票和债券的发行</w:t>
            </w:r>
          </w:p>
        </w:tc>
        <w:tc>
          <w:tcPr>
            <w:tcW w:w="2410" w:type="dxa"/>
            <w:tcBorders>
              <w:top w:val="single" w:color="auto" w:sz="2" w:space="0"/>
              <w:left w:val="single" w:color="auto" w:sz="2" w:space="0"/>
              <w:bottom w:val="single" w:color="auto" w:sz="2" w:space="0"/>
              <w:right w:val="single" w:color="auto" w:sz="2" w:space="0"/>
            </w:tcBorders>
            <w:vAlign w:val="center"/>
          </w:tcPr>
          <w:p w14:paraId="4A750048">
            <w:pPr>
              <w:spacing w:before="0" w:after="0" w:line="240" w:lineRule="exact"/>
              <w:jc w:val="left"/>
              <w:rPr>
                <w:rFonts w:ascii="宋体" w:hAnsi="宋体" w:eastAsia="宋体" w:cs="宋体"/>
                <w:sz w:val="18"/>
                <w:szCs w:val="18"/>
              </w:rPr>
            </w:pPr>
            <w:r>
              <w:rPr>
                <w:rFonts w:ascii="宋体" w:hAnsi="宋体" w:eastAsia="宋体" w:cs="宋体"/>
                <w:sz w:val="18"/>
                <w:szCs w:val="18"/>
              </w:rPr>
              <w:t>向特定对象非公开发行股份</w:t>
            </w:r>
          </w:p>
        </w:tc>
        <w:tc>
          <w:tcPr>
            <w:tcW w:w="2410" w:type="dxa"/>
            <w:tcBorders>
              <w:top w:val="single" w:color="auto" w:sz="2" w:space="0"/>
              <w:left w:val="single" w:color="auto" w:sz="2" w:space="0"/>
              <w:bottom w:val="single" w:color="auto" w:sz="2" w:space="0"/>
              <w:right w:val="single" w:color="auto" w:sz="2" w:space="0"/>
            </w:tcBorders>
            <w:vAlign w:val="center"/>
          </w:tcPr>
          <w:p w14:paraId="6AE21111">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F67A7FF">
            <w:pPr>
              <w:spacing w:before="0" w:after="0" w:line="240" w:lineRule="exact"/>
              <w:jc w:val="left"/>
              <w:rPr>
                <w:rFonts w:ascii="宋体" w:hAnsi="宋体" w:eastAsia="宋体" w:cs="宋体"/>
                <w:sz w:val="18"/>
                <w:szCs w:val="18"/>
              </w:rPr>
            </w:pPr>
            <w:r>
              <w:rPr>
                <w:rFonts w:ascii="宋体" w:hAnsi="宋体" w:eastAsia="宋体" w:cs="宋体"/>
                <w:sz w:val="18"/>
                <w:szCs w:val="18"/>
              </w:rPr>
              <w:t>本次向特定对象发行A股股票数量不超过 47.780.100 股(含本数)，本次向特定对象发行募集资金到位后，公司的总资产和净资产均将相应增加，公司的资产结构将得到进一步的优化，公司资产负债率也将相应降低，财务结构更加稳健。</w:t>
            </w:r>
          </w:p>
        </w:tc>
      </w:tr>
    </w:tbl>
    <w:p w14:paraId="472CBD82">
      <w:pPr>
        <w:keepNext/>
        <w:keepLines/>
        <w:spacing w:before="300" w:after="300" w:line="280" w:lineRule="exact"/>
        <w:jc w:val="left"/>
        <w:outlineLvl w:val="2"/>
        <w:rPr>
          <w:rFonts w:ascii="宋体" w:hAnsi="宋体" w:eastAsia="宋体" w:cs="宋体"/>
          <w:b/>
          <w:bCs/>
          <w:sz w:val="21"/>
          <w:szCs w:val="21"/>
        </w:rPr>
      </w:pPr>
      <w:bookmarkStart w:id="558" w:name="_Toc989441"/>
      <w:r>
        <w:rPr>
          <w:rFonts w:ascii="宋体" w:hAnsi="宋体" w:eastAsia="宋体" w:cs="宋体"/>
          <w:b/>
          <w:bCs/>
          <w:sz w:val="21"/>
          <w:szCs w:val="21"/>
        </w:rPr>
        <w:t>2、利润分配情况</w:t>
      </w:r>
      <w:bookmarkEnd w:id="558"/>
    </w:p>
    <w:p w14:paraId="69010DF3">
      <w:pPr>
        <w:keepNext/>
        <w:keepLines/>
        <w:spacing w:before="300" w:after="300" w:line="280" w:lineRule="exact"/>
        <w:jc w:val="left"/>
        <w:outlineLvl w:val="2"/>
        <w:rPr>
          <w:rFonts w:ascii="宋体" w:hAnsi="宋体" w:eastAsia="宋体" w:cs="宋体"/>
          <w:b/>
          <w:bCs/>
          <w:sz w:val="21"/>
          <w:szCs w:val="21"/>
        </w:rPr>
      </w:pPr>
      <w:bookmarkStart w:id="559" w:name="_Toc989442"/>
      <w:r>
        <w:rPr>
          <w:rFonts w:ascii="宋体" w:hAnsi="宋体" w:eastAsia="宋体" w:cs="宋体"/>
          <w:b/>
          <w:bCs/>
          <w:sz w:val="21"/>
          <w:szCs w:val="21"/>
        </w:rPr>
        <w:t>3、销售退回</w:t>
      </w:r>
      <w:bookmarkEnd w:id="559"/>
    </w:p>
    <w:p w14:paraId="14D54A4B">
      <w:pPr>
        <w:keepNext/>
        <w:keepLines/>
        <w:spacing w:before="300" w:after="300" w:line="280" w:lineRule="exact"/>
        <w:jc w:val="left"/>
        <w:outlineLvl w:val="2"/>
        <w:rPr>
          <w:rFonts w:ascii="宋体" w:hAnsi="宋体" w:eastAsia="宋体" w:cs="宋体"/>
          <w:b/>
          <w:bCs/>
          <w:sz w:val="21"/>
          <w:szCs w:val="21"/>
        </w:rPr>
      </w:pPr>
      <w:bookmarkStart w:id="560" w:name="_Toc989443"/>
      <w:r>
        <w:rPr>
          <w:rFonts w:ascii="宋体" w:hAnsi="宋体" w:eastAsia="宋体" w:cs="宋体"/>
          <w:b/>
          <w:bCs/>
          <w:sz w:val="21"/>
          <w:szCs w:val="21"/>
        </w:rPr>
        <w:t>4、其他资产负债表日后事项说明</w:t>
      </w:r>
      <w:bookmarkEnd w:id="560"/>
    </w:p>
    <w:p w14:paraId="05A94756">
      <w:pPr>
        <w:keepNext/>
        <w:keepLines/>
        <w:spacing w:before="300" w:after="300" w:line="320" w:lineRule="exact"/>
        <w:jc w:val="left"/>
        <w:outlineLvl w:val="1"/>
        <w:rPr>
          <w:rFonts w:ascii="宋体" w:hAnsi="宋体" w:eastAsia="宋体" w:cs="宋体"/>
          <w:b/>
          <w:bCs/>
          <w:sz w:val="24"/>
          <w:szCs w:val="24"/>
        </w:rPr>
      </w:pPr>
      <w:bookmarkStart w:id="561" w:name="_Toc989444"/>
      <w:r>
        <w:rPr>
          <w:rFonts w:ascii="宋体" w:hAnsi="宋体" w:eastAsia="宋体" w:cs="宋体"/>
          <w:b/>
          <w:bCs/>
          <w:sz w:val="24"/>
          <w:szCs w:val="24"/>
        </w:rPr>
        <w:t>十八、其他重要事项</w:t>
      </w:r>
      <w:bookmarkEnd w:id="561"/>
    </w:p>
    <w:p w14:paraId="13FFABD3">
      <w:pPr>
        <w:keepNext/>
        <w:keepLines/>
        <w:spacing w:before="300" w:after="300" w:line="280" w:lineRule="exact"/>
        <w:jc w:val="left"/>
        <w:outlineLvl w:val="2"/>
        <w:rPr>
          <w:rFonts w:ascii="宋体" w:hAnsi="宋体" w:eastAsia="宋体" w:cs="宋体"/>
          <w:b/>
          <w:bCs/>
          <w:sz w:val="21"/>
          <w:szCs w:val="21"/>
        </w:rPr>
      </w:pPr>
      <w:bookmarkStart w:id="562" w:name="_Toc989445"/>
      <w:r>
        <w:rPr>
          <w:rFonts w:ascii="宋体" w:hAnsi="宋体" w:eastAsia="宋体" w:cs="宋体"/>
          <w:b/>
          <w:bCs/>
          <w:sz w:val="21"/>
          <w:szCs w:val="21"/>
        </w:rPr>
        <w:t>1、前期会计差错更正</w:t>
      </w:r>
      <w:bookmarkEnd w:id="562"/>
    </w:p>
    <w:p w14:paraId="221FBB3B">
      <w:pPr>
        <w:keepNext/>
        <w:keepLines/>
        <w:spacing w:before="300" w:after="300" w:line="280" w:lineRule="exact"/>
        <w:jc w:val="left"/>
        <w:outlineLvl w:val="3"/>
        <w:rPr>
          <w:rFonts w:ascii="宋体" w:hAnsi="宋体" w:eastAsia="宋体" w:cs="宋体"/>
          <w:b/>
          <w:bCs/>
          <w:sz w:val="21"/>
          <w:szCs w:val="21"/>
        </w:rPr>
      </w:pPr>
      <w:bookmarkStart w:id="563" w:name="_Toc989446"/>
      <w:r>
        <w:rPr>
          <w:rFonts w:ascii="宋体" w:hAnsi="宋体" w:eastAsia="宋体" w:cs="宋体"/>
          <w:b/>
          <w:bCs/>
          <w:sz w:val="21"/>
          <w:szCs w:val="21"/>
        </w:rPr>
        <w:t>（1） 追溯重述法</w:t>
      </w:r>
      <w:bookmarkEnd w:id="563"/>
    </w:p>
    <w:p w14:paraId="028C704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481047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31EDE97">
            <w:pPr>
              <w:spacing w:before="40" w:after="40" w:line="240" w:lineRule="exact"/>
              <w:jc w:val="center"/>
              <w:rPr>
                <w:rFonts w:ascii="宋体" w:hAnsi="宋体" w:eastAsia="宋体" w:cs="宋体"/>
                <w:sz w:val="18"/>
                <w:szCs w:val="18"/>
              </w:rPr>
            </w:pPr>
            <w:r>
              <w:rPr>
                <w:rFonts w:ascii="宋体" w:hAnsi="宋体" w:eastAsia="宋体" w:cs="宋体"/>
                <w:sz w:val="18"/>
                <w:szCs w:val="18"/>
              </w:rPr>
              <w:t>会计差错更正的内容</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91F89C9">
            <w:pPr>
              <w:spacing w:before="40" w:after="40" w:line="240" w:lineRule="exact"/>
              <w:jc w:val="center"/>
              <w:rPr>
                <w:rFonts w:ascii="宋体" w:hAnsi="宋体" w:eastAsia="宋体" w:cs="宋体"/>
                <w:sz w:val="18"/>
                <w:szCs w:val="18"/>
              </w:rPr>
            </w:pPr>
            <w:r>
              <w:rPr>
                <w:rFonts w:ascii="宋体" w:hAnsi="宋体" w:eastAsia="宋体" w:cs="宋体"/>
                <w:sz w:val="18"/>
                <w:szCs w:val="18"/>
              </w:rPr>
              <w:t>处理程序</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53B6760">
            <w:pPr>
              <w:spacing w:before="40" w:after="40" w:line="240" w:lineRule="exact"/>
              <w:jc w:val="center"/>
              <w:rPr>
                <w:rFonts w:ascii="宋体" w:hAnsi="宋体" w:eastAsia="宋体" w:cs="宋体"/>
                <w:sz w:val="18"/>
                <w:szCs w:val="18"/>
              </w:rPr>
            </w:pPr>
            <w:r>
              <w:rPr>
                <w:rFonts w:ascii="宋体" w:hAnsi="宋体" w:eastAsia="宋体" w:cs="宋体"/>
                <w:sz w:val="18"/>
                <w:szCs w:val="18"/>
              </w:rPr>
              <w:t>受影响的各个比较期间报表项目名称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61C0940">
            <w:pPr>
              <w:spacing w:before="40" w:after="40" w:line="240" w:lineRule="exact"/>
              <w:jc w:val="center"/>
              <w:rPr>
                <w:rFonts w:ascii="宋体" w:hAnsi="宋体" w:eastAsia="宋体" w:cs="宋体"/>
                <w:sz w:val="18"/>
                <w:szCs w:val="18"/>
              </w:rPr>
            </w:pPr>
            <w:r>
              <w:rPr>
                <w:rFonts w:ascii="宋体" w:hAnsi="宋体" w:eastAsia="宋体" w:cs="宋体"/>
                <w:sz w:val="18"/>
                <w:szCs w:val="18"/>
              </w:rPr>
              <w:t>累积影响数</w:t>
            </w:r>
          </w:p>
        </w:tc>
      </w:tr>
    </w:tbl>
    <w:p w14:paraId="1DFE3B19">
      <w:pPr>
        <w:keepNext/>
        <w:keepLines/>
        <w:spacing w:before="300" w:after="300" w:line="280" w:lineRule="exact"/>
        <w:jc w:val="left"/>
        <w:outlineLvl w:val="3"/>
        <w:rPr>
          <w:rFonts w:ascii="宋体" w:hAnsi="宋体" w:eastAsia="宋体" w:cs="宋体"/>
          <w:b/>
          <w:bCs/>
          <w:sz w:val="21"/>
          <w:szCs w:val="21"/>
        </w:rPr>
      </w:pPr>
      <w:bookmarkStart w:id="564" w:name="_Toc989447"/>
      <w:r>
        <w:rPr>
          <w:rFonts w:ascii="宋体" w:hAnsi="宋体" w:eastAsia="宋体" w:cs="宋体"/>
          <w:b/>
          <w:bCs/>
          <w:sz w:val="21"/>
          <w:szCs w:val="21"/>
        </w:rPr>
        <w:t>（2） 未来适用法</w:t>
      </w:r>
      <w:bookmarkEnd w:id="564"/>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50227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FA76AC3">
            <w:pPr>
              <w:spacing w:before="40" w:after="40" w:line="240" w:lineRule="exact"/>
              <w:jc w:val="center"/>
              <w:rPr>
                <w:rFonts w:ascii="宋体" w:hAnsi="宋体" w:eastAsia="宋体" w:cs="宋体"/>
                <w:sz w:val="18"/>
                <w:szCs w:val="18"/>
              </w:rPr>
            </w:pPr>
            <w:r>
              <w:rPr>
                <w:rFonts w:ascii="宋体" w:hAnsi="宋体" w:eastAsia="宋体" w:cs="宋体"/>
                <w:sz w:val="18"/>
                <w:szCs w:val="18"/>
              </w:rPr>
              <w:t>会计差错更正的内容</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87FB672">
            <w:pPr>
              <w:spacing w:before="40" w:after="40" w:line="240" w:lineRule="exact"/>
              <w:jc w:val="center"/>
              <w:rPr>
                <w:rFonts w:ascii="宋体" w:hAnsi="宋体" w:eastAsia="宋体" w:cs="宋体"/>
                <w:sz w:val="18"/>
                <w:szCs w:val="18"/>
              </w:rPr>
            </w:pPr>
            <w:r>
              <w:rPr>
                <w:rFonts w:ascii="宋体" w:hAnsi="宋体" w:eastAsia="宋体" w:cs="宋体"/>
                <w:sz w:val="18"/>
                <w:szCs w:val="18"/>
              </w:rPr>
              <w:t>批准程序</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A293C90">
            <w:pPr>
              <w:spacing w:before="40" w:after="40" w:line="240" w:lineRule="exact"/>
              <w:jc w:val="center"/>
              <w:rPr>
                <w:rFonts w:ascii="宋体" w:hAnsi="宋体" w:eastAsia="宋体" w:cs="宋体"/>
                <w:sz w:val="18"/>
                <w:szCs w:val="18"/>
              </w:rPr>
            </w:pPr>
            <w:r>
              <w:rPr>
                <w:rFonts w:ascii="宋体" w:hAnsi="宋体" w:eastAsia="宋体" w:cs="宋体"/>
                <w:sz w:val="18"/>
                <w:szCs w:val="18"/>
              </w:rPr>
              <w:t>采用未来适用法的原因</w:t>
            </w:r>
          </w:p>
        </w:tc>
      </w:tr>
    </w:tbl>
    <w:p w14:paraId="79D804DE">
      <w:pPr>
        <w:keepNext/>
        <w:keepLines/>
        <w:spacing w:before="300" w:after="300" w:line="280" w:lineRule="exact"/>
        <w:jc w:val="left"/>
        <w:outlineLvl w:val="2"/>
        <w:rPr>
          <w:rFonts w:ascii="宋体" w:hAnsi="宋体" w:eastAsia="宋体" w:cs="宋体"/>
          <w:b/>
          <w:bCs/>
          <w:sz w:val="21"/>
          <w:szCs w:val="21"/>
        </w:rPr>
      </w:pPr>
      <w:bookmarkStart w:id="565" w:name="_Toc989448"/>
      <w:r>
        <w:rPr>
          <w:rFonts w:ascii="宋体" w:hAnsi="宋体" w:eastAsia="宋体" w:cs="宋体"/>
          <w:b/>
          <w:bCs/>
          <w:sz w:val="21"/>
          <w:szCs w:val="21"/>
        </w:rPr>
        <w:t>2、债务重组</w:t>
      </w:r>
      <w:bookmarkEnd w:id="565"/>
    </w:p>
    <w:p w14:paraId="75156AB9">
      <w:pPr>
        <w:keepNext/>
        <w:keepLines/>
        <w:spacing w:before="300" w:after="300" w:line="280" w:lineRule="exact"/>
        <w:jc w:val="left"/>
        <w:outlineLvl w:val="2"/>
        <w:rPr>
          <w:rFonts w:ascii="宋体" w:hAnsi="宋体" w:eastAsia="宋体" w:cs="宋体"/>
          <w:b/>
          <w:bCs/>
          <w:sz w:val="21"/>
          <w:szCs w:val="21"/>
        </w:rPr>
      </w:pPr>
      <w:bookmarkStart w:id="566" w:name="_Toc989449"/>
      <w:r>
        <w:rPr>
          <w:rFonts w:ascii="宋体" w:hAnsi="宋体" w:eastAsia="宋体" w:cs="宋体"/>
          <w:b/>
          <w:bCs/>
          <w:sz w:val="21"/>
          <w:szCs w:val="21"/>
        </w:rPr>
        <w:t>3、资产置换</w:t>
      </w:r>
      <w:bookmarkEnd w:id="566"/>
    </w:p>
    <w:p w14:paraId="2068F30E">
      <w:pPr>
        <w:keepNext/>
        <w:keepLines/>
        <w:spacing w:before="300" w:after="300" w:line="280" w:lineRule="exact"/>
        <w:jc w:val="left"/>
        <w:outlineLvl w:val="3"/>
        <w:rPr>
          <w:rFonts w:ascii="宋体" w:hAnsi="宋体" w:eastAsia="宋体" w:cs="宋体"/>
          <w:b/>
          <w:bCs/>
          <w:sz w:val="21"/>
          <w:szCs w:val="21"/>
        </w:rPr>
      </w:pPr>
      <w:bookmarkStart w:id="567" w:name="_Toc989450"/>
      <w:r>
        <w:rPr>
          <w:rFonts w:ascii="宋体" w:hAnsi="宋体" w:eastAsia="宋体" w:cs="宋体"/>
          <w:b/>
          <w:bCs/>
          <w:sz w:val="21"/>
          <w:szCs w:val="21"/>
        </w:rPr>
        <w:t>（1） 非货币性资产交换</w:t>
      </w:r>
      <w:bookmarkEnd w:id="567"/>
    </w:p>
    <w:p w14:paraId="6627428F">
      <w:pPr>
        <w:keepNext/>
        <w:keepLines/>
        <w:spacing w:before="300" w:after="300" w:line="280" w:lineRule="exact"/>
        <w:jc w:val="left"/>
        <w:outlineLvl w:val="3"/>
        <w:rPr>
          <w:rFonts w:ascii="宋体" w:hAnsi="宋体" w:eastAsia="宋体" w:cs="宋体"/>
          <w:b/>
          <w:bCs/>
          <w:sz w:val="21"/>
          <w:szCs w:val="21"/>
        </w:rPr>
      </w:pPr>
      <w:bookmarkStart w:id="568" w:name="_Toc989451"/>
      <w:r>
        <w:rPr>
          <w:rFonts w:ascii="宋体" w:hAnsi="宋体" w:eastAsia="宋体" w:cs="宋体"/>
          <w:b/>
          <w:bCs/>
          <w:sz w:val="21"/>
          <w:szCs w:val="21"/>
        </w:rPr>
        <w:t>（2） 其他资产置换</w:t>
      </w:r>
      <w:bookmarkEnd w:id="568"/>
    </w:p>
    <w:p w14:paraId="77DAA747">
      <w:pPr>
        <w:keepNext/>
        <w:keepLines/>
        <w:spacing w:before="300" w:after="300" w:line="280" w:lineRule="exact"/>
        <w:jc w:val="left"/>
        <w:outlineLvl w:val="2"/>
        <w:rPr>
          <w:rFonts w:ascii="宋体" w:hAnsi="宋体" w:eastAsia="宋体" w:cs="宋体"/>
          <w:b/>
          <w:bCs/>
          <w:sz w:val="21"/>
          <w:szCs w:val="21"/>
        </w:rPr>
      </w:pPr>
      <w:bookmarkStart w:id="569" w:name="_Toc989452"/>
      <w:r>
        <w:rPr>
          <w:rFonts w:ascii="宋体" w:hAnsi="宋体" w:eastAsia="宋体" w:cs="宋体"/>
          <w:b/>
          <w:bCs/>
          <w:sz w:val="21"/>
          <w:szCs w:val="21"/>
        </w:rPr>
        <w:t>4、年金计划</w:t>
      </w:r>
      <w:bookmarkEnd w:id="569"/>
    </w:p>
    <w:p w14:paraId="3F380E94">
      <w:pPr>
        <w:keepNext/>
        <w:keepLines/>
        <w:spacing w:before="300" w:after="300" w:line="280" w:lineRule="exact"/>
        <w:jc w:val="left"/>
        <w:outlineLvl w:val="2"/>
        <w:rPr>
          <w:rFonts w:ascii="宋体" w:hAnsi="宋体" w:eastAsia="宋体" w:cs="宋体"/>
          <w:b/>
          <w:bCs/>
          <w:sz w:val="21"/>
          <w:szCs w:val="21"/>
        </w:rPr>
      </w:pPr>
      <w:bookmarkStart w:id="570" w:name="_Toc989453"/>
      <w:r>
        <w:rPr>
          <w:rFonts w:ascii="宋体" w:hAnsi="宋体" w:eastAsia="宋体" w:cs="宋体"/>
          <w:b/>
          <w:bCs/>
          <w:sz w:val="21"/>
          <w:szCs w:val="21"/>
        </w:rPr>
        <w:t>5、终止经营</w:t>
      </w:r>
      <w:bookmarkEnd w:id="570"/>
    </w:p>
    <w:p w14:paraId="4D801E2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4C9804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5C68929">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3C8F868">
            <w:pPr>
              <w:spacing w:before="40" w:after="40" w:line="240" w:lineRule="exact"/>
              <w:jc w:val="center"/>
              <w:rPr>
                <w:rFonts w:ascii="宋体" w:hAnsi="宋体" w:eastAsia="宋体" w:cs="宋体"/>
                <w:sz w:val="18"/>
                <w:szCs w:val="18"/>
              </w:rPr>
            </w:pPr>
            <w:r>
              <w:rPr>
                <w:rFonts w:ascii="宋体" w:hAnsi="宋体" w:eastAsia="宋体" w:cs="宋体"/>
                <w:sz w:val="18"/>
                <w:szCs w:val="18"/>
              </w:rPr>
              <w:t>收入</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49C0ACF">
            <w:pPr>
              <w:spacing w:before="40" w:after="40" w:line="240" w:lineRule="exact"/>
              <w:jc w:val="center"/>
              <w:rPr>
                <w:rFonts w:ascii="宋体" w:hAnsi="宋体" w:eastAsia="宋体" w:cs="宋体"/>
                <w:sz w:val="18"/>
                <w:szCs w:val="18"/>
              </w:rPr>
            </w:pPr>
            <w:r>
              <w:rPr>
                <w:rFonts w:ascii="宋体" w:hAnsi="宋体" w:eastAsia="宋体" w:cs="宋体"/>
                <w:sz w:val="18"/>
                <w:szCs w:val="18"/>
              </w:rPr>
              <w:t>费用</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BB6A880">
            <w:pPr>
              <w:spacing w:before="40" w:after="40" w:line="240" w:lineRule="exact"/>
              <w:jc w:val="center"/>
              <w:rPr>
                <w:rFonts w:ascii="宋体" w:hAnsi="宋体" w:eastAsia="宋体" w:cs="宋体"/>
                <w:sz w:val="18"/>
                <w:szCs w:val="18"/>
              </w:rPr>
            </w:pPr>
            <w:r>
              <w:rPr>
                <w:rFonts w:ascii="宋体" w:hAnsi="宋体" w:eastAsia="宋体" w:cs="宋体"/>
                <w:sz w:val="18"/>
                <w:szCs w:val="18"/>
              </w:rPr>
              <w:t>利润总额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D8D8160">
            <w:pPr>
              <w:spacing w:before="40" w:after="40" w:line="240" w:lineRule="exact"/>
              <w:jc w:val="center"/>
              <w:rPr>
                <w:rFonts w:ascii="宋体" w:hAnsi="宋体" w:eastAsia="宋体" w:cs="宋体"/>
                <w:sz w:val="18"/>
                <w:szCs w:val="18"/>
              </w:rPr>
            </w:pPr>
            <w:r>
              <w:rPr>
                <w:rFonts w:ascii="宋体" w:hAnsi="宋体" w:eastAsia="宋体" w:cs="宋体"/>
                <w:sz w:val="18"/>
                <w:szCs w:val="18"/>
              </w:rPr>
              <w:t>所得税费用</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5F88D76">
            <w:pPr>
              <w:spacing w:before="40" w:after="40" w:line="240" w:lineRule="exact"/>
              <w:jc w:val="center"/>
              <w:rPr>
                <w:rFonts w:ascii="宋体" w:hAnsi="宋体" w:eastAsia="宋体" w:cs="宋体"/>
                <w:sz w:val="18"/>
                <w:szCs w:val="18"/>
              </w:rPr>
            </w:pPr>
            <w:r>
              <w:rPr>
                <w:rFonts w:ascii="宋体" w:hAnsi="宋体" w:eastAsia="宋体" w:cs="宋体"/>
                <w:sz w:val="18"/>
                <w:szCs w:val="18"/>
              </w:rPr>
              <w:t>净利润</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15067D4">
            <w:pPr>
              <w:spacing w:before="40" w:after="40" w:line="240" w:lineRule="exact"/>
              <w:jc w:val="center"/>
              <w:rPr>
                <w:rFonts w:ascii="宋体" w:hAnsi="宋体" w:eastAsia="宋体" w:cs="宋体"/>
                <w:sz w:val="18"/>
                <w:szCs w:val="18"/>
              </w:rPr>
            </w:pPr>
            <w:r>
              <w:rPr>
                <w:rFonts w:ascii="宋体" w:hAnsi="宋体" w:eastAsia="宋体" w:cs="宋体"/>
                <w:sz w:val="18"/>
                <w:szCs w:val="18"/>
              </w:rPr>
              <w:t>归属于母公司所有者的终止经营利润</w:t>
            </w:r>
          </w:p>
        </w:tc>
      </w:tr>
    </w:tbl>
    <w:p w14:paraId="5081395F">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4E81075">
      <w:pPr>
        <w:keepNext/>
        <w:keepLines/>
        <w:spacing w:before="300" w:after="300" w:line="280" w:lineRule="exact"/>
        <w:jc w:val="left"/>
        <w:outlineLvl w:val="2"/>
        <w:rPr>
          <w:rFonts w:ascii="宋体" w:hAnsi="宋体" w:eastAsia="宋体" w:cs="宋体"/>
          <w:b/>
          <w:bCs/>
          <w:sz w:val="21"/>
          <w:szCs w:val="21"/>
        </w:rPr>
      </w:pPr>
      <w:bookmarkStart w:id="571" w:name="_Toc989454"/>
      <w:r>
        <w:rPr>
          <w:rFonts w:ascii="宋体" w:hAnsi="宋体" w:eastAsia="宋体" w:cs="宋体"/>
          <w:b/>
          <w:bCs/>
          <w:sz w:val="21"/>
          <w:szCs w:val="21"/>
        </w:rPr>
        <w:t>6、分部信息</w:t>
      </w:r>
      <w:bookmarkEnd w:id="571"/>
    </w:p>
    <w:p w14:paraId="6A56DF7F">
      <w:pPr>
        <w:keepNext/>
        <w:keepLines/>
        <w:spacing w:before="300" w:after="300" w:line="280" w:lineRule="exact"/>
        <w:jc w:val="left"/>
        <w:outlineLvl w:val="3"/>
        <w:rPr>
          <w:rFonts w:ascii="宋体" w:hAnsi="宋体" w:eastAsia="宋体" w:cs="宋体"/>
          <w:b/>
          <w:bCs/>
          <w:sz w:val="21"/>
          <w:szCs w:val="21"/>
        </w:rPr>
      </w:pPr>
      <w:bookmarkStart w:id="572" w:name="_Toc989455"/>
      <w:r>
        <w:rPr>
          <w:rFonts w:ascii="宋体" w:hAnsi="宋体" w:eastAsia="宋体" w:cs="宋体"/>
          <w:b/>
          <w:bCs/>
          <w:sz w:val="21"/>
          <w:szCs w:val="21"/>
        </w:rPr>
        <w:t>（1） 报告分部的确定依据与会计政策</w:t>
      </w:r>
      <w:bookmarkEnd w:id="572"/>
    </w:p>
    <w:p w14:paraId="5EE1FB18">
      <w:pPr>
        <w:pStyle w:val="2"/>
        <w:keepNext w:val="0"/>
        <w:keepLines w:val="0"/>
        <w:widowControl/>
        <w:suppressLineNumbers w:val="0"/>
        <w:spacing w:line="400" w:lineRule="atLeast"/>
        <w:ind w:left="0" w:right="0" w:firstLine="420"/>
        <w:jc w:val="both"/>
        <w:rPr>
          <w:rFonts w:hint="eastAsia" w:ascii="宋体" w:hAnsi="宋体" w:eastAsia="宋体" w:cs="宋体"/>
          <w:sz w:val="24"/>
          <w:szCs w:val="24"/>
        </w:rPr>
      </w:pPr>
      <w:r>
        <w:rPr>
          <w:rFonts w:hint="eastAsia" w:ascii="宋体" w:hAnsi="宋体" w:eastAsia="宋体" w:cs="宋体"/>
          <w:sz w:val="21"/>
          <w:szCs w:val="21"/>
        </w:rPr>
        <w:t>本公司管理层按照销售模式评价本公司的经营情况，本公司管理层通过审阅内部报告进行业绩评价并决定资源的分配。分部报告按照与本公司内部管理和报告一致的方式进行列报。分部会计政策与合并财务报表会计政策一致。</w:t>
      </w:r>
    </w:p>
    <w:p w14:paraId="22C2BF20">
      <w:pPr>
        <w:pStyle w:val="2"/>
        <w:keepNext w:val="0"/>
        <w:keepLines w:val="0"/>
        <w:widowControl/>
        <w:suppressLineNumbers w:val="0"/>
        <w:spacing w:line="400" w:lineRule="atLeast"/>
        <w:ind w:left="0" w:right="0"/>
        <w:rPr>
          <w:rFonts w:hint="eastAsia" w:ascii="宋体" w:hAnsi="宋体" w:eastAsia="宋体" w:cs="宋体"/>
          <w:sz w:val="24"/>
          <w:szCs w:val="24"/>
        </w:rPr>
      </w:pPr>
      <w:r>
        <w:rPr>
          <w:rStyle w:val="6"/>
          <w:rFonts w:hint="eastAsia" w:ascii="宋体" w:hAnsi="宋体" w:eastAsia="宋体" w:cs="宋体"/>
          <w:sz w:val="21"/>
          <w:szCs w:val="21"/>
        </w:rPr>
        <w:t> 主营业务按销售模式分部情况如下：</w:t>
      </w:r>
    </w:p>
    <w:tbl>
      <w:tblPr>
        <w:tblStyle w:val="3"/>
        <w:tblW w:w="8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80"/>
        <w:gridCol w:w="2000"/>
        <w:gridCol w:w="1840"/>
        <w:gridCol w:w="1840"/>
        <w:gridCol w:w="1420"/>
      </w:tblGrid>
      <w:tr w14:paraId="04EAA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80" w:type="dxa"/>
            <w:vMerge w:val="restart"/>
            <w:tcBorders>
              <w:top w:val="single" w:color="auto" w:sz="8" w:space="0"/>
              <w:left w:val="single" w:color="auto" w:sz="8" w:space="0"/>
              <w:bottom w:val="single" w:color="auto" w:sz="8" w:space="0"/>
              <w:right w:val="single" w:color="auto" w:sz="8" w:space="0"/>
            </w:tcBorders>
            <w:shd w:val="clear" w:color="auto" w:fill="auto"/>
            <w:tcMar>
              <w:top w:w="15" w:type="dxa"/>
              <w:left w:w="15" w:type="dxa"/>
              <w:right w:w="15" w:type="dxa"/>
            </w:tcMar>
            <w:vAlign w:val="center"/>
          </w:tcPr>
          <w:p w14:paraId="61B7A27C">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sz w:val="18"/>
                <w:szCs w:val="18"/>
              </w:rPr>
              <w:t>项目</w:t>
            </w:r>
          </w:p>
        </w:tc>
        <w:tc>
          <w:tcPr>
            <w:tcW w:w="3840" w:type="dxa"/>
            <w:gridSpan w:val="2"/>
            <w:tcBorders>
              <w:top w:val="single" w:color="auto" w:sz="8" w:space="0"/>
              <w:left w:val="nil"/>
              <w:bottom w:val="single" w:color="auto" w:sz="8" w:space="0"/>
              <w:right w:val="single" w:color="auto" w:sz="8" w:space="0"/>
            </w:tcBorders>
            <w:shd w:val="clear" w:color="auto" w:fill="auto"/>
            <w:tcMar>
              <w:top w:w="15" w:type="dxa"/>
              <w:left w:w="15" w:type="dxa"/>
              <w:right w:w="15" w:type="dxa"/>
            </w:tcMar>
            <w:vAlign w:val="center"/>
          </w:tcPr>
          <w:p w14:paraId="56CCFA93">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sz w:val="18"/>
                <w:szCs w:val="18"/>
              </w:rPr>
              <w:t>本期发生额</w:t>
            </w:r>
          </w:p>
        </w:tc>
        <w:tc>
          <w:tcPr>
            <w:tcW w:w="3260" w:type="dxa"/>
            <w:gridSpan w:val="2"/>
            <w:tcBorders>
              <w:top w:val="single" w:color="auto" w:sz="8" w:space="0"/>
              <w:left w:val="nil"/>
              <w:bottom w:val="single" w:color="auto" w:sz="8" w:space="0"/>
              <w:right w:val="single" w:color="auto" w:sz="8" w:space="0"/>
            </w:tcBorders>
            <w:shd w:val="clear" w:color="auto" w:fill="auto"/>
            <w:tcMar>
              <w:top w:w="15" w:type="dxa"/>
              <w:left w:w="15" w:type="dxa"/>
              <w:right w:w="15" w:type="dxa"/>
            </w:tcMar>
            <w:vAlign w:val="center"/>
          </w:tcPr>
          <w:p w14:paraId="2C1C4704">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sz w:val="18"/>
                <w:szCs w:val="18"/>
              </w:rPr>
              <w:t>上期发生额</w:t>
            </w:r>
          </w:p>
        </w:tc>
      </w:tr>
      <w:tr w14:paraId="4163E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80" w:type="dxa"/>
            <w:vMerge w:val="continue"/>
            <w:tcBorders>
              <w:top w:val="single" w:color="auto" w:sz="8" w:space="0"/>
              <w:left w:val="single" w:color="auto" w:sz="8" w:space="0"/>
              <w:bottom w:val="single" w:color="auto" w:sz="8" w:space="0"/>
              <w:right w:val="single" w:color="auto" w:sz="8" w:space="0"/>
            </w:tcBorders>
            <w:shd w:val="clear" w:color="auto" w:fill="auto"/>
            <w:tcMar>
              <w:top w:w="15" w:type="dxa"/>
              <w:left w:w="15" w:type="dxa"/>
              <w:right w:w="15" w:type="dxa"/>
            </w:tcMar>
            <w:vAlign w:val="center"/>
          </w:tcPr>
          <w:p w14:paraId="21E6D5E5">
            <w:pPr>
              <w:rPr>
                <w:rFonts w:hint="eastAsia" w:ascii="宋体"/>
                <w:sz w:val="24"/>
                <w:szCs w:val="24"/>
              </w:rPr>
            </w:pPr>
          </w:p>
        </w:tc>
        <w:tc>
          <w:tcPr>
            <w:tcW w:w="2000"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14:paraId="482C22AC">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sz w:val="18"/>
                <w:szCs w:val="18"/>
              </w:rPr>
              <w:t>主营业务收入</w:t>
            </w:r>
          </w:p>
        </w:tc>
        <w:tc>
          <w:tcPr>
            <w:tcW w:w="184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14:paraId="22E85C19">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sz w:val="18"/>
                <w:szCs w:val="18"/>
              </w:rPr>
              <w:t>主营业务成本</w:t>
            </w:r>
          </w:p>
        </w:tc>
        <w:tc>
          <w:tcPr>
            <w:tcW w:w="184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14:paraId="4895569D">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sz w:val="18"/>
                <w:szCs w:val="18"/>
              </w:rPr>
              <w:t>主营业务收入</w:t>
            </w:r>
          </w:p>
        </w:tc>
        <w:tc>
          <w:tcPr>
            <w:tcW w:w="142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14:paraId="765895F5">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sz w:val="18"/>
                <w:szCs w:val="18"/>
              </w:rPr>
              <w:t>主营业务成本</w:t>
            </w:r>
          </w:p>
        </w:tc>
      </w:tr>
      <w:tr w14:paraId="11244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80"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14:paraId="4E884EFC">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直销</w:t>
            </w:r>
          </w:p>
        </w:tc>
        <w:tc>
          <w:tcPr>
            <w:tcW w:w="2000" w:type="dxa"/>
            <w:tcBorders>
              <w:top w:val="nil"/>
              <w:left w:val="nil"/>
              <w:bottom w:val="single" w:color="auto" w:sz="8" w:space="0"/>
              <w:right w:val="single" w:color="auto" w:sz="8" w:space="0"/>
            </w:tcBorders>
            <w:shd w:val="clear" w:color="auto" w:fill="auto"/>
            <w:tcMar>
              <w:top w:w="15" w:type="dxa"/>
              <w:left w:w="15" w:type="dxa"/>
              <w:right w:w="15" w:type="dxa"/>
            </w:tcMar>
            <w:vAlign w:val="top"/>
          </w:tcPr>
          <w:p w14:paraId="2FFF5F67">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288,861,159.96</w:t>
            </w:r>
          </w:p>
        </w:tc>
        <w:tc>
          <w:tcPr>
            <w:tcW w:w="184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14:paraId="328CBBA9">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61,251,449.98</w:t>
            </w:r>
          </w:p>
        </w:tc>
        <w:tc>
          <w:tcPr>
            <w:tcW w:w="1840" w:type="dxa"/>
            <w:tcBorders>
              <w:top w:val="nil"/>
              <w:left w:val="nil"/>
              <w:bottom w:val="single" w:color="auto" w:sz="8" w:space="0"/>
              <w:right w:val="single" w:color="auto" w:sz="8" w:space="0"/>
            </w:tcBorders>
            <w:shd w:val="clear" w:color="auto" w:fill="auto"/>
            <w:tcMar>
              <w:top w:w="15" w:type="dxa"/>
              <w:left w:w="15" w:type="dxa"/>
              <w:right w:w="15" w:type="dxa"/>
            </w:tcMar>
            <w:vAlign w:val="top"/>
          </w:tcPr>
          <w:p w14:paraId="7D827C0B">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282,573,879.44</w:t>
            </w:r>
          </w:p>
        </w:tc>
        <w:tc>
          <w:tcPr>
            <w:tcW w:w="1420" w:type="dxa"/>
            <w:tcBorders>
              <w:top w:val="nil"/>
              <w:left w:val="nil"/>
              <w:bottom w:val="single" w:color="auto" w:sz="8" w:space="0"/>
              <w:right w:val="single" w:color="auto" w:sz="8" w:space="0"/>
            </w:tcBorders>
            <w:shd w:val="clear" w:color="auto" w:fill="auto"/>
            <w:tcMar>
              <w:top w:w="15" w:type="dxa"/>
              <w:left w:w="15" w:type="dxa"/>
              <w:right w:w="15" w:type="dxa"/>
            </w:tcMar>
            <w:vAlign w:val="top"/>
          </w:tcPr>
          <w:p w14:paraId="1A4A3505">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69,516,876.06</w:t>
            </w:r>
          </w:p>
        </w:tc>
      </w:tr>
      <w:tr w14:paraId="2FBC2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80"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14:paraId="451C4D70">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经销</w:t>
            </w:r>
          </w:p>
        </w:tc>
        <w:tc>
          <w:tcPr>
            <w:tcW w:w="2000" w:type="dxa"/>
            <w:tcBorders>
              <w:top w:val="nil"/>
              <w:left w:val="nil"/>
              <w:bottom w:val="single" w:color="auto" w:sz="8" w:space="0"/>
              <w:right w:val="single" w:color="auto" w:sz="8" w:space="0"/>
            </w:tcBorders>
            <w:shd w:val="clear" w:color="auto" w:fill="auto"/>
            <w:tcMar>
              <w:top w:w="15" w:type="dxa"/>
              <w:left w:w="15" w:type="dxa"/>
              <w:right w:w="15" w:type="dxa"/>
            </w:tcMar>
            <w:vAlign w:val="top"/>
          </w:tcPr>
          <w:p w14:paraId="5B275DA3">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46,028,220.85</w:t>
            </w:r>
          </w:p>
        </w:tc>
        <w:tc>
          <w:tcPr>
            <w:tcW w:w="184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14:paraId="674EE49F">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37,297,379.11</w:t>
            </w:r>
          </w:p>
        </w:tc>
        <w:tc>
          <w:tcPr>
            <w:tcW w:w="1840" w:type="dxa"/>
            <w:tcBorders>
              <w:top w:val="nil"/>
              <w:left w:val="nil"/>
              <w:bottom w:val="single" w:color="auto" w:sz="8" w:space="0"/>
              <w:right w:val="single" w:color="auto" w:sz="8" w:space="0"/>
            </w:tcBorders>
            <w:shd w:val="clear" w:color="auto" w:fill="auto"/>
            <w:tcMar>
              <w:top w:w="15" w:type="dxa"/>
              <w:left w:w="15" w:type="dxa"/>
              <w:right w:w="15" w:type="dxa"/>
            </w:tcMar>
            <w:vAlign w:val="top"/>
          </w:tcPr>
          <w:p w14:paraId="2CC82101">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43,158,373.41</w:t>
            </w:r>
          </w:p>
        </w:tc>
        <w:tc>
          <w:tcPr>
            <w:tcW w:w="1420" w:type="dxa"/>
            <w:tcBorders>
              <w:top w:val="nil"/>
              <w:left w:val="nil"/>
              <w:bottom w:val="single" w:color="auto" w:sz="8" w:space="0"/>
              <w:right w:val="single" w:color="auto" w:sz="8" w:space="0"/>
            </w:tcBorders>
            <w:shd w:val="clear" w:color="auto" w:fill="auto"/>
            <w:tcMar>
              <w:top w:w="15" w:type="dxa"/>
              <w:left w:w="15" w:type="dxa"/>
              <w:right w:w="15" w:type="dxa"/>
            </w:tcMar>
            <w:vAlign w:val="top"/>
          </w:tcPr>
          <w:p w14:paraId="2EA601D9">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29,909,680.80</w:t>
            </w:r>
          </w:p>
        </w:tc>
      </w:tr>
      <w:tr w14:paraId="26BE2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80"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14:paraId="3219B0E3">
            <w:pPr>
              <w:pStyle w:val="2"/>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eastAsia" w:ascii="宋体" w:hAnsi="宋体" w:eastAsia="宋体" w:cs="宋体"/>
                <w:sz w:val="18"/>
                <w:szCs w:val="18"/>
              </w:rPr>
              <w:t>政府采购</w:t>
            </w:r>
          </w:p>
        </w:tc>
        <w:tc>
          <w:tcPr>
            <w:tcW w:w="2000" w:type="dxa"/>
            <w:tcBorders>
              <w:top w:val="nil"/>
              <w:left w:val="nil"/>
              <w:bottom w:val="single" w:color="auto" w:sz="8" w:space="0"/>
              <w:right w:val="single" w:color="auto" w:sz="8" w:space="0"/>
            </w:tcBorders>
            <w:shd w:val="clear" w:color="auto" w:fill="auto"/>
            <w:tcMar>
              <w:top w:w="15" w:type="dxa"/>
              <w:left w:w="15" w:type="dxa"/>
              <w:right w:w="15" w:type="dxa"/>
            </w:tcMar>
            <w:vAlign w:val="top"/>
          </w:tcPr>
          <w:p w14:paraId="4A192114">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102,192,368.54</w:t>
            </w:r>
          </w:p>
        </w:tc>
        <w:tc>
          <w:tcPr>
            <w:tcW w:w="184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14:paraId="565DCE37">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65,004,054.21</w:t>
            </w:r>
          </w:p>
        </w:tc>
        <w:tc>
          <w:tcPr>
            <w:tcW w:w="1840" w:type="dxa"/>
            <w:tcBorders>
              <w:top w:val="nil"/>
              <w:left w:val="nil"/>
              <w:bottom w:val="single" w:color="auto" w:sz="8" w:space="0"/>
              <w:right w:val="single" w:color="auto" w:sz="8" w:space="0"/>
            </w:tcBorders>
            <w:shd w:val="clear" w:color="auto" w:fill="auto"/>
            <w:tcMar>
              <w:top w:w="15" w:type="dxa"/>
              <w:left w:w="15" w:type="dxa"/>
              <w:right w:w="15" w:type="dxa"/>
            </w:tcMar>
            <w:vAlign w:val="top"/>
          </w:tcPr>
          <w:p w14:paraId="40BDF7B7">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87,585,336.34</w:t>
            </w:r>
          </w:p>
        </w:tc>
        <w:tc>
          <w:tcPr>
            <w:tcW w:w="1420" w:type="dxa"/>
            <w:tcBorders>
              <w:top w:val="nil"/>
              <w:left w:val="nil"/>
              <w:bottom w:val="single" w:color="auto" w:sz="8" w:space="0"/>
              <w:right w:val="single" w:color="auto" w:sz="8" w:space="0"/>
            </w:tcBorders>
            <w:shd w:val="clear" w:color="auto" w:fill="auto"/>
            <w:tcMar>
              <w:top w:w="15" w:type="dxa"/>
              <w:left w:w="15" w:type="dxa"/>
              <w:right w:w="15" w:type="dxa"/>
            </w:tcMar>
            <w:vAlign w:val="top"/>
          </w:tcPr>
          <w:p w14:paraId="7F3A5CA0">
            <w:pPr>
              <w:pStyle w:val="2"/>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 w:val="18"/>
                <w:szCs w:val="18"/>
              </w:rPr>
              <w:t>72,815,845.93</w:t>
            </w:r>
          </w:p>
        </w:tc>
      </w:tr>
    </w:tbl>
    <w:p w14:paraId="2C1E23A8">
      <w:pPr>
        <w:keepNext/>
        <w:keepLines/>
        <w:spacing w:before="300" w:after="300" w:line="280" w:lineRule="exact"/>
        <w:jc w:val="left"/>
        <w:outlineLvl w:val="3"/>
        <w:rPr>
          <w:rFonts w:ascii="宋体" w:hAnsi="宋体" w:eastAsia="宋体" w:cs="宋体"/>
          <w:b/>
          <w:bCs/>
          <w:sz w:val="21"/>
          <w:szCs w:val="21"/>
        </w:rPr>
      </w:pPr>
      <w:bookmarkStart w:id="573" w:name="_Toc989456"/>
      <w:r>
        <w:rPr>
          <w:rFonts w:ascii="宋体" w:hAnsi="宋体" w:eastAsia="宋体" w:cs="宋体"/>
          <w:b/>
          <w:bCs/>
          <w:sz w:val="21"/>
          <w:szCs w:val="21"/>
        </w:rPr>
        <w:t>（2） 报告分部的财务信息</w:t>
      </w:r>
      <w:bookmarkEnd w:id="573"/>
    </w:p>
    <w:p w14:paraId="31B98D9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1CE328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376BD51">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vAlign w:val="center"/>
          </w:tcPr>
          <w:p w14:paraId="3F222B44">
            <w:pPr>
              <w:spacing w:before="0" w:after="0" w:line="240" w:lineRule="exact"/>
              <w:jc w:val="center"/>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DEA38D9">
            <w:pPr>
              <w:spacing w:before="40" w:after="40" w:line="240" w:lineRule="exact"/>
              <w:jc w:val="center"/>
              <w:rPr>
                <w:rFonts w:ascii="宋体" w:hAnsi="宋体" w:eastAsia="宋体" w:cs="宋体"/>
                <w:sz w:val="18"/>
                <w:szCs w:val="18"/>
              </w:rPr>
            </w:pPr>
            <w:r>
              <w:rPr>
                <w:rFonts w:ascii="宋体" w:hAnsi="宋体" w:eastAsia="宋体" w:cs="宋体"/>
                <w:sz w:val="18"/>
                <w:szCs w:val="18"/>
              </w:rPr>
              <w:t>分部间抵销</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3CEFEAB">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689F50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3902A97">
            <w:pPr>
              <w:spacing w:before="0" w:after="0" w:line="240" w:lineRule="exact"/>
              <w:jc w:val="lef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02A5D05">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14B88DE">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31E2704">
            <w:pPr>
              <w:spacing w:before="0" w:after="0" w:line="240" w:lineRule="exact"/>
              <w:jc w:val="right"/>
              <w:rPr>
                <w:rFonts w:ascii="宋体" w:hAnsi="宋体" w:eastAsia="宋体" w:cs="宋体"/>
                <w:sz w:val="18"/>
                <w:szCs w:val="18"/>
              </w:rPr>
            </w:pPr>
          </w:p>
        </w:tc>
      </w:tr>
    </w:tbl>
    <w:p w14:paraId="414AA147">
      <w:pPr>
        <w:keepNext/>
        <w:keepLines/>
        <w:spacing w:before="300" w:after="300" w:line="280" w:lineRule="exact"/>
        <w:jc w:val="left"/>
        <w:outlineLvl w:val="3"/>
        <w:rPr>
          <w:rFonts w:ascii="宋体" w:hAnsi="宋体" w:eastAsia="宋体" w:cs="宋体"/>
          <w:b/>
          <w:bCs/>
          <w:sz w:val="21"/>
          <w:szCs w:val="21"/>
        </w:rPr>
      </w:pPr>
      <w:bookmarkStart w:id="574" w:name="_Toc989457"/>
      <w:r>
        <w:rPr>
          <w:rFonts w:ascii="宋体" w:hAnsi="宋体" w:eastAsia="宋体" w:cs="宋体"/>
          <w:b/>
          <w:bCs/>
          <w:sz w:val="21"/>
          <w:szCs w:val="21"/>
        </w:rPr>
        <w:t>（3） 公司无报告分部的，或者不能披露各报告分部的资产总额和负债总额的，应说明原因</w:t>
      </w:r>
      <w:bookmarkEnd w:id="574"/>
    </w:p>
    <w:p w14:paraId="145AE1AD">
      <w:pPr>
        <w:keepNext/>
        <w:keepLines/>
        <w:spacing w:before="300" w:after="300" w:line="280" w:lineRule="exact"/>
        <w:jc w:val="left"/>
        <w:outlineLvl w:val="3"/>
        <w:rPr>
          <w:rFonts w:ascii="宋体" w:hAnsi="宋体" w:eastAsia="宋体" w:cs="宋体"/>
          <w:b/>
          <w:bCs/>
          <w:sz w:val="21"/>
          <w:szCs w:val="21"/>
        </w:rPr>
      </w:pPr>
      <w:bookmarkStart w:id="575" w:name="_Toc989458"/>
      <w:r>
        <w:rPr>
          <w:rFonts w:ascii="宋体" w:hAnsi="宋体" w:eastAsia="宋体" w:cs="宋体"/>
          <w:b/>
          <w:bCs/>
          <w:sz w:val="21"/>
          <w:szCs w:val="21"/>
        </w:rPr>
        <w:t>（4） 其他说明</w:t>
      </w:r>
      <w:bookmarkEnd w:id="575"/>
    </w:p>
    <w:p w14:paraId="3856941D">
      <w:pPr>
        <w:keepNext/>
        <w:keepLines/>
        <w:spacing w:before="300" w:after="300" w:line="280" w:lineRule="exact"/>
        <w:jc w:val="left"/>
        <w:outlineLvl w:val="2"/>
        <w:rPr>
          <w:rFonts w:ascii="宋体" w:hAnsi="宋体" w:eastAsia="宋体" w:cs="宋体"/>
          <w:b/>
          <w:bCs/>
          <w:sz w:val="21"/>
          <w:szCs w:val="21"/>
        </w:rPr>
      </w:pPr>
      <w:bookmarkStart w:id="576" w:name="_Toc989459"/>
      <w:r>
        <w:rPr>
          <w:rFonts w:ascii="宋体" w:hAnsi="宋体" w:eastAsia="宋体" w:cs="宋体"/>
          <w:b/>
          <w:bCs/>
          <w:sz w:val="21"/>
          <w:szCs w:val="21"/>
        </w:rPr>
        <w:t>7、其他对投资者决策有影响的重要交易和事项</w:t>
      </w:r>
      <w:bookmarkEnd w:id="576"/>
    </w:p>
    <w:p w14:paraId="5090F927">
      <w:pPr>
        <w:keepNext/>
        <w:keepLines/>
        <w:spacing w:before="300" w:after="300" w:line="280" w:lineRule="exact"/>
        <w:jc w:val="left"/>
        <w:outlineLvl w:val="2"/>
        <w:rPr>
          <w:rFonts w:ascii="宋体" w:hAnsi="宋体" w:eastAsia="宋体" w:cs="宋体"/>
          <w:b/>
          <w:bCs/>
          <w:sz w:val="21"/>
          <w:szCs w:val="21"/>
        </w:rPr>
      </w:pPr>
      <w:bookmarkStart w:id="577" w:name="_Toc989460"/>
      <w:r>
        <w:rPr>
          <w:rFonts w:ascii="宋体" w:hAnsi="宋体" w:eastAsia="宋体" w:cs="宋体"/>
          <w:b/>
          <w:bCs/>
          <w:sz w:val="21"/>
          <w:szCs w:val="21"/>
        </w:rPr>
        <w:t>8、其他</w:t>
      </w:r>
      <w:bookmarkEnd w:id="577"/>
    </w:p>
    <w:p w14:paraId="7ADE6FC6">
      <w:pPr>
        <w:keepNext/>
        <w:keepLines/>
        <w:spacing w:before="300" w:after="300" w:line="320" w:lineRule="exact"/>
        <w:jc w:val="left"/>
        <w:outlineLvl w:val="1"/>
        <w:rPr>
          <w:rFonts w:ascii="宋体" w:hAnsi="宋体" w:eastAsia="宋体" w:cs="宋体"/>
          <w:b/>
          <w:bCs/>
          <w:sz w:val="24"/>
          <w:szCs w:val="24"/>
        </w:rPr>
      </w:pPr>
      <w:bookmarkStart w:id="578" w:name="_Toc989461"/>
      <w:r>
        <w:rPr>
          <w:rFonts w:ascii="宋体" w:hAnsi="宋体" w:eastAsia="宋体" w:cs="宋体"/>
          <w:b/>
          <w:bCs/>
          <w:sz w:val="24"/>
          <w:szCs w:val="24"/>
        </w:rPr>
        <w:t>十九、母公司财务报表主要项目注释</w:t>
      </w:r>
      <w:bookmarkEnd w:id="578"/>
    </w:p>
    <w:p w14:paraId="7AA87DE4">
      <w:pPr>
        <w:keepNext/>
        <w:keepLines/>
        <w:spacing w:before="300" w:after="300" w:line="280" w:lineRule="exact"/>
        <w:jc w:val="left"/>
        <w:outlineLvl w:val="2"/>
        <w:rPr>
          <w:rFonts w:ascii="宋体" w:hAnsi="宋体" w:eastAsia="宋体" w:cs="宋体"/>
          <w:b/>
          <w:bCs/>
          <w:sz w:val="21"/>
          <w:szCs w:val="21"/>
        </w:rPr>
      </w:pPr>
      <w:bookmarkStart w:id="579" w:name="_Toc989462"/>
      <w:r>
        <w:rPr>
          <w:rFonts w:ascii="宋体" w:hAnsi="宋体" w:eastAsia="宋体" w:cs="宋体"/>
          <w:b/>
          <w:bCs/>
          <w:sz w:val="21"/>
          <w:szCs w:val="21"/>
        </w:rPr>
        <w:t>1、应收账款</w:t>
      </w:r>
      <w:bookmarkEnd w:id="579"/>
    </w:p>
    <w:p w14:paraId="1276A2C4">
      <w:pPr>
        <w:keepNext/>
        <w:keepLines/>
        <w:spacing w:before="300" w:after="300" w:line="280" w:lineRule="exact"/>
        <w:jc w:val="left"/>
        <w:outlineLvl w:val="3"/>
        <w:rPr>
          <w:rFonts w:ascii="宋体" w:hAnsi="宋体" w:eastAsia="宋体" w:cs="宋体"/>
          <w:b/>
          <w:bCs/>
          <w:sz w:val="21"/>
          <w:szCs w:val="21"/>
        </w:rPr>
      </w:pPr>
      <w:bookmarkStart w:id="580" w:name="_Toc989463"/>
      <w:r>
        <w:rPr>
          <w:rFonts w:ascii="宋体" w:hAnsi="宋体" w:eastAsia="宋体" w:cs="宋体"/>
          <w:b/>
          <w:bCs/>
          <w:sz w:val="21"/>
          <w:szCs w:val="21"/>
        </w:rPr>
        <w:t>（1） 按账龄披露</w:t>
      </w:r>
      <w:bookmarkEnd w:id="580"/>
    </w:p>
    <w:p w14:paraId="1DB62A2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1771A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0F5170E">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8A79EA">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E8C08CE">
            <w:pPr>
              <w:spacing w:before="40" w:after="40" w:line="240" w:lineRule="exact"/>
              <w:jc w:val="center"/>
              <w:rPr>
                <w:rFonts w:ascii="宋体" w:hAnsi="宋体" w:eastAsia="宋体" w:cs="宋体"/>
                <w:sz w:val="18"/>
                <w:szCs w:val="18"/>
              </w:rPr>
            </w:pPr>
            <w:r>
              <w:rPr>
                <w:rFonts w:ascii="宋体" w:hAnsi="宋体" w:eastAsia="宋体" w:cs="宋体"/>
                <w:sz w:val="18"/>
                <w:szCs w:val="18"/>
              </w:rPr>
              <w:t>期初账面余额</w:t>
            </w:r>
          </w:p>
        </w:tc>
      </w:tr>
      <w:tr w14:paraId="00A55E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BDCA59F">
            <w:pPr>
              <w:spacing w:before="40" w:after="40" w:line="240" w:lineRule="exact"/>
              <w:jc w:val="left"/>
              <w:rPr>
                <w:rFonts w:ascii="宋体" w:hAnsi="宋体" w:eastAsia="宋体" w:cs="宋体"/>
                <w:sz w:val="18"/>
                <w:szCs w:val="18"/>
              </w:rPr>
            </w:pPr>
            <w:r>
              <w:rPr>
                <w:rFonts w:ascii="宋体" w:hAnsi="宋体" w:eastAsia="宋体" w:cs="宋体"/>
                <w:sz w:val="18"/>
                <w:szCs w:val="18"/>
              </w:rPr>
              <w:t>1年以内（含1年）</w:t>
            </w:r>
          </w:p>
        </w:tc>
        <w:tc>
          <w:tcPr>
            <w:tcW w:w="3213" w:type="dxa"/>
            <w:tcBorders>
              <w:top w:val="single" w:color="auto" w:sz="2" w:space="0"/>
              <w:left w:val="single" w:color="auto" w:sz="2" w:space="0"/>
              <w:bottom w:val="single" w:color="auto" w:sz="2" w:space="0"/>
              <w:right w:val="single" w:color="auto" w:sz="2" w:space="0"/>
            </w:tcBorders>
            <w:vAlign w:val="center"/>
          </w:tcPr>
          <w:p w14:paraId="7772795D">
            <w:pPr>
              <w:spacing w:before="0" w:after="0" w:line="240" w:lineRule="exact"/>
              <w:jc w:val="right"/>
              <w:rPr>
                <w:rFonts w:ascii="宋体" w:hAnsi="宋体" w:eastAsia="宋体" w:cs="宋体"/>
                <w:sz w:val="18"/>
                <w:szCs w:val="18"/>
              </w:rPr>
            </w:pPr>
            <w:r>
              <w:rPr>
                <w:rFonts w:ascii="宋体" w:hAnsi="宋体" w:eastAsia="宋体" w:cs="宋体"/>
                <w:sz w:val="18"/>
                <w:szCs w:val="18"/>
              </w:rPr>
              <w:t>76,506,982.73</w:t>
            </w:r>
          </w:p>
        </w:tc>
        <w:tc>
          <w:tcPr>
            <w:tcW w:w="3213" w:type="dxa"/>
            <w:tcBorders>
              <w:top w:val="single" w:color="auto" w:sz="2" w:space="0"/>
              <w:left w:val="single" w:color="auto" w:sz="2" w:space="0"/>
              <w:bottom w:val="single" w:color="auto" w:sz="2" w:space="0"/>
              <w:right w:val="single" w:color="auto" w:sz="2" w:space="0"/>
            </w:tcBorders>
            <w:vAlign w:val="center"/>
          </w:tcPr>
          <w:p w14:paraId="0D32F7D1">
            <w:pPr>
              <w:spacing w:before="0" w:after="0" w:line="240" w:lineRule="exact"/>
              <w:jc w:val="right"/>
              <w:rPr>
                <w:rFonts w:ascii="宋体" w:hAnsi="宋体" w:eastAsia="宋体" w:cs="宋体"/>
                <w:sz w:val="18"/>
                <w:szCs w:val="18"/>
              </w:rPr>
            </w:pPr>
            <w:r>
              <w:rPr>
                <w:rFonts w:ascii="宋体" w:hAnsi="宋体" w:eastAsia="宋体" w:cs="宋体"/>
                <w:sz w:val="18"/>
                <w:szCs w:val="18"/>
              </w:rPr>
              <w:t>20,583,689.90</w:t>
            </w:r>
          </w:p>
        </w:tc>
      </w:tr>
      <w:tr w14:paraId="7DE47D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C03B6E4">
            <w:pPr>
              <w:spacing w:before="40" w:after="40" w:line="240" w:lineRule="exact"/>
              <w:jc w:val="left"/>
              <w:rPr>
                <w:rFonts w:ascii="宋体" w:hAnsi="宋体" w:eastAsia="宋体" w:cs="宋体"/>
                <w:sz w:val="18"/>
                <w:szCs w:val="18"/>
              </w:rPr>
            </w:pPr>
            <w:r>
              <w:rPr>
                <w:rFonts w:ascii="宋体" w:hAnsi="宋体" w:eastAsia="宋体" w:cs="宋体"/>
                <w:sz w:val="18"/>
                <w:szCs w:val="18"/>
              </w:rPr>
              <w:t>1至2年</w:t>
            </w:r>
          </w:p>
        </w:tc>
        <w:tc>
          <w:tcPr>
            <w:tcW w:w="3213" w:type="dxa"/>
            <w:tcBorders>
              <w:top w:val="single" w:color="auto" w:sz="2" w:space="0"/>
              <w:left w:val="single" w:color="auto" w:sz="2" w:space="0"/>
              <w:bottom w:val="single" w:color="auto" w:sz="2" w:space="0"/>
              <w:right w:val="single" w:color="auto" w:sz="2" w:space="0"/>
            </w:tcBorders>
            <w:vAlign w:val="center"/>
          </w:tcPr>
          <w:p w14:paraId="1E5B3B74">
            <w:pPr>
              <w:spacing w:before="0" w:after="0" w:line="240" w:lineRule="exact"/>
              <w:jc w:val="right"/>
              <w:rPr>
                <w:rFonts w:ascii="宋体" w:hAnsi="宋体" w:eastAsia="宋体" w:cs="宋体"/>
                <w:sz w:val="18"/>
                <w:szCs w:val="18"/>
              </w:rPr>
            </w:pPr>
            <w:r>
              <w:rPr>
                <w:rFonts w:ascii="宋体" w:hAnsi="宋体" w:eastAsia="宋体" w:cs="宋体"/>
                <w:sz w:val="18"/>
                <w:szCs w:val="18"/>
              </w:rPr>
              <w:t>10,202,657.15</w:t>
            </w:r>
          </w:p>
        </w:tc>
        <w:tc>
          <w:tcPr>
            <w:tcW w:w="3213" w:type="dxa"/>
            <w:tcBorders>
              <w:top w:val="single" w:color="auto" w:sz="2" w:space="0"/>
              <w:left w:val="single" w:color="auto" w:sz="2" w:space="0"/>
              <w:bottom w:val="single" w:color="auto" w:sz="2" w:space="0"/>
              <w:right w:val="single" w:color="auto" w:sz="2" w:space="0"/>
            </w:tcBorders>
            <w:vAlign w:val="center"/>
          </w:tcPr>
          <w:p w14:paraId="1D0F5AE2">
            <w:pPr>
              <w:spacing w:before="0" w:after="0" w:line="240" w:lineRule="exact"/>
              <w:jc w:val="right"/>
              <w:rPr>
                <w:rFonts w:ascii="宋体" w:hAnsi="宋体" w:eastAsia="宋体" w:cs="宋体"/>
                <w:sz w:val="18"/>
                <w:szCs w:val="18"/>
              </w:rPr>
            </w:pPr>
            <w:r>
              <w:rPr>
                <w:rFonts w:ascii="宋体" w:hAnsi="宋体" w:eastAsia="宋体" w:cs="宋体"/>
                <w:sz w:val="18"/>
                <w:szCs w:val="18"/>
              </w:rPr>
              <w:t>522,727.50</w:t>
            </w:r>
          </w:p>
        </w:tc>
      </w:tr>
      <w:tr w14:paraId="3BF9AD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EA58069">
            <w:pPr>
              <w:spacing w:before="40" w:after="40" w:line="240" w:lineRule="exact"/>
              <w:jc w:val="left"/>
              <w:rPr>
                <w:rFonts w:ascii="宋体" w:hAnsi="宋体" w:eastAsia="宋体" w:cs="宋体"/>
                <w:sz w:val="18"/>
                <w:szCs w:val="18"/>
              </w:rPr>
            </w:pPr>
            <w:r>
              <w:rPr>
                <w:rFonts w:ascii="宋体" w:hAnsi="宋体" w:eastAsia="宋体" w:cs="宋体"/>
                <w:sz w:val="18"/>
                <w:szCs w:val="18"/>
              </w:rPr>
              <w:t>2至3年</w:t>
            </w:r>
          </w:p>
        </w:tc>
        <w:tc>
          <w:tcPr>
            <w:tcW w:w="3213" w:type="dxa"/>
            <w:tcBorders>
              <w:top w:val="single" w:color="auto" w:sz="2" w:space="0"/>
              <w:left w:val="single" w:color="auto" w:sz="2" w:space="0"/>
              <w:bottom w:val="single" w:color="auto" w:sz="2" w:space="0"/>
              <w:right w:val="single" w:color="auto" w:sz="2" w:space="0"/>
            </w:tcBorders>
            <w:vAlign w:val="center"/>
          </w:tcPr>
          <w:p w14:paraId="4E05B778">
            <w:pPr>
              <w:spacing w:before="0" w:after="0" w:line="240" w:lineRule="exact"/>
              <w:jc w:val="right"/>
              <w:rPr>
                <w:rFonts w:ascii="宋体" w:hAnsi="宋体" w:eastAsia="宋体" w:cs="宋体"/>
                <w:sz w:val="18"/>
                <w:szCs w:val="18"/>
              </w:rPr>
            </w:pPr>
            <w:r>
              <w:rPr>
                <w:rFonts w:ascii="宋体" w:hAnsi="宋体" w:eastAsia="宋体" w:cs="宋体"/>
                <w:sz w:val="18"/>
                <w:szCs w:val="18"/>
              </w:rPr>
              <w:t>271,562.94</w:t>
            </w:r>
          </w:p>
        </w:tc>
        <w:tc>
          <w:tcPr>
            <w:tcW w:w="3213" w:type="dxa"/>
            <w:tcBorders>
              <w:top w:val="single" w:color="auto" w:sz="2" w:space="0"/>
              <w:left w:val="single" w:color="auto" w:sz="2" w:space="0"/>
              <w:bottom w:val="single" w:color="auto" w:sz="2" w:space="0"/>
              <w:right w:val="single" w:color="auto" w:sz="2" w:space="0"/>
            </w:tcBorders>
            <w:vAlign w:val="center"/>
          </w:tcPr>
          <w:p w14:paraId="5108A7C5">
            <w:pPr>
              <w:spacing w:before="0" w:after="0" w:line="240" w:lineRule="exact"/>
              <w:jc w:val="right"/>
              <w:rPr>
                <w:rFonts w:ascii="宋体" w:hAnsi="宋体" w:eastAsia="宋体" w:cs="宋体"/>
                <w:sz w:val="18"/>
                <w:szCs w:val="18"/>
              </w:rPr>
            </w:pPr>
            <w:r>
              <w:rPr>
                <w:rFonts w:ascii="宋体" w:hAnsi="宋体" w:eastAsia="宋体" w:cs="宋体"/>
                <w:sz w:val="18"/>
                <w:szCs w:val="18"/>
              </w:rPr>
              <w:t>898,087.69</w:t>
            </w:r>
          </w:p>
        </w:tc>
      </w:tr>
      <w:tr w14:paraId="1C96DC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CD58E66">
            <w:pPr>
              <w:spacing w:before="40" w:after="40" w:line="240" w:lineRule="exact"/>
              <w:jc w:val="left"/>
              <w:rPr>
                <w:rFonts w:ascii="宋体" w:hAnsi="宋体" w:eastAsia="宋体" w:cs="宋体"/>
                <w:sz w:val="18"/>
                <w:szCs w:val="18"/>
              </w:rPr>
            </w:pPr>
            <w:r>
              <w:rPr>
                <w:rFonts w:ascii="宋体" w:hAnsi="宋体" w:eastAsia="宋体" w:cs="宋体"/>
                <w:sz w:val="18"/>
                <w:szCs w:val="18"/>
              </w:rPr>
              <w:t>3年以上</w:t>
            </w:r>
          </w:p>
        </w:tc>
        <w:tc>
          <w:tcPr>
            <w:tcW w:w="3213" w:type="dxa"/>
            <w:tcBorders>
              <w:top w:val="single" w:color="auto" w:sz="2" w:space="0"/>
              <w:left w:val="single" w:color="auto" w:sz="2" w:space="0"/>
              <w:bottom w:val="single" w:color="auto" w:sz="2" w:space="0"/>
              <w:right w:val="single" w:color="auto" w:sz="2" w:space="0"/>
            </w:tcBorders>
            <w:vAlign w:val="center"/>
          </w:tcPr>
          <w:p w14:paraId="77A56CE5">
            <w:pPr>
              <w:spacing w:before="0" w:after="0" w:line="240" w:lineRule="exact"/>
              <w:jc w:val="right"/>
              <w:rPr>
                <w:rFonts w:ascii="宋体" w:hAnsi="宋体" w:eastAsia="宋体" w:cs="宋体"/>
                <w:sz w:val="18"/>
                <w:szCs w:val="18"/>
              </w:rPr>
            </w:pPr>
            <w:r>
              <w:rPr>
                <w:rFonts w:ascii="宋体" w:hAnsi="宋体" w:eastAsia="宋体" w:cs="宋体"/>
                <w:sz w:val="18"/>
                <w:szCs w:val="18"/>
              </w:rPr>
              <w:t>1,126,370.89</w:t>
            </w:r>
          </w:p>
        </w:tc>
        <w:tc>
          <w:tcPr>
            <w:tcW w:w="3213" w:type="dxa"/>
            <w:tcBorders>
              <w:top w:val="single" w:color="auto" w:sz="2" w:space="0"/>
              <w:left w:val="single" w:color="auto" w:sz="2" w:space="0"/>
              <w:bottom w:val="single" w:color="auto" w:sz="2" w:space="0"/>
              <w:right w:val="single" w:color="auto" w:sz="2" w:space="0"/>
            </w:tcBorders>
            <w:vAlign w:val="center"/>
          </w:tcPr>
          <w:p w14:paraId="5DB8410B">
            <w:pPr>
              <w:spacing w:before="0" w:after="0" w:line="240" w:lineRule="exact"/>
              <w:jc w:val="right"/>
              <w:rPr>
                <w:rFonts w:ascii="宋体" w:hAnsi="宋体" w:eastAsia="宋体" w:cs="宋体"/>
                <w:sz w:val="18"/>
                <w:szCs w:val="18"/>
              </w:rPr>
            </w:pPr>
            <w:r>
              <w:rPr>
                <w:rFonts w:ascii="宋体" w:hAnsi="宋体" w:eastAsia="宋体" w:cs="宋体"/>
                <w:sz w:val="18"/>
                <w:szCs w:val="18"/>
              </w:rPr>
              <w:t>632,115.46</w:t>
            </w:r>
          </w:p>
        </w:tc>
      </w:tr>
      <w:tr w14:paraId="1D7F07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FB2DB1A">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3至4年</w:t>
            </w:r>
          </w:p>
        </w:tc>
        <w:tc>
          <w:tcPr>
            <w:tcW w:w="3213" w:type="dxa"/>
            <w:tcBorders>
              <w:top w:val="single" w:color="auto" w:sz="2" w:space="0"/>
              <w:left w:val="single" w:color="auto" w:sz="2" w:space="0"/>
              <w:bottom w:val="single" w:color="auto" w:sz="2" w:space="0"/>
              <w:right w:val="single" w:color="auto" w:sz="2" w:space="0"/>
            </w:tcBorders>
            <w:vAlign w:val="center"/>
          </w:tcPr>
          <w:p w14:paraId="33D2E488">
            <w:pPr>
              <w:spacing w:before="0" w:after="0" w:line="240" w:lineRule="exact"/>
              <w:jc w:val="right"/>
              <w:rPr>
                <w:rFonts w:ascii="宋体" w:hAnsi="宋体" w:eastAsia="宋体" w:cs="宋体"/>
                <w:sz w:val="18"/>
                <w:szCs w:val="18"/>
              </w:rPr>
            </w:pPr>
            <w:r>
              <w:rPr>
                <w:rFonts w:ascii="宋体" w:hAnsi="宋体" w:eastAsia="宋体" w:cs="宋体"/>
                <w:sz w:val="18"/>
                <w:szCs w:val="18"/>
              </w:rPr>
              <w:t>534,187.13</w:t>
            </w:r>
          </w:p>
        </w:tc>
        <w:tc>
          <w:tcPr>
            <w:tcW w:w="3213" w:type="dxa"/>
            <w:tcBorders>
              <w:top w:val="single" w:color="auto" w:sz="2" w:space="0"/>
              <w:left w:val="single" w:color="auto" w:sz="2" w:space="0"/>
              <w:bottom w:val="single" w:color="auto" w:sz="2" w:space="0"/>
              <w:right w:val="single" w:color="auto" w:sz="2" w:space="0"/>
            </w:tcBorders>
            <w:vAlign w:val="center"/>
          </w:tcPr>
          <w:p w14:paraId="66C5400E">
            <w:pPr>
              <w:spacing w:before="0" w:after="0" w:line="240" w:lineRule="exact"/>
              <w:jc w:val="right"/>
              <w:rPr>
                <w:rFonts w:ascii="宋体" w:hAnsi="宋体" w:eastAsia="宋体" w:cs="宋体"/>
                <w:sz w:val="18"/>
                <w:szCs w:val="18"/>
              </w:rPr>
            </w:pPr>
            <w:r>
              <w:rPr>
                <w:rFonts w:ascii="宋体" w:hAnsi="宋体" w:eastAsia="宋体" w:cs="宋体"/>
                <w:sz w:val="18"/>
                <w:szCs w:val="18"/>
              </w:rPr>
              <w:t>92,262.87</w:t>
            </w:r>
          </w:p>
        </w:tc>
      </w:tr>
      <w:tr w14:paraId="2F8652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0B5B905">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4至5年</w:t>
            </w:r>
          </w:p>
        </w:tc>
        <w:tc>
          <w:tcPr>
            <w:tcW w:w="3213" w:type="dxa"/>
            <w:tcBorders>
              <w:top w:val="single" w:color="auto" w:sz="2" w:space="0"/>
              <w:left w:val="single" w:color="auto" w:sz="2" w:space="0"/>
              <w:bottom w:val="single" w:color="auto" w:sz="2" w:space="0"/>
              <w:right w:val="single" w:color="auto" w:sz="2" w:space="0"/>
            </w:tcBorders>
            <w:vAlign w:val="center"/>
          </w:tcPr>
          <w:p w14:paraId="3EF5AB1D">
            <w:pPr>
              <w:spacing w:before="0" w:after="0" w:line="240" w:lineRule="exact"/>
              <w:jc w:val="right"/>
              <w:rPr>
                <w:rFonts w:ascii="宋体" w:hAnsi="宋体" w:eastAsia="宋体" w:cs="宋体"/>
                <w:sz w:val="18"/>
                <w:szCs w:val="18"/>
              </w:rPr>
            </w:pPr>
            <w:r>
              <w:rPr>
                <w:rFonts w:ascii="宋体" w:hAnsi="宋体" w:eastAsia="宋体" w:cs="宋体"/>
                <w:sz w:val="18"/>
                <w:szCs w:val="18"/>
              </w:rPr>
              <w:t>84,447.87</w:t>
            </w:r>
          </w:p>
        </w:tc>
        <w:tc>
          <w:tcPr>
            <w:tcW w:w="3213" w:type="dxa"/>
            <w:tcBorders>
              <w:top w:val="single" w:color="auto" w:sz="2" w:space="0"/>
              <w:left w:val="single" w:color="auto" w:sz="2" w:space="0"/>
              <w:bottom w:val="single" w:color="auto" w:sz="2" w:space="0"/>
              <w:right w:val="single" w:color="auto" w:sz="2" w:space="0"/>
            </w:tcBorders>
            <w:vAlign w:val="center"/>
          </w:tcPr>
          <w:p w14:paraId="040665C0">
            <w:pPr>
              <w:spacing w:before="0" w:after="0" w:line="240" w:lineRule="exact"/>
              <w:jc w:val="right"/>
              <w:rPr>
                <w:rFonts w:ascii="宋体" w:hAnsi="宋体" w:eastAsia="宋体" w:cs="宋体"/>
                <w:sz w:val="18"/>
                <w:szCs w:val="18"/>
              </w:rPr>
            </w:pPr>
            <w:r>
              <w:rPr>
                <w:rFonts w:ascii="宋体" w:hAnsi="宋体" w:eastAsia="宋体" w:cs="宋体"/>
                <w:sz w:val="18"/>
                <w:szCs w:val="18"/>
              </w:rPr>
              <w:t>482,675.59</w:t>
            </w:r>
          </w:p>
        </w:tc>
      </w:tr>
      <w:tr w14:paraId="1641EB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7FDE4D1">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5年以上</w:t>
            </w:r>
          </w:p>
        </w:tc>
        <w:tc>
          <w:tcPr>
            <w:tcW w:w="3213" w:type="dxa"/>
            <w:tcBorders>
              <w:top w:val="single" w:color="auto" w:sz="2" w:space="0"/>
              <w:left w:val="single" w:color="auto" w:sz="2" w:space="0"/>
              <w:bottom w:val="single" w:color="auto" w:sz="2" w:space="0"/>
              <w:right w:val="single" w:color="auto" w:sz="2" w:space="0"/>
            </w:tcBorders>
            <w:vAlign w:val="center"/>
          </w:tcPr>
          <w:p w14:paraId="02A8C5C5">
            <w:pPr>
              <w:spacing w:before="0" w:after="0" w:line="240" w:lineRule="exact"/>
              <w:jc w:val="right"/>
              <w:rPr>
                <w:rFonts w:ascii="宋体" w:hAnsi="宋体" w:eastAsia="宋体" w:cs="宋体"/>
                <w:sz w:val="18"/>
                <w:szCs w:val="18"/>
              </w:rPr>
            </w:pPr>
            <w:r>
              <w:rPr>
                <w:rFonts w:ascii="宋体" w:hAnsi="宋体" w:eastAsia="宋体" w:cs="宋体"/>
                <w:sz w:val="18"/>
                <w:szCs w:val="18"/>
              </w:rPr>
              <w:t>507,735.89</w:t>
            </w:r>
          </w:p>
        </w:tc>
        <w:tc>
          <w:tcPr>
            <w:tcW w:w="3213" w:type="dxa"/>
            <w:tcBorders>
              <w:top w:val="single" w:color="auto" w:sz="2" w:space="0"/>
              <w:left w:val="single" w:color="auto" w:sz="2" w:space="0"/>
              <w:bottom w:val="single" w:color="auto" w:sz="2" w:space="0"/>
              <w:right w:val="single" w:color="auto" w:sz="2" w:space="0"/>
            </w:tcBorders>
            <w:vAlign w:val="center"/>
          </w:tcPr>
          <w:p w14:paraId="419D8FDB">
            <w:pPr>
              <w:spacing w:before="0" w:after="0" w:line="240" w:lineRule="exact"/>
              <w:jc w:val="right"/>
              <w:rPr>
                <w:rFonts w:ascii="宋体" w:hAnsi="宋体" w:eastAsia="宋体" w:cs="宋体"/>
                <w:sz w:val="18"/>
                <w:szCs w:val="18"/>
              </w:rPr>
            </w:pPr>
            <w:r>
              <w:rPr>
                <w:rFonts w:ascii="宋体" w:hAnsi="宋体" w:eastAsia="宋体" w:cs="宋体"/>
                <w:sz w:val="18"/>
                <w:szCs w:val="18"/>
              </w:rPr>
              <w:t>57,177.00</w:t>
            </w:r>
          </w:p>
        </w:tc>
      </w:tr>
      <w:tr w14:paraId="3A8192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58E3036">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329B42D2">
            <w:pPr>
              <w:spacing w:before="0" w:after="0" w:line="240" w:lineRule="exact"/>
              <w:jc w:val="right"/>
              <w:rPr>
                <w:rFonts w:ascii="宋体" w:hAnsi="宋体" w:eastAsia="宋体" w:cs="宋体"/>
                <w:sz w:val="18"/>
                <w:szCs w:val="18"/>
              </w:rPr>
            </w:pPr>
            <w:r>
              <w:rPr>
                <w:rFonts w:ascii="宋体" w:hAnsi="宋体" w:eastAsia="宋体" w:cs="宋体"/>
                <w:sz w:val="18"/>
                <w:szCs w:val="18"/>
              </w:rPr>
              <w:t>88,107,573.71</w:t>
            </w:r>
          </w:p>
        </w:tc>
        <w:tc>
          <w:tcPr>
            <w:tcW w:w="3213" w:type="dxa"/>
            <w:tcBorders>
              <w:top w:val="single" w:color="auto" w:sz="2" w:space="0"/>
              <w:left w:val="single" w:color="auto" w:sz="2" w:space="0"/>
              <w:bottom w:val="single" w:color="auto" w:sz="2" w:space="0"/>
              <w:right w:val="single" w:color="auto" w:sz="2" w:space="0"/>
            </w:tcBorders>
            <w:vAlign w:val="center"/>
          </w:tcPr>
          <w:p w14:paraId="66756877">
            <w:pPr>
              <w:spacing w:before="0" w:after="0" w:line="240" w:lineRule="exact"/>
              <w:jc w:val="right"/>
              <w:rPr>
                <w:rFonts w:ascii="宋体" w:hAnsi="宋体" w:eastAsia="宋体" w:cs="宋体"/>
                <w:sz w:val="18"/>
                <w:szCs w:val="18"/>
              </w:rPr>
            </w:pPr>
            <w:r>
              <w:rPr>
                <w:rFonts w:ascii="宋体" w:hAnsi="宋体" w:eastAsia="宋体" w:cs="宋体"/>
                <w:sz w:val="18"/>
                <w:szCs w:val="18"/>
              </w:rPr>
              <w:t>22,636,620.55</w:t>
            </w:r>
          </w:p>
        </w:tc>
      </w:tr>
    </w:tbl>
    <w:p w14:paraId="5BCCB87C">
      <w:pPr>
        <w:keepNext/>
        <w:keepLines/>
        <w:spacing w:before="300" w:after="300" w:line="280" w:lineRule="exact"/>
        <w:jc w:val="left"/>
        <w:outlineLvl w:val="3"/>
        <w:rPr>
          <w:rFonts w:ascii="宋体" w:hAnsi="宋体" w:eastAsia="宋体" w:cs="宋体"/>
          <w:b/>
          <w:bCs/>
          <w:sz w:val="21"/>
          <w:szCs w:val="21"/>
        </w:rPr>
      </w:pPr>
      <w:bookmarkStart w:id="581" w:name="_Toc989464"/>
      <w:r>
        <w:rPr>
          <w:rFonts w:ascii="宋体" w:hAnsi="宋体" w:eastAsia="宋体" w:cs="宋体"/>
          <w:b/>
          <w:bCs/>
          <w:sz w:val="21"/>
          <w:szCs w:val="21"/>
        </w:rPr>
        <w:t>（2） 按坏账计提方法分类披露</w:t>
      </w:r>
      <w:bookmarkEnd w:id="581"/>
    </w:p>
    <w:p w14:paraId="757967A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76"/>
        <w:gridCol w:w="876"/>
        <w:gridCol w:w="876"/>
        <w:gridCol w:w="876"/>
        <w:gridCol w:w="876"/>
        <w:gridCol w:w="876"/>
        <w:gridCol w:w="876"/>
        <w:gridCol w:w="876"/>
        <w:gridCol w:w="876"/>
      </w:tblGrid>
      <w:tr w14:paraId="706A04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626B091">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4E3B6F19">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4D2AC4CC">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1F57C1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CEE6BB6"/>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7C178BC6">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307E2EE0">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284B028">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FDDE0E0">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684154F">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C14810F">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5D4841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B64983C"/>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C35D378">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DCB1F98">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7535382">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53393CB">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0662845"/>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B9BD789">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5B647DE">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2ECEA72">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9D3C3E4">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D755EC0"/>
        </w:tc>
      </w:tr>
      <w:tr w14:paraId="49D695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D0A8DDD">
            <w:pPr>
              <w:spacing w:before="40" w:after="40" w:line="240" w:lineRule="exact"/>
              <w:jc w:val="left"/>
              <w:rPr>
                <w:rFonts w:ascii="宋体" w:hAnsi="宋体" w:eastAsia="宋体" w:cs="宋体"/>
                <w:sz w:val="18"/>
                <w:szCs w:val="18"/>
              </w:rPr>
            </w:pPr>
            <w:r>
              <w:rPr>
                <w:rFonts w:ascii="宋体" w:hAnsi="宋体" w:eastAsia="宋体" w:cs="宋体"/>
                <w:sz w:val="18"/>
                <w:szCs w:val="18"/>
              </w:rPr>
              <w:t>按单项计提坏账准备的应收账款</w:t>
            </w:r>
          </w:p>
        </w:tc>
        <w:tc>
          <w:tcPr>
            <w:tcW w:w="876" w:type="dxa"/>
            <w:tcBorders>
              <w:top w:val="single" w:color="auto" w:sz="2" w:space="0"/>
              <w:left w:val="single" w:color="auto" w:sz="2" w:space="0"/>
              <w:bottom w:val="single" w:color="auto" w:sz="2" w:space="0"/>
              <w:right w:val="single" w:color="auto" w:sz="2" w:space="0"/>
            </w:tcBorders>
            <w:vAlign w:val="center"/>
          </w:tcPr>
          <w:p w14:paraId="718AEE6A">
            <w:pPr>
              <w:spacing w:before="0" w:after="0" w:line="240" w:lineRule="exact"/>
              <w:jc w:val="right"/>
              <w:rPr>
                <w:rFonts w:ascii="宋体" w:hAnsi="宋体" w:eastAsia="宋体" w:cs="宋体"/>
                <w:sz w:val="18"/>
                <w:szCs w:val="18"/>
              </w:rPr>
            </w:pPr>
            <w:r>
              <w:rPr>
                <w:rFonts w:ascii="宋体" w:hAnsi="宋体" w:eastAsia="宋体" w:cs="宋体"/>
                <w:sz w:val="18"/>
                <w:szCs w:val="18"/>
              </w:rPr>
              <w:t>634,929.07</w:t>
            </w:r>
          </w:p>
        </w:tc>
        <w:tc>
          <w:tcPr>
            <w:tcW w:w="876" w:type="dxa"/>
            <w:tcBorders>
              <w:top w:val="single" w:color="auto" w:sz="2" w:space="0"/>
              <w:left w:val="single" w:color="auto" w:sz="2" w:space="0"/>
              <w:bottom w:val="single" w:color="auto" w:sz="2" w:space="0"/>
              <w:right w:val="single" w:color="auto" w:sz="2" w:space="0"/>
            </w:tcBorders>
            <w:vAlign w:val="center"/>
          </w:tcPr>
          <w:p w14:paraId="21A1ACDC">
            <w:pPr>
              <w:spacing w:before="0" w:after="0" w:line="240" w:lineRule="exact"/>
              <w:jc w:val="right"/>
              <w:rPr>
                <w:rFonts w:ascii="宋体" w:hAnsi="宋体" w:eastAsia="宋体" w:cs="宋体"/>
                <w:sz w:val="18"/>
                <w:szCs w:val="18"/>
              </w:rPr>
            </w:pPr>
            <w:r>
              <w:rPr>
                <w:rFonts w:ascii="宋体" w:hAnsi="宋体" w:eastAsia="宋体" w:cs="宋体"/>
                <w:sz w:val="18"/>
                <w:szCs w:val="18"/>
              </w:rPr>
              <w:t>0.72%</w:t>
            </w:r>
          </w:p>
        </w:tc>
        <w:tc>
          <w:tcPr>
            <w:tcW w:w="876" w:type="dxa"/>
            <w:tcBorders>
              <w:top w:val="single" w:color="auto" w:sz="2" w:space="0"/>
              <w:left w:val="single" w:color="auto" w:sz="2" w:space="0"/>
              <w:bottom w:val="single" w:color="auto" w:sz="2" w:space="0"/>
              <w:right w:val="single" w:color="auto" w:sz="2" w:space="0"/>
            </w:tcBorders>
            <w:vAlign w:val="center"/>
          </w:tcPr>
          <w:p w14:paraId="04F5A113">
            <w:pPr>
              <w:spacing w:before="0" w:after="0" w:line="240" w:lineRule="exact"/>
              <w:jc w:val="right"/>
              <w:rPr>
                <w:rFonts w:ascii="宋体" w:hAnsi="宋体" w:eastAsia="宋体" w:cs="宋体"/>
                <w:sz w:val="18"/>
                <w:szCs w:val="18"/>
              </w:rPr>
            </w:pPr>
            <w:r>
              <w:rPr>
                <w:rFonts w:ascii="宋体" w:hAnsi="宋体" w:eastAsia="宋体" w:cs="宋体"/>
                <w:sz w:val="18"/>
                <w:szCs w:val="18"/>
              </w:rPr>
              <w:t>634,929.07</w:t>
            </w:r>
          </w:p>
        </w:tc>
        <w:tc>
          <w:tcPr>
            <w:tcW w:w="876" w:type="dxa"/>
            <w:tcBorders>
              <w:top w:val="single" w:color="auto" w:sz="2" w:space="0"/>
              <w:left w:val="single" w:color="auto" w:sz="2" w:space="0"/>
              <w:bottom w:val="single" w:color="auto" w:sz="2" w:space="0"/>
              <w:right w:val="single" w:color="auto" w:sz="2" w:space="0"/>
            </w:tcBorders>
            <w:vAlign w:val="center"/>
          </w:tcPr>
          <w:p w14:paraId="685131F7">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2CA41DDF">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006F1A13">
            <w:pPr>
              <w:spacing w:before="0" w:after="0" w:line="240" w:lineRule="exact"/>
              <w:jc w:val="right"/>
              <w:rPr>
                <w:rFonts w:ascii="宋体" w:hAnsi="宋体" w:eastAsia="宋体" w:cs="宋体"/>
                <w:sz w:val="18"/>
                <w:szCs w:val="18"/>
              </w:rPr>
            </w:pPr>
            <w:r>
              <w:rPr>
                <w:rFonts w:ascii="宋体" w:hAnsi="宋体" w:eastAsia="宋体" w:cs="宋体"/>
                <w:sz w:val="18"/>
                <w:szCs w:val="18"/>
              </w:rPr>
              <w:t>669,929.07</w:t>
            </w:r>
          </w:p>
        </w:tc>
        <w:tc>
          <w:tcPr>
            <w:tcW w:w="876" w:type="dxa"/>
            <w:tcBorders>
              <w:top w:val="single" w:color="auto" w:sz="2" w:space="0"/>
              <w:left w:val="single" w:color="auto" w:sz="2" w:space="0"/>
              <w:bottom w:val="single" w:color="auto" w:sz="2" w:space="0"/>
              <w:right w:val="single" w:color="auto" w:sz="2" w:space="0"/>
            </w:tcBorders>
            <w:vAlign w:val="center"/>
          </w:tcPr>
          <w:p w14:paraId="512118CA">
            <w:pPr>
              <w:spacing w:before="0" w:after="0" w:line="240" w:lineRule="exact"/>
              <w:jc w:val="right"/>
              <w:rPr>
                <w:rFonts w:ascii="宋体" w:hAnsi="宋体" w:eastAsia="宋体" w:cs="宋体"/>
                <w:sz w:val="18"/>
                <w:szCs w:val="18"/>
              </w:rPr>
            </w:pPr>
            <w:r>
              <w:rPr>
                <w:rFonts w:ascii="宋体" w:hAnsi="宋体" w:eastAsia="宋体" w:cs="宋体"/>
                <w:sz w:val="18"/>
                <w:szCs w:val="18"/>
              </w:rPr>
              <w:t>2.96%</w:t>
            </w:r>
          </w:p>
        </w:tc>
        <w:tc>
          <w:tcPr>
            <w:tcW w:w="876" w:type="dxa"/>
            <w:tcBorders>
              <w:top w:val="single" w:color="auto" w:sz="2" w:space="0"/>
              <w:left w:val="single" w:color="auto" w:sz="2" w:space="0"/>
              <w:bottom w:val="single" w:color="auto" w:sz="2" w:space="0"/>
              <w:right w:val="single" w:color="auto" w:sz="2" w:space="0"/>
            </w:tcBorders>
            <w:vAlign w:val="center"/>
          </w:tcPr>
          <w:p w14:paraId="7F736861">
            <w:pPr>
              <w:spacing w:before="0" w:after="0" w:line="240" w:lineRule="exact"/>
              <w:jc w:val="right"/>
              <w:rPr>
                <w:rFonts w:ascii="宋体" w:hAnsi="宋体" w:eastAsia="宋体" w:cs="宋体"/>
                <w:sz w:val="18"/>
                <w:szCs w:val="18"/>
              </w:rPr>
            </w:pPr>
            <w:r>
              <w:rPr>
                <w:rFonts w:ascii="宋体" w:hAnsi="宋体" w:eastAsia="宋体" w:cs="宋体"/>
                <w:sz w:val="18"/>
                <w:szCs w:val="18"/>
              </w:rPr>
              <w:t>669,929.07</w:t>
            </w:r>
          </w:p>
        </w:tc>
        <w:tc>
          <w:tcPr>
            <w:tcW w:w="876" w:type="dxa"/>
            <w:tcBorders>
              <w:top w:val="single" w:color="auto" w:sz="2" w:space="0"/>
              <w:left w:val="single" w:color="auto" w:sz="2" w:space="0"/>
              <w:bottom w:val="single" w:color="auto" w:sz="2" w:space="0"/>
              <w:right w:val="single" w:color="auto" w:sz="2" w:space="0"/>
            </w:tcBorders>
            <w:vAlign w:val="center"/>
          </w:tcPr>
          <w:p w14:paraId="2D20DA73">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1D781D11">
            <w:pPr>
              <w:spacing w:before="0" w:after="0" w:line="240" w:lineRule="exact"/>
              <w:jc w:val="right"/>
              <w:rPr>
                <w:rFonts w:ascii="宋体" w:hAnsi="宋体" w:eastAsia="宋体" w:cs="宋体"/>
                <w:sz w:val="18"/>
                <w:szCs w:val="18"/>
              </w:rPr>
            </w:pPr>
          </w:p>
        </w:tc>
      </w:tr>
      <w:tr w14:paraId="5B5499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50C8336">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28B82CC"/>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6F41DB8"/>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4AF1464"/>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025DEF4"/>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566F0D7"/>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6B6971D"/>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FF24E4A"/>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38E5FA6"/>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5ABA5CF"/>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29DB79C"/>
        </w:tc>
      </w:tr>
      <w:tr w14:paraId="47D671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54105D8">
            <w:pPr>
              <w:spacing w:before="40" w:after="40" w:line="240" w:lineRule="exact"/>
              <w:jc w:val="left"/>
              <w:rPr>
                <w:rFonts w:ascii="宋体" w:hAnsi="宋体" w:eastAsia="宋体" w:cs="宋体"/>
                <w:sz w:val="18"/>
                <w:szCs w:val="18"/>
              </w:rPr>
            </w:pPr>
            <w:r>
              <w:rPr>
                <w:rFonts w:ascii="宋体" w:hAnsi="宋体" w:eastAsia="宋体" w:cs="宋体"/>
                <w:sz w:val="18"/>
                <w:szCs w:val="18"/>
              </w:rPr>
              <w:t>按组合计提坏账准备的应收账款</w:t>
            </w:r>
          </w:p>
        </w:tc>
        <w:tc>
          <w:tcPr>
            <w:tcW w:w="876" w:type="dxa"/>
            <w:tcBorders>
              <w:top w:val="single" w:color="auto" w:sz="2" w:space="0"/>
              <w:left w:val="single" w:color="auto" w:sz="2" w:space="0"/>
              <w:bottom w:val="single" w:color="auto" w:sz="2" w:space="0"/>
              <w:right w:val="single" w:color="auto" w:sz="2" w:space="0"/>
            </w:tcBorders>
            <w:vAlign w:val="center"/>
          </w:tcPr>
          <w:p w14:paraId="4344B7E8">
            <w:pPr>
              <w:spacing w:before="0" w:after="0" w:line="240" w:lineRule="exact"/>
              <w:jc w:val="right"/>
              <w:rPr>
                <w:rFonts w:ascii="宋体" w:hAnsi="宋体" w:eastAsia="宋体" w:cs="宋体"/>
                <w:sz w:val="18"/>
                <w:szCs w:val="18"/>
              </w:rPr>
            </w:pPr>
            <w:r>
              <w:rPr>
                <w:rFonts w:ascii="宋体" w:hAnsi="宋体" w:eastAsia="宋体" w:cs="宋体"/>
                <w:sz w:val="18"/>
                <w:szCs w:val="18"/>
              </w:rPr>
              <w:t>87,472,644.64</w:t>
            </w:r>
          </w:p>
        </w:tc>
        <w:tc>
          <w:tcPr>
            <w:tcW w:w="876" w:type="dxa"/>
            <w:tcBorders>
              <w:top w:val="single" w:color="auto" w:sz="2" w:space="0"/>
              <w:left w:val="single" w:color="auto" w:sz="2" w:space="0"/>
              <w:bottom w:val="single" w:color="auto" w:sz="2" w:space="0"/>
              <w:right w:val="single" w:color="auto" w:sz="2" w:space="0"/>
            </w:tcBorders>
            <w:vAlign w:val="center"/>
          </w:tcPr>
          <w:p w14:paraId="0301C440">
            <w:pPr>
              <w:spacing w:before="0" w:after="0" w:line="240" w:lineRule="exact"/>
              <w:jc w:val="right"/>
              <w:rPr>
                <w:rFonts w:ascii="宋体" w:hAnsi="宋体" w:eastAsia="宋体" w:cs="宋体"/>
                <w:sz w:val="18"/>
                <w:szCs w:val="18"/>
              </w:rPr>
            </w:pPr>
            <w:r>
              <w:rPr>
                <w:rFonts w:ascii="宋体" w:hAnsi="宋体" w:eastAsia="宋体" w:cs="宋体"/>
                <w:sz w:val="18"/>
                <w:szCs w:val="18"/>
              </w:rPr>
              <w:t>99.28%</w:t>
            </w:r>
          </w:p>
        </w:tc>
        <w:tc>
          <w:tcPr>
            <w:tcW w:w="876" w:type="dxa"/>
            <w:tcBorders>
              <w:top w:val="single" w:color="auto" w:sz="2" w:space="0"/>
              <w:left w:val="single" w:color="auto" w:sz="2" w:space="0"/>
              <w:bottom w:val="single" w:color="auto" w:sz="2" w:space="0"/>
              <w:right w:val="single" w:color="auto" w:sz="2" w:space="0"/>
            </w:tcBorders>
            <w:vAlign w:val="center"/>
          </w:tcPr>
          <w:p w14:paraId="670A030F">
            <w:pPr>
              <w:spacing w:before="0" w:after="0" w:line="240" w:lineRule="exact"/>
              <w:jc w:val="right"/>
              <w:rPr>
                <w:rFonts w:ascii="宋体" w:hAnsi="宋体" w:eastAsia="宋体" w:cs="宋体"/>
                <w:sz w:val="18"/>
                <w:szCs w:val="18"/>
              </w:rPr>
            </w:pPr>
            <w:r>
              <w:rPr>
                <w:rFonts w:ascii="宋体" w:hAnsi="宋体" w:eastAsia="宋体" w:cs="宋体"/>
                <w:sz w:val="18"/>
                <w:szCs w:val="18"/>
              </w:rPr>
              <w:t>1,017,119.97</w:t>
            </w:r>
          </w:p>
        </w:tc>
        <w:tc>
          <w:tcPr>
            <w:tcW w:w="876" w:type="dxa"/>
            <w:tcBorders>
              <w:top w:val="single" w:color="auto" w:sz="2" w:space="0"/>
              <w:left w:val="single" w:color="auto" w:sz="2" w:space="0"/>
              <w:bottom w:val="single" w:color="auto" w:sz="2" w:space="0"/>
              <w:right w:val="single" w:color="auto" w:sz="2" w:space="0"/>
            </w:tcBorders>
            <w:vAlign w:val="center"/>
          </w:tcPr>
          <w:p w14:paraId="4EB232F5">
            <w:pPr>
              <w:spacing w:before="0" w:after="0" w:line="240" w:lineRule="exact"/>
              <w:jc w:val="right"/>
              <w:rPr>
                <w:rFonts w:ascii="宋体" w:hAnsi="宋体" w:eastAsia="宋体" w:cs="宋体"/>
                <w:sz w:val="18"/>
                <w:szCs w:val="18"/>
              </w:rPr>
            </w:pPr>
            <w:r>
              <w:rPr>
                <w:rFonts w:ascii="宋体" w:hAnsi="宋体" w:eastAsia="宋体" w:cs="宋体"/>
                <w:sz w:val="18"/>
                <w:szCs w:val="18"/>
              </w:rPr>
              <w:t>1.16%</w:t>
            </w:r>
          </w:p>
        </w:tc>
        <w:tc>
          <w:tcPr>
            <w:tcW w:w="876" w:type="dxa"/>
            <w:tcBorders>
              <w:top w:val="single" w:color="auto" w:sz="2" w:space="0"/>
              <w:left w:val="single" w:color="auto" w:sz="2" w:space="0"/>
              <w:bottom w:val="single" w:color="auto" w:sz="2" w:space="0"/>
              <w:right w:val="single" w:color="auto" w:sz="2" w:space="0"/>
            </w:tcBorders>
            <w:vAlign w:val="center"/>
          </w:tcPr>
          <w:p w14:paraId="22BC806E">
            <w:pPr>
              <w:spacing w:before="0" w:after="0" w:line="240" w:lineRule="exact"/>
              <w:jc w:val="right"/>
              <w:rPr>
                <w:rFonts w:ascii="宋体" w:hAnsi="宋体" w:eastAsia="宋体" w:cs="宋体"/>
                <w:sz w:val="18"/>
                <w:szCs w:val="18"/>
              </w:rPr>
            </w:pPr>
            <w:r>
              <w:rPr>
                <w:rFonts w:ascii="宋体" w:hAnsi="宋体" w:eastAsia="宋体" w:cs="宋体"/>
                <w:sz w:val="18"/>
                <w:szCs w:val="18"/>
              </w:rPr>
              <w:t>86,455,524.67</w:t>
            </w:r>
          </w:p>
        </w:tc>
        <w:tc>
          <w:tcPr>
            <w:tcW w:w="876" w:type="dxa"/>
            <w:tcBorders>
              <w:top w:val="single" w:color="auto" w:sz="2" w:space="0"/>
              <w:left w:val="single" w:color="auto" w:sz="2" w:space="0"/>
              <w:bottom w:val="single" w:color="auto" w:sz="2" w:space="0"/>
              <w:right w:val="single" w:color="auto" w:sz="2" w:space="0"/>
            </w:tcBorders>
            <w:vAlign w:val="center"/>
          </w:tcPr>
          <w:p w14:paraId="557940E0">
            <w:pPr>
              <w:spacing w:before="0" w:after="0" w:line="240" w:lineRule="exact"/>
              <w:jc w:val="right"/>
              <w:rPr>
                <w:rFonts w:ascii="宋体" w:hAnsi="宋体" w:eastAsia="宋体" w:cs="宋体"/>
                <w:sz w:val="18"/>
                <w:szCs w:val="18"/>
              </w:rPr>
            </w:pPr>
            <w:r>
              <w:rPr>
                <w:rFonts w:ascii="宋体" w:hAnsi="宋体" w:eastAsia="宋体" w:cs="宋体"/>
                <w:sz w:val="18"/>
                <w:szCs w:val="18"/>
              </w:rPr>
              <w:t>21,966,691.48</w:t>
            </w:r>
          </w:p>
        </w:tc>
        <w:tc>
          <w:tcPr>
            <w:tcW w:w="876" w:type="dxa"/>
            <w:tcBorders>
              <w:top w:val="single" w:color="auto" w:sz="2" w:space="0"/>
              <w:left w:val="single" w:color="auto" w:sz="2" w:space="0"/>
              <w:bottom w:val="single" w:color="auto" w:sz="2" w:space="0"/>
              <w:right w:val="single" w:color="auto" w:sz="2" w:space="0"/>
            </w:tcBorders>
            <w:vAlign w:val="center"/>
          </w:tcPr>
          <w:p w14:paraId="126FCB61">
            <w:pPr>
              <w:spacing w:before="0" w:after="0" w:line="240" w:lineRule="exact"/>
              <w:jc w:val="right"/>
              <w:rPr>
                <w:rFonts w:ascii="宋体" w:hAnsi="宋体" w:eastAsia="宋体" w:cs="宋体"/>
                <w:sz w:val="18"/>
                <w:szCs w:val="18"/>
              </w:rPr>
            </w:pPr>
            <w:r>
              <w:rPr>
                <w:rFonts w:ascii="宋体" w:hAnsi="宋体" w:eastAsia="宋体" w:cs="宋体"/>
                <w:sz w:val="18"/>
                <w:szCs w:val="18"/>
              </w:rPr>
              <w:t>97.04%</w:t>
            </w:r>
          </w:p>
        </w:tc>
        <w:tc>
          <w:tcPr>
            <w:tcW w:w="876" w:type="dxa"/>
            <w:tcBorders>
              <w:top w:val="single" w:color="auto" w:sz="2" w:space="0"/>
              <w:left w:val="single" w:color="auto" w:sz="2" w:space="0"/>
              <w:bottom w:val="single" w:color="auto" w:sz="2" w:space="0"/>
              <w:right w:val="single" w:color="auto" w:sz="2" w:space="0"/>
            </w:tcBorders>
            <w:vAlign w:val="center"/>
          </w:tcPr>
          <w:p w14:paraId="608FC711">
            <w:pPr>
              <w:spacing w:before="0" w:after="0" w:line="240" w:lineRule="exact"/>
              <w:jc w:val="right"/>
              <w:rPr>
                <w:rFonts w:ascii="宋体" w:hAnsi="宋体" w:eastAsia="宋体" w:cs="宋体"/>
                <w:sz w:val="18"/>
                <w:szCs w:val="18"/>
              </w:rPr>
            </w:pPr>
            <w:r>
              <w:rPr>
                <w:rFonts w:ascii="宋体" w:hAnsi="宋体" w:eastAsia="宋体" w:cs="宋体"/>
                <w:sz w:val="18"/>
                <w:szCs w:val="18"/>
              </w:rPr>
              <w:t>985,287.14</w:t>
            </w:r>
          </w:p>
        </w:tc>
        <w:tc>
          <w:tcPr>
            <w:tcW w:w="876" w:type="dxa"/>
            <w:tcBorders>
              <w:top w:val="single" w:color="auto" w:sz="2" w:space="0"/>
              <w:left w:val="single" w:color="auto" w:sz="2" w:space="0"/>
              <w:bottom w:val="single" w:color="auto" w:sz="2" w:space="0"/>
              <w:right w:val="single" w:color="auto" w:sz="2" w:space="0"/>
            </w:tcBorders>
            <w:vAlign w:val="center"/>
          </w:tcPr>
          <w:p w14:paraId="5B6F0FB6">
            <w:pPr>
              <w:spacing w:before="0" w:after="0" w:line="240" w:lineRule="exact"/>
              <w:jc w:val="right"/>
              <w:rPr>
                <w:rFonts w:ascii="宋体" w:hAnsi="宋体" w:eastAsia="宋体" w:cs="宋体"/>
                <w:sz w:val="18"/>
                <w:szCs w:val="18"/>
              </w:rPr>
            </w:pPr>
            <w:r>
              <w:rPr>
                <w:rFonts w:ascii="宋体" w:hAnsi="宋体" w:eastAsia="宋体" w:cs="宋体"/>
                <w:sz w:val="18"/>
                <w:szCs w:val="18"/>
              </w:rPr>
              <w:t>4.49%</w:t>
            </w:r>
          </w:p>
        </w:tc>
        <w:tc>
          <w:tcPr>
            <w:tcW w:w="876" w:type="dxa"/>
            <w:tcBorders>
              <w:top w:val="single" w:color="auto" w:sz="2" w:space="0"/>
              <w:left w:val="single" w:color="auto" w:sz="2" w:space="0"/>
              <w:bottom w:val="single" w:color="auto" w:sz="2" w:space="0"/>
              <w:right w:val="single" w:color="auto" w:sz="2" w:space="0"/>
            </w:tcBorders>
            <w:vAlign w:val="center"/>
          </w:tcPr>
          <w:p w14:paraId="7E202F36">
            <w:pPr>
              <w:spacing w:before="0" w:after="0" w:line="240" w:lineRule="exact"/>
              <w:jc w:val="right"/>
              <w:rPr>
                <w:rFonts w:ascii="宋体" w:hAnsi="宋体" w:eastAsia="宋体" w:cs="宋体"/>
                <w:sz w:val="18"/>
                <w:szCs w:val="18"/>
              </w:rPr>
            </w:pPr>
            <w:r>
              <w:rPr>
                <w:rFonts w:ascii="宋体" w:hAnsi="宋体" w:eastAsia="宋体" w:cs="宋体"/>
                <w:sz w:val="18"/>
                <w:szCs w:val="18"/>
              </w:rPr>
              <w:t>20,981,404.34</w:t>
            </w:r>
          </w:p>
        </w:tc>
      </w:tr>
      <w:tr w14:paraId="73804B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193F490">
            <w:pPr>
              <w:spacing w:before="40" w:after="40" w:line="240" w:lineRule="exact"/>
              <w:ind w:firstLine="180" w:firstLineChars="100"/>
              <w:jc w:val="left"/>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A80FCCB"/>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D147539"/>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E905E31"/>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0541D896"/>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3039779"/>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377C175"/>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7C5E944"/>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32C2A2C5"/>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F23D460"/>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553B044"/>
        </w:tc>
      </w:tr>
      <w:tr w14:paraId="453BB2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7C8BBFF3">
            <w:pPr>
              <w:spacing w:before="0" w:after="0" w:line="240" w:lineRule="exact"/>
              <w:jc w:val="left"/>
              <w:rPr>
                <w:rFonts w:ascii="宋体" w:hAnsi="宋体" w:eastAsia="宋体" w:cs="宋体"/>
                <w:sz w:val="18"/>
                <w:szCs w:val="18"/>
              </w:rPr>
            </w:pPr>
            <w:r>
              <w:rPr>
                <w:rFonts w:ascii="宋体" w:hAnsi="宋体" w:eastAsia="宋体" w:cs="宋体"/>
                <w:sz w:val="18"/>
                <w:szCs w:val="18"/>
              </w:rPr>
              <w:t>经销及外包推广模式应收款项组合</w:t>
            </w:r>
          </w:p>
        </w:tc>
        <w:tc>
          <w:tcPr>
            <w:tcW w:w="876" w:type="dxa"/>
            <w:tcBorders>
              <w:top w:val="single" w:color="auto" w:sz="2" w:space="0"/>
              <w:left w:val="single" w:color="auto" w:sz="2" w:space="0"/>
              <w:bottom w:val="single" w:color="auto" w:sz="2" w:space="0"/>
              <w:right w:val="single" w:color="auto" w:sz="2" w:space="0"/>
            </w:tcBorders>
            <w:vAlign w:val="center"/>
          </w:tcPr>
          <w:p w14:paraId="5EE468EC">
            <w:pPr>
              <w:spacing w:before="0" w:after="0" w:line="240" w:lineRule="exact"/>
              <w:jc w:val="right"/>
              <w:rPr>
                <w:rFonts w:ascii="宋体" w:hAnsi="宋体" w:eastAsia="宋体" w:cs="宋体"/>
                <w:sz w:val="18"/>
                <w:szCs w:val="18"/>
              </w:rPr>
            </w:pPr>
            <w:r>
              <w:rPr>
                <w:rFonts w:ascii="宋体" w:hAnsi="宋体" w:eastAsia="宋体" w:cs="宋体"/>
                <w:sz w:val="18"/>
                <w:szCs w:val="18"/>
              </w:rPr>
              <w:t>2,635,699.83</w:t>
            </w:r>
          </w:p>
        </w:tc>
        <w:tc>
          <w:tcPr>
            <w:tcW w:w="876" w:type="dxa"/>
            <w:tcBorders>
              <w:top w:val="single" w:color="auto" w:sz="2" w:space="0"/>
              <w:left w:val="single" w:color="auto" w:sz="2" w:space="0"/>
              <w:bottom w:val="single" w:color="auto" w:sz="2" w:space="0"/>
              <w:right w:val="single" w:color="auto" w:sz="2" w:space="0"/>
            </w:tcBorders>
            <w:vAlign w:val="center"/>
          </w:tcPr>
          <w:p w14:paraId="1E214E7C">
            <w:pPr>
              <w:spacing w:before="0" w:after="0" w:line="240" w:lineRule="exact"/>
              <w:jc w:val="right"/>
              <w:rPr>
                <w:rFonts w:ascii="宋体" w:hAnsi="宋体" w:eastAsia="宋体" w:cs="宋体"/>
                <w:sz w:val="18"/>
                <w:szCs w:val="18"/>
              </w:rPr>
            </w:pPr>
            <w:r>
              <w:rPr>
                <w:rFonts w:ascii="宋体" w:hAnsi="宋体" w:eastAsia="宋体" w:cs="宋体"/>
                <w:sz w:val="18"/>
                <w:szCs w:val="18"/>
              </w:rPr>
              <w:t>2.99%</w:t>
            </w:r>
          </w:p>
        </w:tc>
        <w:tc>
          <w:tcPr>
            <w:tcW w:w="876" w:type="dxa"/>
            <w:tcBorders>
              <w:top w:val="single" w:color="auto" w:sz="2" w:space="0"/>
              <w:left w:val="single" w:color="auto" w:sz="2" w:space="0"/>
              <w:bottom w:val="single" w:color="auto" w:sz="2" w:space="0"/>
              <w:right w:val="single" w:color="auto" w:sz="2" w:space="0"/>
            </w:tcBorders>
            <w:vAlign w:val="center"/>
          </w:tcPr>
          <w:p w14:paraId="0C8C9878">
            <w:pPr>
              <w:spacing w:before="0" w:after="0" w:line="240" w:lineRule="exact"/>
              <w:jc w:val="right"/>
              <w:rPr>
                <w:rFonts w:ascii="宋体" w:hAnsi="宋体" w:eastAsia="宋体" w:cs="宋体"/>
                <w:sz w:val="18"/>
                <w:szCs w:val="18"/>
              </w:rPr>
            </w:pPr>
            <w:r>
              <w:rPr>
                <w:rFonts w:ascii="宋体" w:hAnsi="宋体" w:eastAsia="宋体" w:cs="宋体"/>
                <w:sz w:val="18"/>
                <w:szCs w:val="18"/>
              </w:rPr>
              <w:t>571,655.69</w:t>
            </w:r>
          </w:p>
        </w:tc>
        <w:tc>
          <w:tcPr>
            <w:tcW w:w="876" w:type="dxa"/>
            <w:tcBorders>
              <w:top w:val="single" w:color="auto" w:sz="2" w:space="0"/>
              <w:left w:val="single" w:color="auto" w:sz="2" w:space="0"/>
              <w:bottom w:val="single" w:color="auto" w:sz="2" w:space="0"/>
              <w:right w:val="single" w:color="auto" w:sz="2" w:space="0"/>
            </w:tcBorders>
            <w:vAlign w:val="center"/>
          </w:tcPr>
          <w:p w14:paraId="69C8258F">
            <w:pPr>
              <w:spacing w:before="0" w:after="0" w:line="240" w:lineRule="exact"/>
              <w:jc w:val="right"/>
              <w:rPr>
                <w:rFonts w:ascii="宋体" w:hAnsi="宋体" w:eastAsia="宋体" w:cs="宋体"/>
                <w:sz w:val="18"/>
                <w:szCs w:val="18"/>
              </w:rPr>
            </w:pPr>
            <w:r>
              <w:rPr>
                <w:rFonts w:ascii="宋体" w:hAnsi="宋体" w:eastAsia="宋体" w:cs="宋体"/>
                <w:sz w:val="18"/>
                <w:szCs w:val="18"/>
              </w:rPr>
              <w:t>21.69%</w:t>
            </w:r>
          </w:p>
        </w:tc>
        <w:tc>
          <w:tcPr>
            <w:tcW w:w="876" w:type="dxa"/>
            <w:tcBorders>
              <w:top w:val="single" w:color="auto" w:sz="2" w:space="0"/>
              <w:left w:val="single" w:color="auto" w:sz="2" w:space="0"/>
              <w:bottom w:val="single" w:color="auto" w:sz="2" w:space="0"/>
              <w:right w:val="single" w:color="auto" w:sz="2" w:space="0"/>
            </w:tcBorders>
            <w:vAlign w:val="center"/>
          </w:tcPr>
          <w:p w14:paraId="79C22551">
            <w:pPr>
              <w:spacing w:before="0" w:after="0" w:line="240" w:lineRule="exact"/>
              <w:jc w:val="right"/>
              <w:rPr>
                <w:rFonts w:ascii="宋体" w:hAnsi="宋体" w:eastAsia="宋体" w:cs="宋体"/>
                <w:sz w:val="18"/>
                <w:szCs w:val="18"/>
              </w:rPr>
            </w:pPr>
            <w:r>
              <w:rPr>
                <w:rFonts w:ascii="宋体" w:hAnsi="宋体" w:eastAsia="宋体" w:cs="宋体"/>
                <w:sz w:val="18"/>
                <w:szCs w:val="18"/>
              </w:rPr>
              <w:t>2,064,044.14</w:t>
            </w:r>
          </w:p>
        </w:tc>
        <w:tc>
          <w:tcPr>
            <w:tcW w:w="876" w:type="dxa"/>
            <w:tcBorders>
              <w:top w:val="single" w:color="auto" w:sz="2" w:space="0"/>
              <w:left w:val="single" w:color="auto" w:sz="2" w:space="0"/>
              <w:bottom w:val="single" w:color="auto" w:sz="2" w:space="0"/>
              <w:right w:val="single" w:color="auto" w:sz="2" w:space="0"/>
            </w:tcBorders>
            <w:vAlign w:val="center"/>
          </w:tcPr>
          <w:p w14:paraId="21B8EBBC">
            <w:pPr>
              <w:spacing w:before="0" w:after="0" w:line="240" w:lineRule="exact"/>
              <w:jc w:val="right"/>
              <w:rPr>
                <w:rFonts w:ascii="宋体" w:hAnsi="宋体" w:eastAsia="宋体" w:cs="宋体"/>
                <w:sz w:val="18"/>
                <w:szCs w:val="18"/>
              </w:rPr>
            </w:pPr>
            <w:r>
              <w:rPr>
                <w:rFonts w:ascii="宋体" w:hAnsi="宋体" w:eastAsia="宋体" w:cs="宋体"/>
                <w:sz w:val="18"/>
                <w:szCs w:val="18"/>
              </w:rPr>
              <w:t>1,732,753.40</w:t>
            </w:r>
          </w:p>
        </w:tc>
        <w:tc>
          <w:tcPr>
            <w:tcW w:w="876" w:type="dxa"/>
            <w:tcBorders>
              <w:top w:val="single" w:color="auto" w:sz="2" w:space="0"/>
              <w:left w:val="single" w:color="auto" w:sz="2" w:space="0"/>
              <w:bottom w:val="single" w:color="auto" w:sz="2" w:space="0"/>
              <w:right w:val="single" w:color="auto" w:sz="2" w:space="0"/>
            </w:tcBorders>
            <w:vAlign w:val="center"/>
          </w:tcPr>
          <w:p w14:paraId="4C143306">
            <w:pPr>
              <w:spacing w:before="0" w:after="0" w:line="240" w:lineRule="exact"/>
              <w:jc w:val="right"/>
              <w:rPr>
                <w:rFonts w:ascii="宋体" w:hAnsi="宋体" w:eastAsia="宋体" w:cs="宋体"/>
                <w:sz w:val="18"/>
                <w:szCs w:val="18"/>
              </w:rPr>
            </w:pPr>
            <w:r>
              <w:rPr>
                <w:rFonts w:ascii="宋体" w:hAnsi="宋体" w:eastAsia="宋体" w:cs="宋体"/>
                <w:sz w:val="18"/>
                <w:szCs w:val="18"/>
              </w:rPr>
              <w:t>7.65%</w:t>
            </w:r>
          </w:p>
        </w:tc>
        <w:tc>
          <w:tcPr>
            <w:tcW w:w="876" w:type="dxa"/>
            <w:tcBorders>
              <w:top w:val="single" w:color="auto" w:sz="2" w:space="0"/>
              <w:left w:val="single" w:color="auto" w:sz="2" w:space="0"/>
              <w:bottom w:val="single" w:color="auto" w:sz="2" w:space="0"/>
              <w:right w:val="single" w:color="auto" w:sz="2" w:space="0"/>
            </w:tcBorders>
            <w:vAlign w:val="center"/>
          </w:tcPr>
          <w:p w14:paraId="695E2561">
            <w:pPr>
              <w:spacing w:before="0" w:after="0" w:line="240" w:lineRule="exact"/>
              <w:jc w:val="right"/>
              <w:rPr>
                <w:rFonts w:ascii="宋体" w:hAnsi="宋体" w:eastAsia="宋体" w:cs="宋体"/>
                <w:sz w:val="18"/>
                <w:szCs w:val="18"/>
              </w:rPr>
            </w:pPr>
            <w:r>
              <w:rPr>
                <w:rFonts w:ascii="宋体" w:hAnsi="宋体" w:eastAsia="宋体" w:cs="宋体"/>
                <w:sz w:val="18"/>
                <w:szCs w:val="18"/>
              </w:rPr>
              <w:t>501,783.52</w:t>
            </w:r>
          </w:p>
        </w:tc>
        <w:tc>
          <w:tcPr>
            <w:tcW w:w="876" w:type="dxa"/>
            <w:tcBorders>
              <w:top w:val="single" w:color="auto" w:sz="2" w:space="0"/>
              <w:left w:val="single" w:color="auto" w:sz="2" w:space="0"/>
              <w:bottom w:val="single" w:color="auto" w:sz="2" w:space="0"/>
              <w:right w:val="single" w:color="auto" w:sz="2" w:space="0"/>
            </w:tcBorders>
            <w:vAlign w:val="center"/>
          </w:tcPr>
          <w:p w14:paraId="6074CC85">
            <w:pPr>
              <w:spacing w:before="0" w:after="0" w:line="240" w:lineRule="exact"/>
              <w:jc w:val="right"/>
              <w:rPr>
                <w:rFonts w:ascii="宋体" w:hAnsi="宋体" w:eastAsia="宋体" w:cs="宋体"/>
                <w:sz w:val="18"/>
                <w:szCs w:val="18"/>
              </w:rPr>
            </w:pPr>
            <w:r>
              <w:rPr>
                <w:rFonts w:ascii="宋体" w:hAnsi="宋体" w:eastAsia="宋体" w:cs="宋体"/>
                <w:sz w:val="18"/>
                <w:szCs w:val="18"/>
              </w:rPr>
              <w:t>28.96%</w:t>
            </w:r>
          </w:p>
        </w:tc>
        <w:tc>
          <w:tcPr>
            <w:tcW w:w="876" w:type="dxa"/>
            <w:tcBorders>
              <w:top w:val="single" w:color="auto" w:sz="2" w:space="0"/>
              <w:left w:val="single" w:color="auto" w:sz="2" w:space="0"/>
              <w:bottom w:val="single" w:color="auto" w:sz="2" w:space="0"/>
              <w:right w:val="single" w:color="auto" w:sz="2" w:space="0"/>
            </w:tcBorders>
            <w:vAlign w:val="center"/>
          </w:tcPr>
          <w:p w14:paraId="5CEB9228">
            <w:pPr>
              <w:spacing w:before="0" w:after="0" w:line="240" w:lineRule="exact"/>
              <w:jc w:val="right"/>
              <w:rPr>
                <w:rFonts w:ascii="宋体" w:hAnsi="宋体" w:eastAsia="宋体" w:cs="宋体"/>
                <w:sz w:val="18"/>
                <w:szCs w:val="18"/>
              </w:rPr>
            </w:pPr>
            <w:r>
              <w:rPr>
                <w:rFonts w:ascii="宋体" w:hAnsi="宋体" w:eastAsia="宋体" w:cs="宋体"/>
                <w:sz w:val="18"/>
                <w:szCs w:val="18"/>
              </w:rPr>
              <w:t>1,230,969.88</w:t>
            </w:r>
          </w:p>
        </w:tc>
      </w:tr>
      <w:tr w14:paraId="2C518E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465F4A81">
            <w:pPr>
              <w:spacing w:before="0" w:after="0" w:line="240" w:lineRule="exact"/>
              <w:jc w:val="left"/>
              <w:rPr>
                <w:rFonts w:ascii="宋体" w:hAnsi="宋体" w:eastAsia="宋体" w:cs="宋体"/>
                <w:sz w:val="18"/>
                <w:szCs w:val="18"/>
              </w:rPr>
            </w:pPr>
            <w:r>
              <w:rPr>
                <w:rFonts w:ascii="宋体" w:hAnsi="宋体" w:eastAsia="宋体" w:cs="宋体"/>
                <w:sz w:val="18"/>
                <w:szCs w:val="18"/>
              </w:rPr>
              <w:t>自主推广模式应收款项组合</w:t>
            </w:r>
          </w:p>
        </w:tc>
        <w:tc>
          <w:tcPr>
            <w:tcW w:w="876" w:type="dxa"/>
            <w:tcBorders>
              <w:top w:val="single" w:color="auto" w:sz="2" w:space="0"/>
              <w:left w:val="single" w:color="auto" w:sz="2" w:space="0"/>
              <w:bottom w:val="single" w:color="auto" w:sz="2" w:space="0"/>
              <w:right w:val="single" w:color="auto" w:sz="2" w:space="0"/>
            </w:tcBorders>
            <w:vAlign w:val="center"/>
          </w:tcPr>
          <w:p w14:paraId="06C69FE1">
            <w:pPr>
              <w:spacing w:before="0" w:after="0" w:line="240" w:lineRule="exact"/>
              <w:jc w:val="right"/>
              <w:rPr>
                <w:rFonts w:ascii="宋体" w:hAnsi="宋体" w:eastAsia="宋体" w:cs="宋体"/>
                <w:sz w:val="18"/>
                <w:szCs w:val="18"/>
              </w:rPr>
            </w:pPr>
            <w:r>
              <w:rPr>
                <w:rFonts w:ascii="宋体" w:hAnsi="宋体" w:eastAsia="宋体" w:cs="宋体"/>
                <w:sz w:val="18"/>
                <w:szCs w:val="18"/>
              </w:rPr>
              <w:t>5,184,391.49</w:t>
            </w:r>
          </w:p>
        </w:tc>
        <w:tc>
          <w:tcPr>
            <w:tcW w:w="876" w:type="dxa"/>
            <w:tcBorders>
              <w:top w:val="single" w:color="auto" w:sz="2" w:space="0"/>
              <w:left w:val="single" w:color="auto" w:sz="2" w:space="0"/>
              <w:bottom w:val="single" w:color="auto" w:sz="2" w:space="0"/>
              <w:right w:val="single" w:color="auto" w:sz="2" w:space="0"/>
            </w:tcBorders>
            <w:vAlign w:val="center"/>
          </w:tcPr>
          <w:p w14:paraId="1A65C725">
            <w:pPr>
              <w:spacing w:before="0" w:after="0" w:line="240" w:lineRule="exact"/>
              <w:jc w:val="right"/>
              <w:rPr>
                <w:rFonts w:ascii="宋体" w:hAnsi="宋体" w:eastAsia="宋体" w:cs="宋体"/>
                <w:sz w:val="18"/>
                <w:szCs w:val="18"/>
              </w:rPr>
            </w:pPr>
            <w:r>
              <w:rPr>
                <w:rFonts w:ascii="宋体" w:hAnsi="宋体" w:eastAsia="宋体" w:cs="宋体"/>
                <w:sz w:val="18"/>
                <w:szCs w:val="18"/>
              </w:rPr>
              <w:t>5.88%</w:t>
            </w:r>
          </w:p>
        </w:tc>
        <w:tc>
          <w:tcPr>
            <w:tcW w:w="876" w:type="dxa"/>
            <w:tcBorders>
              <w:top w:val="single" w:color="auto" w:sz="2" w:space="0"/>
              <w:left w:val="single" w:color="auto" w:sz="2" w:space="0"/>
              <w:bottom w:val="single" w:color="auto" w:sz="2" w:space="0"/>
              <w:right w:val="single" w:color="auto" w:sz="2" w:space="0"/>
            </w:tcBorders>
            <w:vAlign w:val="center"/>
          </w:tcPr>
          <w:p w14:paraId="1D3B7FE9">
            <w:pPr>
              <w:spacing w:before="0" w:after="0" w:line="240" w:lineRule="exact"/>
              <w:jc w:val="right"/>
              <w:rPr>
                <w:rFonts w:ascii="宋体" w:hAnsi="宋体" w:eastAsia="宋体" w:cs="宋体"/>
                <w:sz w:val="18"/>
                <w:szCs w:val="18"/>
              </w:rPr>
            </w:pPr>
            <w:r>
              <w:rPr>
                <w:rFonts w:ascii="宋体" w:hAnsi="宋体" w:eastAsia="宋体" w:cs="宋体"/>
                <w:sz w:val="18"/>
                <w:szCs w:val="18"/>
              </w:rPr>
              <w:t>276,060.23</w:t>
            </w:r>
          </w:p>
        </w:tc>
        <w:tc>
          <w:tcPr>
            <w:tcW w:w="876" w:type="dxa"/>
            <w:tcBorders>
              <w:top w:val="single" w:color="auto" w:sz="2" w:space="0"/>
              <w:left w:val="single" w:color="auto" w:sz="2" w:space="0"/>
              <w:bottom w:val="single" w:color="auto" w:sz="2" w:space="0"/>
              <w:right w:val="single" w:color="auto" w:sz="2" w:space="0"/>
            </w:tcBorders>
            <w:vAlign w:val="center"/>
          </w:tcPr>
          <w:p w14:paraId="00963BAF">
            <w:pPr>
              <w:spacing w:before="0" w:after="0" w:line="240" w:lineRule="exact"/>
              <w:jc w:val="right"/>
              <w:rPr>
                <w:rFonts w:ascii="宋体" w:hAnsi="宋体" w:eastAsia="宋体" w:cs="宋体"/>
                <w:sz w:val="18"/>
                <w:szCs w:val="18"/>
              </w:rPr>
            </w:pPr>
            <w:r>
              <w:rPr>
                <w:rFonts w:ascii="宋体" w:hAnsi="宋体" w:eastAsia="宋体" w:cs="宋体"/>
                <w:sz w:val="18"/>
                <w:szCs w:val="18"/>
              </w:rPr>
              <w:t>5.32%</w:t>
            </w:r>
          </w:p>
        </w:tc>
        <w:tc>
          <w:tcPr>
            <w:tcW w:w="876" w:type="dxa"/>
            <w:tcBorders>
              <w:top w:val="single" w:color="auto" w:sz="2" w:space="0"/>
              <w:left w:val="single" w:color="auto" w:sz="2" w:space="0"/>
              <w:bottom w:val="single" w:color="auto" w:sz="2" w:space="0"/>
              <w:right w:val="single" w:color="auto" w:sz="2" w:space="0"/>
            </w:tcBorders>
            <w:vAlign w:val="center"/>
          </w:tcPr>
          <w:p w14:paraId="105C2304">
            <w:pPr>
              <w:spacing w:before="0" w:after="0" w:line="240" w:lineRule="exact"/>
              <w:jc w:val="right"/>
              <w:rPr>
                <w:rFonts w:ascii="宋体" w:hAnsi="宋体" w:eastAsia="宋体" w:cs="宋体"/>
                <w:sz w:val="18"/>
                <w:szCs w:val="18"/>
              </w:rPr>
            </w:pPr>
            <w:r>
              <w:rPr>
                <w:rFonts w:ascii="宋体" w:hAnsi="宋体" w:eastAsia="宋体" w:cs="宋体"/>
                <w:sz w:val="18"/>
                <w:szCs w:val="18"/>
              </w:rPr>
              <w:t>4,908,331.26</w:t>
            </w:r>
          </w:p>
        </w:tc>
        <w:tc>
          <w:tcPr>
            <w:tcW w:w="876" w:type="dxa"/>
            <w:tcBorders>
              <w:top w:val="single" w:color="auto" w:sz="2" w:space="0"/>
              <w:left w:val="single" w:color="auto" w:sz="2" w:space="0"/>
              <w:bottom w:val="single" w:color="auto" w:sz="2" w:space="0"/>
              <w:right w:val="single" w:color="auto" w:sz="2" w:space="0"/>
            </w:tcBorders>
            <w:vAlign w:val="center"/>
          </w:tcPr>
          <w:p w14:paraId="04ABD8D1">
            <w:pPr>
              <w:spacing w:before="0" w:after="0" w:line="240" w:lineRule="exact"/>
              <w:jc w:val="right"/>
              <w:rPr>
                <w:rFonts w:ascii="宋体" w:hAnsi="宋体" w:eastAsia="宋体" w:cs="宋体"/>
                <w:sz w:val="18"/>
                <w:szCs w:val="18"/>
              </w:rPr>
            </w:pPr>
            <w:r>
              <w:rPr>
                <w:rFonts w:ascii="宋体" w:hAnsi="宋体" w:eastAsia="宋体" w:cs="宋体"/>
                <w:sz w:val="18"/>
                <w:szCs w:val="18"/>
              </w:rPr>
              <w:t>7,691,941.62</w:t>
            </w:r>
          </w:p>
        </w:tc>
        <w:tc>
          <w:tcPr>
            <w:tcW w:w="876" w:type="dxa"/>
            <w:tcBorders>
              <w:top w:val="single" w:color="auto" w:sz="2" w:space="0"/>
              <w:left w:val="single" w:color="auto" w:sz="2" w:space="0"/>
              <w:bottom w:val="single" w:color="auto" w:sz="2" w:space="0"/>
              <w:right w:val="single" w:color="auto" w:sz="2" w:space="0"/>
            </w:tcBorders>
            <w:vAlign w:val="center"/>
          </w:tcPr>
          <w:p w14:paraId="6B9F45AF">
            <w:pPr>
              <w:spacing w:before="0" w:after="0" w:line="240" w:lineRule="exact"/>
              <w:jc w:val="right"/>
              <w:rPr>
                <w:rFonts w:ascii="宋体" w:hAnsi="宋体" w:eastAsia="宋体" w:cs="宋体"/>
                <w:sz w:val="18"/>
                <w:szCs w:val="18"/>
              </w:rPr>
            </w:pPr>
            <w:r>
              <w:rPr>
                <w:rFonts w:ascii="宋体" w:hAnsi="宋体" w:eastAsia="宋体" w:cs="宋体"/>
                <w:sz w:val="18"/>
                <w:szCs w:val="18"/>
              </w:rPr>
              <w:t>33.98%</w:t>
            </w:r>
          </w:p>
        </w:tc>
        <w:tc>
          <w:tcPr>
            <w:tcW w:w="876" w:type="dxa"/>
            <w:tcBorders>
              <w:top w:val="single" w:color="auto" w:sz="2" w:space="0"/>
              <w:left w:val="single" w:color="auto" w:sz="2" w:space="0"/>
              <w:bottom w:val="single" w:color="auto" w:sz="2" w:space="0"/>
              <w:right w:val="single" w:color="auto" w:sz="2" w:space="0"/>
            </w:tcBorders>
            <w:vAlign w:val="center"/>
          </w:tcPr>
          <w:p w14:paraId="21DD0480">
            <w:pPr>
              <w:spacing w:before="0" w:after="0" w:line="240" w:lineRule="exact"/>
              <w:jc w:val="right"/>
              <w:rPr>
                <w:rFonts w:ascii="宋体" w:hAnsi="宋体" w:eastAsia="宋体" w:cs="宋体"/>
                <w:sz w:val="18"/>
                <w:szCs w:val="18"/>
              </w:rPr>
            </w:pPr>
            <w:r>
              <w:rPr>
                <w:rFonts w:ascii="宋体" w:hAnsi="宋体" w:eastAsia="宋体" w:cs="宋体"/>
                <w:sz w:val="18"/>
                <w:szCs w:val="18"/>
              </w:rPr>
              <w:t>406,500.61</w:t>
            </w:r>
          </w:p>
        </w:tc>
        <w:tc>
          <w:tcPr>
            <w:tcW w:w="876" w:type="dxa"/>
            <w:tcBorders>
              <w:top w:val="single" w:color="auto" w:sz="2" w:space="0"/>
              <w:left w:val="single" w:color="auto" w:sz="2" w:space="0"/>
              <w:bottom w:val="single" w:color="auto" w:sz="2" w:space="0"/>
              <w:right w:val="single" w:color="auto" w:sz="2" w:space="0"/>
            </w:tcBorders>
            <w:vAlign w:val="center"/>
          </w:tcPr>
          <w:p w14:paraId="07888A09">
            <w:pPr>
              <w:spacing w:before="0" w:after="0" w:line="240" w:lineRule="exact"/>
              <w:jc w:val="right"/>
              <w:rPr>
                <w:rFonts w:ascii="宋体" w:hAnsi="宋体" w:eastAsia="宋体" w:cs="宋体"/>
                <w:sz w:val="18"/>
                <w:szCs w:val="18"/>
              </w:rPr>
            </w:pPr>
            <w:r>
              <w:rPr>
                <w:rFonts w:ascii="宋体" w:hAnsi="宋体" w:eastAsia="宋体" w:cs="宋体"/>
                <w:sz w:val="18"/>
                <w:szCs w:val="18"/>
              </w:rPr>
              <w:t>5.28%</w:t>
            </w:r>
          </w:p>
        </w:tc>
        <w:tc>
          <w:tcPr>
            <w:tcW w:w="876" w:type="dxa"/>
            <w:tcBorders>
              <w:top w:val="single" w:color="auto" w:sz="2" w:space="0"/>
              <w:left w:val="single" w:color="auto" w:sz="2" w:space="0"/>
              <w:bottom w:val="single" w:color="auto" w:sz="2" w:space="0"/>
              <w:right w:val="single" w:color="auto" w:sz="2" w:space="0"/>
            </w:tcBorders>
            <w:vAlign w:val="center"/>
          </w:tcPr>
          <w:p w14:paraId="19A87B38">
            <w:pPr>
              <w:spacing w:before="0" w:after="0" w:line="240" w:lineRule="exact"/>
              <w:jc w:val="right"/>
              <w:rPr>
                <w:rFonts w:ascii="宋体" w:hAnsi="宋体" w:eastAsia="宋体" w:cs="宋体"/>
                <w:sz w:val="18"/>
                <w:szCs w:val="18"/>
              </w:rPr>
            </w:pPr>
            <w:r>
              <w:rPr>
                <w:rFonts w:ascii="宋体" w:hAnsi="宋体" w:eastAsia="宋体" w:cs="宋体"/>
                <w:sz w:val="18"/>
                <w:szCs w:val="18"/>
              </w:rPr>
              <w:t>7,285,441.01</w:t>
            </w:r>
          </w:p>
        </w:tc>
      </w:tr>
      <w:tr w14:paraId="4C22C3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56CC6301">
            <w:pPr>
              <w:spacing w:before="0" w:after="0" w:line="240" w:lineRule="exact"/>
              <w:jc w:val="left"/>
              <w:rPr>
                <w:rFonts w:ascii="宋体" w:hAnsi="宋体" w:eastAsia="宋体" w:cs="宋体"/>
                <w:sz w:val="18"/>
                <w:szCs w:val="18"/>
              </w:rPr>
            </w:pPr>
            <w:r>
              <w:rPr>
                <w:rFonts w:ascii="宋体" w:hAnsi="宋体" w:eastAsia="宋体" w:cs="宋体"/>
                <w:sz w:val="18"/>
                <w:szCs w:val="18"/>
              </w:rPr>
              <w:t>政府集采模式应收款项组合</w:t>
            </w:r>
          </w:p>
        </w:tc>
        <w:tc>
          <w:tcPr>
            <w:tcW w:w="876" w:type="dxa"/>
            <w:tcBorders>
              <w:top w:val="single" w:color="auto" w:sz="2" w:space="0"/>
              <w:left w:val="single" w:color="auto" w:sz="2" w:space="0"/>
              <w:bottom w:val="single" w:color="auto" w:sz="2" w:space="0"/>
              <w:right w:val="single" w:color="auto" w:sz="2" w:space="0"/>
            </w:tcBorders>
            <w:vAlign w:val="center"/>
          </w:tcPr>
          <w:p w14:paraId="57488914">
            <w:pPr>
              <w:spacing w:before="0" w:after="0" w:line="240" w:lineRule="exact"/>
              <w:jc w:val="right"/>
              <w:rPr>
                <w:rFonts w:ascii="宋体" w:hAnsi="宋体" w:eastAsia="宋体" w:cs="宋体"/>
                <w:sz w:val="18"/>
                <w:szCs w:val="18"/>
              </w:rPr>
            </w:pPr>
            <w:r>
              <w:rPr>
                <w:rFonts w:ascii="宋体" w:hAnsi="宋体" w:eastAsia="宋体" w:cs="宋体"/>
                <w:sz w:val="18"/>
                <w:szCs w:val="18"/>
              </w:rPr>
              <w:t>323,287.00</w:t>
            </w:r>
          </w:p>
        </w:tc>
        <w:tc>
          <w:tcPr>
            <w:tcW w:w="876" w:type="dxa"/>
            <w:tcBorders>
              <w:top w:val="single" w:color="auto" w:sz="2" w:space="0"/>
              <w:left w:val="single" w:color="auto" w:sz="2" w:space="0"/>
              <w:bottom w:val="single" w:color="auto" w:sz="2" w:space="0"/>
              <w:right w:val="single" w:color="auto" w:sz="2" w:space="0"/>
            </w:tcBorders>
            <w:vAlign w:val="center"/>
          </w:tcPr>
          <w:p w14:paraId="596A0466">
            <w:pPr>
              <w:spacing w:before="0" w:after="0" w:line="240" w:lineRule="exact"/>
              <w:jc w:val="right"/>
              <w:rPr>
                <w:rFonts w:ascii="宋体" w:hAnsi="宋体" w:eastAsia="宋体" w:cs="宋体"/>
                <w:sz w:val="18"/>
                <w:szCs w:val="18"/>
              </w:rPr>
            </w:pPr>
            <w:r>
              <w:rPr>
                <w:rFonts w:ascii="宋体" w:hAnsi="宋体" w:eastAsia="宋体" w:cs="宋体"/>
                <w:sz w:val="18"/>
                <w:szCs w:val="18"/>
              </w:rPr>
              <w:t>0.37%</w:t>
            </w:r>
          </w:p>
        </w:tc>
        <w:tc>
          <w:tcPr>
            <w:tcW w:w="876" w:type="dxa"/>
            <w:tcBorders>
              <w:top w:val="single" w:color="auto" w:sz="2" w:space="0"/>
              <w:left w:val="single" w:color="auto" w:sz="2" w:space="0"/>
              <w:bottom w:val="single" w:color="auto" w:sz="2" w:space="0"/>
              <w:right w:val="single" w:color="auto" w:sz="2" w:space="0"/>
            </w:tcBorders>
            <w:vAlign w:val="center"/>
          </w:tcPr>
          <w:p w14:paraId="33EB9FEC">
            <w:pPr>
              <w:spacing w:before="0" w:after="0" w:line="240" w:lineRule="exact"/>
              <w:jc w:val="right"/>
              <w:rPr>
                <w:rFonts w:ascii="宋体" w:hAnsi="宋体" w:eastAsia="宋体" w:cs="宋体"/>
                <w:sz w:val="18"/>
                <w:szCs w:val="18"/>
              </w:rPr>
            </w:pPr>
            <w:r>
              <w:rPr>
                <w:rFonts w:ascii="宋体" w:hAnsi="宋体" w:eastAsia="宋体" w:cs="宋体"/>
                <w:sz w:val="18"/>
                <w:szCs w:val="18"/>
              </w:rPr>
              <w:t>16,164.35</w:t>
            </w:r>
          </w:p>
        </w:tc>
        <w:tc>
          <w:tcPr>
            <w:tcW w:w="876" w:type="dxa"/>
            <w:tcBorders>
              <w:top w:val="single" w:color="auto" w:sz="2" w:space="0"/>
              <w:left w:val="single" w:color="auto" w:sz="2" w:space="0"/>
              <w:bottom w:val="single" w:color="auto" w:sz="2" w:space="0"/>
              <w:right w:val="single" w:color="auto" w:sz="2" w:space="0"/>
            </w:tcBorders>
            <w:vAlign w:val="center"/>
          </w:tcPr>
          <w:p w14:paraId="0A1C99F5">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14:paraId="3304EE6D">
            <w:pPr>
              <w:spacing w:before="0" w:after="0" w:line="240" w:lineRule="exact"/>
              <w:jc w:val="right"/>
              <w:rPr>
                <w:rFonts w:ascii="宋体" w:hAnsi="宋体" w:eastAsia="宋体" w:cs="宋体"/>
                <w:sz w:val="18"/>
                <w:szCs w:val="18"/>
              </w:rPr>
            </w:pPr>
            <w:r>
              <w:rPr>
                <w:rFonts w:ascii="宋体" w:hAnsi="宋体" w:eastAsia="宋体" w:cs="宋体"/>
                <w:sz w:val="18"/>
                <w:szCs w:val="18"/>
              </w:rPr>
              <w:t>307,122.65</w:t>
            </w:r>
          </w:p>
        </w:tc>
        <w:tc>
          <w:tcPr>
            <w:tcW w:w="876" w:type="dxa"/>
            <w:tcBorders>
              <w:top w:val="single" w:color="auto" w:sz="2" w:space="0"/>
              <w:left w:val="single" w:color="auto" w:sz="2" w:space="0"/>
              <w:bottom w:val="single" w:color="auto" w:sz="2" w:space="0"/>
              <w:right w:val="single" w:color="auto" w:sz="2" w:space="0"/>
            </w:tcBorders>
            <w:vAlign w:val="center"/>
          </w:tcPr>
          <w:p w14:paraId="2A9B7AD5">
            <w:pPr>
              <w:spacing w:before="0" w:after="0" w:line="240" w:lineRule="exact"/>
              <w:jc w:val="right"/>
              <w:rPr>
                <w:rFonts w:ascii="宋体" w:hAnsi="宋体" w:eastAsia="宋体" w:cs="宋体"/>
                <w:sz w:val="18"/>
                <w:szCs w:val="18"/>
              </w:rPr>
            </w:pPr>
            <w:r>
              <w:rPr>
                <w:rFonts w:ascii="宋体" w:hAnsi="宋体" w:eastAsia="宋体" w:cs="宋体"/>
                <w:sz w:val="18"/>
                <w:szCs w:val="18"/>
              </w:rPr>
              <w:t>443,605.85</w:t>
            </w:r>
          </w:p>
        </w:tc>
        <w:tc>
          <w:tcPr>
            <w:tcW w:w="876" w:type="dxa"/>
            <w:tcBorders>
              <w:top w:val="single" w:color="auto" w:sz="2" w:space="0"/>
              <w:left w:val="single" w:color="auto" w:sz="2" w:space="0"/>
              <w:bottom w:val="single" w:color="auto" w:sz="2" w:space="0"/>
              <w:right w:val="single" w:color="auto" w:sz="2" w:space="0"/>
            </w:tcBorders>
            <w:vAlign w:val="center"/>
          </w:tcPr>
          <w:p w14:paraId="6228FBB6">
            <w:pPr>
              <w:spacing w:before="0" w:after="0" w:line="240" w:lineRule="exact"/>
              <w:jc w:val="right"/>
              <w:rPr>
                <w:rFonts w:ascii="宋体" w:hAnsi="宋体" w:eastAsia="宋体" w:cs="宋体"/>
                <w:sz w:val="18"/>
                <w:szCs w:val="18"/>
              </w:rPr>
            </w:pPr>
            <w:r>
              <w:rPr>
                <w:rFonts w:ascii="宋体" w:hAnsi="宋体" w:eastAsia="宋体" w:cs="宋体"/>
                <w:sz w:val="18"/>
                <w:szCs w:val="18"/>
              </w:rPr>
              <w:t>1.97%</w:t>
            </w:r>
          </w:p>
        </w:tc>
        <w:tc>
          <w:tcPr>
            <w:tcW w:w="876" w:type="dxa"/>
            <w:tcBorders>
              <w:top w:val="single" w:color="auto" w:sz="2" w:space="0"/>
              <w:left w:val="single" w:color="auto" w:sz="2" w:space="0"/>
              <w:bottom w:val="single" w:color="auto" w:sz="2" w:space="0"/>
              <w:right w:val="single" w:color="auto" w:sz="2" w:space="0"/>
            </w:tcBorders>
            <w:vAlign w:val="center"/>
          </w:tcPr>
          <w:p w14:paraId="6936C58F">
            <w:pPr>
              <w:spacing w:before="0" w:after="0" w:line="240" w:lineRule="exact"/>
              <w:jc w:val="right"/>
              <w:rPr>
                <w:rFonts w:ascii="宋体" w:hAnsi="宋体" w:eastAsia="宋体" w:cs="宋体"/>
                <w:sz w:val="18"/>
                <w:szCs w:val="18"/>
              </w:rPr>
            </w:pPr>
            <w:r>
              <w:rPr>
                <w:rFonts w:ascii="宋体" w:hAnsi="宋体" w:eastAsia="宋体" w:cs="宋体"/>
                <w:sz w:val="18"/>
                <w:szCs w:val="18"/>
              </w:rPr>
              <w:t>22,180.29</w:t>
            </w:r>
          </w:p>
        </w:tc>
        <w:tc>
          <w:tcPr>
            <w:tcW w:w="876" w:type="dxa"/>
            <w:tcBorders>
              <w:top w:val="single" w:color="auto" w:sz="2" w:space="0"/>
              <w:left w:val="single" w:color="auto" w:sz="2" w:space="0"/>
              <w:bottom w:val="single" w:color="auto" w:sz="2" w:space="0"/>
              <w:right w:val="single" w:color="auto" w:sz="2" w:space="0"/>
            </w:tcBorders>
            <w:vAlign w:val="center"/>
          </w:tcPr>
          <w:p w14:paraId="4CE3125F">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14:paraId="1D8382AB">
            <w:pPr>
              <w:spacing w:before="0" w:after="0" w:line="240" w:lineRule="exact"/>
              <w:jc w:val="right"/>
              <w:rPr>
                <w:rFonts w:ascii="宋体" w:hAnsi="宋体" w:eastAsia="宋体" w:cs="宋体"/>
                <w:sz w:val="18"/>
                <w:szCs w:val="18"/>
              </w:rPr>
            </w:pPr>
            <w:r>
              <w:rPr>
                <w:rFonts w:ascii="宋体" w:hAnsi="宋体" w:eastAsia="宋体" w:cs="宋体"/>
                <w:sz w:val="18"/>
                <w:szCs w:val="18"/>
              </w:rPr>
              <w:t>421,425.56</w:t>
            </w:r>
          </w:p>
        </w:tc>
      </w:tr>
      <w:tr w14:paraId="31C25C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5BE06797">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876" w:type="dxa"/>
            <w:tcBorders>
              <w:top w:val="single" w:color="auto" w:sz="2" w:space="0"/>
              <w:left w:val="single" w:color="auto" w:sz="2" w:space="0"/>
              <w:bottom w:val="single" w:color="auto" w:sz="2" w:space="0"/>
              <w:right w:val="single" w:color="auto" w:sz="2" w:space="0"/>
            </w:tcBorders>
            <w:vAlign w:val="center"/>
          </w:tcPr>
          <w:p w14:paraId="22670BAE">
            <w:pPr>
              <w:spacing w:before="0" w:after="0" w:line="240" w:lineRule="exact"/>
              <w:jc w:val="right"/>
              <w:rPr>
                <w:rFonts w:ascii="宋体" w:hAnsi="宋体" w:eastAsia="宋体" w:cs="宋体"/>
                <w:sz w:val="18"/>
                <w:szCs w:val="18"/>
              </w:rPr>
            </w:pPr>
            <w:r>
              <w:rPr>
                <w:rFonts w:ascii="宋体" w:hAnsi="宋体" w:eastAsia="宋体" w:cs="宋体"/>
                <w:sz w:val="18"/>
                <w:szCs w:val="18"/>
              </w:rPr>
              <w:t>3,064,794.07</w:t>
            </w:r>
          </w:p>
        </w:tc>
        <w:tc>
          <w:tcPr>
            <w:tcW w:w="876" w:type="dxa"/>
            <w:tcBorders>
              <w:top w:val="single" w:color="auto" w:sz="2" w:space="0"/>
              <w:left w:val="single" w:color="auto" w:sz="2" w:space="0"/>
              <w:bottom w:val="single" w:color="auto" w:sz="2" w:space="0"/>
              <w:right w:val="single" w:color="auto" w:sz="2" w:space="0"/>
            </w:tcBorders>
            <w:vAlign w:val="center"/>
          </w:tcPr>
          <w:p w14:paraId="20F302C0">
            <w:pPr>
              <w:spacing w:before="0" w:after="0" w:line="240" w:lineRule="exact"/>
              <w:jc w:val="right"/>
              <w:rPr>
                <w:rFonts w:ascii="宋体" w:hAnsi="宋体" w:eastAsia="宋体" w:cs="宋体"/>
                <w:sz w:val="18"/>
                <w:szCs w:val="18"/>
              </w:rPr>
            </w:pPr>
            <w:r>
              <w:rPr>
                <w:rFonts w:ascii="宋体" w:hAnsi="宋体" w:eastAsia="宋体" w:cs="宋体"/>
                <w:sz w:val="18"/>
                <w:szCs w:val="18"/>
              </w:rPr>
              <w:t>3.48%</w:t>
            </w:r>
          </w:p>
        </w:tc>
        <w:tc>
          <w:tcPr>
            <w:tcW w:w="876" w:type="dxa"/>
            <w:tcBorders>
              <w:top w:val="single" w:color="auto" w:sz="2" w:space="0"/>
              <w:left w:val="single" w:color="auto" w:sz="2" w:space="0"/>
              <w:bottom w:val="single" w:color="auto" w:sz="2" w:space="0"/>
              <w:right w:val="single" w:color="auto" w:sz="2" w:space="0"/>
            </w:tcBorders>
            <w:vAlign w:val="center"/>
          </w:tcPr>
          <w:p w14:paraId="150A293C">
            <w:pPr>
              <w:spacing w:before="0" w:after="0" w:line="240" w:lineRule="exact"/>
              <w:jc w:val="right"/>
              <w:rPr>
                <w:rFonts w:ascii="宋体" w:hAnsi="宋体" w:eastAsia="宋体" w:cs="宋体"/>
                <w:sz w:val="18"/>
                <w:szCs w:val="18"/>
              </w:rPr>
            </w:pPr>
            <w:r>
              <w:rPr>
                <w:rFonts w:ascii="宋体" w:hAnsi="宋体" w:eastAsia="宋体" w:cs="宋体"/>
                <w:sz w:val="18"/>
                <w:szCs w:val="18"/>
              </w:rPr>
              <w:t>153,239.70</w:t>
            </w:r>
          </w:p>
        </w:tc>
        <w:tc>
          <w:tcPr>
            <w:tcW w:w="876" w:type="dxa"/>
            <w:tcBorders>
              <w:top w:val="single" w:color="auto" w:sz="2" w:space="0"/>
              <w:left w:val="single" w:color="auto" w:sz="2" w:space="0"/>
              <w:bottom w:val="single" w:color="auto" w:sz="2" w:space="0"/>
              <w:right w:val="single" w:color="auto" w:sz="2" w:space="0"/>
            </w:tcBorders>
            <w:vAlign w:val="center"/>
          </w:tcPr>
          <w:p w14:paraId="04D3D12E">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14:paraId="46AA8FCA">
            <w:pPr>
              <w:spacing w:before="0" w:after="0" w:line="240" w:lineRule="exact"/>
              <w:jc w:val="right"/>
              <w:rPr>
                <w:rFonts w:ascii="宋体" w:hAnsi="宋体" w:eastAsia="宋体" w:cs="宋体"/>
                <w:sz w:val="18"/>
                <w:szCs w:val="18"/>
              </w:rPr>
            </w:pPr>
            <w:r>
              <w:rPr>
                <w:rFonts w:ascii="宋体" w:hAnsi="宋体" w:eastAsia="宋体" w:cs="宋体"/>
                <w:sz w:val="18"/>
                <w:szCs w:val="18"/>
              </w:rPr>
              <w:t>2,911,554.37</w:t>
            </w:r>
          </w:p>
        </w:tc>
        <w:tc>
          <w:tcPr>
            <w:tcW w:w="876" w:type="dxa"/>
            <w:tcBorders>
              <w:top w:val="single" w:color="auto" w:sz="2" w:space="0"/>
              <w:left w:val="single" w:color="auto" w:sz="2" w:space="0"/>
              <w:bottom w:val="single" w:color="auto" w:sz="2" w:space="0"/>
              <w:right w:val="single" w:color="auto" w:sz="2" w:space="0"/>
            </w:tcBorders>
            <w:vAlign w:val="center"/>
          </w:tcPr>
          <w:p w14:paraId="4BEA970C">
            <w:pPr>
              <w:spacing w:before="0" w:after="0" w:line="240" w:lineRule="exact"/>
              <w:jc w:val="right"/>
              <w:rPr>
                <w:rFonts w:ascii="宋体" w:hAnsi="宋体" w:eastAsia="宋体" w:cs="宋体"/>
                <w:sz w:val="18"/>
                <w:szCs w:val="18"/>
              </w:rPr>
            </w:pPr>
            <w:r>
              <w:rPr>
                <w:rFonts w:ascii="宋体" w:hAnsi="宋体" w:eastAsia="宋体" w:cs="宋体"/>
                <w:sz w:val="18"/>
                <w:szCs w:val="18"/>
              </w:rPr>
              <w:t>1,096,454.36</w:t>
            </w:r>
          </w:p>
        </w:tc>
        <w:tc>
          <w:tcPr>
            <w:tcW w:w="876" w:type="dxa"/>
            <w:tcBorders>
              <w:top w:val="single" w:color="auto" w:sz="2" w:space="0"/>
              <w:left w:val="single" w:color="auto" w:sz="2" w:space="0"/>
              <w:bottom w:val="single" w:color="auto" w:sz="2" w:space="0"/>
              <w:right w:val="single" w:color="auto" w:sz="2" w:space="0"/>
            </w:tcBorders>
            <w:vAlign w:val="center"/>
          </w:tcPr>
          <w:p w14:paraId="2133EC3D">
            <w:pPr>
              <w:spacing w:before="0" w:after="0" w:line="240" w:lineRule="exact"/>
              <w:jc w:val="right"/>
              <w:rPr>
                <w:rFonts w:ascii="宋体" w:hAnsi="宋体" w:eastAsia="宋体" w:cs="宋体"/>
                <w:sz w:val="18"/>
                <w:szCs w:val="18"/>
              </w:rPr>
            </w:pPr>
            <w:r>
              <w:rPr>
                <w:rFonts w:ascii="宋体" w:hAnsi="宋体" w:eastAsia="宋体" w:cs="宋体"/>
                <w:sz w:val="18"/>
                <w:szCs w:val="18"/>
              </w:rPr>
              <w:t>4.84%</w:t>
            </w:r>
          </w:p>
        </w:tc>
        <w:tc>
          <w:tcPr>
            <w:tcW w:w="876" w:type="dxa"/>
            <w:tcBorders>
              <w:top w:val="single" w:color="auto" w:sz="2" w:space="0"/>
              <w:left w:val="single" w:color="auto" w:sz="2" w:space="0"/>
              <w:bottom w:val="single" w:color="auto" w:sz="2" w:space="0"/>
              <w:right w:val="single" w:color="auto" w:sz="2" w:space="0"/>
            </w:tcBorders>
            <w:vAlign w:val="center"/>
          </w:tcPr>
          <w:p w14:paraId="6E3ECB85">
            <w:pPr>
              <w:spacing w:before="0" w:after="0" w:line="240" w:lineRule="exact"/>
              <w:jc w:val="right"/>
              <w:rPr>
                <w:rFonts w:ascii="宋体" w:hAnsi="宋体" w:eastAsia="宋体" w:cs="宋体"/>
                <w:sz w:val="18"/>
                <w:szCs w:val="18"/>
              </w:rPr>
            </w:pPr>
            <w:r>
              <w:rPr>
                <w:rFonts w:ascii="宋体" w:hAnsi="宋体" w:eastAsia="宋体" w:cs="宋体"/>
                <w:sz w:val="18"/>
                <w:szCs w:val="18"/>
              </w:rPr>
              <w:t>54,822.72</w:t>
            </w:r>
          </w:p>
        </w:tc>
        <w:tc>
          <w:tcPr>
            <w:tcW w:w="876" w:type="dxa"/>
            <w:tcBorders>
              <w:top w:val="single" w:color="auto" w:sz="2" w:space="0"/>
              <w:left w:val="single" w:color="auto" w:sz="2" w:space="0"/>
              <w:bottom w:val="single" w:color="auto" w:sz="2" w:space="0"/>
              <w:right w:val="single" w:color="auto" w:sz="2" w:space="0"/>
            </w:tcBorders>
            <w:vAlign w:val="center"/>
          </w:tcPr>
          <w:p w14:paraId="2A05238C">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14:paraId="624CED0F">
            <w:pPr>
              <w:spacing w:before="0" w:after="0" w:line="240" w:lineRule="exact"/>
              <w:jc w:val="right"/>
              <w:rPr>
                <w:rFonts w:ascii="宋体" w:hAnsi="宋体" w:eastAsia="宋体" w:cs="宋体"/>
                <w:sz w:val="18"/>
                <w:szCs w:val="18"/>
              </w:rPr>
            </w:pPr>
            <w:r>
              <w:rPr>
                <w:rFonts w:ascii="宋体" w:hAnsi="宋体" w:eastAsia="宋体" w:cs="宋体"/>
                <w:sz w:val="18"/>
                <w:szCs w:val="18"/>
              </w:rPr>
              <w:t>1,041,631.64</w:t>
            </w:r>
          </w:p>
        </w:tc>
      </w:tr>
      <w:tr w14:paraId="7830E7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2ECD0A8D">
            <w:pPr>
              <w:spacing w:before="0" w:after="0" w:line="240" w:lineRule="exact"/>
              <w:jc w:val="left"/>
              <w:rPr>
                <w:rFonts w:ascii="宋体" w:hAnsi="宋体" w:eastAsia="宋体" w:cs="宋体"/>
                <w:sz w:val="18"/>
                <w:szCs w:val="18"/>
              </w:rPr>
            </w:pPr>
            <w:r>
              <w:rPr>
                <w:rFonts w:ascii="宋体" w:hAnsi="宋体" w:eastAsia="宋体" w:cs="宋体"/>
                <w:sz w:val="18"/>
                <w:szCs w:val="18"/>
              </w:rPr>
              <w:t>并表关联方组合</w:t>
            </w:r>
          </w:p>
        </w:tc>
        <w:tc>
          <w:tcPr>
            <w:tcW w:w="876" w:type="dxa"/>
            <w:tcBorders>
              <w:top w:val="single" w:color="auto" w:sz="2" w:space="0"/>
              <w:left w:val="single" w:color="auto" w:sz="2" w:space="0"/>
              <w:bottom w:val="single" w:color="auto" w:sz="2" w:space="0"/>
              <w:right w:val="single" w:color="auto" w:sz="2" w:space="0"/>
            </w:tcBorders>
            <w:vAlign w:val="center"/>
          </w:tcPr>
          <w:p w14:paraId="0A8A6914">
            <w:pPr>
              <w:spacing w:before="0" w:after="0" w:line="240" w:lineRule="exact"/>
              <w:jc w:val="right"/>
              <w:rPr>
                <w:rFonts w:ascii="宋体" w:hAnsi="宋体" w:eastAsia="宋体" w:cs="宋体"/>
                <w:sz w:val="18"/>
                <w:szCs w:val="18"/>
              </w:rPr>
            </w:pPr>
            <w:r>
              <w:rPr>
                <w:rFonts w:ascii="宋体" w:hAnsi="宋体" w:eastAsia="宋体" w:cs="宋体"/>
                <w:sz w:val="18"/>
                <w:szCs w:val="18"/>
              </w:rPr>
              <w:t>76,264,472.25</w:t>
            </w:r>
          </w:p>
        </w:tc>
        <w:tc>
          <w:tcPr>
            <w:tcW w:w="876" w:type="dxa"/>
            <w:tcBorders>
              <w:top w:val="single" w:color="auto" w:sz="2" w:space="0"/>
              <w:left w:val="single" w:color="auto" w:sz="2" w:space="0"/>
              <w:bottom w:val="single" w:color="auto" w:sz="2" w:space="0"/>
              <w:right w:val="single" w:color="auto" w:sz="2" w:space="0"/>
            </w:tcBorders>
            <w:vAlign w:val="center"/>
          </w:tcPr>
          <w:p w14:paraId="6B4A43FC">
            <w:pPr>
              <w:spacing w:before="0" w:after="0" w:line="240" w:lineRule="exact"/>
              <w:jc w:val="right"/>
              <w:rPr>
                <w:rFonts w:ascii="宋体" w:hAnsi="宋体" w:eastAsia="宋体" w:cs="宋体"/>
                <w:sz w:val="18"/>
                <w:szCs w:val="18"/>
              </w:rPr>
            </w:pPr>
            <w:r>
              <w:rPr>
                <w:rFonts w:ascii="宋体" w:hAnsi="宋体" w:eastAsia="宋体" w:cs="宋体"/>
                <w:sz w:val="18"/>
                <w:szCs w:val="18"/>
              </w:rPr>
              <w:t>86.56%</w:t>
            </w:r>
          </w:p>
        </w:tc>
        <w:tc>
          <w:tcPr>
            <w:tcW w:w="876" w:type="dxa"/>
            <w:tcBorders>
              <w:top w:val="single" w:color="auto" w:sz="2" w:space="0"/>
              <w:left w:val="single" w:color="auto" w:sz="2" w:space="0"/>
              <w:bottom w:val="single" w:color="auto" w:sz="2" w:space="0"/>
              <w:right w:val="single" w:color="auto" w:sz="2" w:space="0"/>
            </w:tcBorders>
            <w:vAlign w:val="center"/>
          </w:tcPr>
          <w:p w14:paraId="1C9CF9B9">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00744829">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15C1D553">
            <w:pPr>
              <w:spacing w:before="0" w:after="0" w:line="240" w:lineRule="exact"/>
              <w:jc w:val="right"/>
              <w:rPr>
                <w:rFonts w:ascii="宋体" w:hAnsi="宋体" w:eastAsia="宋体" w:cs="宋体"/>
                <w:sz w:val="18"/>
                <w:szCs w:val="18"/>
              </w:rPr>
            </w:pPr>
            <w:r>
              <w:rPr>
                <w:rFonts w:ascii="宋体" w:hAnsi="宋体" w:eastAsia="宋体" w:cs="宋体"/>
                <w:sz w:val="18"/>
                <w:szCs w:val="18"/>
              </w:rPr>
              <w:t>76,264,472.25</w:t>
            </w:r>
          </w:p>
        </w:tc>
        <w:tc>
          <w:tcPr>
            <w:tcW w:w="876" w:type="dxa"/>
            <w:tcBorders>
              <w:top w:val="single" w:color="auto" w:sz="2" w:space="0"/>
              <w:left w:val="single" w:color="auto" w:sz="2" w:space="0"/>
              <w:bottom w:val="single" w:color="auto" w:sz="2" w:space="0"/>
              <w:right w:val="single" w:color="auto" w:sz="2" w:space="0"/>
            </w:tcBorders>
            <w:vAlign w:val="center"/>
          </w:tcPr>
          <w:p w14:paraId="117A674C">
            <w:pPr>
              <w:spacing w:before="0" w:after="0" w:line="240" w:lineRule="exact"/>
              <w:jc w:val="right"/>
              <w:rPr>
                <w:rFonts w:ascii="宋体" w:hAnsi="宋体" w:eastAsia="宋体" w:cs="宋体"/>
                <w:sz w:val="18"/>
                <w:szCs w:val="18"/>
              </w:rPr>
            </w:pPr>
            <w:r>
              <w:rPr>
                <w:rFonts w:ascii="宋体" w:hAnsi="宋体" w:eastAsia="宋体" w:cs="宋体"/>
                <w:sz w:val="18"/>
                <w:szCs w:val="18"/>
              </w:rPr>
              <w:t>11,001,936.25</w:t>
            </w:r>
          </w:p>
        </w:tc>
        <w:tc>
          <w:tcPr>
            <w:tcW w:w="876" w:type="dxa"/>
            <w:tcBorders>
              <w:top w:val="single" w:color="auto" w:sz="2" w:space="0"/>
              <w:left w:val="single" w:color="auto" w:sz="2" w:space="0"/>
              <w:bottom w:val="single" w:color="auto" w:sz="2" w:space="0"/>
              <w:right w:val="single" w:color="auto" w:sz="2" w:space="0"/>
            </w:tcBorders>
            <w:vAlign w:val="center"/>
          </w:tcPr>
          <w:p w14:paraId="484DEBD9">
            <w:pPr>
              <w:spacing w:before="0" w:after="0" w:line="240" w:lineRule="exact"/>
              <w:jc w:val="right"/>
              <w:rPr>
                <w:rFonts w:ascii="宋体" w:hAnsi="宋体" w:eastAsia="宋体" w:cs="宋体"/>
                <w:sz w:val="18"/>
                <w:szCs w:val="18"/>
              </w:rPr>
            </w:pPr>
            <w:r>
              <w:rPr>
                <w:rFonts w:ascii="宋体" w:hAnsi="宋体" w:eastAsia="宋体" w:cs="宋体"/>
                <w:sz w:val="18"/>
                <w:szCs w:val="18"/>
              </w:rPr>
              <w:t>48.60%</w:t>
            </w:r>
          </w:p>
        </w:tc>
        <w:tc>
          <w:tcPr>
            <w:tcW w:w="876" w:type="dxa"/>
            <w:tcBorders>
              <w:top w:val="single" w:color="auto" w:sz="2" w:space="0"/>
              <w:left w:val="single" w:color="auto" w:sz="2" w:space="0"/>
              <w:bottom w:val="single" w:color="auto" w:sz="2" w:space="0"/>
              <w:right w:val="single" w:color="auto" w:sz="2" w:space="0"/>
            </w:tcBorders>
            <w:vAlign w:val="center"/>
          </w:tcPr>
          <w:p w14:paraId="2DB95BA5">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50E595A4">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709CDD30">
            <w:pPr>
              <w:spacing w:before="0" w:after="0" w:line="240" w:lineRule="exact"/>
              <w:jc w:val="right"/>
              <w:rPr>
                <w:rFonts w:ascii="宋体" w:hAnsi="宋体" w:eastAsia="宋体" w:cs="宋体"/>
                <w:sz w:val="18"/>
                <w:szCs w:val="18"/>
              </w:rPr>
            </w:pPr>
            <w:r>
              <w:rPr>
                <w:rFonts w:ascii="宋体" w:hAnsi="宋体" w:eastAsia="宋体" w:cs="宋体"/>
                <w:sz w:val="18"/>
                <w:szCs w:val="18"/>
              </w:rPr>
              <w:t>11,001,936.25</w:t>
            </w:r>
          </w:p>
        </w:tc>
      </w:tr>
      <w:tr w14:paraId="0F7102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B2DD776">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876" w:type="dxa"/>
            <w:tcBorders>
              <w:top w:val="single" w:color="auto" w:sz="2" w:space="0"/>
              <w:left w:val="single" w:color="auto" w:sz="2" w:space="0"/>
              <w:bottom w:val="single" w:color="auto" w:sz="2" w:space="0"/>
              <w:right w:val="single" w:color="auto" w:sz="2" w:space="0"/>
            </w:tcBorders>
            <w:vAlign w:val="center"/>
          </w:tcPr>
          <w:p w14:paraId="5085A124">
            <w:pPr>
              <w:spacing w:before="0" w:after="0" w:line="240" w:lineRule="exact"/>
              <w:jc w:val="right"/>
              <w:rPr>
                <w:rFonts w:ascii="宋体" w:hAnsi="宋体" w:eastAsia="宋体" w:cs="宋体"/>
                <w:sz w:val="18"/>
                <w:szCs w:val="18"/>
              </w:rPr>
            </w:pPr>
            <w:r>
              <w:rPr>
                <w:rFonts w:ascii="宋体" w:hAnsi="宋体" w:eastAsia="宋体" w:cs="宋体"/>
                <w:sz w:val="18"/>
                <w:szCs w:val="18"/>
              </w:rPr>
              <w:t>88,107,573.71</w:t>
            </w:r>
          </w:p>
        </w:tc>
        <w:tc>
          <w:tcPr>
            <w:tcW w:w="876" w:type="dxa"/>
            <w:tcBorders>
              <w:top w:val="single" w:color="auto" w:sz="2" w:space="0"/>
              <w:left w:val="single" w:color="auto" w:sz="2" w:space="0"/>
              <w:bottom w:val="single" w:color="auto" w:sz="2" w:space="0"/>
              <w:right w:val="single" w:color="auto" w:sz="2" w:space="0"/>
            </w:tcBorders>
            <w:vAlign w:val="center"/>
          </w:tcPr>
          <w:p w14:paraId="0319AAF1">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244B40B6">
            <w:pPr>
              <w:spacing w:before="0" w:after="0" w:line="240" w:lineRule="exact"/>
              <w:jc w:val="right"/>
              <w:rPr>
                <w:rFonts w:ascii="宋体" w:hAnsi="宋体" w:eastAsia="宋体" w:cs="宋体"/>
                <w:sz w:val="18"/>
                <w:szCs w:val="18"/>
              </w:rPr>
            </w:pPr>
            <w:r>
              <w:rPr>
                <w:rFonts w:ascii="宋体" w:hAnsi="宋体" w:eastAsia="宋体" w:cs="宋体"/>
                <w:sz w:val="18"/>
                <w:szCs w:val="18"/>
              </w:rPr>
              <w:t>1,652,049.04</w:t>
            </w:r>
          </w:p>
        </w:tc>
        <w:tc>
          <w:tcPr>
            <w:tcW w:w="876" w:type="dxa"/>
            <w:tcBorders>
              <w:top w:val="single" w:color="auto" w:sz="2" w:space="0"/>
              <w:left w:val="single" w:color="auto" w:sz="2" w:space="0"/>
              <w:bottom w:val="single" w:color="auto" w:sz="2" w:space="0"/>
              <w:right w:val="single" w:color="auto" w:sz="2" w:space="0"/>
            </w:tcBorders>
            <w:vAlign w:val="center"/>
          </w:tcPr>
          <w:p w14:paraId="6BDF0C25">
            <w:pPr>
              <w:spacing w:before="0" w:after="0" w:line="240" w:lineRule="exact"/>
              <w:jc w:val="right"/>
              <w:rPr>
                <w:rFonts w:ascii="宋体" w:hAnsi="宋体" w:eastAsia="宋体" w:cs="宋体"/>
                <w:sz w:val="18"/>
                <w:szCs w:val="18"/>
              </w:rPr>
            </w:pPr>
            <w:r>
              <w:rPr>
                <w:rFonts w:ascii="宋体" w:hAnsi="宋体" w:eastAsia="宋体" w:cs="宋体"/>
                <w:sz w:val="18"/>
                <w:szCs w:val="18"/>
              </w:rPr>
              <w:t>1.88%</w:t>
            </w:r>
          </w:p>
        </w:tc>
        <w:tc>
          <w:tcPr>
            <w:tcW w:w="876" w:type="dxa"/>
            <w:tcBorders>
              <w:top w:val="single" w:color="auto" w:sz="2" w:space="0"/>
              <w:left w:val="single" w:color="auto" w:sz="2" w:space="0"/>
              <w:bottom w:val="single" w:color="auto" w:sz="2" w:space="0"/>
              <w:right w:val="single" w:color="auto" w:sz="2" w:space="0"/>
            </w:tcBorders>
            <w:vAlign w:val="center"/>
          </w:tcPr>
          <w:p w14:paraId="063BF842">
            <w:pPr>
              <w:spacing w:before="0" w:after="0" w:line="240" w:lineRule="exact"/>
              <w:jc w:val="right"/>
              <w:rPr>
                <w:rFonts w:ascii="宋体" w:hAnsi="宋体" w:eastAsia="宋体" w:cs="宋体"/>
                <w:sz w:val="18"/>
                <w:szCs w:val="18"/>
              </w:rPr>
            </w:pPr>
            <w:r>
              <w:rPr>
                <w:rFonts w:ascii="宋体" w:hAnsi="宋体" w:eastAsia="宋体" w:cs="宋体"/>
                <w:sz w:val="18"/>
                <w:szCs w:val="18"/>
              </w:rPr>
              <w:t>86,455,524.67</w:t>
            </w:r>
          </w:p>
        </w:tc>
        <w:tc>
          <w:tcPr>
            <w:tcW w:w="876" w:type="dxa"/>
            <w:tcBorders>
              <w:top w:val="single" w:color="auto" w:sz="2" w:space="0"/>
              <w:left w:val="single" w:color="auto" w:sz="2" w:space="0"/>
              <w:bottom w:val="single" w:color="auto" w:sz="2" w:space="0"/>
              <w:right w:val="single" w:color="auto" w:sz="2" w:space="0"/>
            </w:tcBorders>
            <w:vAlign w:val="center"/>
          </w:tcPr>
          <w:p w14:paraId="0483C4CE">
            <w:pPr>
              <w:spacing w:before="0" w:after="0" w:line="240" w:lineRule="exact"/>
              <w:jc w:val="right"/>
              <w:rPr>
                <w:rFonts w:ascii="宋体" w:hAnsi="宋体" w:eastAsia="宋体" w:cs="宋体"/>
                <w:sz w:val="18"/>
                <w:szCs w:val="18"/>
              </w:rPr>
            </w:pPr>
            <w:r>
              <w:rPr>
                <w:rFonts w:ascii="宋体" w:hAnsi="宋体" w:eastAsia="宋体" w:cs="宋体"/>
                <w:sz w:val="18"/>
                <w:szCs w:val="18"/>
              </w:rPr>
              <w:t>22,636,620.55</w:t>
            </w:r>
          </w:p>
        </w:tc>
        <w:tc>
          <w:tcPr>
            <w:tcW w:w="876" w:type="dxa"/>
            <w:tcBorders>
              <w:top w:val="single" w:color="auto" w:sz="2" w:space="0"/>
              <w:left w:val="single" w:color="auto" w:sz="2" w:space="0"/>
              <w:bottom w:val="single" w:color="auto" w:sz="2" w:space="0"/>
              <w:right w:val="single" w:color="auto" w:sz="2" w:space="0"/>
            </w:tcBorders>
            <w:vAlign w:val="center"/>
          </w:tcPr>
          <w:p w14:paraId="6E59E132">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2E7190B8">
            <w:pPr>
              <w:spacing w:before="0" w:after="0" w:line="240" w:lineRule="exact"/>
              <w:jc w:val="right"/>
              <w:rPr>
                <w:rFonts w:ascii="宋体" w:hAnsi="宋体" w:eastAsia="宋体" w:cs="宋体"/>
                <w:sz w:val="18"/>
                <w:szCs w:val="18"/>
              </w:rPr>
            </w:pPr>
            <w:r>
              <w:rPr>
                <w:rFonts w:ascii="宋体" w:hAnsi="宋体" w:eastAsia="宋体" w:cs="宋体"/>
                <w:sz w:val="18"/>
                <w:szCs w:val="18"/>
              </w:rPr>
              <w:t>1,655,216.21</w:t>
            </w:r>
          </w:p>
        </w:tc>
        <w:tc>
          <w:tcPr>
            <w:tcW w:w="876" w:type="dxa"/>
            <w:tcBorders>
              <w:top w:val="single" w:color="auto" w:sz="2" w:space="0"/>
              <w:left w:val="single" w:color="auto" w:sz="2" w:space="0"/>
              <w:bottom w:val="single" w:color="auto" w:sz="2" w:space="0"/>
              <w:right w:val="single" w:color="auto" w:sz="2" w:space="0"/>
            </w:tcBorders>
            <w:vAlign w:val="center"/>
          </w:tcPr>
          <w:p w14:paraId="29EA052F">
            <w:pPr>
              <w:spacing w:before="0" w:after="0" w:line="240" w:lineRule="exact"/>
              <w:jc w:val="right"/>
              <w:rPr>
                <w:rFonts w:ascii="宋体" w:hAnsi="宋体" w:eastAsia="宋体" w:cs="宋体"/>
                <w:sz w:val="18"/>
                <w:szCs w:val="18"/>
              </w:rPr>
            </w:pPr>
            <w:r>
              <w:rPr>
                <w:rFonts w:ascii="宋体" w:hAnsi="宋体" w:eastAsia="宋体" w:cs="宋体"/>
                <w:sz w:val="18"/>
                <w:szCs w:val="18"/>
              </w:rPr>
              <w:t>7.31%</w:t>
            </w:r>
          </w:p>
        </w:tc>
        <w:tc>
          <w:tcPr>
            <w:tcW w:w="876" w:type="dxa"/>
            <w:tcBorders>
              <w:top w:val="single" w:color="auto" w:sz="2" w:space="0"/>
              <w:left w:val="single" w:color="auto" w:sz="2" w:space="0"/>
              <w:bottom w:val="single" w:color="auto" w:sz="2" w:space="0"/>
              <w:right w:val="single" w:color="auto" w:sz="2" w:space="0"/>
            </w:tcBorders>
            <w:vAlign w:val="center"/>
          </w:tcPr>
          <w:p w14:paraId="6571A77B">
            <w:pPr>
              <w:spacing w:before="0" w:after="0" w:line="240" w:lineRule="exact"/>
              <w:jc w:val="right"/>
              <w:rPr>
                <w:rFonts w:ascii="宋体" w:hAnsi="宋体" w:eastAsia="宋体" w:cs="宋体"/>
                <w:sz w:val="18"/>
                <w:szCs w:val="18"/>
              </w:rPr>
            </w:pPr>
            <w:r>
              <w:rPr>
                <w:rFonts w:ascii="宋体" w:hAnsi="宋体" w:eastAsia="宋体" w:cs="宋体"/>
                <w:sz w:val="18"/>
                <w:szCs w:val="18"/>
              </w:rPr>
              <w:t>20,981,404.34</w:t>
            </w:r>
          </w:p>
        </w:tc>
      </w:tr>
    </w:tbl>
    <w:p w14:paraId="647947ED">
      <w:pPr>
        <w:spacing w:before="0" w:after="0" w:line="240" w:lineRule="exact"/>
        <w:jc w:val="left"/>
        <w:rPr>
          <w:rFonts w:ascii="宋体" w:hAnsi="宋体" w:eastAsia="宋体" w:cs="宋体"/>
          <w:sz w:val="18"/>
          <w:szCs w:val="18"/>
        </w:rPr>
      </w:pPr>
      <w:r>
        <w:rPr>
          <w:rFonts w:ascii="宋体" w:hAnsi="宋体" w:eastAsia="宋体" w:cs="宋体"/>
          <w:sz w:val="18"/>
          <w:szCs w:val="18"/>
        </w:rPr>
        <w:t>按单项计提坏账准备：</w:t>
      </w:r>
    </w:p>
    <w:p w14:paraId="3D4791F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60E337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85546E9">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ECA26E9">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516D4200">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79A2B9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69A2E9B"/>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CB826F8">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11ECC50">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C283918">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2577BED">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B5A84D8">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56D3A3B">
            <w:pPr>
              <w:spacing w:before="40" w:after="40" w:line="240" w:lineRule="exact"/>
              <w:jc w:val="center"/>
              <w:rPr>
                <w:rFonts w:ascii="宋体" w:hAnsi="宋体" w:eastAsia="宋体" w:cs="宋体"/>
                <w:sz w:val="18"/>
                <w:szCs w:val="18"/>
              </w:rPr>
            </w:pPr>
            <w:r>
              <w:rPr>
                <w:rFonts w:ascii="宋体" w:hAnsi="宋体" w:eastAsia="宋体" w:cs="宋体"/>
                <w:sz w:val="18"/>
                <w:szCs w:val="18"/>
              </w:rPr>
              <w:t>计提理由</w:t>
            </w:r>
          </w:p>
        </w:tc>
      </w:tr>
      <w:tr w14:paraId="5BDF24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026F0EF6">
            <w:pPr>
              <w:spacing w:before="0" w:after="0" w:line="240" w:lineRule="exact"/>
              <w:jc w:val="left"/>
              <w:rPr>
                <w:rFonts w:ascii="宋体" w:hAnsi="宋体" w:eastAsia="宋体" w:cs="宋体"/>
                <w:sz w:val="18"/>
                <w:szCs w:val="18"/>
              </w:rPr>
            </w:pPr>
            <w:r>
              <w:rPr>
                <w:rFonts w:ascii="宋体" w:hAnsi="宋体" w:eastAsia="宋体" w:cs="宋体"/>
                <w:sz w:val="18"/>
                <w:szCs w:val="18"/>
              </w:rPr>
              <w:t>广东康爱多数字健康科技有限公司</w:t>
            </w:r>
          </w:p>
        </w:tc>
        <w:tc>
          <w:tcPr>
            <w:tcW w:w="1377" w:type="dxa"/>
            <w:tcBorders>
              <w:top w:val="single" w:color="auto" w:sz="2" w:space="0"/>
              <w:left w:val="single" w:color="auto" w:sz="2" w:space="0"/>
              <w:bottom w:val="single" w:color="auto" w:sz="2" w:space="0"/>
              <w:right w:val="single" w:color="auto" w:sz="2" w:space="0"/>
            </w:tcBorders>
            <w:vAlign w:val="center"/>
          </w:tcPr>
          <w:p w14:paraId="1930CF0A">
            <w:pPr>
              <w:spacing w:before="0" w:after="0" w:line="240" w:lineRule="exact"/>
              <w:jc w:val="right"/>
              <w:rPr>
                <w:rFonts w:ascii="宋体" w:hAnsi="宋体" w:eastAsia="宋体" w:cs="宋体"/>
                <w:sz w:val="18"/>
                <w:szCs w:val="18"/>
              </w:rPr>
            </w:pPr>
            <w:r>
              <w:rPr>
                <w:rFonts w:ascii="宋体" w:hAnsi="宋体" w:eastAsia="宋体" w:cs="宋体"/>
                <w:sz w:val="18"/>
                <w:szCs w:val="18"/>
              </w:rPr>
              <w:t>380,000.00</w:t>
            </w:r>
          </w:p>
        </w:tc>
        <w:tc>
          <w:tcPr>
            <w:tcW w:w="1377" w:type="dxa"/>
            <w:tcBorders>
              <w:top w:val="single" w:color="auto" w:sz="2" w:space="0"/>
              <w:left w:val="single" w:color="auto" w:sz="2" w:space="0"/>
              <w:bottom w:val="single" w:color="auto" w:sz="2" w:space="0"/>
              <w:right w:val="single" w:color="auto" w:sz="2" w:space="0"/>
            </w:tcBorders>
            <w:vAlign w:val="center"/>
          </w:tcPr>
          <w:p w14:paraId="59D8C1AF">
            <w:pPr>
              <w:spacing w:before="0" w:after="0" w:line="240" w:lineRule="exact"/>
              <w:jc w:val="right"/>
              <w:rPr>
                <w:rFonts w:ascii="宋体" w:hAnsi="宋体" w:eastAsia="宋体" w:cs="宋体"/>
                <w:sz w:val="18"/>
                <w:szCs w:val="18"/>
              </w:rPr>
            </w:pPr>
            <w:r>
              <w:rPr>
                <w:rFonts w:ascii="宋体" w:hAnsi="宋体" w:eastAsia="宋体" w:cs="宋体"/>
                <w:sz w:val="18"/>
                <w:szCs w:val="18"/>
              </w:rPr>
              <w:t>228,000.00</w:t>
            </w:r>
          </w:p>
        </w:tc>
        <w:tc>
          <w:tcPr>
            <w:tcW w:w="1377" w:type="dxa"/>
            <w:tcBorders>
              <w:top w:val="single" w:color="auto" w:sz="2" w:space="0"/>
              <w:left w:val="single" w:color="auto" w:sz="2" w:space="0"/>
              <w:bottom w:val="single" w:color="auto" w:sz="2" w:space="0"/>
              <w:right w:val="single" w:color="auto" w:sz="2" w:space="0"/>
            </w:tcBorders>
            <w:vAlign w:val="center"/>
          </w:tcPr>
          <w:p w14:paraId="6B93CB2A">
            <w:pPr>
              <w:spacing w:before="0" w:after="0" w:line="240" w:lineRule="exact"/>
              <w:jc w:val="right"/>
              <w:rPr>
                <w:rFonts w:ascii="宋体" w:hAnsi="宋体" w:eastAsia="宋体" w:cs="宋体"/>
                <w:sz w:val="18"/>
                <w:szCs w:val="18"/>
              </w:rPr>
            </w:pPr>
            <w:r>
              <w:rPr>
                <w:rFonts w:ascii="宋体" w:hAnsi="宋体" w:eastAsia="宋体" w:cs="宋体"/>
                <w:sz w:val="18"/>
                <w:szCs w:val="18"/>
              </w:rPr>
              <w:t>380,000.00</w:t>
            </w:r>
          </w:p>
        </w:tc>
        <w:tc>
          <w:tcPr>
            <w:tcW w:w="1377" w:type="dxa"/>
            <w:tcBorders>
              <w:top w:val="single" w:color="auto" w:sz="2" w:space="0"/>
              <w:left w:val="single" w:color="auto" w:sz="2" w:space="0"/>
              <w:bottom w:val="single" w:color="auto" w:sz="2" w:space="0"/>
              <w:right w:val="single" w:color="auto" w:sz="2" w:space="0"/>
            </w:tcBorders>
            <w:vAlign w:val="center"/>
          </w:tcPr>
          <w:p w14:paraId="49C92AB5">
            <w:pPr>
              <w:spacing w:before="0" w:after="0" w:line="240" w:lineRule="exact"/>
              <w:jc w:val="right"/>
              <w:rPr>
                <w:rFonts w:ascii="宋体" w:hAnsi="宋体" w:eastAsia="宋体" w:cs="宋体"/>
                <w:sz w:val="18"/>
                <w:szCs w:val="18"/>
              </w:rPr>
            </w:pPr>
            <w:r>
              <w:rPr>
                <w:rFonts w:ascii="宋体" w:hAnsi="宋体" w:eastAsia="宋体" w:cs="宋体"/>
                <w:sz w:val="18"/>
                <w:szCs w:val="18"/>
              </w:rPr>
              <w:t>380,000.00</w:t>
            </w:r>
          </w:p>
        </w:tc>
        <w:tc>
          <w:tcPr>
            <w:tcW w:w="1377" w:type="dxa"/>
            <w:tcBorders>
              <w:top w:val="single" w:color="auto" w:sz="2" w:space="0"/>
              <w:left w:val="single" w:color="auto" w:sz="2" w:space="0"/>
              <w:bottom w:val="single" w:color="auto" w:sz="2" w:space="0"/>
              <w:right w:val="single" w:color="auto" w:sz="2" w:space="0"/>
            </w:tcBorders>
            <w:vAlign w:val="center"/>
          </w:tcPr>
          <w:p w14:paraId="55C03A44">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377" w:type="dxa"/>
            <w:tcBorders>
              <w:top w:val="single" w:color="auto" w:sz="2" w:space="0"/>
              <w:left w:val="single" w:color="auto" w:sz="2" w:space="0"/>
              <w:bottom w:val="single" w:color="auto" w:sz="2" w:space="0"/>
              <w:right w:val="single" w:color="auto" w:sz="2" w:space="0"/>
            </w:tcBorders>
            <w:vAlign w:val="center"/>
          </w:tcPr>
          <w:p w14:paraId="524A8638">
            <w:pPr>
              <w:spacing w:before="0" w:after="0" w:line="240" w:lineRule="exact"/>
              <w:jc w:val="left"/>
              <w:rPr>
                <w:rFonts w:ascii="宋体" w:hAnsi="宋体" w:eastAsia="宋体" w:cs="宋体"/>
                <w:sz w:val="18"/>
                <w:szCs w:val="18"/>
              </w:rPr>
            </w:pPr>
            <w:r>
              <w:rPr>
                <w:rFonts w:hint="eastAsia" w:ascii="宋体" w:hAnsi="宋体" w:eastAsia="宋体" w:cs="宋体"/>
                <w:sz w:val="18"/>
                <w:szCs w:val="18"/>
              </w:rPr>
              <w:t>预计无法收回</w:t>
            </w:r>
          </w:p>
        </w:tc>
      </w:tr>
      <w:tr w14:paraId="45FE2B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6F7881E6">
            <w:pPr>
              <w:spacing w:before="0" w:after="0" w:line="240" w:lineRule="exact"/>
              <w:jc w:val="left"/>
              <w:rPr>
                <w:rFonts w:ascii="宋体" w:hAnsi="宋体" w:eastAsia="宋体" w:cs="宋体"/>
                <w:sz w:val="18"/>
                <w:szCs w:val="18"/>
              </w:rPr>
            </w:pPr>
            <w:r>
              <w:rPr>
                <w:rFonts w:ascii="宋体" w:hAnsi="宋体" w:eastAsia="宋体" w:cs="宋体"/>
                <w:sz w:val="18"/>
                <w:szCs w:val="18"/>
              </w:rPr>
              <w:t>单笔金额小于10万元的客户</w:t>
            </w:r>
          </w:p>
        </w:tc>
        <w:tc>
          <w:tcPr>
            <w:tcW w:w="1377" w:type="dxa"/>
            <w:tcBorders>
              <w:top w:val="single" w:color="auto" w:sz="2" w:space="0"/>
              <w:left w:val="single" w:color="auto" w:sz="2" w:space="0"/>
              <w:bottom w:val="single" w:color="auto" w:sz="2" w:space="0"/>
              <w:right w:val="single" w:color="auto" w:sz="2" w:space="0"/>
            </w:tcBorders>
            <w:vAlign w:val="center"/>
          </w:tcPr>
          <w:p w14:paraId="4C45BAD2">
            <w:pPr>
              <w:spacing w:before="0" w:after="0" w:line="240" w:lineRule="exact"/>
              <w:jc w:val="right"/>
              <w:rPr>
                <w:rFonts w:ascii="宋体" w:hAnsi="宋体" w:eastAsia="宋体" w:cs="宋体"/>
                <w:sz w:val="18"/>
                <w:szCs w:val="18"/>
              </w:rPr>
            </w:pPr>
            <w:r>
              <w:rPr>
                <w:rFonts w:ascii="宋体" w:hAnsi="宋体" w:eastAsia="宋体" w:cs="宋体"/>
                <w:sz w:val="18"/>
                <w:szCs w:val="18"/>
              </w:rPr>
              <w:t>289,929.07</w:t>
            </w:r>
          </w:p>
        </w:tc>
        <w:tc>
          <w:tcPr>
            <w:tcW w:w="1377" w:type="dxa"/>
            <w:tcBorders>
              <w:top w:val="single" w:color="auto" w:sz="2" w:space="0"/>
              <w:left w:val="single" w:color="auto" w:sz="2" w:space="0"/>
              <w:bottom w:val="single" w:color="auto" w:sz="2" w:space="0"/>
              <w:right w:val="single" w:color="auto" w:sz="2" w:space="0"/>
            </w:tcBorders>
            <w:vAlign w:val="center"/>
          </w:tcPr>
          <w:p w14:paraId="68129AA7">
            <w:pPr>
              <w:spacing w:before="0" w:after="0" w:line="240" w:lineRule="exact"/>
              <w:jc w:val="right"/>
              <w:rPr>
                <w:rFonts w:ascii="宋体" w:hAnsi="宋体" w:eastAsia="宋体" w:cs="宋体"/>
                <w:sz w:val="18"/>
                <w:szCs w:val="18"/>
              </w:rPr>
            </w:pPr>
            <w:r>
              <w:rPr>
                <w:rFonts w:ascii="宋体" w:hAnsi="宋体" w:eastAsia="宋体" w:cs="宋体"/>
                <w:sz w:val="18"/>
                <w:szCs w:val="18"/>
              </w:rPr>
              <w:t>289,929.07</w:t>
            </w:r>
          </w:p>
        </w:tc>
        <w:tc>
          <w:tcPr>
            <w:tcW w:w="1377" w:type="dxa"/>
            <w:tcBorders>
              <w:top w:val="single" w:color="auto" w:sz="2" w:space="0"/>
              <w:left w:val="single" w:color="auto" w:sz="2" w:space="0"/>
              <w:bottom w:val="single" w:color="auto" w:sz="2" w:space="0"/>
              <w:right w:val="single" w:color="auto" w:sz="2" w:space="0"/>
            </w:tcBorders>
            <w:vAlign w:val="center"/>
          </w:tcPr>
          <w:p w14:paraId="249E56BF">
            <w:pPr>
              <w:spacing w:before="0" w:after="0" w:line="240" w:lineRule="exact"/>
              <w:jc w:val="right"/>
              <w:rPr>
                <w:rFonts w:ascii="宋体" w:hAnsi="宋体" w:eastAsia="宋体" w:cs="宋体"/>
                <w:sz w:val="18"/>
                <w:szCs w:val="18"/>
              </w:rPr>
            </w:pPr>
            <w:r>
              <w:rPr>
                <w:rFonts w:ascii="宋体" w:hAnsi="宋体" w:eastAsia="宋体" w:cs="宋体"/>
                <w:sz w:val="18"/>
                <w:szCs w:val="18"/>
              </w:rPr>
              <w:t>254,929.07</w:t>
            </w:r>
          </w:p>
        </w:tc>
        <w:tc>
          <w:tcPr>
            <w:tcW w:w="1377" w:type="dxa"/>
            <w:tcBorders>
              <w:top w:val="single" w:color="auto" w:sz="2" w:space="0"/>
              <w:left w:val="single" w:color="auto" w:sz="2" w:space="0"/>
              <w:bottom w:val="single" w:color="auto" w:sz="2" w:space="0"/>
              <w:right w:val="single" w:color="auto" w:sz="2" w:space="0"/>
            </w:tcBorders>
            <w:vAlign w:val="center"/>
          </w:tcPr>
          <w:p w14:paraId="4F28BCEE">
            <w:pPr>
              <w:spacing w:before="0" w:after="0" w:line="240" w:lineRule="exact"/>
              <w:jc w:val="right"/>
              <w:rPr>
                <w:rFonts w:ascii="宋体" w:hAnsi="宋体" w:eastAsia="宋体" w:cs="宋体"/>
                <w:sz w:val="18"/>
                <w:szCs w:val="18"/>
              </w:rPr>
            </w:pPr>
            <w:r>
              <w:rPr>
                <w:rFonts w:ascii="宋体" w:hAnsi="宋体" w:eastAsia="宋体" w:cs="宋体"/>
                <w:sz w:val="18"/>
                <w:szCs w:val="18"/>
              </w:rPr>
              <w:t>254,929.07</w:t>
            </w:r>
          </w:p>
        </w:tc>
        <w:tc>
          <w:tcPr>
            <w:tcW w:w="1377" w:type="dxa"/>
            <w:tcBorders>
              <w:top w:val="single" w:color="auto" w:sz="2" w:space="0"/>
              <w:left w:val="single" w:color="auto" w:sz="2" w:space="0"/>
              <w:bottom w:val="single" w:color="auto" w:sz="2" w:space="0"/>
              <w:right w:val="single" w:color="auto" w:sz="2" w:space="0"/>
            </w:tcBorders>
            <w:vAlign w:val="center"/>
          </w:tcPr>
          <w:p w14:paraId="49E8F5A3">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1377" w:type="dxa"/>
            <w:tcBorders>
              <w:top w:val="single" w:color="auto" w:sz="2" w:space="0"/>
              <w:left w:val="single" w:color="auto" w:sz="2" w:space="0"/>
              <w:bottom w:val="single" w:color="auto" w:sz="2" w:space="0"/>
              <w:right w:val="single" w:color="auto" w:sz="2" w:space="0"/>
            </w:tcBorders>
            <w:vAlign w:val="center"/>
          </w:tcPr>
          <w:p w14:paraId="125BE54C">
            <w:pPr>
              <w:spacing w:before="0" w:after="0" w:line="240" w:lineRule="exact"/>
              <w:jc w:val="left"/>
              <w:rPr>
                <w:rFonts w:ascii="宋体" w:hAnsi="宋体" w:eastAsia="宋体" w:cs="宋体"/>
                <w:sz w:val="18"/>
                <w:szCs w:val="18"/>
              </w:rPr>
            </w:pPr>
            <w:r>
              <w:rPr>
                <w:rFonts w:hint="eastAsia" w:ascii="宋体" w:hAnsi="宋体" w:eastAsia="宋体" w:cs="宋体"/>
                <w:sz w:val="18"/>
                <w:szCs w:val="18"/>
              </w:rPr>
              <w:t>预计无法收回</w:t>
            </w:r>
          </w:p>
        </w:tc>
      </w:tr>
      <w:tr w14:paraId="45B406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7E53EC6">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61DE5B6D">
            <w:pPr>
              <w:spacing w:before="0" w:after="0" w:line="240" w:lineRule="exact"/>
              <w:jc w:val="right"/>
              <w:rPr>
                <w:rFonts w:ascii="宋体" w:hAnsi="宋体" w:eastAsia="宋体" w:cs="宋体"/>
                <w:sz w:val="18"/>
                <w:szCs w:val="18"/>
              </w:rPr>
            </w:pPr>
            <w:r>
              <w:rPr>
                <w:rFonts w:ascii="宋体" w:hAnsi="宋体" w:eastAsia="宋体" w:cs="宋体"/>
                <w:sz w:val="18"/>
                <w:szCs w:val="18"/>
              </w:rPr>
              <w:t>669,929.07</w:t>
            </w:r>
          </w:p>
        </w:tc>
        <w:tc>
          <w:tcPr>
            <w:tcW w:w="1377" w:type="dxa"/>
            <w:tcBorders>
              <w:top w:val="single" w:color="auto" w:sz="2" w:space="0"/>
              <w:left w:val="single" w:color="auto" w:sz="2" w:space="0"/>
              <w:bottom w:val="single" w:color="auto" w:sz="2" w:space="0"/>
              <w:right w:val="single" w:color="auto" w:sz="2" w:space="0"/>
            </w:tcBorders>
            <w:vAlign w:val="center"/>
          </w:tcPr>
          <w:p w14:paraId="55DB25B6">
            <w:pPr>
              <w:spacing w:before="0" w:after="0" w:line="240" w:lineRule="exact"/>
              <w:jc w:val="right"/>
              <w:rPr>
                <w:rFonts w:ascii="宋体" w:hAnsi="宋体" w:eastAsia="宋体" w:cs="宋体"/>
                <w:sz w:val="18"/>
                <w:szCs w:val="18"/>
              </w:rPr>
            </w:pPr>
            <w:r>
              <w:rPr>
                <w:rFonts w:ascii="宋体" w:hAnsi="宋体" w:eastAsia="宋体" w:cs="宋体"/>
                <w:sz w:val="18"/>
                <w:szCs w:val="18"/>
              </w:rPr>
              <w:t>517,929.07</w:t>
            </w:r>
          </w:p>
        </w:tc>
        <w:tc>
          <w:tcPr>
            <w:tcW w:w="1377" w:type="dxa"/>
            <w:tcBorders>
              <w:top w:val="single" w:color="auto" w:sz="2" w:space="0"/>
              <w:left w:val="single" w:color="auto" w:sz="2" w:space="0"/>
              <w:bottom w:val="single" w:color="auto" w:sz="2" w:space="0"/>
              <w:right w:val="single" w:color="auto" w:sz="2" w:space="0"/>
            </w:tcBorders>
            <w:vAlign w:val="center"/>
          </w:tcPr>
          <w:p w14:paraId="7E03B57D">
            <w:pPr>
              <w:spacing w:before="0" w:after="0" w:line="240" w:lineRule="exact"/>
              <w:jc w:val="right"/>
              <w:rPr>
                <w:rFonts w:ascii="宋体" w:hAnsi="宋体" w:eastAsia="宋体" w:cs="宋体"/>
                <w:sz w:val="18"/>
                <w:szCs w:val="18"/>
              </w:rPr>
            </w:pPr>
            <w:r>
              <w:rPr>
                <w:rFonts w:ascii="宋体" w:hAnsi="宋体" w:eastAsia="宋体" w:cs="宋体"/>
                <w:sz w:val="18"/>
                <w:szCs w:val="18"/>
              </w:rPr>
              <w:t>634,929.07</w:t>
            </w:r>
          </w:p>
        </w:tc>
        <w:tc>
          <w:tcPr>
            <w:tcW w:w="1377" w:type="dxa"/>
            <w:tcBorders>
              <w:top w:val="single" w:color="auto" w:sz="2" w:space="0"/>
              <w:left w:val="single" w:color="auto" w:sz="2" w:space="0"/>
              <w:bottom w:val="single" w:color="auto" w:sz="2" w:space="0"/>
              <w:right w:val="single" w:color="auto" w:sz="2" w:space="0"/>
            </w:tcBorders>
            <w:vAlign w:val="center"/>
          </w:tcPr>
          <w:p w14:paraId="1D26EE52">
            <w:pPr>
              <w:spacing w:before="0" w:after="0" w:line="240" w:lineRule="exact"/>
              <w:jc w:val="right"/>
              <w:rPr>
                <w:rFonts w:ascii="宋体" w:hAnsi="宋体" w:eastAsia="宋体" w:cs="宋体"/>
                <w:sz w:val="18"/>
                <w:szCs w:val="18"/>
              </w:rPr>
            </w:pPr>
            <w:r>
              <w:rPr>
                <w:rFonts w:ascii="宋体" w:hAnsi="宋体" w:eastAsia="宋体" w:cs="宋体"/>
                <w:sz w:val="18"/>
                <w:szCs w:val="18"/>
              </w:rPr>
              <w:t>634,929.07</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CC209A4"/>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6B37E1C"/>
        </w:tc>
      </w:tr>
    </w:tbl>
    <w:p w14:paraId="441A9AA4">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按组合计提坏账准备：（1）</w:t>
      </w:r>
      <w:r>
        <w:rPr>
          <w:rFonts w:ascii="宋体" w:hAnsi="宋体" w:eastAsia="宋体" w:cs="宋体"/>
          <w:sz w:val="18"/>
          <w:szCs w:val="18"/>
        </w:rPr>
        <w:tab/>
      </w:r>
      <w:r>
        <w:rPr>
          <w:rFonts w:ascii="宋体" w:hAnsi="宋体" w:eastAsia="宋体" w:cs="宋体"/>
          <w:sz w:val="18"/>
          <w:szCs w:val="18"/>
        </w:rPr>
        <w:t xml:space="preserve">经销及外包推广模式应收款项组合 </w:t>
      </w:r>
    </w:p>
    <w:p w14:paraId="2919300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0EC6CB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442E51D">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34C73866">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442DD5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CA4FC39"/>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8DC6A08">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9D97CA1">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60179D2">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14:paraId="6C6C76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725FBAA">
            <w:pPr>
              <w:spacing w:before="0" w:after="0" w:line="240" w:lineRule="exact"/>
              <w:jc w:val="left"/>
              <w:rPr>
                <w:rFonts w:ascii="宋体" w:hAnsi="宋体" w:eastAsia="宋体" w:cs="宋体"/>
                <w:sz w:val="18"/>
                <w:szCs w:val="18"/>
              </w:rPr>
            </w:pPr>
            <w:r>
              <w:rPr>
                <w:rFonts w:ascii="宋体" w:hAnsi="宋体" w:eastAsia="宋体" w:cs="宋体"/>
                <w:sz w:val="18"/>
                <w:szCs w:val="18"/>
              </w:rPr>
              <w:t>1 年以内</w:t>
            </w:r>
          </w:p>
        </w:tc>
        <w:tc>
          <w:tcPr>
            <w:tcW w:w="2410" w:type="dxa"/>
            <w:tcBorders>
              <w:top w:val="single" w:color="auto" w:sz="2" w:space="0"/>
              <w:left w:val="single" w:color="auto" w:sz="2" w:space="0"/>
              <w:bottom w:val="single" w:color="auto" w:sz="2" w:space="0"/>
              <w:right w:val="single" w:color="auto" w:sz="2" w:space="0"/>
            </w:tcBorders>
            <w:vAlign w:val="center"/>
          </w:tcPr>
          <w:p w14:paraId="0D76AB6D">
            <w:pPr>
              <w:spacing w:before="0" w:after="0" w:line="240" w:lineRule="exact"/>
              <w:jc w:val="right"/>
              <w:rPr>
                <w:rFonts w:ascii="宋体" w:hAnsi="宋体" w:eastAsia="宋体" w:cs="宋体"/>
                <w:sz w:val="18"/>
                <w:szCs w:val="18"/>
              </w:rPr>
            </w:pPr>
            <w:r>
              <w:rPr>
                <w:rFonts w:ascii="宋体" w:hAnsi="宋体" w:eastAsia="宋体" w:cs="宋体"/>
                <w:sz w:val="18"/>
                <w:szCs w:val="18"/>
              </w:rPr>
              <w:t>1,892,524.48</w:t>
            </w:r>
          </w:p>
        </w:tc>
        <w:tc>
          <w:tcPr>
            <w:tcW w:w="2410" w:type="dxa"/>
            <w:tcBorders>
              <w:top w:val="single" w:color="auto" w:sz="2" w:space="0"/>
              <w:left w:val="single" w:color="auto" w:sz="2" w:space="0"/>
              <w:bottom w:val="single" w:color="auto" w:sz="2" w:space="0"/>
              <w:right w:val="single" w:color="auto" w:sz="2" w:space="0"/>
            </w:tcBorders>
            <w:vAlign w:val="center"/>
          </w:tcPr>
          <w:p w14:paraId="143F6930">
            <w:pPr>
              <w:spacing w:before="0" w:after="0" w:line="240" w:lineRule="exact"/>
              <w:jc w:val="right"/>
              <w:rPr>
                <w:rFonts w:ascii="宋体" w:hAnsi="宋体" w:eastAsia="宋体" w:cs="宋体"/>
                <w:sz w:val="18"/>
                <w:szCs w:val="18"/>
              </w:rPr>
            </w:pPr>
            <w:r>
              <w:rPr>
                <w:rFonts w:ascii="宋体" w:hAnsi="宋体" w:eastAsia="宋体" w:cs="宋体"/>
                <w:sz w:val="18"/>
                <w:szCs w:val="18"/>
              </w:rPr>
              <w:t>94,626.22</w:t>
            </w:r>
          </w:p>
        </w:tc>
        <w:tc>
          <w:tcPr>
            <w:tcW w:w="2410" w:type="dxa"/>
            <w:tcBorders>
              <w:top w:val="single" w:color="auto" w:sz="2" w:space="0"/>
              <w:left w:val="single" w:color="auto" w:sz="2" w:space="0"/>
              <w:bottom w:val="single" w:color="auto" w:sz="2" w:space="0"/>
              <w:right w:val="single" w:color="auto" w:sz="2" w:space="0"/>
            </w:tcBorders>
            <w:vAlign w:val="center"/>
          </w:tcPr>
          <w:p w14:paraId="3D3BDD26">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r>
      <w:tr w14:paraId="395E86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59D9CBB">
            <w:pPr>
              <w:spacing w:before="0" w:after="0" w:line="240" w:lineRule="exact"/>
              <w:jc w:val="left"/>
              <w:rPr>
                <w:rFonts w:ascii="宋体" w:hAnsi="宋体" w:eastAsia="宋体" w:cs="宋体"/>
                <w:sz w:val="18"/>
                <w:szCs w:val="18"/>
              </w:rPr>
            </w:pPr>
            <w:r>
              <w:rPr>
                <w:rFonts w:ascii="宋体" w:hAnsi="宋体" w:eastAsia="宋体" w:cs="宋体"/>
                <w:sz w:val="18"/>
                <w:szCs w:val="18"/>
              </w:rPr>
              <w:t>1－2</w:t>
            </w:r>
          </w:p>
          <w:p w14:paraId="23216E0E">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0DA01F16">
            <w:pPr>
              <w:spacing w:before="0" w:after="0" w:line="240" w:lineRule="exact"/>
              <w:jc w:val="right"/>
              <w:rPr>
                <w:rFonts w:ascii="宋体" w:hAnsi="宋体" w:eastAsia="宋体" w:cs="宋体"/>
                <w:sz w:val="18"/>
                <w:szCs w:val="18"/>
              </w:rPr>
            </w:pPr>
            <w:r>
              <w:rPr>
                <w:rFonts w:ascii="宋体" w:hAnsi="宋体" w:eastAsia="宋体" w:cs="宋体"/>
                <w:sz w:val="18"/>
                <w:szCs w:val="18"/>
              </w:rPr>
              <w:t>78,807.00</w:t>
            </w:r>
          </w:p>
        </w:tc>
        <w:tc>
          <w:tcPr>
            <w:tcW w:w="2410" w:type="dxa"/>
            <w:tcBorders>
              <w:top w:val="single" w:color="auto" w:sz="2" w:space="0"/>
              <w:left w:val="single" w:color="auto" w:sz="2" w:space="0"/>
              <w:bottom w:val="single" w:color="auto" w:sz="2" w:space="0"/>
              <w:right w:val="single" w:color="auto" w:sz="2" w:space="0"/>
            </w:tcBorders>
            <w:vAlign w:val="center"/>
          </w:tcPr>
          <w:p w14:paraId="1AA401D1">
            <w:pPr>
              <w:spacing w:before="0" w:after="0" w:line="240" w:lineRule="exact"/>
              <w:jc w:val="right"/>
              <w:rPr>
                <w:rFonts w:ascii="宋体" w:hAnsi="宋体" w:eastAsia="宋体" w:cs="宋体"/>
                <w:sz w:val="18"/>
                <w:szCs w:val="18"/>
              </w:rPr>
            </w:pPr>
            <w:r>
              <w:rPr>
                <w:rFonts w:ascii="宋体" w:hAnsi="宋体" w:eastAsia="宋体" w:cs="宋体"/>
                <w:sz w:val="18"/>
                <w:szCs w:val="18"/>
              </w:rPr>
              <w:t>11,821.05</w:t>
            </w:r>
          </w:p>
        </w:tc>
        <w:tc>
          <w:tcPr>
            <w:tcW w:w="2410" w:type="dxa"/>
            <w:tcBorders>
              <w:top w:val="single" w:color="auto" w:sz="2" w:space="0"/>
              <w:left w:val="single" w:color="auto" w:sz="2" w:space="0"/>
              <w:bottom w:val="single" w:color="auto" w:sz="2" w:space="0"/>
              <w:right w:val="single" w:color="auto" w:sz="2" w:space="0"/>
            </w:tcBorders>
            <w:vAlign w:val="center"/>
          </w:tcPr>
          <w:p w14:paraId="1713FD31">
            <w:pPr>
              <w:spacing w:before="0" w:after="0" w:line="240" w:lineRule="exact"/>
              <w:jc w:val="right"/>
              <w:rPr>
                <w:rFonts w:ascii="宋体" w:hAnsi="宋体" w:eastAsia="宋体" w:cs="宋体"/>
                <w:sz w:val="18"/>
                <w:szCs w:val="18"/>
              </w:rPr>
            </w:pPr>
            <w:r>
              <w:rPr>
                <w:rFonts w:ascii="宋体" w:hAnsi="宋体" w:eastAsia="宋体" w:cs="宋体"/>
                <w:sz w:val="18"/>
                <w:szCs w:val="18"/>
              </w:rPr>
              <w:t>15.00%</w:t>
            </w:r>
          </w:p>
        </w:tc>
      </w:tr>
      <w:tr w14:paraId="7306E6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660940A1">
            <w:pPr>
              <w:spacing w:before="0" w:after="0" w:line="240" w:lineRule="exact"/>
              <w:jc w:val="left"/>
              <w:rPr>
                <w:rFonts w:ascii="宋体" w:hAnsi="宋体" w:eastAsia="宋体" w:cs="宋体"/>
                <w:sz w:val="18"/>
                <w:szCs w:val="18"/>
              </w:rPr>
            </w:pPr>
            <w:r>
              <w:rPr>
                <w:rFonts w:ascii="宋体" w:hAnsi="宋体" w:eastAsia="宋体" w:cs="宋体"/>
                <w:sz w:val="18"/>
                <w:szCs w:val="18"/>
              </w:rPr>
              <w:t>2－3</w:t>
            </w:r>
          </w:p>
          <w:p w14:paraId="20938484">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68DBE8E2">
            <w:pPr>
              <w:spacing w:before="0" w:after="0" w:line="240" w:lineRule="exact"/>
              <w:jc w:val="right"/>
              <w:rPr>
                <w:rFonts w:ascii="宋体" w:hAnsi="宋体" w:eastAsia="宋体" w:cs="宋体"/>
                <w:sz w:val="18"/>
                <w:szCs w:val="18"/>
              </w:rPr>
            </w:pPr>
            <w:r>
              <w:rPr>
                <w:rFonts w:ascii="宋体" w:hAnsi="宋体" w:eastAsia="宋体" w:cs="宋体"/>
                <w:sz w:val="18"/>
                <w:szCs w:val="18"/>
              </w:rPr>
              <w:t>192,576.00</w:t>
            </w:r>
          </w:p>
        </w:tc>
        <w:tc>
          <w:tcPr>
            <w:tcW w:w="2410" w:type="dxa"/>
            <w:tcBorders>
              <w:top w:val="single" w:color="auto" w:sz="2" w:space="0"/>
              <w:left w:val="single" w:color="auto" w:sz="2" w:space="0"/>
              <w:bottom w:val="single" w:color="auto" w:sz="2" w:space="0"/>
              <w:right w:val="single" w:color="auto" w:sz="2" w:space="0"/>
            </w:tcBorders>
            <w:vAlign w:val="center"/>
          </w:tcPr>
          <w:p w14:paraId="16C99B10">
            <w:pPr>
              <w:spacing w:before="0" w:after="0" w:line="240" w:lineRule="exact"/>
              <w:jc w:val="right"/>
              <w:rPr>
                <w:rFonts w:ascii="宋体" w:hAnsi="宋体" w:eastAsia="宋体" w:cs="宋体"/>
                <w:sz w:val="18"/>
                <w:szCs w:val="18"/>
              </w:rPr>
            </w:pPr>
            <w:r>
              <w:rPr>
                <w:rFonts w:ascii="宋体" w:hAnsi="宋体" w:eastAsia="宋体" w:cs="宋体"/>
                <w:sz w:val="18"/>
                <w:szCs w:val="18"/>
              </w:rPr>
              <w:t>57,772.80</w:t>
            </w:r>
          </w:p>
        </w:tc>
        <w:tc>
          <w:tcPr>
            <w:tcW w:w="2410" w:type="dxa"/>
            <w:tcBorders>
              <w:top w:val="single" w:color="auto" w:sz="2" w:space="0"/>
              <w:left w:val="single" w:color="auto" w:sz="2" w:space="0"/>
              <w:bottom w:val="single" w:color="auto" w:sz="2" w:space="0"/>
              <w:right w:val="single" w:color="auto" w:sz="2" w:space="0"/>
            </w:tcBorders>
            <w:vAlign w:val="center"/>
          </w:tcPr>
          <w:p w14:paraId="50CE654C">
            <w:pPr>
              <w:spacing w:before="0" w:after="0" w:line="240" w:lineRule="exact"/>
              <w:jc w:val="right"/>
              <w:rPr>
                <w:rFonts w:ascii="宋体" w:hAnsi="宋体" w:eastAsia="宋体" w:cs="宋体"/>
                <w:sz w:val="18"/>
                <w:szCs w:val="18"/>
              </w:rPr>
            </w:pPr>
            <w:r>
              <w:rPr>
                <w:rFonts w:ascii="宋体" w:hAnsi="宋体" w:eastAsia="宋体" w:cs="宋体"/>
                <w:sz w:val="18"/>
                <w:szCs w:val="18"/>
              </w:rPr>
              <w:t>30.00%</w:t>
            </w:r>
          </w:p>
        </w:tc>
      </w:tr>
      <w:tr w14:paraId="43B974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0EB5757">
            <w:pPr>
              <w:spacing w:before="0" w:after="0" w:line="240" w:lineRule="exact"/>
              <w:jc w:val="left"/>
              <w:rPr>
                <w:rFonts w:ascii="宋体" w:hAnsi="宋体" w:eastAsia="宋体" w:cs="宋体"/>
                <w:sz w:val="18"/>
                <w:szCs w:val="18"/>
              </w:rPr>
            </w:pPr>
            <w:r>
              <w:rPr>
                <w:rFonts w:ascii="宋体" w:hAnsi="宋体" w:eastAsia="宋体" w:cs="宋体"/>
                <w:sz w:val="18"/>
                <w:szCs w:val="18"/>
              </w:rPr>
              <w:t>3－4</w:t>
            </w:r>
          </w:p>
          <w:p w14:paraId="08C1524B">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37810C4C">
            <w:pPr>
              <w:spacing w:before="0" w:after="0" w:line="240" w:lineRule="exact"/>
              <w:jc w:val="right"/>
              <w:rPr>
                <w:rFonts w:ascii="宋体" w:hAnsi="宋体" w:eastAsia="宋体" w:cs="宋体"/>
                <w:sz w:val="18"/>
                <w:szCs w:val="18"/>
              </w:rPr>
            </w:pPr>
            <w:r>
              <w:rPr>
                <w:rFonts w:ascii="宋体" w:hAnsi="宋体" w:eastAsia="宋体" w:cs="宋体"/>
                <w:sz w:val="18"/>
                <w:szCs w:val="18"/>
              </w:rPr>
              <w:t>152,130.33</w:t>
            </w:r>
          </w:p>
        </w:tc>
        <w:tc>
          <w:tcPr>
            <w:tcW w:w="2410" w:type="dxa"/>
            <w:tcBorders>
              <w:top w:val="single" w:color="auto" w:sz="2" w:space="0"/>
              <w:left w:val="single" w:color="auto" w:sz="2" w:space="0"/>
              <w:bottom w:val="single" w:color="auto" w:sz="2" w:space="0"/>
              <w:right w:val="single" w:color="auto" w:sz="2" w:space="0"/>
            </w:tcBorders>
            <w:vAlign w:val="center"/>
          </w:tcPr>
          <w:p w14:paraId="58CBF473">
            <w:pPr>
              <w:spacing w:before="0" w:after="0" w:line="240" w:lineRule="exact"/>
              <w:jc w:val="right"/>
              <w:rPr>
                <w:rFonts w:ascii="宋体" w:hAnsi="宋体" w:eastAsia="宋体" w:cs="宋体"/>
                <w:sz w:val="18"/>
                <w:szCs w:val="18"/>
              </w:rPr>
            </w:pPr>
            <w:r>
              <w:rPr>
                <w:rFonts w:ascii="宋体" w:hAnsi="宋体" w:eastAsia="宋体" w:cs="宋体"/>
                <w:sz w:val="18"/>
                <w:szCs w:val="18"/>
              </w:rPr>
              <w:t>91,278.20</w:t>
            </w:r>
          </w:p>
        </w:tc>
        <w:tc>
          <w:tcPr>
            <w:tcW w:w="2410" w:type="dxa"/>
            <w:tcBorders>
              <w:top w:val="single" w:color="auto" w:sz="2" w:space="0"/>
              <w:left w:val="single" w:color="auto" w:sz="2" w:space="0"/>
              <w:bottom w:val="single" w:color="auto" w:sz="2" w:space="0"/>
              <w:right w:val="single" w:color="auto" w:sz="2" w:space="0"/>
            </w:tcBorders>
            <w:vAlign w:val="center"/>
          </w:tcPr>
          <w:p w14:paraId="7906F178">
            <w:pPr>
              <w:spacing w:before="0" w:after="0" w:line="240" w:lineRule="exact"/>
              <w:jc w:val="right"/>
              <w:rPr>
                <w:rFonts w:ascii="宋体" w:hAnsi="宋体" w:eastAsia="宋体" w:cs="宋体"/>
                <w:sz w:val="18"/>
                <w:szCs w:val="18"/>
              </w:rPr>
            </w:pPr>
            <w:r>
              <w:rPr>
                <w:rFonts w:ascii="宋体" w:hAnsi="宋体" w:eastAsia="宋体" w:cs="宋体"/>
                <w:sz w:val="18"/>
                <w:szCs w:val="18"/>
              </w:rPr>
              <w:t>60.00%</w:t>
            </w:r>
          </w:p>
        </w:tc>
      </w:tr>
      <w:tr w14:paraId="55149A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2A7E83F">
            <w:pPr>
              <w:spacing w:before="0" w:after="0" w:line="240" w:lineRule="exact"/>
              <w:jc w:val="left"/>
              <w:rPr>
                <w:rFonts w:ascii="宋体" w:hAnsi="宋体" w:eastAsia="宋体" w:cs="宋体"/>
                <w:sz w:val="18"/>
                <w:szCs w:val="18"/>
              </w:rPr>
            </w:pPr>
            <w:r>
              <w:rPr>
                <w:rFonts w:ascii="宋体" w:hAnsi="宋体" w:eastAsia="宋体" w:cs="宋体"/>
                <w:sz w:val="18"/>
                <w:szCs w:val="18"/>
              </w:rPr>
              <w:t>4－5</w:t>
            </w:r>
          </w:p>
          <w:p w14:paraId="55867966">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5247C6C8">
            <w:pPr>
              <w:spacing w:before="0" w:after="0" w:line="240" w:lineRule="exact"/>
              <w:jc w:val="right"/>
              <w:rPr>
                <w:rFonts w:ascii="宋体" w:hAnsi="宋体" w:eastAsia="宋体" w:cs="宋体"/>
                <w:sz w:val="18"/>
                <w:szCs w:val="18"/>
              </w:rPr>
            </w:pPr>
            <w:r>
              <w:rPr>
                <w:rFonts w:ascii="宋体" w:hAnsi="宋体" w:eastAsia="宋体" w:cs="宋体"/>
                <w:sz w:val="18"/>
                <w:szCs w:val="18"/>
              </w:rPr>
              <w:t>35,046.00</w:t>
            </w:r>
          </w:p>
        </w:tc>
        <w:tc>
          <w:tcPr>
            <w:tcW w:w="2410" w:type="dxa"/>
            <w:tcBorders>
              <w:top w:val="single" w:color="auto" w:sz="2" w:space="0"/>
              <w:left w:val="single" w:color="auto" w:sz="2" w:space="0"/>
              <w:bottom w:val="single" w:color="auto" w:sz="2" w:space="0"/>
              <w:right w:val="single" w:color="auto" w:sz="2" w:space="0"/>
            </w:tcBorders>
            <w:vAlign w:val="center"/>
          </w:tcPr>
          <w:p w14:paraId="317273BB">
            <w:pPr>
              <w:spacing w:before="0" w:after="0" w:line="240" w:lineRule="exact"/>
              <w:jc w:val="right"/>
              <w:rPr>
                <w:rFonts w:ascii="宋体" w:hAnsi="宋体" w:eastAsia="宋体" w:cs="宋体"/>
                <w:sz w:val="18"/>
                <w:szCs w:val="18"/>
              </w:rPr>
            </w:pPr>
            <w:r>
              <w:rPr>
                <w:rFonts w:ascii="宋体" w:hAnsi="宋体" w:eastAsia="宋体" w:cs="宋体"/>
                <w:sz w:val="18"/>
                <w:szCs w:val="18"/>
              </w:rPr>
              <w:t>31,541.40</w:t>
            </w:r>
          </w:p>
        </w:tc>
        <w:tc>
          <w:tcPr>
            <w:tcW w:w="2410" w:type="dxa"/>
            <w:tcBorders>
              <w:top w:val="single" w:color="auto" w:sz="2" w:space="0"/>
              <w:left w:val="single" w:color="auto" w:sz="2" w:space="0"/>
              <w:bottom w:val="single" w:color="auto" w:sz="2" w:space="0"/>
              <w:right w:val="single" w:color="auto" w:sz="2" w:space="0"/>
            </w:tcBorders>
            <w:vAlign w:val="center"/>
          </w:tcPr>
          <w:p w14:paraId="3623FB5D">
            <w:pPr>
              <w:spacing w:before="0" w:after="0" w:line="240" w:lineRule="exact"/>
              <w:jc w:val="right"/>
              <w:rPr>
                <w:rFonts w:ascii="宋体" w:hAnsi="宋体" w:eastAsia="宋体" w:cs="宋体"/>
                <w:sz w:val="18"/>
                <w:szCs w:val="18"/>
              </w:rPr>
            </w:pPr>
            <w:r>
              <w:rPr>
                <w:rFonts w:ascii="宋体" w:hAnsi="宋体" w:eastAsia="宋体" w:cs="宋体"/>
                <w:sz w:val="18"/>
                <w:szCs w:val="18"/>
              </w:rPr>
              <w:t>90.00%</w:t>
            </w:r>
          </w:p>
        </w:tc>
      </w:tr>
      <w:tr w14:paraId="09763F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6B70AEF">
            <w:pPr>
              <w:spacing w:before="0" w:after="0" w:line="240" w:lineRule="exact"/>
              <w:jc w:val="left"/>
              <w:rPr>
                <w:rFonts w:ascii="宋体" w:hAnsi="宋体" w:eastAsia="宋体" w:cs="宋体"/>
                <w:sz w:val="18"/>
                <w:szCs w:val="18"/>
              </w:rPr>
            </w:pPr>
            <w:r>
              <w:rPr>
                <w:rFonts w:ascii="宋体" w:hAnsi="宋体" w:eastAsia="宋体" w:cs="宋体"/>
                <w:sz w:val="18"/>
                <w:szCs w:val="18"/>
              </w:rPr>
              <w:t>5 年以上</w:t>
            </w:r>
          </w:p>
        </w:tc>
        <w:tc>
          <w:tcPr>
            <w:tcW w:w="2410" w:type="dxa"/>
            <w:tcBorders>
              <w:top w:val="single" w:color="auto" w:sz="2" w:space="0"/>
              <w:left w:val="single" w:color="auto" w:sz="2" w:space="0"/>
              <w:bottom w:val="single" w:color="auto" w:sz="2" w:space="0"/>
              <w:right w:val="single" w:color="auto" w:sz="2" w:space="0"/>
            </w:tcBorders>
            <w:vAlign w:val="center"/>
          </w:tcPr>
          <w:p w14:paraId="7FFD6132">
            <w:pPr>
              <w:spacing w:before="0" w:after="0" w:line="240" w:lineRule="exact"/>
              <w:jc w:val="right"/>
              <w:rPr>
                <w:rFonts w:ascii="宋体" w:hAnsi="宋体" w:eastAsia="宋体" w:cs="宋体"/>
                <w:sz w:val="18"/>
                <w:szCs w:val="18"/>
              </w:rPr>
            </w:pPr>
            <w:r>
              <w:rPr>
                <w:rFonts w:ascii="宋体" w:hAnsi="宋体" w:eastAsia="宋体" w:cs="宋体"/>
                <w:sz w:val="18"/>
                <w:szCs w:val="18"/>
              </w:rPr>
              <w:t>284,616.02</w:t>
            </w:r>
          </w:p>
        </w:tc>
        <w:tc>
          <w:tcPr>
            <w:tcW w:w="2410" w:type="dxa"/>
            <w:tcBorders>
              <w:top w:val="single" w:color="auto" w:sz="2" w:space="0"/>
              <w:left w:val="single" w:color="auto" w:sz="2" w:space="0"/>
              <w:bottom w:val="single" w:color="auto" w:sz="2" w:space="0"/>
              <w:right w:val="single" w:color="auto" w:sz="2" w:space="0"/>
            </w:tcBorders>
            <w:vAlign w:val="center"/>
          </w:tcPr>
          <w:p w14:paraId="67BF9793">
            <w:pPr>
              <w:spacing w:before="0" w:after="0" w:line="240" w:lineRule="exact"/>
              <w:jc w:val="right"/>
              <w:rPr>
                <w:rFonts w:ascii="宋体" w:hAnsi="宋体" w:eastAsia="宋体" w:cs="宋体"/>
                <w:sz w:val="18"/>
                <w:szCs w:val="18"/>
              </w:rPr>
            </w:pPr>
            <w:r>
              <w:rPr>
                <w:rFonts w:ascii="宋体" w:hAnsi="宋体" w:eastAsia="宋体" w:cs="宋体"/>
                <w:sz w:val="18"/>
                <w:szCs w:val="18"/>
              </w:rPr>
              <w:t>284,616.02</w:t>
            </w:r>
          </w:p>
        </w:tc>
        <w:tc>
          <w:tcPr>
            <w:tcW w:w="2410" w:type="dxa"/>
            <w:tcBorders>
              <w:top w:val="single" w:color="auto" w:sz="2" w:space="0"/>
              <w:left w:val="single" w:color="auto" w:sz="2" w:space="0"/>
              <w:bottom w:val="single" w:color="auto" w:sz="2" w:space="0"/>
              <w:right w:val="single" w:color="auto" w:sz="2" w:space="0"/>
            </w:tcBorders>
            <w:vAlign w:val="center"/>
          </w:tcPr>
          <w:p w14:paraId="33F88A55">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r>
      <w:tr w14:paraId="1C0A32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7517C15">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69648C96">
            <w:pPr>
              <w:spacing w:before="0" w:after="0" w:line="240" w:lineRule="exact"/>
              <w:jc w:val="right"/>
              <w:rPr>
                <w:rFonts w:ascii="宋体" w:hAnsi="宋体" w:eastAsia="宋体" w:cs="宋体"/>
                <w:sz w:val="18"/>
                <w:szCs w:val="18"/>
              </w:rPr>
            </w:pPr>
            <w:r>
              <w:rPr>
                <w:rFonts w:ascii="宋体" w:hAnsi="宋体" w:eastAsia="宋体" w:cs="宋体"/>
                <w:sz w:val="18"/>
                <w:szCs w:val="18"/>
              </w:rPr>
              <w:t>2,635,699.83</w:t>
            </w:r>
          </w:p>
        </w:tc>
        <w:tc>
          <w:tcPr>
            <w:tcW w:w="2410" w:type="dxa"/>
            <w:tcBorders>
              <w:top w:val="single" w:color="auto" w:sz="2" w:space="0"/>
              <w:left w:val="single" w:color="auto" w:sz="2" w:space="0"/>
              <w:bottom w:val="single" w:color="auto" w:sz="2" w:space="0"/>
              <w:right w:val="single" w:color="auto" w:sz="2" w:space="0"/>
            </w:tcBorders>
            <w:vAlign w:val="center"/>
          </w:tcPr>
          <w:p w14:paraId="1177B49B">
            <w:pPr>
              <w:spacing w:before="0" w:after="0" w:line="240" w:lineRule="exact"/>
              <w:jc w:val="right"/>
              <w:rPr>
                <w:rFonts w:ascii="宋体" w:hAnsi="宋体" w:eastAsia="宋体" w:cs="宋体"/>
                <w:sz w:val="18"/>
                <w:szCs w:val="18"/>
              </w:rPr>
            </w:pPr>
            <w:r>
              <w:rPr>
                <w:rFonts w:ascii="宋体" w:hAnsi="宋体" w:eastAsia="宋体" w:cs="宋体"/>
                <w:sz w:val="18"/>
                <w:szCs w:val="18"/>
              </w:rPr>
              <w:t>571,655.69</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E6AEF17"/>
        </w:tc>
      </w:tr>
    </w:tbl>
    <w:p w14:paraId="5B56E3B4">
      <w:pPr>
        <w:spacing w:before="100" w:after="100" w:line="240" w:lineRule="exact"/>
        <w:jc w:val="left"/>
        <w:rPr>
          <w:rFonts w:ascii="宋体" w:hAnsi="宋体" w:eastAsia="宋体" w:cs="宋体"/>
          <w:sz w:val="18"/>
          <w:szCs w:val="18"/>
        </w:rPr>
      </w:pPr>
      <w:r>
        <w:rPr>
          <w:rFonts w:ascii="宋体" w:hAnsi="宋体" w:eastAsia="宋体" w:cs="宋体"/>
          <w:sz w:val="18"/>
          <w:szCs w:val="18"/>
        </w:rPr>
        <w:t>确定该组合依据的说明：</w:t>
      </w:r>
    </w:p>
    <w:p w14:paraId="1C391B53">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按组合计提坏账准备：（2）</w:t>
      </w:r>
      <w:r>
        <w:rPr>
          <w:rFonts w:ascii="宋体" w:hAnsi="宋体" w:eastAsia="宋体" w:cs="宋体"/>
          <w:sz w:val="18"/>
          <w:szCs w:val="18"/>
        </w:rPr>
        <w:tab/>
      </w:r>
      <w:r>
        <w:rPr>
          <w:rFonts w:ascii="宋体" w:hAnsi="宋体" w:eastAsia="宋体" w:cs="宋体"/>
          <w:sz w:val="18"/>
          <w:szCs w:val="18"/>
        </w:rPr>
        <w:t>自主推广模式应收款项组合</w:t>
      </w:r>
    </w:p>
    <w:p w14:paraId="72808EA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01F404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2975F92">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0D5FA86E">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5F2921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D41F1F9"/>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8C4D100">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7647800">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59068A8">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14:paraId="75CECC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79D086B">
            <w:pPr>
              <w:spacing w:before="0" w:after="0" w:line="240" w:lineRule="exact"/>
              <w:jc w:val="left"/>
              <w:rPr>
                <w:rFonts w:ascii="宋体" w:hAnsi="宋体" w:eastAsia="宋体" w:cs="宋体"/>
                <w:sz w:val="18"/>
                <w:szCs w:val="18"/>
              </w:rPr>
            </w:pPr>
            <w:r>
              <w:rPr>
                <w:rFonts w:ascii="宋体" w:hAnsi="宋体" w:eastAsia="宋体" w:cs="宋体"/>
                <w:sz w:val="18"/>
                <w:szCs w:val="18"/>
              </w:rPr>
              <w:t>1 年以内</w:t>
            </w:r>
          </w:p>
        </w:tc>
        <w:tc>
          <w:tcPr>
            <w:tcW w:w="2410" w:type="dxa"/>
            <w:tcBorders>
              <w:top w:val="single" w:color="auto" w:sz="2" w:space="0"/>
              <w:left w:val="single" w:color="auto" w:sz="2" w:space="0"/>
              <w:bottom w:val="single" w:color="auto" w:sz="2" w:space="0"/>
              <w:right w:val="single" w:color="auto" w:sz="2" w:space="0"/>
            </w:tcBorders>
            <w:vAlign w:val="center"/>
          </w:tcPr>
          <w:p w14:paraId="6D09842F">
            <w:pPr>
              <w:spacing w:before="0" w:after="0" w:line="240" w:lineRule="exact"/>
              <w:jc w:val="right"/>
              <w:rPr>
                <w:rFonts w:ascii="宋体" w:hAnsi="宋体" w:eastAsia="宋体" w:cs="宋体"/>
                <w:sz w:val="18"/>
                <w:szCs w:val="18"/>
              </w:rPr>
            </w:pPr>
            <w:r>
              <w:rPr>
                <w:rFonts w:ascii="宋体" w:hAnsi="宋体" w:eastAsia="宋体" w:cs="宋体"/>
                <w:sz w:val="18"/>
                <w:szCs w:val="18"/>
              </w:rPr>
              <w:t>5,061,903.58</w:t>
            </w:r>
          </w:p>
        </w:tc>
        <w:tc>
          <w:tcPr>
            <w:tcW w:w="2410" w:type="dxa"/>
            <w:tcBorders>
              <w:top w:val="single" w:color="auto" w:sz="2" w:space="0"/>
              <w:left w:val="single" w:color="auto" w:sz="2" w:space="0"/>
              <w:bottom w:val="single" w:color="auto" w:sz="2" w:space="0"/>
              <w:right w:val="single" w:color="auto" w:sz="2" w:space="0"/>
            </w:tcBorders>
            <w:vAlign w:val="center"/>
          </w:tcPr>
          <w:p w14:paraId="5C8042BA">
            <w:pPr>
              <w:spacing w:before="0" w:after="0" w:line="240" w:lineRule="exact"/>
              <w:jc w:val="right"/>
              <w:rPr>
                <w:rFonts w:ascii="宋体" w:hAnsi="宋体" w:eastAsia="宋体" w:cs="宋体"/>
                <w:sz w:val="18"/>
                <w:szCs w:val="18"/>
              </w:rPr>
            </w:pPr>
            <w:r>
              <w:rPr>
                <w:rFonts w:ascii="宋体" w:hAnsi="宋体" w:eastAsia="宋体" w:cs="宋体"/>
                <w:sz w:val="18"/>
                <w:szCs w:val="18"/>
              </w:rPr>
              <w:t>253,095.18</w:t>
            </w:r>
          </w:p>
        </w:tc>
        <w:tc>
          <w:tcPr>
            <w:tcW w:w="2410" w:type="dxa"/>
            <w:tcBorders>
              <w:top w:val="single" w:color="auto" w:sz="2" w:space="0"/>
              <w:left w:val="single" w:color="auto" w:sz="2" w:space="0"/>
              <w:bottom w:val="single" w:color="auto" w:sz="2" w:space="0"/>
              <w:right w:val="single" w:color="auto" w:sz="2" w:space="0"/>
            </w:tcBorders>
            <w:vAlign w:val="center"/>
          </w:tcPr>
          <w:p w14:paraId="4ED56017">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r>
      <w:tr w14:paraId="4F982E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F129E6B">
            <w:pPr>
              <w:spacing w:before="0" w:after="0" w:line="240" w:lineRule="exact"/>
              <w:jc w:val="left"/>
              <w:rPr>
                <w:rFonts w:ascii="宋体" w:hAnsi="宋体" w:eastAsia="宋体" w:cs="宋体"/>
                <w:sz w:val="18"/>
                <w:szCs w:val="18"/>
              </w:rPr>
            </w:pPr>
            <w:r>
              <w:rPr>
                <w:rFonts w:ascii="宋体" w:hAnsi="宋体" w:eastAsia="宋体" w:cs="宋体"/>
                <w:sz w:val="18"/>
                <w:szCs w:val="18"/>
              </w:rPr>
              <w:t>1－2</w:t>
            </w:r>
          </w:p>
          <w:p w14:paraId="2087B0E4">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469D2F62">
            <w:pPr>
              <w:spacing w:before="0" w:after="0" w:line="240" w:lineRule="exact"/>
              <w:jc w:val="right"/>
              <w:rPr>
                <w:rFonts w:ascii="宋体" w:hAnsi="宋体" w:eastAsia="宋体" w:cs="宋体"/>
                <w:sz w:val="18"/>
                <w:szCs w:val="18"/>
              </w:rPr>
            </w:pPr>
            <w:r>
              <w:rPr>
                <w:rFonts w:ascii="宋体" w:hAnsi="宋体" w:eastAsia="宋体" w:cs="宋体"/>
                <w:sz w:val="18"/>
                <w:szCs w:val="18"/>
              </w:rPr>
              <w:t>60,720.00</w:t>
            </w:r>
          </w:p>
        </w:tc>
        <w:tc>
          <w:tcPr>
            <w:tcW w:w="2410" w:type="dxa"/>
            <w:tcBorders>
              <w:top w:val="single" w:color="auto" w:sz="2" w:space="0"/>
              <w:left w:val="single" w:color="auto" w:sz="2" w:space="0"/>
              <w:bottom w:val="single" w:color="auto" w:sz="2" w:space="0"/>
              <w:right w:val="single" w:color="auto" w:sz="2" w:space="0"/>
            </w:tcBorders>
            <w:vAlign w:val="center"/>
          </w:tcPr>
          <w:p w14:paraId="030B7FEC">
            <w:pPr>
              <w:spacing w:before="0" w:after="0" w:line="240" w:lineRule="exact"/>
              <w:jc w:val="right"/>
              <w:rPr>
                <w:rFonts w:ascii="宋体" w:hAnsi="宋体" w:eastAsia="宋体" w:cs="宋体"/>
                <w:sz w:val="18"/>
                <w:szCs w:val="18"/>
              </w:rPr>
            </w:pPr>
            <w:r>
              <w:rPr>
                <w:rFonts w:ascii="宋体" w:hAnsi="宋体" w:eastAsia="宋体" w:cs="宋体"/>
                <w:sz w:val="18"/>
                <w:szCs w:val="18"/>
              </w:rPr>
              <w:t>4,857.60</w:t>
            </w:r>
          </w:p>
        </w:tc>
        <w:tc>
          <w:tcPr>
            <w:tcW w:w="2410" w:type="dxa"/>
            <w:tcBorders>
              <w:top w:val="single" w:color="auto" w:sz="2" w:space="0"/>
              <w:left w:val="single" w:color="auto" w:sz="2" w:space="0"/>
              <w:bottom w:val="single" w:color="auto" w:sz="2" w:space="0"/>
              <w:right w:val="single" w:color="auto" w:sz="2" w:space="0"/>
            </w:tcBorders>
            <w:vAlign w:val="center"/>
          </w:tcPr>
          <w:p w14:paraId="384E24FA">
            <w:pPr>
              <w:spacing w:before="0" w:after="0" w:line="240" w:lineRule="exact"/>
              <w:jc w:val="right"/>
              <w:rPr>
                <w:rFonts w:ascii="宋体" w:hAnsi="宋体" w:eastAsia="宋体" w:cs="宋体"/>
                <w:sz w:val="18"/>
                <w:szCs w:val="18"/>
              </w:rPr>
            </w:pPr>
            <w:r>
              <w:rPr>
                <w:rFonts w:ascii="宋体" w:hAnsi="宋体" w:eastAsia="宋体" w:cs="宋体"/>
                <w:sz w:val="18"/>
                <w:szCs w:val="18"/>
              </w:rPr>
              <w:t>8.00%</w:t>
            </w:r>
          </w:p>
        </w:tc>
      </w:tr>
      <w:tr w14:paraId="7C761F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3745A2E">
            <w:pPr>
              <w:spacing w:before="0" w:after="0" w:line="240" w:lineRule="exact"/>
              <w:jc w:val="left"/>
              <w:rPr>
                <w:rFonts w:ascii="宋体" w:hAnsi="宋体" w:eastAsia="宋体" w:cs="宋体"/>
                <w:sz w:val="18"/>
                <w:szCs w:val="18"/>
              </w:rPr>
            </w:pPr>
            <w:r>
              <w:rPr>
                <w:rFonts w:ascii="宋体" w:hAnsi="宋体" w:eastAsia="宋体" w:cs="宋体"/>
                <w:sz w:val="18"/>
                <w:szCs w:val="18"/>
              </w:rPr>
              <w:t>2－3</w:t>
            </w:r>
          </w:p>
          <w:p w14:paraId="304BBE90">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31937B2D">
            <w:pPr>
              <w:spacing w:before="0" w:after="0" w:line="240" w:lineRule="exact"/>
              <w:jc w:val="right"/>
              <w:rPr>
                <w:rFonts w:ascii="宋体" w:hAnsi="宋体" w:eastAsia="宋体" w:cs="宋体"/>
                <w:sz w:val="18"/>
                <w:szCs w:val="18"/>
              </w:rPr>
            </w:pPr>
            <w:r>
              <w:rPr>
                <w:rFonts w:ascii="宋体" w:hAnsi="宋体" w:eastAsia="宋体" w:cs="宋体"/>
                <w:sz w:val="18"/>
                <w:szCs w:val="18"/>
              </w:rPr>
              <w:t>42,118.44</w:t>
            </w:r>
          </w:p>
        </w:tc>
        <w:tc>
          <w:tcPr>
            <w:tcW w:w="2410" w:type="dxa"/>
            <w:tcBorders>
              <w:top w:val="single" w:color="auto" w:sz="2" w:space="0"/>
              <w:left w:val="single" w:color="auto" w:sz="2" w:space="0"/>
              <w:bottom w:val="single" w:color="auto" w:sz="2" w:space="0"/>
              <w:right w:val="single" w:color="auto" w:sz="2" w:space="0"/>
            </w:tcBorders>
            <w:vAlign w:val="center"/>
          </w:tcPr>
          <w:p w14:paraId="3196038A">
            <w:pPr>
              <w:spacing w:before="0" w:after="0" w:line="240" w:lineRule="exact"/>
              <w:jc w:val="right"/>
              <w:rPr>
                <w:rFonts w:ascii="宋体" w:hAnsi="宋体" w:eastAsia="宋体" w:cs="宋体"/>
                <w:sz w:val="18"/>
                <w:szCs w:val="18"/>
              </w:rPr>
            </w:pPr>
            <w:r>
              <w:rPr>
                <w:rFonts w:ascii="宋体" w:hAnsi="宋体" w:eastAsia="宋体" w:cs="宋体"/>
                <w:sz w:val="18"/>
                <w:szCs w:val="18"/>
              </w:rPr>
              <w:t>6,317.77</w:t>
            </w:r>
          </w:p>
        </w:tc>
        <w:tc>
          <w:tcPr>
            <w:tcW w:w="2410" w:type="dxa"/>
            <w:tcBorders>
              <w:top w:val="single" w:color="auto" w:sz="2" w:space="0"/>
              <w:left w:val="single" w:color="auto" w:sz="2" w:space="0"/>
              <w:bottom w:val="single" w:color="auto" w:sz="2" w:space="0"/>
              <w:right w:val="single" w:color="auto" w:sz="2" w:space="0"/>
            </w:tcBorders>
            <w:vAlign w:val="center"/>
          </w:tcPr>
          <w:p w14:paraId="4A2CFD92">
            <w:pPr>
              <w:spacing w:before="0" w:after="0" w:line="240" w:lineRule="exact"/>
              <w:jc w:val="right"/>
              <w:rPr>
                <w:rFonts w:ascii="宋体" w:hAnsi="宋体" w:eastAsia="宋体" w:cs="宋体"/>
                <w:sz w:val="18"/>
                <w:szCs w:val="18"/>
              </w:rPr>
            </w:pPr>
            <w:r>
              <w:rPr>
                <w:rFonts w:ascii="宋体" w:hAnsi="宋体" w:eastAsia="宋体" w:cs="宋体"/>
                <w:sz w:val="18"/>
                <w:szCs w:val="18"/>
              </w:rPr>
              <w:t>15.00%</w:t>
            </w:r>
          </w:p>
        </w:tc>
      </w:tr>
      <w:tr w14:paraId="0B39F2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92A8D39">
            <w:pPr>
              <w:spacing w:before="0" w:after="0" w:line="240" w:lineRule="exact"/>
              <w:jc w:val="left"/>
              <w:rPr>
                <w:rFonts w:ascii="宋体" w:hAnsi="宋体" w:eastAsia="宋体" w:cs="宋体"/>
                <w:sz w:val="18"/>
                <w:szCs w:val="18"/>
              </w:rPr>
            </w:pPr>
            <w:r>
              <w:rPr>
                <w:rFonts w:ascii="宋体" w:hAnsi="宋体" w:eastAsia="宋体" w:cs="宋体"/>
                <w:sz w:val="18"/>
                <w:szCs w:val="18"/>
              </w:rPr>
              <w:t>3－4</w:t>
            </w:r>
          </w:p>
          <w:p w14:paraId="10F95A04">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5CC76936">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7407E5D">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CD3CD95">
            <w:pPr>
              <w:spacing w:before="0" w:after="0" w:line="240" w:lineRule="exact"/>
              <w:jc w:val="right"/>
              <w:rPr>
                <w:rFonts w:hint="default" w:ascii="宋体" w:hAnsi="宋体" w:eastAsia="宋体" w:cs="宋体"/>
                <w:sz w:val="18"/>
                <w:szCs w:val="18"/>
                <w:lang w:val="en-US" w:eastAsia="zh-CN"/>
              </w:rPr>
            </w:pPr>
          </w:p>
        </w:tc>
      </w:tr>
      <w:tr w14:paraId="0F1780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7D44BAE">
            <w:pPr>
              <w:spacing w:before="0" w:after="0" w:line="240" w:lineRule="exact"/>
              <w:jc w:val="left"/>
              <w:rPr>
                <w:rFonts w:ascii="宋体" w:hAnsi="宋体" w:eastAsia="宋体" w:cs="宋体"/>
                <w:sz w:val="18"/>
                <w:szCs w:val="18"/>
              </w:rPr>
            </w:pPr>
            <w:r>
              <w:rPr>
                <w:rFonts w:ascii="宋体" w:hAnsi="宋体" w:eastAsia="宋体" w:cs="宋体"/>
                <w:sz w:val="18"/>
                <w:szCs w:val="18"/>
              </w:rPr>
              <w:t>4－5</w:t>
            </w:r>
          </w:p>
          <w:p w14:paraId="746DD222">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27EA8DD7">
            <w:pPr>
              <w:spacing w:before="0" w:after="0" w:line="240" w:lineRule="exact"/>
              <w:jc w:val="right"/>
              <w:rPr>
                <w:rFonts w:ascii="宋体" w:hAnsi="宋体" w:eastAsia="宋体" w:cs="宋体"/>
                <w:sz w:val="18"/>
                <w:szCs w:val="18"/>
              </w:rPr>
            </w:pPr>
            <w:r>
              <w:rPr>
                <w:rFonts w:ascii="宋体" w:hAnsi="宋体" w:eastAsia="宋体" w:cs="宋体"/>
                <w:sz w:val="18"/>
                <w:szCs w:val="18"/>
              </w:rPr>
              <w:t>19,649.47</w:t>
            </w:r>
          </w:p>
        </w:tc>
        <w:tc>
          <w:tcPr>
            <w:tcW w:w="2410" w:type="dxa"/>
            <w:tcBorders>
              <w:top w:val="single" w:color="auto" w:sz="2" w:space="0"/>
              <w:left w:val="single" w:color="auto" w:sz="2" w:space="0"/>
              <w:bottom w:val="single" w:color="auto" w:sz="2" w:space="0"/>
              <w:right w:val="single" w:color="auto" w:sz="2" w:space="0"/>
            </w:tcBorders>
            <w:vAlign w:val="center"/>
          </w:tcPr>
          <w:p w14:paraId="37EC152F">
            <w:pPr>
              <w:spacing w:before="0" w:after="0" w:line="240" w:lineRule="exact"/>
              <w:jc w:val="right"/>
              <w:rPr>
                <w:rFonts w:ascii="宋体" w:hAnsi="宋体" w:eastAsia="宋体" w:cs="宋体"/>
                <w:sz w:val="18"/>
                <w:szCs w:val="18"/>
              </w:rPr>
            </w:pPr>
            <w:r>
              <w:rPr>
                <w:rFonts w:ascii="宋体" w:hAnsi="宋体" w:eastAsia="宋体" w:cs="宋体"/>
                <w:sz w:val="18"/>
                <w:szCs w:val="18"/>
              </w:rPr>
              <w:t>11,789.68</w:t>
            </w:r>
          </w:p>
        </w:tc>
        <w:tc>
          <w:tcPr>
            <w:tcW w:w="2410" w:type="dxa"/>
            <w:tcBorders>
              <w:top w:val="single" w:color="auto" w:sz="2" w:space="0"/>
              <w:left w:val="single" w:color="auto" w:sz="2" w:space="0"/>
              <w:bottom w:val="single" w:color="auto" w:sz="2" w:space="0"/>
              <w:right w:val="single" w:color="auto" w:sz="2" w:space="0"/>
            </w:tcBorders>
            <w:vAlign w:val="center"/>
          </w:tcPr>
          <w:p w14:paraId="17F1CEBB">
            <w:pPr>
              <w:spacing w:before="0" w:after="0" w:line="240" w:lineRule="exact"/>
              <w:jc w:val="right"/>
              <w:rPr>
                <w:rFonts w:hint="default" w:ascii="宋体" w:hAnsi="宋体" w:eastAsia="宋体" w:cs="宋体"/>
                <w:sz w:val="18"/>
                <w:szCs w:val="18"/>
                <w:lang w:val="en-US" w:eastAsia="zh-CN"/>
              </w:rPr>
            </w:pPr>
            <w:r>
              <w:rPr>
                <w:rFonts w:hint="eastAsia" w:ascii="宋体" w:hAnsi="宋体" w:cs="宋体"/>
                <w:sz w:val="18"/>
                <w:szCs w:val="18"/>
                <w:lang w:val="en-US" w:eastAsia="zh-CN"/>
              </w:rPr>
              <w:t>60.00%</w:t>
            </w:r>
          </w:p>
        </w:tc>
      </w:tr>
      <w:tr w14:paraId="62F480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E982341">
            <w:pPr>
              <w:spacing w:before="0" w:after="0" w:line="240" w:lineRule="exact"/>
              <w:jc w:val="left"/>
              <w:rPr>
                <w:rFonts w:ascii="宋体" w:hAnsi="宋体" w:eastAsia="宋体" w:cs="宋体"/>
                <w:sz w:val="18"/>
                <w:szCs w:val="18"/>
              </w:rPr>
            </w:pPr>
            <w:r>
              <w:rPr>
                <w:rFonts w:ascii="宋体" w:hAnsi="宋体" w:eastAsia="宋体" w:cs="宋体"/>
                <w:sz w:val="18"/>
                <w:szCs w:val="18"/>
              </w:rPr>
              <w:t>5 年以上</w:t>
            </w:r>
          </w:p>
        </w:tc>
        <w:tc>
          <w:tcPr>
            <w:tcW w:w="2410" w:type="dxa"/>
            <w:tcBorders>
              <w:top w:val="single" w:color="auto" w:sz="2" w:space="0"/>
              <w:left w:val="single" w:color="auto" w:sz="2" w:space="0"/>
              <w:bottom w:val="single" w:color="auto" w:sz="2" w:space="0"/>
              <w:right w:val="single" w:color="auto" w:sz="2" w:space="0"/>
            </w:tcBorders>
            <w:vAlign w:val="center"/>
          </w:tcPr>
          <w:p w14:paraId="5BF13539">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2EE6297">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8759136">
            <w:pPr>
              <w:spacing w:before="0" w:after="0" w:line="240" w:lineRule="exact"/>
              <w:jc w:val="right"/>
              <w:rPr>
                <w:rFonts w:ascii="宋体" w:hAnsi="宋体" w:eastAsia="宋体" w:cs="宋体"/>
                <w:sz w:val="18"/>
                <w:szCs w:val="18"/>
              </w:rPr>
            </w:pPr>
          </w:p>
        </w:tc>
      </w:tr>
      <w:tr w14:paraId="222DD2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F79C881">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20931261">
            <w:pPr>
              <w:spacing w:before="0" w:after="0" w:line="240" w:lineRule="exact"/>
              <w:jc w:val="right"/>
              <w:rPr>
                <w:rFonts w:ascii="宋体" w:hAnsi="宋体" w:eastAsia="宋体" w:cs="宋体"/>
                <w:sz w:val="18"/>
                <w:szCs w:val="18"/>
              </w:rPr>
            </w:pPr>
            <w:r>
              <w:rPr>
                <w:rFonts w:ascii="宋体" w:hAnsi="宋体" w:eastAsia="宋体" w:cs="宋体"/>
                <w:sz w:val="18"/>
                <w:szCs w:val="18"/>
              </w:rPr>
              <w:t>5,184,391.49</w:t>
            </w:r>
          </w:p>
        </w:tc>
        <w:tc>
          <w:tcPr>
            <w:tcW w:w="2410" w:type="dxa"/>
            <w:tcBorders>
              <w:top w:val="single" w:color="auto" w:sz="2" w:space="0"/>
              <w:left w:val="single" w:color="auto" w:sz="2" w:space="0"/>
              <w:bottom w:val="single" w:color="auto" w:sz="2" w:space="0"/>
              <w:right w:val="single" w:color="auto" w:sz="2" w:space="0"/>
            </w:tcBorders>
            <w:vAlign w:val="center"/>
          </w:tcPr>
          <w:p w14:paraId="59AB8EC0">
            <w:pPr>
              <w:spacing w:before="0" w:after="0" w:line="240" w:lineRule="exact"/>
              <w:jc w:val="right"/>
              <w:rPr>
                <w:rFonts w:ascii="宋体" w:hAnsi="宋体" w:eastAsia="宋体" w:cs="宋体"/>
                <w:sz w:val="18"/>
                <w:szCs w:val="18"/>
              </w:rPr>
            </w:pPr>
            <w:r>
              <w:rPr>
                <w:rFonts w:ascii="宋体" w:hAnsi="宋体" w:eastAsia="宋体" w:cs="宋体"/>
                <w:sz w:val="18"/>
                <w:szCs w:val="18"/>
              </w:rPr>
              <w:t>276,060.23</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2A8EC4C"/>
        </w:tc>
      </w:tr>
    </w:tbl>
    <w:p w14:paraId="7AD31FAC">
      <w:pPr>
        <w:spacing w:before="100" w:after="100" w:line="240" w:lineRule="exact"/>
        <w:jc w:val="left"/>
        <w:rPr>
          <w:rFonts w:ascii="宋体" w:hAnsi="宋体" w:eastAsia="宋体" w:cs="宋体"/>
          <w:sz w:val="18"/>
          <w:szCs w:val="18"/>
        </w:rPr>
      </w:pPr>
      <w:r>
        <w:rPr>
          <w:rFonts w:ascii="宋体" w:hAnsi="宋体" w:eastAsia="宋体" w:cs="宋体"/>
          <w:sz w:val="18"/>
          <w:szCs w:val="18"/>
        </w:rPr>
        <w:t>确定该组合依据的说明：</w:t>
      </w:r>
    </w:p>
    <w:p w14:paraId="7F531317">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按组合计提坏账准备：（3）</w:t>
      </w:r>
      <w:r>
        <w:rPr>
          <w:rFonts w:ascii="宋体" w:hAnsi="宋体" w:eastAsia="宋体" w:cs="宋体"/>
          <w:sz w:val="18"/>
          <w:szCs w:val="18"/>
        </w:rPr>
        <w:tab/>
      </w:r>
      <w:r>
        <w:rPr>
          <w:rFonts w:ascii="宋体" w:hAnsi="宋体" w:eastAsia="宋体" w:cs="宋体"/>
          <w:sz w:val="18"/>
          <w:szCs w:val="18"/>
        </w:rPr>
        <w:t>除（1）和（2）以外的组合</w:t>
      </w:r>
    </w:p>
    <w:p w14:paraId="67C90FE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7EB014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2F1A5D6">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46506844">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33D573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BBFEEB1"/>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10900A8">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2909D61">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4B717970">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14:paraId="194A98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E473DA6">
            <w:pPr>
              <w:spacing w:before="0" w:after="0" w:line="240" w:lineRule="exact"/>
              <w:jc w:val="left"/>
              <w:rPr>
                <w:rFonts w:ascii="宋体" w:hAnsi="宋体" w:eastAsia="宋体" w:cs="宋体"/>
                <w:sz w:val="18"/>
                <w:szCs w:val="18"/>
              </w:rPr>
            </w:pPr>
            <w:r>
              <w:rPr>
                <w:rFonts w:ascii="宋体" w:hAnsi="宋体" w:eastAsia="宋体" w:cs="宋体"/>
                <w:sz w:val="18"/>
                <w:szCs w:val="18"/>
              </w:rPr>
              <w:t>1 年以内</w:t>
            </w:r>
          </w:p>
        </w:tc>
        <w:tc>
          <w:tcPr>
            <w:tcW w:w="2410" w:type="dxa"/>
            <w:tcBorders>
              <w:top w:val="single" w:color="auto" w:sz="2" w:space="0"/>
              <w:left w:val="single" w:color="auto" w:sz="2" w:space="0"/>
              <w:bottom w:val="single" w:color="auto" w:sz="2" w:space="0"/>
              <w:right w:val="single" w:color="auto" w:sz="2" w:space="0"/>
            </w:tcBorders>
            <w:vAlign w:val="center"/>
          </w:tcPr>
          <w:p w14:paraId="7CAF2F2D">
            <w:pPr>
              <w:spacing w:before="0" w:after="0" w:line="240" w:lineRule="exact"/>
              <w:jc w:val="right"/>
              <w:rPr>
                <w:rFonts w:ascii="宋体" w:hAnsi="宋体" w:eastAsia="宋体" w:cs="宋体"/>
                <w:sz w:val="18"/>
                <w:szCs w:val="18"/>
              </w:rPr>
            </w:pPr>
            <w:r>
              <w:rPr>
                <w:rFonts w:ascii="宋体" w:hAnsi="宋体" w:eastAsia="宋体" w:cs="宋体"/>
                <w:sz w:val="18"/>
                <w:szCs w:val="18"/>
              </w:rPr>
              <w:t>69,552,554.67</w:t>
            </w:r>
          </w:p>
        </w:tc>
        <w:tc>
          <w:tcPr>
            <w:tcW w:w="2410" w:type="dxa"/>
            <w:tcBorders>
              <w:top w:val="single" w:color="auto" w:sz="2" w:space="0"/>
              <w:left w:val="single" w:color="auto" w:sz="2" w:space="0"/>
              <w:bottom w:val="single" w:color="auto" w:sz="2" w:space="0"/>
              <w:right w:val="single" w:color="auto" w:sz="2" w:space="0"/>
            </w:tcBorders>
            <w:vAlign w:val="center"/>
          </w:tcPr>
          <w:p w14:paraId="75329E6B">
            <w:pPr>
              <w:spacing w:before="0" w:after="0" w:line="240" w:lineRule="exact"/>
              <w:jc w:val="right"/>
              <w:rPr>
                <w:rFonts w:ascii="宋体" w:hAnsi="宋体" w:eastAsia="宋体" w:cs="宋体"/>
                <w:sz w:val="18"/>
                <w:szCs w:val="18"/>
              </w:rPr>
            </w:pPr>
            <w:r>
              <w:rPr>
                <w:rFonts w:ascii="宋体" w:hAnsi="宋体" w:eastAsia="宋体" w:cs="宋体"/>
                <w:sz w:val="18"/>
                <w:szCs w:val="18"/>
              </w:rPr>
              <w:t>169,404.05</w:t>
            </w:r>
          </w:p>
        </w:tc>
        <w:tc>
          <w:tcPr>
            <w:tcW w:w="2410" w:type="dxa"/>
            <w:tcBorders>
              <w:top w:val="single" w:color="auto" w:sz="2" w:space="0"/>
              <w:left w:val="single" w:color="auto" w:sz="2" w:space="0"/>
              <w:bottom w:val="single" w:color="auto" w:sz="2" w:space="0"/>
              <w:right w:val="single" w:color="auto" w:sz="2" w:space="0"/>
            </w:tcBorders>
            <w:vAlign w:val="center"/>
          </w:tcPr>
          <w:p w14:paraId="70512047">
            <w:pPr>
              <w:spacing w:before="0" w:after="0" w:line="240" w:lineRule="exact"/>
              <w:jc w:val="right"/>
              <w:rPr>
                <w:rFonts w:ascii="宋体" w:hAnsi="宋体" w:eastAsia="宋体" w:cs="宋体"/>
                <w:sz w:val="18"/>
                <w:szCs w:val="18"/>
              </w:rPr>
            </w:pPr>
            <w:r>
              <w:rPr>
                <w:rFonts w:ascii="宋体" w:hAnsi="宋体" w:eastAsia="宋体" w:cs="宋体"/>
                <w:sz w:val="18"/>
                <w:szCs w:val="18"/>
              </w:rPr>
              <w:t>0.24%</w:t>
            </w:r>
          </w:p>
        </w:tc>
      </w:tr>
      <w:tr w14:paraId="7C338A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181E98B7">
            <w:pPr>
              <w:spacing w:before="0" w:after="0" w:line="240" w:lineRule="exact"/>
              <w:jc w:val="left"/>
              <w:rPr>
                <w:rFonts w:ascii="宋体" w:hAnsi="宋体" w:eastAsia="宋体" w:cs="宋体"/>
                <w:sz w:val="18"/>
                <w:szCs w:val="18"/>
              </w:rPr>
            </w:pPr>
            <w:r>
              <w:rPr>
                <w:rFonts w:ascii="宋体" w:hAnsi="宋体" w:eastAsia="宋体" w:cs="宋体"/>
                <w:sz w:val="18"/>
                <w:szCs w:val="18"/>
              </w:rPr>
              <w:t>1－2</w:t>
            </w:r>
          </w:p>
          <w:p w14:paraId="1C0E998B">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6EAE707B">
            <w:pPr>
              <w:spacing w:before="0" w:after="0" w:line="240" w:lineRule="exact"/>
              <w:jc w:val="right"/>
              <w:rPr>
                <w:rFonts w:ascii="宋体" w:hAnsi="宋体" w:eastAsia="宋体" w:cs="宋体"/>
                <w:sz w:val="18"/>
                <w:szCs w:val="18"/>
              </w:rPr>
            </w:pPr>
            <w:r>
              <w:rPr>
                <w:rFonts w:ascii="宋体" w:hAnsi="宋体" w:eastAsia="宋体" w:cs="宋体"/>
                <w:sz w:val="18"/>
                <w:szCs w:val="18"/>
              </w:rPr>
              <w:t>10,063,130.15</w:t>
            </w:r>
          </w:p>
        </w:tc>
        <w:tc>
          <w:tcPr>
            <w:tcW w:w="2410" w:type="dxa"/>
            <w:tcBorders>
              <w:top w:val="single" w:color="auto" w:sz="2" w:space="0"/>
              <w:left w:val="single" w:color="auto" w:sz="2" w:space="0"/>
              <w:bottom w:val="single" w:color="auto" w:sz="2" w:space="0"/>
              <w:right w:val="single" w:color="auto" w:sz="2" w:space="0"/>
            </w:tcBorders>
            <w:vAlign w:val="center"/>
          </w:tcPr>
          <w:p w14:paraId="666324E2">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45415C54">
            <w:pPr>
              <w:spacing w:before="0" w:after="0" w:line="240" w:lineRule="exact"/>
              <w:jc w:val="right"/>
              <w:rPr>
                <w:rFonts w:ascii="宋体" w:hAnsi="宋体" w:eastAsia="宋体" w:cs="宋体"/>
                <w:sz w:val="18"/>
                <w:szCs w:val="18"/>
              </w:rPr>
            </w:pPr>
          </w:p>
        </w:tc>
      </w:tr>
      <w:tr w14:paraId="78B857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2E9EB33">
            <w:pPr>
              <w:spacing w:before="0" w:after="0" w:line="240" w:lineRule="exact"/>
              <w:jc w:val="left"/>
              <w:rPr>
                <w:rFonts w:ascii="宋体" w:hAnsi="宋体" w:eastAsia="宋体" w:cs="宋体"/>
                <w:sz w:val="18"/>
                <w:szCs w:val="18"/>
              </w:rPr>
            </w:pPr>
            <w:r>
              <w:rPr>
                <w:rFonts w:ascii="宋体" w:hAnsi="宋体" w:eastAsia="宋体" w:cs="宋体"/>
                <w:sz w:val="18"/>
                <w:szCs w:val="18"/>
              </w:rPr>
              <w:t>2－3</w:t>
            </w:r>
          </w:p>
          <w:p w14:paraId="4276C717">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09A54542">
            <w:pPr>
              <w:spacing w:before="0" w:after="0" w:line="240" w:lineRule="exact"/>
              <w:jc w:val="right"/>
              <w:rPr>
                <w:rFonts w:ascii="宋体" w:hAnsi="宋体" w:eastAsia="宋体" w:cs="宋体"/>
                <w:sz w:val="18"/>
                <w:szCs w:val="18"/>
              </w:rPr>
            </w:pPr>
            <w:r>
              <w:rPr>
                <w:rFonts w:ascii="宋体" w:hAnsi="宋体" w:eastAsia="宋体" w:cs="宋体"/>
                <w:sz w:val="18"/>
                <w:szCs w:val="18"/>
              </w:rPr>
              <w:t>36,868.50</w:t>
            </w:r>
          </w:p>
        </w:tc>
        <w:tc>
          <w:tcPr>
            <w:tcW w:w="2410" w:type="dxa"/>
            <w:tcBorders>
              <w:top w:val="single" w:color="auto" w:sz="2" w:space="0"/>
              <w:left w:val="single" w:color="auto" w:sz="2" w:space="0"/>
              <w:bottom w:val="single" w:color="auto" w:sz="2" w:space="0"/>
              <w:right w:val="single" w:color="auto" w:sz="2" w:space="0"/>
            </w:tcBorders>
            <w:vAlign w:val="center"/>
          </w:tcPr>
          <w:p w14:paraId="4CFCC101">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7E76081">
            <w:pPr>
              <w:spacing w:before="0" w:after="0" w:line="240" w:lineRule="exact"/>
              <w:jc w:val="right"/>
              <w:rPr>
                <w:rFonts w:ascii="宋体" w:hAnsi="宋体" w:eastAsia="宋体" w:cs="宋体"/>
                <w:sz w:val="18"/>
                <w:szCs w:val="18"/>
              </w:rPr>
            </w:pPr>
          </w:p>
        </w:tc>
      </w:tr>
      <w:tr w14:paraId="6CD59D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D4796AF">
            <w:pPr>
              <w:spacing w:before="0" w:after="0" w:line="240" w:lineRule="exact"/>
              <w:jc w:val="left"/>
              <w:rPr>
                <w:rFonts w:ascii="宋体" w:hAnsi="宋体" w:eastAsia="宋体" w:cs="宋体"/>
                <w:sz w:val="18"/>
                <w:szCs w:val="18"/>
              </w:rPr>
            </w:pPr>
            <w:r>
              <w:rPr>
                <w:rFonts w:ascii="宋体" w:hAnsi="宋体" w:eastAsia="宋体" w:cs="宋体"/>
                <w:sz w:val="18"/>
                <w:szCs w:val="18"/>
              </w:rPr>
              <w:t>3－4</w:t>
            </w:r>
          </w:p>
          <w:p w14:paraId="563D9313">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142964A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B8FB58A">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45C47836">
            <w:pPr>
              <w:spacing w:before="0" w:after="0" w:line="240" w:lineRule="exact"/>
              <w:jc w:val="right"/>
              <w:rPr>
                <w:rFonts w:ascii="宋体" w:hAnsi="宋体" w:eastAsia="宋体" w:cs="宋体"/>
                <w:sz w:val="18"/>
                <w:szCs w:val="18"/>
              </w:rPr>
            </w:pPr>
          </w:p>
        </w:tc>
      </w:tr>
      <w:tr w14:paraId="5C201A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BB2E4D5">
            <w:pPr>
              <w:spacing w:before="0" w:after="0" w:line="240" w:lineRule="exact"/>
              <w:jc w:val="left"/>
              <w:rPr>
                <w:rFonts w:ascii="宋体" w:hAnsi="宋体" w:eastAsia="宋体" w:cs="宋体"/>
                <w:sz w:val="18"/>
                <w:szCs w:val="18"/>
              </w:rPr>
            </w:pPr>
            <w:r>
              <w:rPr>
                <w:rFonts w:ascii="宋体" w:hAnsi="宋体" w:eastAsia="宋体" w:cs="宋体"/>
                <w:sz w:val="18"/>
                <w:szCs w:val="18"/>
              </w:rPr>
              <w:t>4－5</w:t>
            </w:r>
          </w:p>
          <w:p w14:paraId="1600F65C">
            <w:pPr>
              <w:spacing w:before="0" w:after="0" w:line="240" w:lineRule="exact"/>
              <w:jc w:val="left"/>
              <w:rPr>
                <w:rFonts w:ascii="宋体" w:hAnsi="宋体" w:eastAsia="宋体" w:cs="宋体"/>
                <w:sz w:val="18"/>
                <w:szCs w:val="18"/>
              </w:rPr>
            </w:pPr>
            <w:r>
              <w:rPr>
                <w:rFonts w:ascii="宋体" w:hAnsi="宋体" w:eastAsia="宋体" w:cs="宋体"/>
                <w:sz w:val="18"/>
                <w:szCs w:val="18"/>
              </w:rPr>
              <w:t>年</w:t>
            </w:r>
          </w:p>
        </w:tc>
        <w:tc>
          <w:tcPr>
            <w:tcW w:w="2410" w:type="dxa"/>
            <w:tcBorders>
              <w:top w:val="single" w:color="auto" w:sz="2" w:space="0"/>
              <w:left w:val="single" w:color="auto" w:sz="2" w:space="0"/>
              <w:bottom w:val="single" w:color="auto" w:sz="2" w:space="0"/>
              <w:right w:val="single" w:color="auto" w:sz="2" w:space="0"/>
            </w:tcBorders>
            <w:vAlign w:val="center"/>
          </w:tcPr>
          <w:p w14:paraId="242C2C55">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1CC727B">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440600FB">
            <w:pPr>
              <w:spacing w:before="0" w:after="0" w:line="240" w:lineRule="exact"/>
              <w:jc w:val="right"/>
              <w:rPr>
                <w:rFonts w:ascii="宋体" w:hAnsi="宋体" w:eastAsia="宋体" w:cs="宋体"/>
                <w:sz w:val="18"/>
                <w:szCs w:val="18"/>
              </w:rPr>
            </w:pPr>
          </w:p>
        </w:tc>
      </w:tr>
      <w:tr w14:paraId="0D14B8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1BBE5EC3">
            <w:pPr>
              <w:spacing w:before="0" w:after="0" w:line="240" w:lineRule="exact"/>
              <w:jc w:val="left"/>
              <w:rPr>
                <w:rFonts w:ascii="宋体" w:hAnsi="宋体" w:eastAsia="宋体" w:cs="宋体"/>
                <w:sz w:val="18"/>
                <w:szCs w:val="18"/>
              </w:rPr>
            </w:pPr>
            <w:r>
              <w:rPr>
                <w:rFonts w:ascii="宋体" w:hAnsi="宋体" w:eastAsia="宋体" w:cs="宋体"/>
                <w:sz w:val="18"/>
                <w:szCs w:val="18"/>
              </w:rPr>
              <w:t>5 年以上</w:t>
            </w:r>
          </w:p>
        </w:tc>
        <w:tc>
          <w:tcPr>
            <w:tcW w:w="2410" w:type="dxa"/>
            <w:tcBorders>
              <w:top w:val="single" w:color="auto" w:sz="2" w:space="0"/>
              <w:left w:val="single" w:color="auto" w:sz="2" w:space="0"/>
              <w:bottom w:val="single" w:color="auto" w:sz="2" w:space="0"/>
              <w:right w:val="single" w:color="auto" w:sz="2" w:space="0"/>
            </w:tcBorders>
            <w:vAlign w:val="center"/>
          </w:tcPr>
          <w:p w14:paraId="3FC40238">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74378EB">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FFCECF9">
            <w:pPr>
              <w:spacing w:before="0" w:after="0" w:line="240" w:lineRule="exact"/>
              <w:jc w:val="right"/>
              <w:rPr>
                <w:rFonts w:ascii="宋体" w:hAnsi="宋体" w:eastAsia="宋体" w:cs="宋体"/>
                <w:sz w:val="18"/>
                <w:szCs w:val="18"/>
              </w:rPr>
            </w:pPr>
          </w:p>
        </w:tc>
      </w:tr>
      <w:tr w14:paraId="42B6A6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0DE1F9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112EC6BC">
            <w:pPr>
              <w:spacing w:before="0" w:after="0" w:line="240" w:lineRule="exact"/>
              <w:jc w:val="right"/>
              <w:rPr>
                <w:rFonts w:ascii="宋体" w:hAnsi="宋体" w:eastAsia="宋体" w:cs="宋体"/>
                <w:sz w:val="18"/>
                <w:szCs w:val="18"/>
              </w:rPr>
            </w:pPr>
            <w:r>
              <w:rPr>
                <w:rFonts w:ascii="宋体" w:hAnsi="宋体" w:eastAsia="宋体" w:cs="宋体"/>
                <w:sz w:val="18"/>
                <w:szCs w:val="18"/>
              </w:rPr>
              <w:t>79,652,553.32</w:t>
            </w:r>
          </w:p>
        </w:tc>
        <w:tc>
          <w:tcPr>
            <w:tcW w:w="2410" w:type="dxa"/>
            <w:tcBorders>
              <w:top w:val="single" w:color="auto" w:sz="2" w:space="0"/>
              <w:left w:val="single" w:color="auto" w:sz="2" w:space="0"/>
              <w:bottom w:val="single" w:color="auto" w:sz="2" w:space="0"/>
              <w:right w:val="single" w:color="auto" w:sz="2" w:space="0"/>
            </w:tcBorders>
            <w:vAlign w:val="center"/>
          </w:tcPr>
          <w:p w14:paraId="77AD9047">
            <w:pPr>
              <w:spacing w:before="0" w:after="0" w:line="240" w:lineRule="exact"/>
              <w:jc w:val="right"/>
              <w:rPr>
                <w:rFonts w:ascii="宋体" w:hAnsi="宋体" w:eastAsia="宋体" w:cs="宋体"/>
                <w:sz w:val="18"/>
                <w:szCs w:val="18"/>
              </w:rPr>
            </w:pPr>
            <w:r>
              <w:rPr>
                <w:rFonts w:ascii="宋体" w:hAnsi="宋体" w:eastAsia="宋体" w:cs="宋体"/>
                <w:sz w:val="18"/>
                <w:szCs w:val="18"/>
              </w:rPr>
              <w:t>169,404.05</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6A7D208"/>
        </w:tc>
      </w:tr>
    </w:tbl>
    <w:p w14:paraId="414ABB1F">
      <w:pPr>
        <w:spacing w:before="100" w:after="100" w:line="240" w:lineRule="exact"/>
        <w:jc w:val="left"/>
        <w:rPr>
          <w:rFonts w:ascii="宋体" w:hAnsi="宋体" w:eastAsia="宋体" w:cs="宋体"/>
          <w:sz w:val="18"/>
          <w:szCs w:val="18"/>
        </w:rPr>
      </w:pPr>
      <w:r>
        <w:rPr>
          <w:rFonts w:ascii="宋体" w:hAnsi="宋体" w:eastAsia="宋体" w:cs="宋体"/>
          <w:sz w:val="18"/>
          <w:szCs w:val="18"/>
        </w:rPr>
        <w:t>确定该组合依据的说明：</w:t>
      </w:r>
    </w:p>
    <w:p w14:paraId="4628CFA7">
      <w:pPr>
        <w:spacing w:before="100" w:after="100" w:line="240" w:lineRule="exact"/>
        <w:jc w:val="left"/>
        <w:rPr>
          <w:rFonts w:ascii="宋体" w:hAnsi="宋体" w:eastAsia="宋体" w:cs="宋体"/>
          <w:sz w:val="18"/>
          <w:szCs w:val="18"/>
        </w:rPr>
      </w:pPr>
      <w:r>
        <w:rPr>
          <w:rFonts w:ascii="宋体" w:hAnsi="宋体" w:eastAsia="宋体" w:cs="宋体"/>
          <w:sz w:val="18"/>
          <w:szCs w:val="18"/>
        </w:rPr>
        <w:t>如是按照预期信用损失一般模型计提应收账款坏账准备：</w:t>
      </w:r>
    </w:p>
    <w:p w14:paraId="4290D204">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F7290FE">
      <w:pPr>
        <w:keepNext/>
        <w:keepLines/>
        <w:spacing w:before="300" w:after="300" w:line="280" w:lineRule="exact"/>
        <w:jc w:val="left"/>
        <w:outlineLvl w:val="3"/>
        <w:rPr>
          <w:rFonts w:ascii="宋体" w:hAnsi="宋体" w:eastAsia="宋体" w:cs="宋体"/>
          <w:b/>
          <w:bCs/>
          <w:sz w:val="21"/>
          <w:szCs w:val="21"/>
        </w:rPr>
      </w:pPr>
      <w:bookmarkStart w:id="582" w:name="_Toc989465"/>
      <w:r>
        <w:rPr>
          <w:rFonts w:ascii="宋体" w:hAnsi="宋体" w:eastAsia="宋体" w:cs="宋体"/>
          <w:b/>
          <w:bCs/>
          <w:sz w:val="21"/>
          <w:szCs w:val="21"/>
        </w:rPr>
        <w:t>（3） 本期计提、收回或转回的坏账准备情况</w:t>
      </w:r>
      <w:bookmarkEnd w:id="582"/>
    </w:p>
    <w:p w14:paraId="2971D049">
      <w:pPr>
        <w:spacing w:before="0" w:after="0" w:line="240" w:lineRule="exact"/>
        <w:jc w:val="left"/>
        <w:rPr>
          <w:rFonts w:ascii="宋体" w:hAnsi="宋体" w:eastAsia="宋体" w:cs="宋体"/>
          <w:sz w:val="18"/>
          <w:szCs w:val="18"/>
        </w:rPr>
      </w:pPr>
      <w:r>
        <w:rPr>
          <w:rFonts w:ascii="宋体" w:hAnsi="宋体" w:eastAsia="宋体" w:cs="宋体"/>
          <w:sz w:val="18"/>
          <w:szCs w:val="18"/>
        </w:rPr>
        <w:t>本期计提坏账准备情况：</w:t>
      </w:r>
    </w:p>
    <w:p w14:paraId="4D7F02F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560664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9108930">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665C363">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039A3423">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DDEFBA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5E1E95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22B520F"/>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E9408A1"/>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7424BBF">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4862EE8">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6FC94946">
            <w:pPr>
              <w:spacing w:before="40" w:after="40" w:line="240" w:lineRule="exact"/>
              <w:jc w:val="center"/>
              <w:rPr>
                <w:rFonts w:ascii="宋体" w:hAnsi="宋体" w:eastAsia="宋体" w:cs="宋体"/>
                <w:sz w:val="18"/>
                <w:szCs w:val="18"/>
              </w:rPr>
            </w:pPr>
            <w:r>
              <w:rPr>
                <w:rFonts w:ascii="宋体" w:hAnsi="宋体" w:eastAsia="宋体" w:cs="宋体"/>
                <w:sz w:val="18"/>
                <w:szCs w:val="18"/>
              </w:rPr>
              <w:t>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4D34330">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B99106A"/>
        </w:tc>
      </w:tr>
      <w:tr w14:paraId="320196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31CAC3B0">
            <w:pPr>
              <w:spacing w:before="0" w:after="0" w:line="240" w:lineRule="exact"/>
              <w:jc w:val="left"/>
              <w:rPr>
                <w:rFonts w:ascii="宋体" w:hAnsi="宋体" w:eastAsia="宋体" w:cs="宋体"/>
                <w:sz w:val="18"/>
                <w:szCs w:val="18"/>
              </w:rPr>
            </w:pPr>
            <w:r>
              <w:rPr>
                <w:rFonts w:ascii="宋体" w:hAnsi="宋体" w:eastAsia="宋体" w:cs="宋体"/>
                <w:sz w:val="18"/>
                <w:szCs w:val="18"/>
              </w:rPr>
              <w:t>按单项计提坏账准备</w:t>
            </w:r>
          </w:p>
        </w:tc>
        <w:tc>
          <w:tcPr>
            <w:tcW w:w="1377" w:type="dxa"/>
            <w:tcBorders>
              <w:top w:val="single" w:color="auto" w:sz="2" w:space="0"/>
              <w:left w:val="single" w:color="auto" w:sz="2" w:space="0"/>
              <w:bottom w:val="single" w:color="auto" w:sz="2" w:space="0"/>
              <w:right w:val="single" w:color="auto" w:sz="2" w:space="0"/>
            </w:tcBorders>
            <w:vAlign w:val="center"/>
          </w:tcPr>
          <w:p w14:paraId="7BDA1138">
            <w:pPr>
              <w:spacing w:before="0" w:after="0" w:line="240" w:lineRule="exact"/>
              <w:jc w:val="right"/>
              <w:rPr>
                <w:rFonts w:ascii="宋体" w:hAnsi="宋体" w:eastAsia="宋体" w:cs="宋体"/>
                <w:sz w:val="18"/>
                <w:szCs w:val="18"/>
              </w:rPr>
            </w:pPr>
            <w:r>
              <w:rPr>
                <w:rFonts w:ascii="宋体" w:hAnsi="宋体" w:eastAsia="宋体" w:cs="宋体"/>
                <w:sz w:val="18"/>
                <w:szCs w:val="18"/>
              </w:rPr>
              <w:t>669,929.07</w:t>
            </w:r>
          </w:p>
        </w:tc>
        <w:tc>
          <w:tcPr>
            <w:tcW w:w="1377" w:type="dxa"/>
            <w:tcBorders>
              <w:top w:val="single" w:color="auto" w:sz="2" w:space="0"/>
              <w:left w:val="single" w:color="auto" w:sz="2" w:space="0"/>
              <w:bottom w:val="single" w:color="auto" w:sz="2" w:space="0"/>
              <w:right w:val="single" w:color="auto" w:sz="2" w:space="0"/>
            </w:tcBorders>
            <w:vAlign w:val="center"/>
          </w:tcPr>
          <w:p w14:paraId="4F66420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EE7F625">
            <w:pPr>
              <w:spacing w:before="0" w:after="0" w:line="240" w:lineRule="exact"/>
              <w:jc w:val="right"/>
              <w:rPr>
                <w:rFonts w:ascii="宋体" w:hAnsi="宋体" w:eastAsia="宋体" w:cs="宋体"/>
                <w:sz w:val="18"/>
                <w:szCs w:val="18"/>
              </w:rPr>
            </w:pPr>
            <w:r>
              <w:rPr>
                <w:rFonts w:ascii="宋体" w:hAnsi="宋体" w:eastAsia="宋体" w:cs="宋体"/>
                <w:sz w:val="18"/>
                <w:szCs w:val="18"/>
              </w:rPr>
              <w:t>35,000.00</w:t>
            </w:r>
          </w:p>
        </w:tc>
        <w:tc>
          <w:tcPr>
            <w:tcW w:w="1377" w:type="dxa"/>
            <w:tcBorders>
              <w:top w:val="single" w:color="auto" w:sz="2" w:space="0"/>
              <w:left w:val="single" w:color="auto" w:sz="2" w:space="0"/>
              <w:bottom w:val="single" w:color="auto" w:sz="2" w:space="0"/>
              <w:right w:val="single" w:color="auto" w:sz="2" w:space="0"/>
            </w:tcBorders>
            <w:vAlign w:val="center"/>
          </w:tcPr>
          <w:p w14:paraId="295F655E">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861CE3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0909170">
            <w:pPr>
              <w:spacing w:before="0" w:after="0" w:line="240" w:lineRule="exact"/>
              <w:jc w:val="right"/>
              <w:rPr>
                <w:rFonts w:ascii="宋体" w:hAnsi="宋体" w:eastAsia="宋体" w:cs="宋体"/>
                <w:sz w:val="18"/>
                <w:szCs w:val="18"/>
              </w:rPr>
            </w:pPr>
            <w:r>
              <w:rPr>
                <w:rFonts w:ascii="宋体" w:hAnsi="宋体" w:eastAsia="宋体" w:cs="宋体"/>
                <w:sz w:val="18"/>
                <w:szCs w:val="18"/>
              </w:rPr>
              <w:t>634,929.07</w:t>
            </w:r>
          </w:p>
        </w:tc>
      </w:tr>
      <w:tr w14:paraId="6F42C9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1CDEF1FA">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按组合计提坏账准备</w:t>
            </w:r>
          </w:p>
        </w:tc>
        <w:tc>
          <w:tcPr>
            <w:tcW w:w="1377" w:type="dxa"/>
            <w:tcBorders>
              <w:top w:val="single" w:color="auto" w:sz="2" w:space="0"/>
              <w:left w:val="single" w:color="auto" w:sz="2" w:space="0"/>
              <w:bottom w:val="single" w:color="auto" w:sz="2" w:space="0"/>
              <w:right w:val="single" w:color="auto" w:sz="2" w:space="0"/>
            </w:tcBorders>
            <w:vAlign w:val="center"/>
          </w:tcPr>
          <w:p w14:paraId="53D1A243">
            <w:pPr>
              <w:spacing w:before="0" w:after="0" w:line="240" w:lineRule="exact"/>
              <w:jc w:val="right"/>
              <w:rPr>
                <w:rFonts w:ascii="宋体" w:hAnsi="宋体" w:eastAsia="宋体" w:cs="宋体"/>
                <w:sz w:val="18"/>
                <w:szCs w:val="18"/>
              </w:rPr>
            </w:pPr>
            <w:r>
              <w:rPr>
                <w:rFonts w:ascii="宋体" w:hAnsi="宋体" w:eastAsia="宋体" w:cs="宋体"/>
                <w:sz w:val="18"/>
                <w:szCs w:val="18"/>
              </w:rPr>
              <w:t>985,287.14</w:t>
            </w:r>
          </w:p>
        </w:tc>
        <w:tc>
          <w:tcPr>
            <w:tcW w:w="1377" w:type="dxa"/>
            <w:tcBorders>
              <w:top w:val="single" w:color="auto" w:sz="2" w:space="0"/>
              <w:left w:val="single" w:color="auto" w:sz="2" w:space="0"/>
              <w:bottom w:val="single" w:color="auto" w:sz="2" w:space="0"/>
              <w:right w:val="single" w:color="auto" w:sz="2" w:space="0"/>
            </w:tcBorders>
            <w:vAlign w:val="center"/>
          </w:tcPr>
          <w:p w14:paraId="2BC2BDA6">
            <w:pPr>
              <w:spacing w:before="0" w:after="0" w:line="240" w:lineRule="exact"/>
              <w:jc w:val="right"/>
              <w:rPr>
                <w:rFonts w:ascii="宋体" w:hAnsi="宋体" w:eastAsia="宋体" w:cs="宋体"/>
                <w:sz w:val="18"/>
                <w:szCs w:val="18"/>
              </w:rPr>
            </w:pPr>
            <w:r>
              <w:rPr>
                <w:rFonts w:ascii="宋体" w:hAnsi="宋体" w:eastAsia="宋体" w:cs="宋体"/>
                <w:sz w:val="18"/>
                <w:szCs w:val="18"/>
              </w:rPr>
              <w:t>83,280.97</w:t>
            </w:r>
          </w:p>
        </w:tc>
        <w:tc>
          <w:tcPr>
            <w:tcW w:w="1377" w:type="dxa"/>
            <w:tcBorders>
              <w:top w:val="single" w:color="auto" w:sz="2" w:space="0"/>
              <w:left w:val="single" w:color="auto" w:sz="2" w:space="0"/>
              <w:bottom w:val="single" w:color="auto" w:sz="2" w:space="0"/>
              <w:right w:val="single" w:color="auto" w:sz="2" w:space="0"/>
            </w:tcBorders>
            <w:vAlign w:val="center"/>
          </w:tcPr>
          <w:p w14:paraId="5C3E6747">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371448BD">
            <w:pPr>
              <w:spacing w:before="0" w:after="0" w:line="240" w:lineRule="exact"/>
              <w:jc w:val="right"/>
              <w:rPr>
                <w:rFonts w:ascii="宋体" w:hAnsi="宋体" w:eastAsia="宋体" w:cs="宋体"/>
                <w:sz w:val="18"/>
                <w:szCs w:val="18"/>
              </w:rPr>
            </w:pPr>
            <w:r>
              <w:rPr>
                <w:rFonts w:ascii="宋体" w:hAnsi="宋体" w:eastAsia="宋体" w:cs="宋体"/>
                <w:sz w:val="18"/>
                <w:szCs w:val="18"/>
              </w:rPr>
              <w:t>51,448.14</w:t>
            </w:r>
          </w:p>
        </w:tc>
        <w:tc>
          <w:tcPr>
            <w:tcW w:w="1377" w:type="dxa"/>
            <w:tcBorders>
              <w:top w:val="single" w:color="auto" w:sz="2" w:space="0"/>
              <w:left w:val="single" w:color="auto" w:sz="2" w:space="0"/>
              <w:bottom w:val="single" w:color="auto" w:sz="2" w:space="0"/>
              <w:right w:val="single" w:color="auto" w:sz="2" w:space="0"/>
            </w:tcBorders>
            <w:vAlign w:val="center"/>
          </w:tcPr>
          <w:p w14:paraId="15F1053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0DF51C4">
            <w:pPr>
              <w:spacing w:before="0" w:after="0" w:line="240" w:lineRule="exact"/>
              <w:jc w:val="right"/>
              <w:rPr>
                <w:rFonts w:ascii="宋体" w:hAnsi="宋体" w:eastAsia="宋体" w:cs="宋体"/>
                <w:sz w:val="18"/>
                <w:szCs w:val="18"/>
              </w:rPr>
            </w:pPr>
            <w:r>
              <w:rPr>
                <w:rFonts w:ascii="宋体" w:hAnsi="宋体" w:eastAsia="宋体" w:cs="宋体"/>
                <w:sz w:val="18"/>
                <w:szCs w:val="18"/>
              </w:rPr>
              <w:t>1,017,119.97</w:t>
            </w:r>
          </w:p>
        </w:tc>
      </w:tr>
      <w:tr w14:paraId="458326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C3C025C">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2D468D18">
            <w:pPr>
              <w:spacing w:before="0" w:after="0" w:line="240" w:lineRule="exact"/>
              <w:jc w:val="right"/>
              <w:rPr>
                <w:rFonts w:ascii="宋体" w:hAnsi="宋体" w:eastAsia="宋体" w:cs="宋体"/>
                <w:sz w:val="18"/>
                <w:szCs w:val="18"/>
              </w:rPr>
            </w:pPr>
            <w:r>
              <w:rPr>
                <w:rFonts w:ascii="宋体" w:hAnsi="宋体" w:eastAsia="宋体" w:cs="宋体"/>
                <w:sz w:val="18"/>
                <w:szCs w:val="18"/>
              </w:rPr>
              <w:t>1,655,216.21</w:t>
            </w:r>
          </w:p>
        </w:tc>
        <w:tc>
          <w:tcPr>
            <w:tcW w:w="1377" w:type="dxa"/>
            <w:tcBorders>
              <w:top w:val="single" w:color="auto" w:sz="2" w:space="0"/>
              <w:left w:val="single" w:color="auto" w:sz="2" w:space="0"/>
              <w:bottom w:val="single" w:color="auto" w:sz="2" w:space="0"/>
              <w:right w:val="single" w:color="auto" w:sz="2" w:space="0"/>
            </w:tcBorders>
            <w:vAlign w:val="center"/>
          </w:tcPr>
          <w:p w14:paraId="49F23C80">
            <w:pPr>
              <w:spacing w:before="0" w:after="0" w:line="240" w:lineRule="exact"/>
              <w:jc w:val="right"/>
              <w:rPr>
                <w:rFonts w:ascii="宋体" w:hAnsi="宋体" w:eastAsia="宋体" w:cs="宋体"/>
                <w:sz w:val="18"/>
                <w:szCs w:val="18"/>
              </w:rPr>
            </w:pPr>
            <w:r>
              <w:rPr>
                <w:rFonts w:ascii="宋体" w:hAnsi="宋体" w:eastAsia="宋体" w:cs="宋体"/>
                <w:sz w:val="18"/>
                <w:szCs w:val="18"/>
              </w:rPr>
              <w:t>83,280.97</w:t>
            </w:r>
          </w:p>
        </w:tc>
        <w:tc>
          <w:tcPr>
            <w:tcW w:w="1377" w:type="dxa"/>
            <w:tcBorders>
              <w:top w:val="single" w:color="auto" w:sz="2" w:space="0"/>
              <w:left w:val="single" w:color="auto" w:sz="2" w:space="0"/>
              <w:bottom w:val="single" w:color="auto" w:sz="2" w:space="0"/>
              <w:right w:val="single" w:color="auto" w:sz="2" w:space="0"/>
            </w:tcBorders>
            <w:vAlign w:val="center"/>
          </w:tcPr>
          <w:p w14:paraId="2CD60314">
            <w:pPr>
              <w:spacing w:before="0" w:after="0" w:line="240" w:lineRule="exact"/>
              <w:jc w:val="right"/>
              <w:rPr>
                <w:rFonts w:ascii="宋体" w:hAnsi="宋体" w:eastAsia="宋体" w:cs="宋体"/>
                <w:sz w:val="18"/>
                <w:szCs w:val="18"/>
              </w:rPr>
            </w:pPr>
            <w:r>
              <w:rPr>
                <w:rFonts w:ascii="宋体" w:hAnsi="宋体" w:eastAsia="宋体" w:cs="宋体"/>
                <w:sz w:val="18"/>
                <w:szCs w:val="18"/>
              </w:rPr>
              <w:t>35,000.00</w:t>
            </w:r>
          </w:p>
        </w:tc>
        <w:tc>
          <w:tcPr>
            <w:tcW w:w="1377" w:type="dxa"/>
            <w:tcBorders>
              <w:top w:val="single" w:color="auto" w:sz="2" w:space="0"/>
              <w:left w:val="single" w:color="auto" w:sz="2" w:space="0"/>
              <w:bottom w:val="single" w:color="auto" w:sz="2" w:space="0"/>
              <w:right w:val="single" w:color="auto" w:sz="2" w:space="0"/>
            </w:tcBorders>
            <w:vAlign w:val="center"/>
          </w:tcPr>
          <w:p w14:paraId="50BE7ADE">
            <w:pPr>
              <w:spacing w:before="0" w:after="0" w:line="240" w:lineRule="exact"/>
              <w:jc w:val="right"/>
              <w:rPr>
                <w:rFonts w:ascii="宋体" w:hAnsi="宋体" w:eastAsia="宋体" w:cs="宋体"/>
                <w:sz w:val="18"/>
                <w:szCs w:val="18"/>
              </w:rPr>
            </w:pPr>
            <w:r>
              <w:rPr>
                <w:rFonts w:ascii="宋体" w:hAnsi="宋体" w:eastAsia="宋体" w:cs="宋体"/>
                <w:sz w:val="18"/>
                <w:szCs w:val="18"/>
              </w:rPr>
              <w:t>51,448.14</w:t>
            </w:r>
          </w:p>
        </w:tc>
        <w:tc>
          <w:tcPr>
            <w:tcW w:w="1377" w:type="dxa"/>
            <w:tcBorders>
              <w:top w:val="single" w:color="auto" w:sz="2" w:space="0"/>
              <w:left w:val="single" w:color="auto" w:sz="2" w:space="0"/>
              <w:bottom w:val="single" w:color="auto" w:sz="2" w:space="0"/>
              <w:right w:val="single" w:color="auto" w:sz="2" w:space="0"/>
            </w:tcBorders>
            <w:vAlign w:val="center"/>
          </w:tcPr>
          <w:p w14:paraId="78901C1B">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2B843BB">
            <w:pPr>
              <w:spacing w:before="0" w:after="0" w:line="240" w:lineRule="exact"/>
              <w:jc w:val="right"/>
              <w:rPr>
                <w:rFonts w:ascii="宋体" w:hAnsi="宋体" w:eastAsia="宋体" w:cs="宋体"/>
                <w:sz w:val="18"/>
                <w:szCs w:val="18"/>
              </w:rPr>
            </w:pPr>
            <w:r>
              <w:rPr>
                <w:rFonts w:ascii="宋体" w:hAnsi="宋体" w:eastAsia="宋体" w:cs="宋体"/>
                <w:sz w:val="18"/>
                <w:szCs w:val="18"/>
              </w:rPr>
              <w:t>1,652,049.04</w:t>
            </w:r>
          </w:p>
        </w:tc>
      </w:tr>
    </w:tbl>
    <w:p w14:paraId="7D8D51FA">
      <w:pPr>
        <w:spacing w:before="0" w:after="0" w:line="240" w:lineRule="exact"/>
        <w:jc w:val="left"/>
        <w:rPr>
          <w:rFonts w:ascii="宋体" w:hAnsi="宋体" w:eastAsia="宋体" w:cs="宋体"/>
          <w:sz w:val="18"/>
          <w:szCs w:val="18"/>
        </w:rPr>
      </w:pPr>
      <w:r>
        <w:rPr>
          <w:rFonts w:ascii="宋体" w:hAnsi="宋体" w:eastAsia="宋体" w:cs="宋体"/>
          <w:sz w:val="18"/>
          <w:szCs w:val="18"/>
        </w:rPr>
        <w:t>其中本期坏账准备收回或转回金额重要的：</w:t>
      </w:r>
    </w:p>
    <w:p w14:paraId="0BC4C6B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396C0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AF50FC3">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7EE2430">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1147B0A">
            <w:pPr>
              <w:spacing w:before="40" w:after="40" w:line="240" w:lineRule="exact"/>
              <w:jc w:val="center"/>
              <w:rPr>
                <w:rFonts w:ascii="宋体" w:hAnsi="宋体" w:eastAsia="宋体" w:cs="宋体"/>
                <w:sz w:val="18"/>
                <w:szCs w:val="18"/>
              </w:rPr>
            </w:pPr>
            <w:r>
              <w:rPr>
                <w:rFonts w:ascii="宋体" w:hAnsi="宋体" w:eastAsia="宋体" w:cs="宋体"/>
                <w:sz w:val="18"/>
                <w:szCs w:val="18"/>
              </w:rPr>
              <w:t>转回原因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A9293A8">
            <w:pPr>
              <w:spacing w:before="40" w:after="40" w:line="240" w:lineRule="exact"/>
              <w:jc w:val="center"/>
              <w:rPr>
                <w:rFonts w:ascii="宋体" w:hAnsi="宋体" w:eastAsia="宋体" w:cs="宋体"/>
                <w:sz w:val="18"/>
                <w:szCs w:val="18"/>
              </w:rPr>
            </w:pPr>
            <w:r>
              <w:rPr>
                <w:rFonts w:ascii="宋体" w:hAnsi="宋体" w:eastAsia="宋体" w:cs="宋体"/>
                <w:sz w:val="18"/>
                <w:szCs w:val="18"/>
              </w:rPr>
              <w:t>收回方式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3B284BE">
            <w:pPr>
              <w:spacing w:before="40" w:after="40" w:line="240" w:lineRule="exact"/>
              <w:jc w:val="center"/>
              <w:rPr>
                <w:rFonts w:ascii="宋体" w:hAnsi="宋体" w:eastAsia="宋体" w:cs="宋体"/>
                <w:sz w:val="18"/>
                <w:szCs w:val="18"/>
              </w:rPr>
            </w:pPr>
            <w:r>
              <w:rPr>
                <w:rFonts w:ascii="宋体" w:hAnsi="宋体" w:eastAsia="宋体" w:cs="宋体"/>
                <w:sz w:val="18"/>
                <w:szCs w:val="18"/>
              </w:rPr>
              <w:t>确定原坏账准备计提比例的依据及其合理性</w:t>
            </w:r>
          </w:p>
        </w:tc>
      </w:tr>
    </w:tbl>
    <w:p w14:paraId="01C7C10D">
      <w:pPr>
        <w:spacing w:before="0" w:after="0" w:line="0" w:lineRule="exact"/>
        <w:jc w:val="left"/>
      </w:pPr>
    </w:p>
    <w:p w14:paraId="258582A3">
      <w:pPr>
        <w:keepNext/>
        <w:keepLines/>
        <w:spacing w:before="300" w:after="300" w:line="280" w:lineRule="exact"/>
        <w:jc w:val="left"/>
        <w:outlineLvl w:val="3"/>
        <w:rPr>
          <w:rFonts w:ascii="宋体" w:hAnsi="宋体" w:eastAsia="宋体" w:cs="宋体"/>
          <w:b/>
          <w:bCs/>
          <w:sz w:val="21"/>
          <w:szCs w:val="21"/>
        </w:rPr>
      </w:pPr>
      <w:bookmarkStart w:id="583" w:name="_Toc989466"/>
      <w:r>
        <w:rPr>
          <w:rFonts w:ascii="宋体" w:hAnsi="宋体" w:eastAsia="宋体" w:cs="宋体"/>
          <w:b/>
          <w:bCs/>
          <w:sz w:val="21"/>
          <w:szCs w:val="21"/>
        </w:rPr>
        <w:t>（4） 本期实际核销的应收账款情况</w:t>
      </w:r>
      <w:bookmarkEnd w:id="583"/>
    </w:p>
    <w:p w14:paraId="7F795E9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2910C1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61FA633">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EAFD570">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r w14:paraId="6594EE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AE8E20E">
            <w:pPr>
              <w:spacing w:before="40" w:after="40" w:line="240" w:lineRule="exact"/>
              <w:jc w:val="left"/>
              <w:rPr>
                <w:rFonts w:ascii="宋体" w:hAnsi="宋体" w:eastAsia="宋体" w:cs="宋体"/>
                <w:sz w:val="18"/>
                <w:szCs w:val="18"/>
              </w:rPr>
            </w:pPr>
            <w:r>
              <w:rPr>
                <w:rFonts w:ascii="宋体" w:hAnsi="宋体" w:eastAsia="宋体" w:cs="宋体"/>
                <w:sz w:val="18"/>
                <w:szCs w:val="18"/>
              </w:rPr>
              <w:t>实际核销的应收账款</w:t>
            </w:r>
          </w:p>
        </w:tc>
        <w:tc>
          <w:tcPr>
            <w:tcW w:w="4820" w:type="dxa"/>
            <w:tcBorders>
              <w:top w:val="single" w:color="auto" w:sz="2" w:space="0"/>
              <w:left w:val="single" w:color="auto" w:sz="2" w:space="0"/>
              <w:bottom w:val="single" w:color="auto" w:sz="2" w:space="0"/>
              <w:right w:val="single" w:color="auto" w:sz="2" w:space="0"/>
            </w:tcBorders>
            <w:vAlign w:val="center"/>
          </w:tcPr>
          <w:p w14:paraId="057DE959">
            <w:pPr>
              <w:spacing w:before="0" w:after="0" w:line="240" w:lineRule="exact"/>
              <w:jc w:val="right"/>
              <w:rPr>
                <w:rFonts w:ascii="宋体" w:hAnsi="宋体" w:eastAsia="宋体" w:cs="宋体"/>
                <w:sz w:val="18"/>
                <w:szCs w:val="18"/>
              </w:rPr>
            </w:pPr>
            <w:r>
              <w:rPr>
                <w:rFonts w:ascii="宋体" w:hAnsi="宋体" w:eastAsia="宋体" w:cs="宋体"/>
                <w:sz w:val="18"/>
                <w:szCs w:val="18"/>
              </w:rPr>
              <w:t>51,448.14</w:t>
            </w:r>
          </w:p>
        </w:tc>
      </w:tr>
    </w:tbl>
    <w:p w14:paraId="6B0FB550">
      <w:pPr>
        <w:spacing w:before="0" w:after="0" w:line="240" w:lineRule="exact"/>
        <w:jc w:val="left"/>
        <w:rPr>
          <w:rFonts w:ascii="宋体" w:hAnsi="宋体" w:eastAsia="宋体" w:cs="宋体"/>
          <w:sz w:val="18"/>
          <w:szCs w:val="18"/>
        </w:rPr>
      </w:pPr>
      <w:r>
        <w:rPr>
          <w:rFonts w:ascii="宋体" w:hAnsi="宋体" w:eastAsia="宋体" w:cs="宋体"/>
          <w:sz w:val="18"/>
          <w:szCs w:val="18"/>
        </w:rPr>
        <w:t>其中重要的应收账款核销情况：</w:t>
      </w:r>
    </w:p>
    <w:p w14:paraId="0FC7AD7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5E4DE8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4AED3B3">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BCA8337">
            <w:pPr>
              <w:spacing w:before="40" w:after="40" w:line="240" w:lineRule="exact"/>
              <w:jc w:val="center"/>
              <w:rPr>
                <w:rFonts w:ascii="宋体" w:hAnsi="宋体" w:eastAsia="宋体" w:cs="宋体"/>
                <w:sz w:val="18"/>
                <w:szCs w:val="18"/>
              </w:rPr>
            </w:pPr>
            <w:r>
              <w:rPr>
                <w:rFonts w:ascii="宋体" w:hAnsi="宋体" w:eastAsia="宋体" w:cs="宋体"/>
                <w:sz w:val="18"/>
                <w:szCs w:val="18"/>
              </w:rPr>
              <w:t>应收账款性质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9D7361A">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1FCE982">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49DAFA4">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0FF25E4">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71252C15">
      <w:pPr>
        <w:spacing w:before="100" w:after="100" w:line="240" w:lineRule="exact"/>
        <w:jc w:val="left"/>
        <w:rPr>
          <w:rFonts w:ascii="宋体" w:hAnsi="宋体" w:eastAsia="宋体" w:cs="宋体"/>
          <w:sz w:val="18"/>
          <w:szCs w:val="18"/>
        </w:rPr>
      </w:pPr>
      <w:r>
        <w:rPr>
          <w:rFonts w:ascii="宋体" w:hAnsi="宋体" w:eastAsia="宋体" w:cs="宋体"/>
          <w:sz w:val="18"/>
          <w:szCs w:val="18"/>
        </w:rPr>
        <w:t>应收账款核销说明：</w:t>
      </w:r>
    </w:p>
    <w:p w14:paraId="236BF58C">
      <w:pPr>
        <w:keepNext/>
        <w:keepLines/>
        <w:spacing w:before="300" w:after="300" w:line="280" w:lineRule="exact"/>
        <w:jc w:val="left"/>
        <w:outlineLvl w:val="3"/>
        <w:rPr>
          <w:rFonts w:ascii="宋体" w:hAnsi="宋体" w:eastAsia="宋体" w:cs="宋体"/>
          <w:b/>
          <w:bCs/>
          <w:sz w:val="21"/>
          <w:szCs w:val="21"/>
        </w:rPr>
      </w:pPr>
      <w:bookmarkStart w:id="584" w:name="_Toc989467"/>
      <w:r>
        <w:rPr>
          <w:rFonts w:ascii="宋体" w:hAnsi="宋体" w:eastAsia="宋体" w:cs="宋体"/>
          <w:b/>
          <w:bCs/>
          <w:sz w:val="21"/>
          <w:szCs w:val="21"/>
        </w:rPr>
        <w:t>（5） 按欠款方归集的期末余额前五名的应收账款和合同资产情况</w:t>
      </w:r>
      <w:bookmarkEnd w:id="584"/>
    </w:p>
    <w:p w14:paraId="33E981E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40FCA7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37B890D">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2241A04">
            <w:pPr>
              <w:spacing w:before="40" w:after="40" w:line="240" w:lineRule="exact"/>
              <w:jc w:val="center"/>
              <w:rPr>
                <w:rFonts w:ascii="宋体" w:hAnsi="宋体" w:eastAsia="宋体" w:cs="宋体"/>
                <w:sz w:val="18"/>
                <w:szCs w:val="18"/>
              </w:rPr>
            </w:pPr>
            <w:r>
              <w:rPr>
                <w:rFonts w:ascii="宋体" w:hAnsi="宋体" w:eastAsia="宋体" w:cs="宋体"/>
                <w:sz w:val="18"/>
                <w:szCs w:val="18"/>
              </w:rPr>
              <w:t>应收账款期末余额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B680291">
            <w:pPr>
              <w:spacing w:before="40" w:after="40" w:line="240" w:lineRule="exact"/>
              <w:jc w:val="center"/>
              <w:rPr>
                <w:rFonts w:ascii="宋体" w:hAnsi="宋体" w:eastAsia="宋体" w:cs="宋体"/>
                <w:sz w:val="18"/>
                <w:szCs w:val="18"/>
              </w:rPr>
            </w:pPr>
            <w:r>
              <w:rPr>
                <w:rFonts w:ascii="宋体" w:hAnsi="宋体" w:eastAsia="宋体" w:cs="宋体"/>
                <w:sz w:val="18"/>
                <w:szCs w:val="18"/>
              </w:rPr>
              <w:t>合同资产期末余额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7AA1451">
            <w:pPr>
              <w:spacing w:before="40" w:after="40" w:line="240" w:lineRule="exact"/>
              <w:jc w:val="center"/>
              <w:rPr>
                <w:rFonts w:ascii="宋体" w:hAnsi="宋体" w:eastAsia="宋体" w:cs="宋体"/>
                <w:sz w:val="18"/>
                <w:szCs w:val="18"/>
              </w:rPr>
            </w:pPr>
            <w:r>
              <w:rPr>
                <w:rFonts w:ascii="宋体" w:hAnsi="宋体" w:eastAsia="宋体" w:cs="宋体"/>
                <w:sz w:val="18"/>
                <w:szCs w:val="18"/>
              </w:rPr>
              <w:t>应收账款和合同资产期末余额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F4EA48D">
            <w:pPr>
              <w:spacing w:before="40" w:after="40" w:line="240" w:lineRule="exact"/>
              <w:jc w:val="center"/>
              <w:rPr>
                <w:rFonts w:ascii="宋体" w:hAnsi="宋体" w:eastAsia="宋体" w:cs="宋体"/>
                <w:sz w:val="18"/>
                <w:szCs w:val="18"/>
              </w:rPr>
            </w:pPr>
            <w:r>
              <w:rPr>
                <w:rFonts w:ascii="宋体" w:hAnsi="宋体" w:eastAsia="宋体" w:cs="宋体"/>
                <w:sz w:val="18"/>
                <w:szCs w:val="18"/>
              </w:rPr>
              <w:t>占应收账款和合同资产期末余额合计数的比例</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CE82D12">
            <w:pPr>
              <w:spacing w:before="40" w:after="40" w:line="240" w:lineRule="exact"/>
              <w:jc w:val="center"/>
              <w:rPr>
                <w:rFonts w:ascii="宋体" w:hAnsi="宋体" w:eastAsia="宋体" w:cs="宋体"/>
                <w:sz w:val="18"/>
                <w:szCs w:val="18"/>
              </w:rPr>
            </w:pPr>
            <w:r>
              <w:rPr>
                <w:rFonts w:ascii="宋体" w:hAnsi="宋体" w:eastAsia="宋体" w:cs="宋体"/>
                <w:sz w:val="18"/>
                <w:szCs w:val="18"/>
              </w:rPr>
              <w:t>应收账款坏账准备和合同资产减值准备期末余额</w:t>
            </w:r>
          </w:p>
        </w:tc>
      </w:tr>
      <w:tr w14:paraId="2915CF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5EB4C82B">
            <w:pPr>
              <w:spacing w:before="0" w:after="0" w:line="240" w:lineRule="exact"/>
              <w:jc w:val="left"/>
              <w:rPr>
                <w:rFonts w:ascii="宋体" w:hAnsi="宋体" w:eastAsia="宋体" w:cs="宋体"/>
                <w:sz w:val="18"/>
                <w:szCs w:val="18"/>
              </w:rPr>
            </w:pPr>
            <w:r>
              <w:rPr>
                <w:rFonts w:ascii="宋体" w:hAnsi="宋体" w:eastAsia="宋体" w:cs="宋体"/>
                <w:sz w:val="18"/>
                <w:szCs w:val="18"/>
              </w:rPr>
              <w:t>福建广生中霖生物科技有限公司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1D57D295">
            <w:pPr>
              <w:spacing w:before="0" w:after="0" w:line="240" w:lineRule="exact"/>
              <w:jc w:val="right"/>
              <w:rPr>
                <w:rFonts w:ascii="宋体" w:hAnsi="宋体" w:eastAsia="宋体" w:cs="宋体"/>
                <w:sz w:val="18"/>
                <w:szCs w:val="18"/>
              </w:rPr>
            </w:pPr>
            <w:r>
              <w:rPr>
                <w:rFonts w:ascii="宋体" w:hAnsi="宋体" w:eastAsia="宋体" w:cs="宋体"/>
                <w:sz w:val="18"/>
                <w:szCs w:val="18"/>
              </w:rPr>
              <w:t>76,221,953.75</w:t>
            </w:r>
          </w:p>
        </w:tc>
        <w:tc>
          <w:tcPr>
            <w:tcW w:w="1606" w:type="dxa"/>
            <w:tcBorders>
              <w:top w:val="single" w:color="auto" w:sz="2" w:space="0"/>
              <w:left w:val="single" w:color="auto" w:sz="2" w:space="0"/>
              <w:bottom w:val="single" w:color="auto" w:sz="2" w:space="0"/>
              <w:right w:val="single" w:color="auto" w:sz="2" w:space="0"/>
            </w:tcBorders>
            <w:vAlign w:val="center"/>
          </w:tcPr>
          <w:p w14:paraId="186A6E47">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DA22504">
            <w:pPr>
              <w:spacing w:before="0" w:after="0" w:line="240" w:lineRule="exact"/>
              <w:jc w:val="right"/>
              <w:rPr>
                <w:rFonts w:ascii="宋体" w:hAnsi="宋体" w:eastAsia="宋体" w:cs="宋体"/>
                <w:sz w:val="18"/>
                <w:szCs w:val="18"/>
              </w:rPr>
            </w:pPr>
            <w:r>
              <w:rPr>
                <w:rFonts w:ascii="宋体" w:hAnsi="宋体" w:eastAsia="宋体" w:cs="宋体"/>
                <w:sz w:val="18"/>
                <w:szCs w:val="18"/>
              </w:rPr>
              <w:t>76,221,953.75</w:t>
            </w:r>
          </w:p>
        </w:tc>
        <w:tc>
          <w:tcPr>
            <w:tcW w:w="1606" w:type="dxa"/>
            <w:tcBorders>
              <w:top w:val="single" w:color="auto" w:sz="2" w:space="0"/>
              <w:left w:val="single" w:color="auto" w:sz="2" w:space="0"/>
              <w:bottom w:val="single" w:color="auto" w:sz="2" w:space="0"/>
              <w:right w:val="single" w:color="auto" w:sz="2" w:space="0"/>
            </w:tcBorders>
            <w:vAlign w:val="center"/>
          </w:tcPr>
          <w:p w14:paraId="46AD40E2">
            <w:pPr>
              <w:spacing w:before="0" w:after="0" w:line="240" w:lineRule="exact"/>
              <w:jc w:val="right"/>
              <w:rPr>
                <w:rFonts w:ascii="宋体" w:hAnsi="宋体" w:eastAsia="宋体" w:cs="宋体"/>
                <w:sz w:val="18"/>
                <w:szCs w:val="18"/>
              </w:rPr>
            </w:pPr>
            <w:r>
              <w:rPr>
                <w:rFonts w:ascii="宋体" w:hAnsi="宋体" w:eastAsia="宋体" w:cs="宋体"/>
                <w:sz w:val="18"/>
                <w:szCs w:val="18"/>
              </w:rPr>
              <w:t>86.51%</w:t>
            </w:r>
          </w:p>
        </w:tc>
        <w:tc>
          <w:tcPr>
            <w:tcW w:w="1606" w:type="dxa"/>
            <w:tcBorders>
              <w:top w:val="single" w:color="auto" w:sz="2" w:space="0"/>
              <w:left w:val="single" w:color="auto" w:sz="2" w:space="0"/>
              <w:bottom w:val="single" w:color="auto" w:sz="2" w:space="0"/>
              <w:right w:val="single" w:color="auto" w:sz="2" w:space="0"/>
            </w:tcBorders>
            <w:vAlign w:val="center"/>
          </w:tcPr>
          <w:p w14:paraId="19829B14">
            <w:pPr>
              <w:spacing w:before="0" w:after="0" w:line="240" w:lineRule="exact"/>
              <w:jc w:val="right"/>
              <w:rPr>
                <w:rFonts w:ascii="宋体" w:hAnsi="宋体" w:eastAsia="宋体" w:cs="宋体"/>
                <w:sz w:val="18"/>
                <w:szCs w:val="18"/>
              </w:rPr>
            </w:pPr>
          </w:p>
        </w:tc>
      </w:tr>
      <w:tr w14:paraId="6FAB00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61B04E6C">
            <w:pPr>
              <w:spacing w:before="0" w:after="0" w:line="240" w:lineRule="exact"/>
              <w:jc w:val="left"/>
              <w:rPr>
                <w:rFonts w:ascii="宋体" w:hAnsi="宋体" w:eastAsia="宋体" w:cs="宋体"/>
                <w:sz w:val="18"/>
                <w:szCs w:val="18"/>
              </w:rPr>
            </w:pPr>
            <w:r>
              <w:rPr>
                <w:rFonts w:ascii="宋体" w:hAnsi="宋体" w:eastAsia="宋体" w:cs="宋体"/>
                <w:sz w:val="18"/>
                <w:szCs w:val="18"/>
              </w:rPr>
              <w:t>福州壹澄壹实业发展有限公司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3F40FE64">
            <w:pPr>
              <w:spacing w:before="0" w:after="0" w:line="240" w:lineRule="exact"/>
              <w:jc w:val="right"/>
              <w:rPr>
                <w:rFonts w:ascii="宋体" w:hAnsi="宋体" w:eastAsia="宋体" w:cs="宋体"/>
                <w:sz w:val="18"/>
                <w:szCs w:val="18"/>
              </w:rPr>
            </w:pPr>
            <w:r>
              <w:rPr>
                <w:rFonts w:ascii="宋体" w:hAnsi="宋体" w:eastAsia="宋体" w:cs="宋体"/>
                <w:sz w:val="18"/>
                <w:szCs w:val="18"/>
              </w:rPr>
              <w:t>1,556,892.50</w:t>
            </w:r>
          </w:p>
        </w:tc>
        <w:tc>
          <w:tcPr>
            <w:tcW w:w="1606" w:type="dxa"/>
            <w:tcBorders>
              <w:top w:val="single" w:color="auto" w:sz="2" w:space="0"/>
              <w:left w:val="single" w:color="auto" w:sz="2" w:space="0"/>
              <w:bottom w:val="single" w:color="auto" w:sz="2" w:space="0"/>
              <w:right w:val="single" w:color="auto" w:sz="2" w:space="0"/>
            </w:tcBorders>
            <w:vAlign w:val="center"/>
          </w:tcPr>
          <w:p w14:paraId="0967234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6ABE08A0">
            <w:pPr>
              <w:spacing w:before="0" w:after="0" w:line="240" w:lineRule="exact"/>
              <w:jc w:val="right"/>
              <w:rPr>
                <w:rFonts w:ascii="宋体" w:hAnsi="宋体" w:eastAsia="宋体" w:cs="宋体"/>
                <w:sz w:val="18"/>
                <w:szCs w:val="18"/>
              </w:rPr>
            </w:pPr>
            <w:r>
              <w:rPr>
                <w:rFonts w:ascii="宋体" w:hAnsi="宋体" w:eastAsia="宋体" w:cs="宋体"/>
                <w:sz w:val="18"/>
                <w:szCs w:val="18"/>
              </w:rPr>
              <w:t>1,556,892.50</w:t>
            </w:r>
          </w:p>
        </w:tc>
        <w:tc>
          <w:tcPr>
            <w:tcW w:w="1606" w:type="dxa"/>
            <w:tcBorders>
              <w:top w:val="single" w:color="auto" w:sz="2" w:space="0"/>
              <w:left w:val="single" w:color="auto" w:sz="2" w:space="0"/>
              <w:bottom w:val="single" w:color="auto" w:sz="2" w:space="0"/>
              <w:right w:val="single" w:color="auto" w:sz="2" w:space="0"/>
            </w:tcBorders>
            <w:vAlign w:val="center"/>
          </w:tcPr>
          <w:p w14:paraId="4E3F9025">
            <w:pPr>
              <w:spacing w:before="0" w:after="0" w:line="240" w:lineRule="exact"/>
              <w:jc w:val="right"/>
              <w:rPr>
                <w:rFonts w:ascii="宋体" w:hAnsi="宋体" w:eastAsia="宋体" w:cs="宋体"/>
                <w:sz w:val="18"/>
                <w:szCs w:val="18"/>
              </w:rPr>
            </w:pPr>
            <w:r>
              <w:rPr>
                <w:rFonts w:ascii="宋体" w:hAnsi="宋体" w:eastAsia="宋体" w:cs="宋体"/>
                <w:sz w:val="18"/>
                <w:szCs w:val="18"/>
              </w:rPr>
              <w:t>1.77%</w:t>
            </w:r>
          </w:p>
        </w:tc>
        <w:tc>
          <w:tcPr>
            <w:tcW w:w="1606" w:type="dxa"/>
            <w:tcBorders>
              <w:top w:val="single" w:color="auto" w:sz="2" w:space="0"/>
              <w:left w:val="single" w:color="auto" w:sz="2" w:space="0"/>
              <w:bottom w:val="single" w:color="auto" w:sz="2" w:space="0"/>
              <w:right w:val="single" w:color="auto" w:sz="2" w:space="0"/>
            </w:tcBorders>
            <w:vAlign w:val="center"/>
          </w:tcPr>
          <w:p w14:paraId="7B0BC0B4">
            <w:pPr>
              <w:spacing w:before="0" w:after="0" w:line="240" w:lineRule="exact"/>
              <w:jc w:val="right"/>
              <w:rPr>
                <w:rFonts w:ascii="宋体" w:hAnsi="宋体" w:eastAsia="宋体" w:cs="宋体"/>
                <w:sz w:val="18"/>
                <w:szCs w:val="18"/>
              </w:rPr>
            </w:pPr>
            <w:r>
              <w:rPr>
                <w:rFonts w:ascii="宋体" w:hAnsi="宋体" w:eastAsia="宋体" w:cs="宋体"/>
                <w:sz w:val="18"/>
                <w:szCs w:val="18"/>
              </w:rPr>
              <w:t>77,844.63</w:t>
            </w:r>
          </w:p>
        </w:tc>
      </w:tr>
      <w:tr w14:paraId="6F2C0F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23C9E00B">
            <w:pPr>
              <w:spacing w:before="0" w:after="0" w:line="240" w:lineRule="exact"/>
              <w:jc w:val="left"/>
              <w:rPr>
                <w:rFonts w:ascii="宋体" w:hAnsi="宋体" w:eastAsia="宋体" w:cs="宋体"/>
                <w:sz w:val="18"/>
                <w:szCs w:val="18"/>
              </w:rPr>
            </w:pPr>
            <w:r>
              <w:rPr>
                <w:rFonts w:ascii="宋体" w:hAnsi="宋体" w:eastAsia="宋体" w:cs="宋体"/>
                <w:sz w:val="18"/>
                <w:szCs w:val="18"/>
              </w:rPr>
              <w:t>福建瑞泰来医药科技有限公司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695FAB55">
            <w:pPr>
              <w:spacing w:before="0" w:after="0" w:line="240" w:lineRule="exact"/>
              <w:jc w:val="right"/>
              <w:rPr>
                <w:rFonts w:ascii="宋体" w:hAnsi="宋体" w:eastAsia="宋体" w:cs="宋体"/>
                <w:sz w:val="18"/>
                <w:szCs w:val="18"/>
              </w:rPr>
            </w:pPr>
            <w:r>
              <w:rPr>
                <w:rFonts w:ascii="宋体" w:hAnsi="宋体" w:eastAsia="宋体" w:cs="宋体"/>
                <w:sz w:val="18"/>
                <w:szCs w:val="18"/>
              </w:rPr>
              <w:t>1,250,800.00</w:t>
            </w:r>
          </w:p>
        </w:tc>
        <w:tc>
          <w:tcPr>
            <w:tcW w:w="1606" w:type="dxa"/>
            <w:tcBorders>
              <w:top w:val="single" w:color="auto" w:sz="2" w:space="0"/>
              <w:left w:val="single" w:color="auto" w:sz="2" w:space="0"/>
              <w:bottom w:val="single" w:color="auto" w:sz="2" w:space="0"/>
              <w:right w:val="single" w:color="auto" w:sz="2" w:space="0"/>
            </w:tcBorders>
            <w:vAlign w:val="center"/>
          </w:tcPr>
          <w:p w14:paraId="527F737A">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AF9C09A">
            <w:pPr>
              <w:spacing w:before="0" w:after="0" w:line="240" w:lineRule="exact"/>
              <w:jc w:val="right"/>
              <w:rPr>
                <w:rFonts w:ascii="宋体" w:hAnsi="宋体" w:eastAsia="宋体" w:cs="宋体"/>
                <w:sz w:val="18"/>
                <w:szCs w:val="18"/>
              </w:rPr>
            </w:pPr>
            <w:r>
              <w:rPr>
                <w:rFonts w:ascii="宋体" w:hAnsi="宋体" w:eastAsia="宋体" w:cs="宋体"/>
                <w:sz w:val="18"/>
                <w:szCs w:val="18"/>
              </w:rPr>
              <w:t>1,250,800.00</w:t>
            </w:r>
          </w:p>
        </w:tc>
        <w:tc>
          <w:tcPr>
            <w:tcW w:w="1606" w:type="dxa"/>
            <w:tcBorders>
              <w:top w:val="single" w:color="auto" w:sz="2" w:space="0"/>
              <w:left w:val="single" w:color="auto" w:sz="2" w:space="0"/>
              <w:bottom w:val="single" w:color="auto" w:sz="2" w:space="0"/>
              <w:right w:val="single" w:color="auto" w:sz="2" w:space="0"/>
            </w:tcBorders>
            <w:vAlign w:val="center"/>
          </w:tcPr>
          <w:p w14:paraId="5A15383A">
            <w:pPr>
              <w:spacing w:before="0" w:after="0" w:line="240" w:lineRule="exact"/>
              <w:jc w:val="right"/>
              <w:rPr>
                <w:rFonts w:ascii="宋体" w:hAnsi="宋体" w:eastAsia="宋体" w:cs="宋体"/>
                <w:sz w:val="18"/>
                <w:szCs w:val="18"/>
              </w:rPr>
            </w:pPr>
            <w:r>
              <w:rPr>
                <w:rFonts w:ascii="宋体" w:hAnsi="宋体" w:eastAsia="宋体" w:cs="宋体"/>
                <w:sz w:val="18"/>
                <w:szCs w:val="18"/>
              </w:rPr>
              <w:t>1.42%</w:t>
            </w:r>
          </w:p>
        </w:tc>
        <w:tc>
          <w:tcPr>
            <w:tcW w:w="1606" w:type="dxa"/>
            <w:tcBorders>
              <w:top w:val="single" w:color="auto" w:sz="2" w:space="0"/>
              <w:left w:val="single" w:color="auto" w:sz="2" w:space="0"/>
              <w:bottom w:val="single" w:color="auto" w:sz="2" w:space="0"/>
              <w:right w:val="single" w:color="auto" w:sz="2" w:space="0"/>
            </w:tcBorders>
            <w:vAlign w:val="center"/>
          </w:tcPr>
          <w:p w14:paraId="5618CF58">
            <w:pPr>
              <w:spacing w:before="0" w:after="0" w:line="240" w:lineRule="exact"/>
              <w:jc w:val="right"/>
              <w:rPr>
                <w:rFonts w:ascii="宋体" w:hAnsi="宋体" w:eastAsia="宋体" w:cs="宋体"/>
                <w:sz w:val="18"/>
                <w:szCs w:val="18"/>
              </w:rPr>
            </w:pPr>
            <w:r>
              <w:rPr>
                <w:rFonts w:ascii="宋体" w:hAnsi="宋体" w:eastAsia="宋体" w:cs="宋体"/>
                <w:sz w:val="18"/>
                <w:szCs w:val="18"/>
              </w:rPr>
              <w:t>62,540.00</w:t>
            </w:r>
          </w:p>
        </w:tc>
      </w:tr>
      <w:tr w14:paraId="0D419B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5B923D78">
            <w:pPr>
              <w:spacing w:before="0" w:after="0" w:line="240" w:lineRule="exact"/>
              <w:jc w:val="left"/>
              <w:rPr>
                <w:rFonts w:ascii="宋体" w:hAnsi="宋体" w:eastAsia="宋体" w:cs="宋体"/>
                <w:sz w:val="18"/>
                <w:szCs w:val="18"/>
              </w:rPr>
            </w:pPr>
            <w:r>
              <w:rPr>
                <w:rFonts w:ascii="宋体" w:hAnsi="宋体" w:eastAsia="宋体" w:cs="宋体"/>
                <w:sz w:val="18"/>
                <w:szCs w:val="18"/>
              </w:rPr>
              <w:t>沈阳万利达医药有限公司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08691BD8">
            <w:pPr>
              <w:spacing w:before="0" w:after="0" w:line="240" w:lineRule="exact"/>
              <w:jc w:val="right"/>
              <w:rPr>
                <w:rFonts w:ascii="宋体" w:hAnsi="宋体" w:eastAsia="宋体" w:cs="宋体"/>
                <w:sz w:val="18"/>
                <w:szCs w:val="18"/>
              </w:rPr>
            </w:pPr>
            <w:r>
              <w:rPr>
                <w:rFonts w:ascii="宋体" w:hAnsi="宋体" w:eastAsia="宋体" w:cs="宋体"/>
                <w:sz w:val="18"/>
                <w:szCs w:val="18"/>
              </w:rPr>
              <w:t>553,440.76</w:t>
            </w:r>
          </w:p>
        </w:tc>
        <w:tc>
          <w:tcPr>
            <w:tcW w:w="1606" w:type="dxa"/>
            <w:tcBorders>
              <w:top w:val="single" w:color="auto" w:sz="2" w:space="0"/>
              <w:left w:val="single" w:color="auto" w:sz="2" w:space="0"/>
              <w:bottom w:val="single" w:color="auto" w:sz="2" w:space="0"/>
              <w:right w:val="single" w:color="auto" w:sz="2" w:space="0"/>
            </w:tcBorders>
            <w:vAlign w:val="center"/>
          </w:tcPr>
          <w:p w14:paraId="0D351D21">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47E1395D">
            <w:pPr>
              <w:spacing w:before="0" w:after="0" w:line="240" w:lineRule="exact"/>
              <w:jc w:val="right"/>
              <w:rPr>
                <w:rFonts w:ascii="宋体" w:hAnsi="宋体" w:eastAsia="宋体" w:cs="宋体"/>
                <w:sz w:val="18"/>
                <w:szCs w:val="18"/>
              </w:rPr>
            </w:pPr>
            <w:r>
              <w:rPr>
                <w:rFonts w:ascii="宋体" w:hAnsi="宋体" w:eastAsia="宋体" w:cs="宋体"/>
                <w:sz w:val="18"/>
                <w:szCs w:val="18"/>
              </w:rPr>
              <w:t>553,440.76</w:t>
            </w:r>
          </w:p>
        </w:tc>
        <w:tc>
          <w:tcPr>
            <w:tcW w:w="1606" w:type="dxa"/>
            <w:tcBorders>
              <w:top w:val="single" w:color="auto" w:sz="2" w:space="0"/>
              <w:left w:val="single" w:color="auto" w:sz="2" w:space="0"/>
              <w:bottom w:val="single" w:color="auto" w:sz="2" w:space="0"/>
              <w:right w:val="single" w:color="auto" w:sz="2" w:space="0"/>
            </w:tcBorders>
            <w:vAlign w:val="center"/>
          </w:tcPr>
          <w:p w14:paraId="72018AC3">
            <w:pPr>
              <w:spacing w:before="0" w:after="0" w:line="240" w:lineRule="exact"/>
              <w:jc w:val="right"/>
              <w:rPr>
                <w:rFonts w:ascii="宋体" w:hAnsi="宋体" w:eastAsia="宋体" w:cs="宋体"/>
                <w:sz w:val="18"/>
                <w:szCs w:val="18"/>
              </w:rPr>
            </w:pPr>
            <w:r>
              <w:rPr>
                <w:rFonts w:ascii="宋体" w:hAnsi="宋体" w:eastAsia="宋体" w:cs="宋体"/>
                <w:sz w:val="18"/>
                <w:szCs w:val="18"/>
              </w:rPr>
              <w:t>0.63%</w:t>
            </w:r>
          </w:p>
        </w:tc>
        <w:tc>
          <w:tcPr>
            <w:tcW w:w="1606" w:type="dxa"/>
            <w:tcBorders>
              <w:top w:val="single" w:color="auto" w:sz="2" w:space="0"/>
              <w:left w:val="single" w:color="auto" w:sz="2" w:space="0"/>
              <w:bottom w:val="single" w:color="auto" w:sz="2" w:space="0"/>
              <w:right w:val="single" w:color="auto" w:sz="2" w:space="0"/>
            </w:tcBorders>
            <w:vAlign w:val="center"/>
          </w:tcPr>
          <w:p w14:paraId="6785053F">
            <w:pPr>
              <w:spacing w:before="0" w:after="0" w:line="240" w:lineRule="exact"/>
              <w:jc w:val="right"/>
              <w:rPr>
                <w:rFonts w:ascii="宋体" w:hAnsi="宋体" w:eastAsia="宋体" w:cs="宋体"/>
                <w:sz w:val="18"/>
                <w:szCs w:val="18"/>
              </w:rPr>
            </w:pPr>
            <w:r>
              <w:rPr>
                <w:rFonts w:ascii="宋体" w:hAnsi="宋体" w:eastAsia="宋体" w:cs="宋体"/>
                <w:sz w:val="18"/>
                <w:szCs w:val="18"/>
              </w:rPr>
              <w:t>27,672.04</w:t>
            </w:r>
          </w:p>
        </w:tc>
      </w:tr>
      <w:tr w14:paraId="52BB95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055AC9D7">
            <w:pPr>
              <w:spacing w:before="0" w:after="0" w:line="240" w:lineRule="exact"/>
              <w:jc w:val="left"/>
              <w:rPr>
                <w:rFonts w:ascii="宋体" w:hAnsi="宋体" w:eastAsia="宋体" w:cs="宋体"/>
                <w:sz w:val="18"/>
                <w:szCs w:val="18"/>
              </w:rPr>
            </w:pPr>
            <w:r>
              <w:rPr>
                <w:rFonts w:ascii="宋体" w:hAnsi="宋体" w:eastAsia="宋体" w:cs="宋体"/>
                <w:sz w:val="18"/>
                <w:szCs w:val="18"/>
              </w:rPr>
              <w:t>福建新紫金医药有限公司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5489EFEB">
            <w:pPr>
              <w:spacing w:before="0" w:after="0" w:line="240" w:lineRule="exact"/>
              <w:jc w:val="right"/>
              <w:rPr>
                <w:rFonts w:ascii="宋体" w:hAnsi="宋体" w:eastAsia="宋体" w:cs="宋体"/>
                <w:sz w:val="18"/>
                <w:szCs w:val="18"/>
              </w:rPr>
            </w:pPr>
            <w:r>
              <w:rPr>
                <w:rFonts w:ascii="宋体" w:hAnsi="宋体" w:eastAsia="宋体" w:cs="宋体"/>
                <w:sz w:val="18"/>
                <w:szCs w:val="18"/>
              </w:rPr>
              <w:t>531,176.50</w:t>
            </w:r>
          </w:p>
        </w:tc>
        <w:tc>
          <w:tcPr>
            <w:tcW w:w="1606" w:type="dxa"/>
            <w:tcBorders>
              <w:top w:val="single" w:color="auto" w:sz="2" w:space="0"/>
              <w:left w:val="single" w:color="auto" w:sz="2" w:space="0"/>
              <w:bottom w:val="single" w:color="auto" w:sz="2" w:space="0"/>
              <w:right w:val="single" w:color="auto" w:sz="2" w:space="0"/>
            </w:tcBorders>
            <w:vAlign w:val="center"/>
          </w:tcPr>
          <w:p w14:paraId="09471018">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331463DA">
            <w:pPr>
              <w:spacing w:before="0" w:after="0" w:line="240" w:lineRule="exact"/>
              <w:jc w:val="right"/>
              <w:rPr>
                <w:rFonts w:ascii="宋体" w:hAnsi="宋体" w:eastAsia="宋体" w:cs="宋体"/>
                <w:sz w:val="18"/>
                <w:szCs w:val="18"/>
              </w:rPr>
            </w:pPr>
            <w:r>
              <w:rPr>
                <w:rFonts w:ascii="宋体" w:hAnsi="宋体" w:eastAsia="宋体" w:cs="宋体"/>
                <w:sz w:val="18"/>
                <w:szCs w:val="18"/>
              </w:rPr>
              <w:t>531,176.50</w:t>
            </w:r>
          </w:p>
        </w:tc>
        <w:tc>
          <w:tcPr>
            <w:tcW w:w="1606" w:type="dxa"/>
            <w:tcBorders>
              <w:top w:val="single" w:color="auto" w:sz="2" w:space="0"/>
              <w:left w:val="single" w:color="auto" w:sz="2" w:space="0"/>
              <w:bottom w:val="single" w:color="auto" w:sz="2" w:space="0"/>
              <w:right w:val="single" w:color="auto" w:sz="2" w:space="0"/>
            </w:tcBorders>
            <w:vAlign w:val="center"/>
          </w:tcPr>
          <w:p w14:paraId="6F377881">
            <w:pPr>
              <w:spacing w:before="0" w:after="0" w:line="240" w:lineRule="exact"/>
              <w:jc w:val="right"/>
              <w:rPr>
                <w:rFonts w:ascii="宋体" w:hAnsi="宋体" w:eastAsia="宋体" w:cs="宋体"/>
                <w:sz w:val="18"/>
                <w:szCs w:val="18"/>
              </w:rPr>
            </w:pPr>
            <w:r>
              <w:rPr>
                <w:rFonts w:ascii="宋体" w:hAnsi="宋体" w:eastAsia="宋体" w:cs="宋体"/>
                <w:sz w:val="18"/>
                <w:szCs w:val="18"/>
              </w:rPr>
              <w:t>0.60%</w:t>
            </w:r>
          </w:p>
        </w:tc>
        <w:tc>
          <w:tcPr>
            <w:tcW w:w="1606" w:type="dxa"/>
            <w:tcBorders>
              <w:top w:val="single" w:color="auto" w:sz="2" w:space="0"/>
              <w:left w:val="single" w:color="auto" w:sz="2" w:space="0"/>
              <w:bottom w:val="single" w:color="auto" w:sz="2" w:space="0"/>
              <w:right w:val="single" w:color="auto" w:sz="2" w:space="0"/>
            </w:tcBorders>
            <w:vAlign w:val="center"/>
          </w:tcPr>
          <w:p w14:paraId="330E6173">
            <w:pPr>
              <w:spacing w:before="0" w:after="0" w:line="240" w:lineRule="exact"/>
              <w:jc w:val="right"/>
              <w:rPr>
                <w:rFonts w:ascii="宋体" w:hAnsi="宋体" w:eastAsia="宋体" w:cs="宋体"/>
                <w:sz w:val="18"/>
                <w:szCs w:val="18"/>
              </w:rPr>
            </w:pPr>
            <w:r>
              <w:rPr>
                <w:rFonts w:ascii="宋体" w:hAnsi="宋体" w:eastAsia="宋体" w:cs="宋体"/>
                <w:sz w:val="18"/>
                <w:szCs w:val="18"/>
              </w:rPr>
              <w:t>26,558.83</w:t>
            </w:r>
          </w:p>
        </w:tc>
      </w:tr>
      <w:tr w14:paraId="4BDE68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C1BD970">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vAlign w:val="center"/>
          </w:tcPr>
          <w:p w14:paraId="35D76BB3">
            <w:pPr>
              <w:spacing w:before="0" w:after="0" w:line="240" w:lineRule="exact"/>
              <w:jc w:val="right"/>
              <w:rPr>
                <w:rFonts w:ascii="宋体" w:hAnsi="宋体" w:eastAsia="宋体" w:cs="宋体"/>
                <w:sz w:val="18"/>
                <w:szCs w:val="18"/>
              </w:rPr>
            </w:pPr>
            <w:r>
              <w:rPr>
                <w:rFonts w:ascii="宋体" w:hAnsi="宋体" w:eastAsia="宋体" w:cs="宋体"/>
                <w:sz w:val="18"/>
                <w:szCs w:val="18"/>
              </w:rPr>
              <w:t>80,114,263.51</w:t>
            </w:r>
          </w:p>
        </w:tc>
        <w:tc>
          <w:tcPr>
            <w:tcW w:w="1606" w:type="dxa"/>
            <w:tcBorders>
              <w:top w:val="single" w:color="auto" w:sz="2" w:space="0"/>
              <w:left w:val="single" w:color="auto" w:sz="2" w:space="0"/>
              <w:bottom w:val="single" w:color="auto" w:sz="2" w:space="0"/>
              <w:right w:val="single" w:color="auto" w:sz="2" w:space="0"/>
            </w:tcBorders>
            <w:vAlign w:val="center"/>
          </w:tcPr>
          <w:p w14:paraId="5F430DCD">
            <w:pPr>
              <w:spacing w:before="0" w:after="0"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14:paraId="5A9B370F">
            <w:pPr>
              <w:spacing w:before="0" w:after="0" w:line="240" w:lineRule="exact"/>
              <w:jc w:val="right"/>
              <w:rPr>
                <w:rFonts w:ascii="宋体" w:hAnsi="宋体" w:eastAsia="宋体" w:cs="宋体"/>
                <w:sz w:val="18"/>
                <w:szCs w:val="18"/>
              </w:rPr>
            </w:pPr>
            <w:r>
              <w:rPr>
                <w:rFonts w:ascii="宋体" w:hAnsi="宋体" w:eastAsia="宋体" w:cs="宋体"/>
                <w:sz w:val="18"/>
                <w:szCs w:val="18"/>
              </w:rPr>
              <w:t>80,114,263.51</w:t>
            </w:r>
          </w:p>
        </w:tc>
        <w:tc>
          <w:tcPr>
            <w:tcW w:w="1606" w:type="dxa"/>
            <w:tcBorders>
              <w:top w:val="single" w:color="auto" w:sz="2" w:space="0"/>
              <w:left w:val="single" w:color="auto" w:sz="2" w:space="0"/>
              <w:bottom w:val="single" w:color="auto" w:sz="2" w:space="0"/>
              <w:right w:val="single" w:color="auto" w:sz="2" w:space="0"/>
            </w:tcBorders>
            <w:vAlign w:val="center"/>
          </w:tcPr>
          <w:p w14:paraId="281C3134">
            <w:pPr>
              <w:spacing w:before="0" w:after="0" w:line="240" w:lineRule="exact"/>
              <w:jc w:val="right"/>
              <w:rPr>
                <w:rFonts w:ascii="宋体" w:hAnsi="宋体" w:eastAsia="宋体" w:cs="宋体"/>
                <w:sz w:val="18"/>
                <w:szCs w:val="18"/>
              </w:rPr>
            </w:pPr>
            <w:r>
              <w:rPr>
                <w:rFonts w:ascii="宋体" w:hAnsi="宋体" w:eastAsia="宋体" w:cs="宋体"/>
                <w:sz w:val="18"/>
                <w:szCs w:val="18"/>
              </w:rPr>
              <w:t>90.93%</w:t>
            </w:r>
          </w:p>
        </w:tc>
        <w:tc>
          <w:tcPr>
            <w:tcW w:w="1606" w:type="dxa"/>
            <w:tcBorders>
              <w:top w:val="single" w:color="auto" w:sz="2" w:space="0"/>
              <w:left w:val="single" w:color="auto" w:sz="2" w:space="0"/>
              <w:bottom w:val="single" w:color="auto" w:sz="2" w:space="0"/>
              <w:right w:val="single" w:color="auto" w:sz="2" w:space="0"/>
            </w:tcBorders>
            <w:vAlign w:val="center"/>
          </w:tcPr>
          <w:p w14:paraId="71B2F25C">
            <w:pPr>
              <w:spacing w:before="0" w:after="0" w:line="240" w:lineRule="exact"/>
              <w:jc w:val="right"/>
              <w:rPr>
                <w:rFonts w:ascii="宋体" w:hAnsi="宋体" w:eastAsia="宋体" w:cs="宋体"/>
                <w:sz w:val="18"/>
                <w:szCs w:val="18"/>
              </w:rPr>
            </w:pPr>
            <w:r>
              <w:rPr>
                <w:rFonts w:ascii="宋体" w:hAnsi="宋体" w:eastAsia="宋体" w:cs="宋体"/>
                <w:sz w:val="18"/>
                <w:szCs w:val="18"/>
              </w:rPr>
              <w:t>194,615.50</w:t>
            </w:r>
          </w:p>
        </w:tc>
      </w:tr>
    </w:tbl>
    <w:p w14:paraId="5DCCD8E6">
      <w:pPr>
        <w:keepNext/>
        <w:keepLines/>
        <w:spacing w:before="300" w:after="300" w:line="280" w:lineRule="exact"/>
        <w:jc w:val="left"/>
        <w:outlineLvl w:val="2"/>
        <w:rPr>
          <w:rFonts w:ascii="宋体" w:hAnsi="宋体" w:eastAsia="宋体" w:cs="宋体"/>
          <w:b/>
          <w:bCs/>
          <w:sz w:val="21"/>
          <w:szCs w:val="21"/>
        </w:rPr>
      </w:pPr>
      <w:bookmarkStart w:id="585" w:name="_Toc989468"/>
      <w:r>
        <w:rPr>
          <w:rFonts w:ascii="宋体" w:hAnsi="宋体" w:eastAsia="宋体" w:cs="宋体"/>
          <w:b/>
          <w:bCs/>
          <w:sz w:val="21"/>
          <w:szCs w:val="21"/>
        </w:rPr>
        <w:t>2、其他应收款</w:t>
      </w:r>
      <w:bookmarkEnd w:id="585"/>
    </w:p>
    <w:p w14:paraId="7FF82AB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8EB67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B2DEECC">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0C2A560">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D82D0C6">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03EC68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33DB34C">
            <w:pPr>
              <w:spacing w:before="40" w:after="40" w:line="240" w:lineRule="exact"/>
              <w:jc w:val="left"/>
              <w:rPr>
                <w:rFonts w:ascii="宋体" w:hAnsi="宋体" w:eastAsia="宋体" w:cs="宋体"/>
                <w:sz w:val="18"/>
                <w:szCs w:val="18"/>
              </w:rPr>
            </w:pPr>
            <w:r>
              <w:rPr>
                <w:rFonts w:ascii="宋体" w:hAnsi="宋体" w:eastAsia="宋体" w:cs="宋体"/>
                <w:sz w:val="18"/>
                <w:szCs w:val="18"/>
              </w:rPr>
              <w:t>其他应收款</w:t>
            </w:r>
          </w:p>
        </w:tc>
        <w:tc>
          <w:tcPr>
            <w:tcW w:w="3213" w:type="dxa"/>
            <w:tcBorders>
              <w:top w:val="single" w:color="auto" w:sz="2" w:space="0"/>
              <w:left w:val="single" w:color="auto" w:sz="2" w:space="0"/>
              <w:bottom w:val="single" w:color="auto" w:sz="2" w:space="0"/>
              <w:right w:val="single" w:color="auto" w:sz="2" w:space="0"/>
            </w:tcBorders>
            <w:vAlign w:val="center"/>
          </w:tcPr>
          <w:p w14:paraId="3D836779">
            <w:pPr>
              <w:spacing w:before="0" w:after="0" w:line="240" w:lineRule="exact"/>
              <w:jc w:val="right"/>
              <w:rPr>
                <w:rFonts w:ascii="宋体" w:hAnsi="宋体" w:eastAsia="宋体" w:cs="宋体"/>
                <w:sz w:val="18"/>
                <w:szCs w:val="18"/>
              </w:rPr>
            </w:pPr>
            <w:r>
              <w:rPr>
                <w:rFonts w:ascii="宋体" w:hAnsi="宋体" w:eastAsia="宋体" w:cs="宋体"/>
                <w:sz w:val="18"/>
                <w:szCs w:val="18"/>
              </w:rPr>
              <w:t>41,993,004.66</w:t>
            </w:r>
          </w:p>
        </w:tc>
        <w:tc>
          <w:tcPr>
            <w:tcW w:w="3213" w:type="dxa"/>
            <w:tcBorders>
              <w:top w:val="single" w:color="auto" w:sz="2" w:space="0"/>
              <w:left w:val="single" w:color="auto" w:sz="2" w:space="0"/>
              <w:bottom w:val="single" w:color="auto" w:sz="2" w:space="0"/>
              <w:right w:val="single" w:color="auto" w:sz="2" w:space="0"/>
            </w:tcBorders>
            <w:vAlign w:val="center"/>
          </w:tcPr>
          <w:p w14:paraId="66D3721F">
            <w:pPr>
              <w:spacing w:before="0" w:after="0" w:line="240" w:lineRule="exact"/>
              <w:jc w:val="right"/>
              <w:rPr>
                <w:rFonts w:ascii="宋体" w:hAnsi="宋体" w:eastAsia="宋体" w:cs="宋体"/>
                <w:sz w:val="18"/>
                <w:szCs w:val="18"/>
              </w:rPr>
            </w:pPr>
            <w:r>
              <w:rPr>
                <w:rFonts w:ascii="宋体" w:hAnsi="宋体" w:eastAsia="宋体" w:cs="宋体"/>
                <w:sz w:val="18"/>
                <w:szCs w:val="18"/>
              </w:rPr>
              <w:t>48,005,123.53</w:t>
            </w:r>
          </w:p>
        </w:tc>
      </w:tr>
      <w:tr w14:paraId="403F79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66970B4">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01AA50DD">
            <w:pPr>
              <w:spacing w:before="0" w:after="0" w:line="240" w:lineRule="exact"/>
              <w:jc w:val="right"/>
              <w:rPr>
                <w:rFonts w:ascii="宋体" w:hAnsi="宋体" w:eastAsia="宋体" w:cs="宋体"/>
                <w:sz w:val="18"/>
                <w:szCs w:val="18"/>
              </w:rPr>
            </w:pPr>
            <w:r>
              <w:rPr>
                <w:rFonts w:ascii="宋体" w:hAnsi="宋体" w:eastAsia="宋体" w:cs="宋体"/>
                <w:sz w:val="18"/>
                <w:szCs w:val="18"/>
              </w:rPr>
              <w:t>41,993,004.66</w:t>
            </w:r>
          </w:p>
        </w:tc>
        <w:tc>
          <w:tcPr>
            <w:tcW w:w="3213" w:type="dxa"/>
            <w:tcBorders>
              <w:top w:val="single" w:color="auto" w:sz="2" w:space="0"/>
              <w:left w:val="single" w:color="auto" w:sz="2" w:space="0"/>
              <w:bottom w:val="single" w:color="auto" w:sz="2" w:space="0"/>
              <w:right w:val="single" w:color="auto" w:sz="2" w:space="0"/>
            </w:tcBorders>
            <w:vAlign w:val="center"/>
          </w:tcPr>
          <w:p w14:paraId="0ABBFA39">
            <w:pPr>
              <w:spacing w:before="0" w:after="0" w:line="240" w:lineRule="exact"/>
              <w:jc w:val="right"/>
              <w:rPr>
                <w:rFonts w:ascii="宋体" w:hAnsi="宋体" w:eastAsia="宋体" w:cs="宋体"/>
                <w:sz w:val="18"/>
                <w:szCs w:val="18"/>
              </w:rPr>
            </w:pPr>
            <w:r>
              <w:rPr>
                <w:rFonts w:ascii="宋体" w:hAnsi="宋体" w:eastAsia="宋体" w:cs="宋体"/>
                <w:sz w:val="18"/>
                <w:szCs w:val="18"/>
              </w:rPr>
              <w:t>48,005,123.53</w:t>
            </w:r>
          </w:p>
        </w:tc>
      </w:tr>
    </w:tbl>
    <w:p w14:paraId="7ABD2E67">
      <w:pPr>
        <w:keepNext/>
        <w:keepLines/>
        <w:spacing w:before="300" w:after="300" w:line="280" w:lineRule="exact"/>
        <w:jc w:val="left"/>
        <w:outlineLvl w:val="3"/>
        <w:rPr>
          <w:rFonts w:ascii="宋体" w:hAnsi="宋体" w:eastAsia="宋体" w:cs="宋体"/>
          <w:b/>
          <w:bCs/>
          <w:sz w:val="18"/>
          <w:szCs w:val="18"/>
        </w:rPr>
      </w:pPr>
      <w:bookmarkStart w:id="586" w:name="_Toc989469"/>
      <w:r>
        <w:rPr>
          <w:rFonts w:ascii="宋体" w:hAnsi="宋体" w:eastAsia="宋体" w:cs="宋体"/>
          <w:b/>
          <w:bCs/>
          <w:sz w:val="18"/>
          <w:szCs w:val="18"/>
        </w:rPr>
        <w:t>（1） 应收利息</w:t>
      </w:r>
      <w:bookmarkEnd w:id="586"/>
    </w:p>
    <w:p w14:paraId="2146A437">
      <w:pPr>
        <w:keepNext/>
        <w:keepLines/>
        <w:spacing w:before="300" w:after="300" w:line="280" w:lineRule="exact"/>
        <w:jc w:val="left"/>
        <w:outlineLvl w:val="4"/>
        <w:rPr>
          <w:rFonts w:ascii="宋体" w:hAnsi="宋体" w:eastAsia="宋体" w:cs="宋体"/>
          <w:b/>
          <w:bCs/>
          <w:sz w:val="18"/>
          <w:szCs w:val="18"/>
        </w:rPr>
      </w:pPr>
      <w:bookmarkStart w:id="587" w:name="_Toc989470"/>
      <w:r>
        <w:rPr>
          <w:rFonts w:ascii="宋体" w:hAnsi="宋体" w:eastAsia="宋体" w:cs="宋体"/>
          <w:b/>
          <w:bCs/>
          <w:sz w:val="18"/>
          <w:szCs w:val="18"/>
        </w:rPr>
        <w:t>1） 应收利息分类</w:t>
      </w:r>
      <w:bookmarkEnd w:id="587"/>
    </w:p>
    <w:p w14:paraId="6FEE7E6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F2A0C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3673494">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9DAAE67">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F5E7A91">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7668AF43">
      <w:pPr>
        <w:keepNext/>
        <w:keepLines/>
        <w:spacing w:before="300" w:after="300" w:line="280" w:lineRule="exact"/>
        <w:jc w:val="left"/>
        <w:outlineLvl w:val="4"/>
        <w:rPr>
          <w:rFonts w:ascii="宋体" w:hAnsi="宋体" w:eastAsia="宋体" w:cs="宋体"/>
          <w:b/>
          <w:bCs/>
          <w:sz w:val="18"/>
          <w:szCs w:val="18"/>
        </w:rPr>
      </w:pPr>
      <w:bookmarkStart w:id="588" w:name="_Toc989471"/>
      <w:r>
        <w:rPr>
          <w:rFonts w:ascii="宋体" w:hAnsi="宋体" w:eastAsia="宋体" w:cs="宋体"/>
          <w:b/>
          <w:bCs/>
          <w:sz w:val="18"/>
          <w:szCs w:val="18"/>
        </w:rPr>
        <w:t>2） 重要逾期利息</w:t>
      </w:r>
      <w:bookmarkEnd w:id="588"/>
    </w:p>
    <w:p w14:paraId="786E7A0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7E4FAC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A3DD3A7">
            <w:pPr>
              <w:spacing w:before="40" w:after="40" w:line="240" w:lineRule="exact"/>
              <w:jc w:val="center"/>
              <w:rPr>
                <w:rFonts w:ascii="宋体" w:hAnsi="宋体" w:eastAsia="宋体" w:cs="宋体"/>
                <w:sz w:val="18"/>
                <w:szCs w:val="18"/>
              </w:rPr>
            </w:pPr>
            <w:r>
              <w:rPr>
                <w:rFonts w:ascii="宋体" w:hAnsi="宋体" w:eastAsia="宋体" w:cs="宋体"/>
                <w:sz w:val="18"/>
                <w:szCs w:val="18"/>
              </w:rPr>
              <w:t>借款单位</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CE2DB94">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55B8915">
            <w:pPr>
              <w:spacing w:before="40" w:after="40" w:line="240" w:lineRule="exact"/>
              <w:jc w:val="center"/>
              <w:rPr>
                <w:rFonts w:ascii="宋体" w:hAnsi="宋体" w:eastAsia="宋体" w:cs="宋体"/>
                <w:sz w:val="18"/>
                <w:szCs w:val="18"/>
              </w:rPr>
            </w:pPr>
            <w:r>
              <w:rPr>
                <w:rFonts w:ascii="宋体" w:hAnsi="宋体" w:eastAsia="宋体" w:cs="宋体"/>
                <w:sz w:val="18"/>
                <w:szCs w:val="18"/>
              </w:rPr>
              <w:t>逾期时间</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787C0DA">
            <w:pPr>
              <w:spacing w:before="40" w:after="40" w:line="240" w:lineRule="exact"/>
              <w:jc w:val="center"/>
              <w:rPr>
                <w:rFonts w:ascii="宋体" w:hAnsi="宋体" w:eastAsia="宋体" w:cs="宋体"/>
                <w:sz w:val="18"/>
                <w:szCs w:val="18"/>
              </w:rPr>
            </w:pPr>
            <w:r>
              <w:rPr>
                <w:rFonts w:ascii="宋体" w:hAnsi="宋体" w:eastAsia="宋体" w:cs="宋体"/>
                <w:sz w:val="18"/>
                <w:szCs w:val="18"/>
              </w:rPr>
              <w:t>逾期原因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168772F">
            <w:pPr>
              <w:spacing w:before="40" w:after="40" w:line="240" w:lineRule="exact"/>
              <w:jc w:val="center"/>
              <w:rPr>
                <w:rFonts w:ascii="宋体" w:hAnsi="宋体" w:eastAsia="宋体" w:cs="宋体"/>
                <w:sz w:val="18"/>
                <w:szCs w:val="18"/>
              </w:rPr>
            </w:pPr>
            <w:r>
              <w:rPr>
                <w:rFonts w:ascii="宋体" w:hAnsi="宋体" w:eastAsia="宋体" w:cs="宋体"/>
                <w:sz w:val="18"/>
                <w:szCs w:val="18"/>
              </w:rPr>
              <w:t>是否发生减值及其判断依据</w:t>
            </w:r>
          </w:p>
        </w:tc>
      </w:tr>
    </w:tbl>
    <w:p w14:paraId="11BC81F5">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15208937">
      <w:pPr>
        <w:keepNext/>
        <w:keepLines/>
        <w:spacing w:before="300" w:after="300" w:line="280" w:lineRule="exact"/>
        <w:jc w:val="left"/>
        <w:outlineLvl w:val="4"/>
        <w:rPr>
          <w:rFonts w:ascii="宋体" w:hAnsi="宋体" w:eastAsia="宋体" w:cs="宋体"/>
          <w:b/>
          <w:bCs/>
          <w:sz w:val="18"/>
          <w:szCs w:val="18"/>
        </w:rPr>
      </w:pPr>
      <w:bookmarkStart w:id="589" w:name="_Toc989472"/>
      <w:r>
        <w:rPr>
          <w:rFonts w:ascii="宋体" w:hAnsi="宋体" w:eastAsia="宋体" w:cs="宋体"/>
          <w:b/>
          <w:bCs/>
          <w:sz w:val="18"/>
          <w:szCs w:val="18"/>
        </w:rPr>
        <w:t>3） 按坏账计提方法分类披露</w:t>
      </w:r>
      <w:bookmarkEnd w:id="589"/>
    </w:p>
    <w:p w14:paraId="1930F84D">
      <w:pPr>
        <w:spacing w:before="40" w:after="4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758F9405">
      <w:pPr>
        <w:keepNext/>
        <w:keepLines/>
        <w:spacing w:before="300" w:after="300" w:line="280" w:lineRule="exact"/>
        <w:jc w:val="left"/>
        <w:outlineLvl w:val="4"/>
        <w:rPr>
          <w:rFonts w:ascii="宋体" w:hAnsi="宋体" w:eastAsia="宋体" w:cs="宋体"/>
          <w:b/>
          <w:bCs/>
          <w:sz w:val="18"/>
          <w:szCs w:val="18"/>
        </w:rPr>
      </w:pPr>
      <w:bookmarkStart w:id="590" w:name="_Toc989473"/>
      <w:r>
        <w:rPr>
          <w:rFonts w:ascii="宋体" w:hAnsi="宋体" w:eastAsia="宋体" w:cs="宋体"/>
          <w:b/>
          <w:bCs/>
          <w:sz w:val="18"/>
          <w:szCs w:val="18"/>
        </w:rPr>
        <w:t>4） 本期计提、收回或转回的坏账准备的情况</w:t>
      </w:r>
      <w:bookmarkEnd w:id="590"/>
    </w:p>
    <w:p w14:paraId="21B5787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14EAEB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728D154">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24E4890">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34096A89">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CD582B0">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70A564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228F49C"/>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2F373DA"/>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A3A6D74">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5B00B82">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4E9BF4F">
            <w:pPr>
              <w:spacing w:before="40" w:after="40" w:line="240" w:lineRule="exact"/>
              <w:jc w:val="center"/>
              <w:rPr>
                <w:rFonts w:ascii="宋体" w:hAnsi="宋体" w:eastAsia="宋体" w:cs="宋体"/>
                <w:sz w:val="18"/>
                <w:szCs w:val="18"/>
              </w:rPr>
            </w:pPr>
            <w:r>
              <w:rPr>
                <w:rFonts w:ascii="宋体" w:hAnsi="宋体" w:eastAsia="宋体" w:cs="宋体"/>
                <w:sz w:val="18"/>
                <w:szCs w:val="18"/>
              </w:rPr>
              <w:t>转销或核销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2CAE56E">
            <w:pPr>
              <w:spacing w:before="40" w:after="40" w:line="240" w:lineRule="exact"/>
              <w:jc w:val="center"/>
              <w:rPr>
                <w:rFonts w:ascii="宋体" w:hAnsi="宋体" w:eastAsia="宋体" w:cs="宋体"/>
                <w:sz w:val="18"/>
                <w:szCs w:val="18"/>
              </w:rPr>
            </w:pPr>
            <w:r>
              <w:rPr>
                <w:rFonts w:ascii="宋体" w:hAnsi="宋体" w:eastAsia="宋体" w:cs="宋体"/>
                <w:sz w:val="18"/>
                <w:szCs w:val="18"/>
              </w:rPr>
              <w:t>其他变动</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9ABF4FE"/>
        </w:tc>
      </w:tr>
    </w:tbl>
    <w:p w14:paraId="070280DE">
      <w:pPr>
        <w:spacing w:before="100" w:after="100" w:line="240" w:lineRule="exact"/>
        <w:jc w:val="left"/>
        <w:rPr>
          <w:rFonts w:ascii="宋体" w:hAnsi="宋体" w:eastAsia="宋体" w:cs="宋体"/>
          <w:sz w:val="18"/>
          <w:szCs w:val="18"/>
        </w:rPr>
      </w:pPr>
      <w:r>
        <w:rPr>
          <w:rFonts w:ascii="宋体" w:hAnsi="宋体" w:eastAsia="宋体" w:cs="宋体"/>
          <w:sz w:val="18"/>
          <w:szCs w:val="18"/>
        </w:rPr>
        <w:t>其中本期坏账准备收回或转回金额重要的：</w:t>
      </w:r>
    </w:p>
    <w:p w14:paraId="70EEABF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322B74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1F0E3AF">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31ED605">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DCD3317">
            <w:pPr>
              <w:spacing w:before="40" w:after="40" w:line="240" w:lineRule="exact"/>
              <w:jc w:val="center"/>
              <w:rPr>
                <w:rFonts w:ascii="宋体" w:hAnsi="宋体" w:eastAsia="宋体" w:cs="宋体"/>
                <w:sz w:val="18"/>
                <w:szCs w:val="18"/>
              </w:rPr>
            </w:pPr>
            <w:r>
              <w:rPr>
                <w:rFonts w:ascii="宋体" w:hAnsi="宋体" w:eastAsia="宋体" w:cs="宋体"/>
                <w:sz w:val="18"/>
                <w:szCs w:val="18"/>
              </w:rPr>
              <w:t>转回原因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1C44031">
            <w:pPr>
              <w:spacing w:before="40" w:after="40" w:line="240" w:lineRule="exact"/>
              <w:jc w:val="center"/>
              <w:rPr>
                <w:rFonts w:ascii="宋体" w:hAnsi="宋体" w:eastAsia="宋体" w:cs="宋体"/>
                <w:sz w:val="18"/>
                <w:szCs w:val="18"/>
              </w:rPr>
            </w:pPr>
            <w:r>
              <w:rPr>
                <w:rFonts w:ascii="宋体" w:hAnsi="宋体" w:eastAsia="宋体" w:cs="宋体"/>
                <w:sz w:val="18"/>
                <w:szCs w:val="18"/>
              </w:rPr>
              <w:t>收回方式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D26D551">
            <w:pPr>
              <w:spacing w:before="40" w:after="40" w:line="240" w:lineRule="exact"/>
              <w:jc w:val="center"/>
              <w:rPr>
                <w:rFonts w:ascii="宋体" w:hAnsi="宋体" w:eastAsia="宋体" w:cs="宋体"/>
                <w:sz w:val="18"/>
                <w:szCs w:val="18"/>
              </w:rPr>
            </w:pPr>
            <w:r>
              <w:rPr>
                <w:rFonts w:ascii="宋体" w:hAnsi="宋体" w:eastAsia="宋体" w:cs="宋体"/>
                <w:sz w:val="18"/>
                <w:szCs w:val="18"/>
              </w:rPr>
              <w:t>确定原坏账准备计提比例的依据及其合理性</w:t>
            </w:r>
          </w:p>
        </w:tc>
      </w:tr>
    </w:tbl>
    <w:p w14:paraId="4320C1A3">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03FB8059">
      <w:pPr>
        <w:keepNext/>
        <w:keepLines/>
        <w:spacing w:before="300" w:after="300" w:line="280" w:lineRule="exact"/>
        <w:jc w:val="left"/>
        <w:outlineLvl w:val="4"/>
        <w:rPr>
          <w:rFonts w:ascii="宋体" w:hAnsi="宋体" w:eastAsia="宋体" w:cs="宋体"/>
          <w:b/>
          <w:bCs/>
          <w:sz w:val="18"/>
          <w:szCs w:val="18"/>
        </w:rPr>
      </w:pPr>
      <w:bookmarkStart w:id="591" w:name="_Toc989474"/>
      <w:r>
        <w:rPr>
          <w:rFonts w:ascii="宋体" w:hAnsi="宋体" w:eastAsia="宋体" w:cs="宋体"/>
          <w:b/>
          <w:bCs/>
          <w:sz w:val="18"/>
          <w:szCs w:val="18"/>
        </w:rPr>
        <w:t>5） 本期实际核销的应收利息情况</w:t>
      </w:r>
      <w:bookmarkEnd w:id="591"/>
    </w:p>
    <w:p w14:paraId="6850909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723F48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4B033FA4">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5EBC63CE">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33F5DE21">
      <w:pPr>
        <w:spacing w:before="0" w:after="0" w:line="240" w:lineRule="exact"/>
        <w:jc w:val="left"/>
        <w:rPr>
          <w:rFonts w:ascii="宋体" w:hAnsi="宋体" w:eastAsia="宋体" w:cs="宋体"/>
          <w:sz w:val="18"/>
          <w:szCs w:val="18"/>
        </w:rPr>
      </w:pPr>
      <w:r>
        <w:rPr>
          <w:rFonts w:ascii="宋体" w:hAnsi="宋体" w:eastAsia="宋体" w:cs="宋体"/>
          <w:sz w:val="18"/>
          <w:szCs w:val="18"/>
        </w:rPr>
        <w:t>其中重要的应收利息核销情况</w:t>
      </w:r>
    </w:p>
    <w:p w14:paraId="41867A6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39A66B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64AB160">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366A657">
            <w:pPr>
              <w:spacing w:before="40" w:after="40" w:line="240" w:lineRule="exact"/>
              <w:jc w:val="center"/>
              <w:rPr>
                <w:rFonts w:ascii="宋体" w:hAnsi="宋体" w:eastAsia="宋体" w:cs="宋体"/>
                <w:sz w:val="18"/>
                <w:szCs w:val="18"/>
              </w:rPr>
            </w:pPr>
            <w:r>
              <w:rPr>
                <w:rFonts w:ascii="宋体" w:hAnsi="宋体" w:eastAsia="宋体" w:cs="宋体"/>
                <w:sz w:val="18"/>
                <w:szCs w:val="18"/>
              </w:rPr>
              <w:t>款项性质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B2C28DE">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387F3C0">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30F80F5">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683F702">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46D7BC15">
      <w:pPr>
        <w:spacing w:before="100" w:after="100" w:line="240" w:lineRule="exact"/>
        <w:jc w:val="left"/>
        <w:rPr>
          <w:rFonts w:ascii="宋体" w:hAnsi="宋体" w:eastAsia="宋体" w:cs="宋体"/>
          <w:sz w:val="18"/>
          <w:szCs w:val="18"/>
        </w:rPr>
      </w:pPr>
      <w:r>
        <w:rPr>
          <w:rFonts w:ascii="宋体" w:hAnsi="宋体" w:eastAsia="宋体" w:cs="宋体"/>
          <w:sz w:val="18"/>
          <w:szCs w:val="18"/>
        </w:rPr>
        <w:t>核销说明：</w:t>
      </w:r>
    </w:p>
    <w:p w14:paraId="6CA1DE82">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55352B7">
      <w:pPr>
        <w:keepNext/>
        <w:keepLines/>
        <w:spacing w:before="300" w:after="300" w:line="280" w:lineRule="exact"/>
        <w:jc w:val="left"/>
        <w:outlineLvl w:val="3"/>
        <w:rPr>
          <w:rFonts w:ascii="宋体" w:hAnsi="宋体" w:eastAsia="宋体" w:cs="宋体"/>
          <w:b/>
          <w:bCs/>
          <w:sz w:val="18"/>
          <w:szCs w:val="18"/>
        </w:rPr>
      </w:pPr>
      <w:bookmarkStart w:id="592" w:name="_Toc989475"/>
      <w:r>
        <w:rPr>
          <w:rFonts w:ascii="宋体" w:hAnsi="宋体" w:eastAsia="宋体" w:cs="宋体"/>
          <w:b/>
          <w:bCs/>
          <w:sz w:val="18"/>
          <w:szCs w:val="18"/>
        </w:rPr>
        <w:t>（2） 应收股利</w:t>
      </w:r>
      <w:bookmarkEnd w:id="592"/>
    </w:p>
    <w:p w14:paraId="4FB37A8D">
      <w:pPr>
        <w:keepNext/>
        <w:keepLines/>
        <w:spacing w:before="300" w:after="300" w:line="280" w:lineRule="exact"/>
        <w:jc w:val="left"/>
        <w:outlineLvl w:val="4"/>
        <w:rPr>
          <w:rFonts w:ascii="宋体" w:hAnsi="宋体" w:eastAsia="宋体" w:cs="宋体"/>
          <w:b/>
          <w:bCs/>
          <w:sz w:val="18"/>
          <w:szCs w:val="18"/>
        </w:rPr>
      </w:pPr>
      <w:bookmarkStart w:id="593" w:name="_Toc989476"/>
      <w:r>
        <w:rPr>
          <w:rFonts w:ascii="宋体" w:hAnsi="宋体" w:eastAsia="宋体" w:cs="宋体"/>
          <w:b/>
          <w:bCs/>
          <w:sz w:val="18"/>
          <w:szCs w:val="18"/>
        </w:rPr>
        <w:t>1） 应收股利分类</w:t>
      </w:r>
      <w:bookmarkEnd w:id="593"/>
    </w:p>
    <w:p w14:paraId="5E0943D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2839FA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746944D">
            <w:pPr>
              <w:spacing w:before="40" w:after="40" w:line="240" w:lineRule="exact"/>
              <w:jc w:val="center"/>
              <w:rPr>
                <w:rFonts w:ascii="宋体" w:hAnsi="宋体" w:eastAsia="宋体" w:cs="宋体"/>
                <w:sz w:val="18"/>
                <w:szCs w:val="18"/>
              </w:rPr>
            </w:pPr>
            <w:r>
              <w:rPr>
                <w:rFonts w:ascii="宋体" w:hAnsi="宋体" w:eastAsia="宋体" w:cs="宋体"/>
                <w:sz w:val="18"/>
                <w:szCs w:val="18"/>
              </w:rPr>
              <w:t>项目(或被投资单位)</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B1B9EB5">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79140FF">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bl>
    <w:p w14:paraId="01940479">
      <w:pPr>
        <w:keepNext/>
        <w:keepLines/>
        <w:spacing w:before="300" w:after="300" w:line="280" w:lineRule="exact"/>
        <w:jc w:val="left"/>
        <w:outlineLvl w:val="4"/>
        <w:rPr>
          <w:rFonts w:ascii="宋体" w:hAnsi="宋体" w:eastAsia="宋体" w:cs="宋体"/>
          <w:b/>
          <w:bCs/>
          <w:sz w:val="18"/>
          <w:szCs w:val="18"/>
        </w:rPr>
      </w:pPr>
      <w:bookmarkStart w:id="594" w:name="_Toc989477"/>
      <w:r>
        <w:rPr>
          <w:rFonts w:ascii="宋体" w:hAnsi="宋体" w:eastAsia="宋体" w:cs="宋体"/>
          <w:b/>
          <w:bCs/>
          <w:sz w:val="18"/>
          <w:szCs w:val="18"/>
        </w:rPr>
        <w:t>2） 重要的账龄超过1年的应收股利</w:t>
      </w:r>
      <w:bookmarkEnd w:id="594"/>
    </w:p>
    <w:p w14:paraId="0571801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36F8BE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8E1C5A3">
            <w:pPr>
              <w:spacing w:before="40" w:after="40" w:line="240" w:lineRule="exact"/>
              <w:jc w:val="center"/>
              <w:rPr>
                <w:rFonts w:ascii="宋体" w:hAnsi="宋体" w:eastAsia="宋体" w:cs="宋体"/>
                <w:sz w:val="18"/>
                <w:szCs w:val="18"/>
              </w:rPr>
            </w:pPr>
            <w:r>
              <w:rPr>
                <w:rFonts w:ascii="宋体" w:hAnsi="宋体" w:eastAsia="宋体" w:cs="宋体"/>
                <w:sz w:val="18"/>
                <w:szCs w:val="18"/>
              </w:rPr>
              <w:t>项目(或被投资单位)</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7C280A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08E1607">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F2F262B">
            <w:pPr>
              <w:spacing w:before="40" w:after="40" w:line="240" w:lineRule="exact"/>
              <w:jc w:val="center"/>
              <w:rPr>
                <w:rFonts w:ascii="宋体" w:hAnsi="宋体" w:eastAsia="宋体" w:cs="宋体"/>
                <w:sz w:val="18"/>
                <w:szCs w:val="18"/>
              </w:rPr>
            </w:pPr>
            <w:r>
              <w:rPr>
                <w:rFonts w:ascii="宋体" w:hAnsi="宋体" w:eastAsia="宋体" w:cs="宋体"/>
                <w:sz w:val="18"/>
                <w:szCs w:val="18"/>
              </w:rPr>
              <w:t>未收回的原因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2C0C2CC">
            <w:pPr>
              <w:spacing w:before="40" w:after="40" w:line="240" w:lineRule="exact"/>
              <w:jc w:val="center"/>
              <w:rPr>
                <w:rFonts w:ascii="宋体" w:hAnsi="宋体" w:eastAsia="宋体" w:cs="宋体"/>
                <w:sz w:val="18"/>
                <w:szCs w:val="18"/>
              </w:rPr>
            </w:pPr>
            <w:r>
              <w:rPr>
                <w:rFonts w:ascii="宋体" w:hAnsi="宋体" w:eastAsia="宋体" w:cs="宋体"/>
                <w:sz w:val="18"/>
                <w:szCs w:val="18"/>
              </w:rPr>
              <w:t>是否发生减值及其判断依据</w:t>
            </w:r>
          </w:p>
        </w:tc>
      </w:tr>
    </w:tbl>
    <w:p w14:paraId="60B92AF4">
      <w:pPr>
        <w:keepNext/>
        <w:keepLines/>
        <w:spacing w:before="300" w:after="300" w:line="280" w:lineRule="exact"/>
        <w:jc w:val="left"/>
        <w:outlineLvl w:val="4"/>
        <w:rPr>
          <w:rFonts w:ascii="宋体" w:hAnsi="宋体" w:eastAsia="宋体" w:cs="宋体"/>
          <w:b/>
          <w:bCs/>
          <w:sz w:val="18"/>
          <w:szCs w:val="18"/>
        </w:rPr>
      </w:pPr>
      <w:bookmarkStart w:id="595" w:name="_Toc989478"/>
      <w:r>
        <w:rPr>
          <w:rFonts w:ascii="宋体" w:hAnsi="宋体" w:eastAsia="宋体" w:cs="宋体"/>
          <w:b/>
          <w:bCs/>
          <w:sz w:val="18"/>
          <w:szCs w:val="18"/>
        </w:rPr>
        <w:t>3） 按坏账计提方法分类披露</w:t>
      </w:r>
      <w:bookmarkEnd w:id="595"/>
    </w:p>
    <w:p w14:paraId="02B0D88A">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AF73351">
      <w:pPr>
        <w:keepNext/>
        <w:keepLines/>
        <w:spacing w:before="300" w:after="300" w:line="280" w:lineRule="exact"/>
        <w:jc w:val="left"/>
        <w:outlineLvl w:val="4"/>
        <w:rPr>
          <w:rFonts w:ascii="宋体" w:hAnsi="宋体" w:eastAsia="宋体" w:cs="宋体"/>
          <w:b/>
          <w:bCs/>
          <w:sz w:val="21"/>
          <w:szCs w:val="21"/>
        </w:rPr>
      </w:pPr>
      <w:bookmarkStart w:id="596" w:name="_Toc989479"/>
      <w:r>
        <w:rPr>
          <w:rFonts w:ascii="宋体" w:hAnsi="宋体" w:eastAsia="宋体" w:cs="宋体"/>
          <w:b/>
          <w:bCs/>
          <w:sz w:val="21"/>
          <w:szCs w:val="21"/>
        </w:rPr>
        <w:t>4） 本期计提、收回或转回的坏账准备的情况</w:t>
      </w:r>
      <w:bookmarkEnd w:id="596"/>
    </w:p>
    <w:p w14:paraId="039F40A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00F0D9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5593AD8">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B93F332">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17E6FB11">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D00B6C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369ED7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509C1B1"/>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5083D03"/>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F2EF817">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E11AE56">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214B37C">
            <w:pPr>
              <w:spacing w:before="40" w:after="40" w:line="240" w:lineRule="exact"/>
              <w:jc w:val="center"/>
              <w:rPr>
                <w:rFonts w:ascii="宋体" w:hAnsi="宋体" w:eastAsia="宋体" w:cs="宋体"/>
                <w:sz w:val="18"/>
                <w:szCs w:val="18"/>
              </w:rPr>
            </w:pPr>
            <w:r>
              <w:rPr>
                <w:rFonts w:ascii="宋体" w:hAnsi="宋体" w:eastAsia="宋体" w:cs="宋体"/>
                <w:sz w:val="18"/>
                <w:szCs w:val="18"/>
              </w:rPr>
              <w:t>转销或核销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258D2E2">
            <w:pPr>
              <w:spacing w:before="40" w:after="40" w:line="240" w:lineRule="exact"/>
              <w:jc w:val="center"/>
              <w:rPr>
                <w:rFonts w:ascii="宋体" w:hAnsi="宋体" w:eastAsia="宋体" w:cs="宋体"/>
                <w:sz w:val="18"/>
                <w:szCs w:val="18"/>
              </w:rPr>
            </w:pPr>
            <w:r>
              <w:rPr>
                <w:rFonts w:ascii="宋体" w:hAnsi="宋体" w:eastAsia="宋体" w:cs="宋体"/>
                <w:sz w:val="18"/>
                <w:szCs w:val="18"/>
              </w:rPr>
              <w:t>其他变动</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B9AAEEB"/>
        </w:tc>
      </w:tr>
    </w:tbl>
    <w:p w14:paraId="5C38A789">
      <w:pPr>
        <w:spacing w:before="100" w:after="100" w:line="240" w:lineRule="exact"/>
        <w:jc w:val="left"/>
        <w:rPr>
          <w:rFonts w:ascii="宋体" w:hAnsi="宋体" w:eastAsia="宋体" w:cs="宋体"/>
          <w:sz w:val="18"/>
          <w:szCs w:val="18"/>
        </w:rPr>
      </w:pPr>
      <w:r>
        <w:rPr>
          <w:rFonts w:ascii="宋体" w:hAnsi="宋体" w:eastAsia="宋体" w:cs="宋体"/>
          <w:sz w:val="18"/>
          <w:szCs w:val="18"/>
        </w:rPr>
        <w:t>其中本期坏账准备收回或转回金额重要的：</w:t>
      </w:r>
    </w:p>
    <w:p w14:paraId="057875D3">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535E56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8AFF010">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9C9AA28">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A85F6DE">
            <w:pPr>
              <w:spacing w:before="40" w:after="40" w:line="240" w:lineRule="exact"/>
              <w:jc w:val="center"/>
              <w:rPr>
                <w:rFonts w:ascii="宋体" w:hAnsi="宋体" w:eastAsia="宋体" w:cs="宋体"/>
                <w:sz w:val="18"/>
                <w:szCs w:val="18"/>
              </w:rPr>
            </w:pPr>
            <w:r>
              <w:rPr>
                <w:rFonts w:ascii="宋体" w:hAnsi="宋体" w:eastAsia="宋体" w:cs="宋体"/>
                <w:sz w:val="18"/>
                <w:szCs w:val="18"/>
              </w:rPr>
              <w:t>转回原因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9D24A1E">
            <w:pPr>
              <w:spacing w:before="40" w:after="40" w:line="240" w:lineRule="exact"/>
              <w:jc w:val="center"/>
              <w:rPr>
                <w:rFonts w:ascii="宋体" w:hAnsi="宋体" w:eastAsia="宋体" w:cs="宋体"/>
                <w:sz w:val="18"/>
                <w:szCs w:val="18"/>
              </w:rPr>
            </w:pPr>
            <w:r>
              <w:rPr>
                <w:rFonts w:ascii="宋体" w:hAnsi="宋体" w:eastAsia="宋体" w:cs="宋体"/>
                <w:sz w:val="18"/>
                <w:szCs w:val="18"/>
              </w:rPr>
              <w:t>收回方式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64F408E">
            <w:pPr>
              <w:spacing w:before="40" w:after="40" w:line="240" w:lineRule="exact"/>
              <w:jc w:val="center"/>
              <w:rPr>
                <w:rFonts w:ascii="宋体" w:hAnsi="宋体" w:eastAsia="宋体" w:cs="宋体"/>
                <w:sz w:val="18"/>
                <w:szCs w:val="18"/>
              </w:rPr>
            </w:pPr>
            <w:r>
              <w:rPr>
                <w:rFonts w:ascii="宋体" w:hAnsi="宋体" w:eastAsia="宋体" w:cs="宋体"/>
                <w:sz w:val="18"/>
                <w:szCs w:val="18"/>
              </w:rPr>
              <w:t>确定原坏账准备计提比例的依据及其合理性</w:t>
            </w:r>
          </w:p>
        </w:tc>
      </w:tr>
    </w:tbl>
    <w:p w14:paraId="4A43B73C">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55F2DDDB">
      <w:pPr>
        <w:keepNext/>
        <w:keepLines/>
        <w:spacing w:before="300" w:after="300" w:line="280" w:lineRule="exact"/>
        <w:jc w:val="left"/>
        <w:outlineLvl w:val="4"/>
        <w:rPr>
          <w:rFonts w:ascii="宋体" w:hAnsi="宋体" w:eastAsia="宋体" w:cs="宋体"/>
          <w:b/>
          <w:bCs/>
          <w:sz w:val="21"/>
          <w:szCs w:val="21"/>
        </w:rPr>
      </w:pPr>
      <w:bookmarkStart w:id="597" w:name="_Toc989480"/>
      <w:r>
        <w:rPr>
          <w:rFonts w:ascii="宋体" w:hAnsi="宋体" w:eastAsia="宋体" w:cs="宋体"/>
          <w:b/>
          <w:bCs/>
          <w:sz w:val="21"/>
          <w:szCs w:val="21"/>
        </w:rPr>
        <w:t>5） 本期实际核销的应收股利情况</w:t>
      </w:r>
      <w:bookmarkEnd w:id="597"/>
    </w:p>
    <w:p w14:paraId="0C73702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1813F4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942A93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638F7018">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675BA630">
      <w:pPr>
        <w:spacing w:before="0" w:after="0" w:line="240" w:lineRule="exact"/>
        <w:jc w:val="left"/>
        <w:rPr>
          <w:rFonts w:ascii="宋体" w:hAnsi="宋体" w:eastAsia="宋体" w:cs="宋体"/>
          <w:sz w:val="18"/>
          <w:szCs w:val="18"/>
        </w:rPr>
      </w:pPr>
      <w:r>
        <w:rPr>
          <w:rFonts w:ascii="宋体" w:hAnsi="宋体" w:eastAsia="宋体" w:cs="宋体"/>
          <w:sz w:val="18"/>
          <w:szCs w:val="18"/>
        </w:rPr>
        <w:t>其中重要的应收股利核销情况</w:t>
      </w:r>
    </w:p>
    <w:p w14:paraId="76E32C6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6191F7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15A59A6">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FB42588">
            <w:pPr>
              <w:spacing w:before="40" w:after="40" w:line="240" w:lineRule="exact"/>
              <w:jc w:val="center"/>
              <w:rPr>
                <w:rFonts w:ascii="宋体" w:hAnsi="宋体" w:eastAsia="宋体" w:cs="宋体"/>
                <w:sz w:val="18"/>
                <w:szCs w:val="18"/>
              </w:rPr>
            </w:pPr>
            <w:r>
              <w:rPr>
                <w:rFonts w:ascii="宋体" w:hAnsi="宋体" w:eastAsia="宋体" w:cs="宋体"/>
                <w:sz w:val="18"/>
                <w:szCs w:val="18"/>
              </w:rPr>
              <w:t>款项性质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262FD26">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F4F6549">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306DA9D4">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8CF434B">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227B08B2">
      <w:pPr>
        <w:spacing w:before="0" w:after="0" w:line="240" w:lineRule="exact"/>
        <w:jc w:val="left"/>
        <w:rPr>
          <w:rFonts w:ascii="宋体" w:hAnsi="宋体" w:eastAsia="宋体" w:cs="宋体"/>
          <w:sz w:val="18"/>
          <w:szCs w:val="18"/>
        </w:rPr>
      </w:pPr>
      <w:r>
        <w:rPr>
          <w:rFonts w:ascii="宋体" w:hAnsi="宋体" w:eastAsia="宋体" w:cs="宋体"/>
          <w:sz w:val="18"/>
          <w:szCs w:val="18"/>
        </w:rPr>
        <w:t>核销说明：</w:t>
      </w:r>
    </w:p>
    <w:p w14:paraId="54D9CD1A">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21C72B64">
      <w:pPr>
        <w:keepNext/>
        <w:keepLines/>
        <w:spacing w:before="300" w:after="300" w:line="280" w:lineRule="exact"/>
        <w:jc w:val="left"/>
        <w:outlineLvl w:val="3"/>
        <w:rPr>
          <w:rFonts w:ascii="宋体" w:hAnsi="宋体" w:eastAsia="宋体" w:cs="宋体"/>
          <w:b/>
          <w:bCs/>
          <w:sz w:val="18"/>
          <w:szCs w:val="18"/>
        </w:rPr>
      </w:pPr>
      <w:bookmarkStart w:id="598" w:name="_Toc989481"/>
      <w:r>
        <w:rPr>
          <w:rFonts w:ascii="宋体" w:hAnsi="宋体" w:eastAsia="宋体" w:cs="宋体"/>
          <w:b/>
          <w:bCs/>
          <w:sz w:val="18"/>
          <w:szCs w:val="18"/>
        </w:rPr>
        <w:t>（3） 其他应收款</w:t>
      </w:r>
      <w:bookmarkEnd w:id="598"/>
    </w:p>
    <w:p w14:paraId="63786C48">
      <w:pPr>
        <w:keepNext/>
        <w:keepLines/>
        <w:spacing w:before="300" w:after="300" w:line="280" w:lineRule="exact"/>
        <w:jc w:val="left"/>
        <w:outlineLvl w:val="4"/>
        <w:rPr>
          <w:rFonts w:ascii="宋体" w:hAnsi="宋体" w:eastAsia="宋体" w:cs="宋体"/>
          <w:b/>
          <w:bCs/>
          <w:sz w:val="18"/>
          <w:szCs w:val="18"/>
        </w:rPr>
      </w:pPr>
      <w:bookmarkStart w:id="599" w:name="_Toc989482"/>
      <w:r>
        <w:rPr>
          <w:rFonts w:ascii="宋体" w:hAnsi="宋体" w:eastAsia="宋体" w:cs="宋体"/>
          <w:b/>
          <w:bCs/>
          <w:sz w:val="18"/>
          <w:szCs w:val="18"/>
        </w:rPr>
        <w:t>1） 其他应收款按款项性质分类情况</w:t>
      </w:r>
      <w:bookmarkEnd w:id="599"/>
    </w:p>
    <w:p w14:paraId="681B295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64557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AEF4A67">
            <w:pPr>
              <w:spacing w:before="40" w:after="40" w:line="240" w:lineRule="exact"/>
              <w:jc w:val="center"/>
              <w:rPr>
                <w:rFonts w:ascii="宋体" w:hAnsi="宋体" w:eastAsia="宋体" w:cs="宋体"/>
                <w:sz w:val="18"/>
                <w:szCs w:val="18"/>
              </w:rPr>
            </w:pPr>
            <w:r>
              <w:rPr>
                <w:rFonts w:ascii="宋体" w:hAnsi="宋体" w:eastAsia="宋体" w:cs="宋体"/>
                <w:sz w:val="18"/>
                <w:szCs w:val="18"/>
              </w:rPr>
              <w:t>款项性质</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8CF1BF">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520750">
            <w:pPr>
              <w:spacing w:before="40" w:after="40" w:line="240" w:lineRule="exact"/>
              <w:jc w:val="center"/>
              <w:rPr>
                <w:rFonts w:ascii="宋体" w:hAnsi="宋体" w:eastAsia="宋体" w:cs="宋体"/>
                <w:sz w:val="18"/>
                <w:szCs w:val="18"/>
              </w:rPr>
            </w:pPr>
            <w:r>
              <w:rPr>
                <w:rFonts w:ascii="宋体" w:hAnsi="宋体" w:eastAsia="宋体" w:cs="宋体"/>
                <w:sz w:val="18"/>
                <w:szCs w:val="18"/>
              </w:rPr>
              <w:t>期初账面余额</w:t>
            </w:r>
          </w:p>
        </w:tc>
      </w:tr>
      <w:tr w14:paraId="6EBC9E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A961B7F">
            <w:pPr>
              <w:spacing w:before="0" w:after="0" w:line="240" w:lineRule="exact"/>
              <w:jc w:val="left"/>
              <w:rPr>
                <w:rFonts w:ascii="宋体" w:hAnsi="宋体" w:eastAsia="宋体" w:cs="宋体"/>
                <w:sz w:val="18"/>
                <w:szCs w:val="18"/>
              </w:rPr>
            </w:pPr>
            <w:r>
              <w:rPr>
                <w:rFonts w:ascii="宋体" w:hAnsi="宋体" w:eastAsia="宋体" w:cs="宋体"/>
                <w:sz w:val="18"/>
                <w:szCs w:val="18"/>
              </w:rPr>
              <w:t>保证金、押金及员工备用金</w:t>
            </w:r>
          </w:p>
        </w:tc>
        <w:tc>
          <w:tcPr>
            <w:tcW w:w="3213" w:type="dxa"/>
            <w:tcBorders>
              <w:top w:val="single" w:color="auto" w:sz="2" w:space="0"/>
              <w:left w:val="single" w:color="auto" w:sz="2" w:space="0"/>
              <w:bottom w:val="single" w:color="auto" w:sz="2" w:space="0"/>
              <w:right w:val="single" w:color="auto" w:sz="2" w:space="0"/>
            </w:tcBorders>
            <w:vAlign w:val="center"/>
          </w:tcPr>
          <w:p w14:paraId="1686D023">
            <w:pPr>
              <w:spacing w:before="0" w:after="0" w:line="240" w:lineRule="exact"/>
              <w:jc w:val="right"/>
              <w:rPr>
                <w:rFonts w:ascii="宋体" w:hAnsi="宋体" w:eastAsia="宋体" w:cs="宋体"/>
                <w:sz w:val="18"/>
                <w:szCs w:val="18"/>
              </w:rPr>
            </w:pPr>
            <w:r>
              <w:rPr>
                <w:rFonts w:ascii="宋体" w:hAnsi="宋体" w:eastAsia="宋体" w:cs="宋体"/>
                <w:sz w:val="18"/>
                <w:szCs w:val="18"/>
              </w:rPr>
              <w:t>3,537,901.31</w:t>
            </w:r>
          </w:p>
        </w:tc>
        <w:tc>
          <w:tcPr>
            <w:tcW w:w="3213" w:type="dxa"/>
            <w:tcBorders>
              <w:top w:val="single" w:color="auto" w:sz="2" w:space="0"/>
              <w:left w:val="single" w:color="auto" w:sz="2" w:space="0"/>
              <w:bottom w:val="single" w:color="auto" w:sz="2" w:space="0"/>
              <w:right w:val="single" w:color="auto" w:sz="2" w:space="0"/>
            </w:tcBorders>
            <w:vAlign w:val="center"/>
          </w:tcPr>
          <w:p w14:paraId="008E53B2">
            <w:pPr>
              <w:spacing w:before="0" w:after="0" w:line="240" w:lineRule="exact"/>
              <w:jc w:val="right"/>
              <w:rPr>
                <w:rFonts w:ascii="宋体" w:hAnsi="宋体" w:eastAsia="宋体" w:cs="宋体"/>
                <w:sz w:val="18"/>
                <w:szCs w:val="18"/>
              </w:rPr>
            </w:pPr>
            <w:r>
              <w:rPr>
                <w:rFonts w:ascii="宋体" w:hAnsi="宋体" w:eastAsia="宋体" w:cs="宋体"/>
                <w:sz w:val="18"/>
                <w:szCs w:val="18"/>
              </w:rPr>
              <w:t>507,046.00</w:t>
            </w:r>
          </w:p>
        </w:tc>
      </w:tr>
      <w:tr w14:paraId="0A7628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3F3A7B1">
            <w:pPr>
              <w:spacing w:before="0" w:after="0" w:line="240" w:lineRule="exact"/>
              <w:jc w:val="left"/>
              <w:rPr>
                <w:rFonts w:ascii="宋体" w:hAnsi="宋体" w:eastAsia="宋体" w:cs="宋体"/>
                <w:sz w:val="18"/>
                <w:szCs w:val="18"/>
              </w:rPr>
            </w:pPr>
            <w:r>
              <w:rPr>
                <w:rFonts w:ascii="宋体" w:hAnsi="宋体" w:eastAsia="宋体" w:cs="宋体"/>
                <w:sz w:val="18"/>
                <w:szCs w:val="18"/>
              </w:rPr>
              <w:t>并表关联方往来</w:t>
            </w:r>
          </w:p>
        </w:tc>
        <w:tc>
          <w:tcPr>
            <w:tcW w:w="3213" w:type="dxa"/>
            <w:tcBorders>
              <w:top w:val="single" w:color="auto" w:sz="2" w:space="0"/>
              <w:left w:val="single" w:color="auto" w:sz="2" w:space="0"/>
              <w:bottom w:val="single" w:color="auto" w:sz="2" w:space="0"/>
              <w:right w:val="single" w:color="auto" w:sz="2" w:space="0"/>
            </w:tcBorders>
            <w:vAlign w:val="center"/>
          </w:tcPr>
          <w:p w14:paraId="245D73E7">
            <w:pPr>
              <w:spacing w:before="0" w:after="0" w:line="240" w:lineRule="exact"/>
              <w:jc w:val="right"/>
              <w:rPr>
                <w:rFonts w:ascii="宋体" w:hAnsi="宋体" w:eastAsia="宋体" w:cs="宋体"/>
                <w:sz w:val="18"/>
                <w:szCs w:val="18"/>
              </w:rPr>
            </w:pPr>
            <w:r>
              <w:rPr>
                <w:rFonts w:ascii="宋体" w:hAnsi="宋体" w:eastAsia="宋体" w:cs="宋体"/>
                <w:sz w:val="18"/>
                <w:szCs w:val="18"/>
              </w:rPr>
              <w:t>38,118,766.67</w:t>
            </w:r>
          </w:p>
        </w:tc>
        <w:tc>
          <w:tcPr>
            <w:tcW w:w="3213" w:type="dxa"/>
            <w:tcBorders>
              <w:top w:val="single" w:color="auto" w:sz="2" w:space="0"/>
              <w:left w:val="single" w:color="auto" w:sz="2" w:space="0"/>
              <w:bottom w:val="single" w:color="auto" w:sz="2" w:space="0"/>
              <w:right w:val="single" w:color="auto" w:sz="2" w:space="0"/>
            </w:tcBorders>
            <w:vAlign w:val="center"/>
          </w:tcPr>
          <w:p w14:paraId="52A7A6B9">
            <w:pPr>
              <w:spacing w:before="0" w:after="0" w:line="240" w:lineRule="exact"/>
              <w:jc w:val="right"/>
              <w:rPr>
                <w:rFonts w:ascii="宋体" w:hAnsi="宋体" w:eastAsia="宋体" w:cs="宋体"/>
                <w:sz w:val="18"/>
                <w:szCs w:val="18"/>
              </w:rPr>
            </w:pPr>
            <w:r>
              <w:rPr>
                <w:rFonts w:ascii="宋体" w:hAnsi="宋体" w:eastAsia="宋体" w:cs="宋体"/>
                <w:sz w:val="18"/>
                <w:szCs w:val="18"/>
              </w:rPr>
              <w:t>47,136,951.38</w:t>
            </w:r>
          </w:p>
        </w:tc>
      </w:tr>
      <w:tr w14:paraId="6F1C7F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00F6F3E5">
            <w:pPr>
              <w:spacing w:before="0" w:after="0" w:line="240" w:lineRule="exact"/>
              <w:jc w:val="lef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14:paraId="34E23C55">
            <w:pPr>
              <w:spacing w:before="0" w:after="0" w:line="240" w:lineRule="exact"/>
              <w:jc w:val="right"/>
              <w:rPr>
                <w:rFonts w:ascii="宋体" w:hAnsi="宋体" w:eastAsia="宋体" w:cs="宋体"/>
                <w:sz w:val="18"/>
                <w:szCs w:val="18"/>
              </w:rPr>
            </w:pPr>
            <w:r>
              <w:rPr>
                <w:rFonts w:ascii="宋体" w:hAnsi="宋体" w:eastAsia="宋体" w:cs="宋体"/>
                <w:sz w:val="18"/>
                <w:szCs w:val="18"/>
              </w:rPr>
              <w:t>354,038.61</w:t>
            </w:r>
          </w:p>
        </w:tc>
        <w:tc>
          <w:tcPr>
            <w:tcW w:w="3213" w:type="dxa"/>
            <w:tcBorders>
              <w:top w:val="single" w:color="auto" w:sz="2" w:space="0"/>
              <w:left w:val="single" w:color="auto" w:sz="2" w:space="0"/>
              <w:bottom w:val="single" w:color="auto" w:sz="2" w:space="0"/>
              <w:right w:val="single" w:color="auto" w:sz="2" w:space="0"/>
            </w:tcBorders>
            <w:vAlign w:val="center"/>
          </w:tcPr>
          <w:p w14:paraId="7DCFF8F3">
            <w:pPr>
              <w:spacing w:before="0" w:after="0" w:line="240" w:lineRule="exact"/>
              <w:jc w:val="right"/>
              <w:rPr>
                <w:rFonts w:ascii="宋体" w:hAnsi="宋体" w:eastAsia="宋体" w:cs="宋体"/>
                <w:sz w:val="18"/>
                <w:szCs w:val="18"/>
              </w:rPr>
            </w:pPr>
            <w:r>
              <w:rPr>
                <w:rFonts w:ascii="宋体" w:hAnsi="宋体" w:eastAsia="宋体" w:cs="宋体"/>
                <w:sz w:val="18"/>
                <w:szCs w:val="18"/>
              </w:rPr>
              <w:t>380,132.79</w:t>
            </w:r>
          </w:p>
        </w:tc>
      </w:tr>
      <w:tr w14:paraId="703513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14:paraId="6D0D796E">
            <w:pPr>
              <w:spacing w:before="0" w:after="0" w:line="240" w:lineRule="exact"/>
              <w:jc w:val="left"/>
              <w:rPr>
                <w:rFonts w:ascii="宋体" w:hAnsi="宋体" w:eastAsia="宋体" w:cs="宋体"/>
                <w:sz w:val="18"/>
                <w:szCs w:val="18"/>
              </w:rPr>
            </w:pPr>
            <w:r>
              <w:rPr>
                <w:rFonts w:ascii="宋体" w:hAnsi="宋体" w:eastAsia="宋体" w:cs="宋体"/>
                <w:sz w:val="18"/>
                <w:szCs w:val="18"/>
              </w:rPr>
              <w:t>减：坏账准备</w:t>
            </w:r>
          </w:p>
        </w:tc>
        <w:tc>
          <w:tcPr>
            <w:tcW w:w="3213" w:type="dxa"/>
            <w:tcBorders>
              <w:top w:val="single" w:color="auto" w:sz="2" w:space="0"/>
              <w:left w:val="single" w:color="auto" w:sz="2" w:space="0"/>
              <w:bottom w:val="single" w:color="auto" w:sz="2" w:space="0"/>
              <w:right w:val="single" w:color="auto" w:sz="2" w:space="0"/>
            </w:tcBorders>
            <w:vAlign w:val="center"/>
          </w:tcPr>
          <w:p w14:paraId="206DCC07">
            <w:pPr>
              <w:spacing w:before="0" w:after="0" w:line="240" w:lineRule="exact"/>
              <w:jc w:val="right"/>
              <w:rPr>
                <w:rFonts w:ascii="宋体" w:hAnsi="宋体" w:eastAsia="宋体" w:cs="宋体"/>
                <w:sz w:val="18"/>
                <w:szCs w:val="18"/>
              </w:rPr>
            </w:pPr>
            <w:r>
              <w:rPr>
                <w:rFonts w:ascii="宋体" w:hAnsi="宋体" w:eastAsia="宋体" w:cs="宋体"/>
                <w:sz w:val="18"/>
                <w:szCs w:val="18"/>
              </w:rPr>
              <w:t>-17,701.93</w:t>
            </w:r>
          </w:p>
        </w:tc>
        <w:tc>
          <w:tcPr>
            <w:tcW w:w="3213" w:type="dxa"/>
            <w:tcBorders>
              <w:top w:val="single" w:color="auto" w:sz="2" w:space="0"/>
              <w:left w:val="single" w:color="auto" w:sz="2" w:space="0"/>
              <w:bottom w:val="single" w:color="auto" w:sz="2" w:space="0"/>
              <w:right w:val="single" w:color="auto" w:sz="2" w:space="0"/>
            </w:tcBorders>
            <w:vAlign w:val="center"/>
          </w:tcPr>
          <w:p w14:paraId="695FD581">
            <w:pPr>
              <w:spacing w:before="0" w:after="0" w:line="240" w:lineRule="exact"/>
              <w:jc w:val="right"/>
              <w:rPr>
                <w:rFonts w:ascii="宋体" w:hAnsi="宋体" w:eastAsia="宋体" w:cs="宋体"/>
                <w:sz w:val="18"/>
                <w:szCs w:val="18"/>
              </w:rPr>
            </w:pPr>
            <w:r>
              <w:rPr>
                <w:rFonts w:ascii="宋体" w:hAnsi="宋体" w:eastAsia="宋体" w:cs="宋体"/>
                <w:sz w:val="18"/>
                <w:szCs w:val="18"/>
              </w:rPr>
              <w:t>-19,006.64</w:t>
            </w:r>
          </w:p>
        </w:tc>
      </w:tr>
      <w:tr w14:paraId="38B3B3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B607835">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52F7B049">
            <w:pPr>
              <w:spacing w:before="0" w:after="0" w:line="240" w:lineRule="exact"/>
              <w:jc w:val="right"/>
              <w:rPr>
                <w:rFonts w:ascii="宋体" w:hAnsi="宋体" w:eastAsia="宋体" w:cs="宋体"/>
                <w:sz w:val="18"/>
                <w:szCs w:val="18"/>
              </w:rPr>
            </w:pPr>
            <w:r>
              <w:rPr>
                <w:rFonts w:ascii="宋体" w:hAnsi="宋体" w:eastAsia="宋体" w:cs="宋体"/>
                <w:sz w:val="18"/>
                <w:szCs w:val="18"/>
              </w:rPr>
              <w:t>41,993,004.66</w:t>
            </w:r>
          </w:p>
        </w:tc>
        <w:tc>
          <w:tcPr>
            <w:tcW w:w="3213" w:type="dxa"/>
            <w:tcBorders>
              <w:top w:val="single" w:color="auto" w:sz="2" w:space="0"/>
              <w:left w:val="single" w:color="auto" w:sz="2" w:space="0"/>
              <w:bottom w:val="single" w:color="auto" w:sz="2" w:space="0"/>
              <w:right w:val="single" w:color="auto" w:sz="2" w:space="0"/>
            </w:tcBorders>
            <w:vAlign w:val="center"/>
          </w:tcPr>
          <w:p w14:paraId="34241B70">
            <w:pPr>
              <w:spacing w:before="0" w:after="0" w:line="240" w:lineRule="exact"/>
              <w:jc w:val="right"/>
              <w:rPr>
                <w:rFonts w:ascii="宋体" w:hAnsi="宋体" w:eastAsia="宋体" w:cs="宋体"/>
                <w:sz w:val="18"/>
                <w:szCs w:val="18"/>
              </w:rPr>
            </w:pPr>
            <w:r>
              <w:rPr>
                <w:rFonts w:ascii="宋体" w:hAnsi="宋体" w:eastAsia="宋体" w:cs="宋体"/>
                <w:sz w:val="18"/>
                <w:szCs w:val="18"/>
              </w:rPr>
              <w:t>48,005,123.53</w:t>
            </w:r>
          </w:p>
        </w:tc>
      </w:tr>
    </w:tbl>
    <w:p w14:paraId="2FBFDF66">
      <w:pPr>
        <w:keepNext/>
        <w:keepLines/>
        <w:spacing w:before="300" w:after="300" w:line="280" w:lineRule="exact"/>
        <w:jc w:val="left"/>
        <w:outlineLvl w:val="4"/>
        <w:rPr>
          <w:rFonts w:ascii="宋体" w:hAnsi="宋体" w:eastAsia="宋体" w:cs="宋体"/>
          <w:b/>
          <w:bCs/>
          <w:sz w:val="18"/>
          <w:szCs w:val="18"/>
        </w:rPr>
      </w:pPr>
      <w:bookmarkStart w:id="600" w:name="_Toc989483"/>
      <w:r>
        <w:rPr>
          <w:rFonts w:ascii="宋体" w:hAnsi="宋体" w:eastAsia="宋体" w:cs="宋体"/>
          <w:b/>
          <w:bCs/>
          <w:sz w:val="18"/>
          <w:szCs w:val="18"/>
        </w:rPr>
        <w:t>2） 按账龄披露</w:t>
      </w:r>
      <w:bookmarkEnd w:id="600"/>
    </w:p>
    <w:p w14:paraId="1791FAA5">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59E5A9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1418AAA">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DEC15A3">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F24A5AF">
            <w:pPr>
              <w:spacing w:before="40" w:after="40" w:line="240" w:lineRule="exact"/>
              <w:jc w:val="center"/>
              <w:rPr>
                <w:rFonts w:ascii="宋体" w:hAnsi="宋体" w:eastAsia="宋体" w:cs="宋体"/>
                <w:sz w:val="18"/>
                <w:szCs w:val="18"/>
              </w:rPr>
            </w:pPr>
            <w:r>
              <w:rPr>
                <w:rFonts w:ascii="宋体" w:hAnsi="宋体" w:eastAsia="宋体" w:cs="宋体"/>
                <w:sz w:val="18"/>
                <w:szCs w:val="18"/>
              </w:rPr>
              <w:t>期初账面余额</w:t>
            </w:r>
          </w:p>
        </w:tc>
      </w:tr>
      <w:tr w14:paraId="22CAF9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8F82AD6">
            <w:pPr>
              <w:spacing w:before="40" w:after="40" w:line="240" w:lineRule="exact"/>
              <w:jc w:val="left"/>
              <w:rPr>
                <w:rFonts w:ascii="宋体" w:hAnsi="宋体" w:eastAsia="宋体" w:cs="宋体"/>
                <w:sz w:val="18"/>
                <w:szCs w:val="18"/>
              </w:rPr>
            </w:pPr>
            <w:r>
              <w:rPr>
                <w:rFonts w:ascii="宋体" w:hAnsi="宋体" w:eastAsia="宋体" w:cs="宋体"/>
                <w:sz w:val="18"/>
                <w:szCs w:val="18"/>
              </w:rPr>
              <w:t>1年以内（含1年）</w:t>
            </w:r>
          </w:p>
        </w:tc>
        <w:tc>
          <w:tcPr>
            <w:tcW w:w="3213" w:type="dxa"/>
            <w:tcBorders>
              <w:top w:val="single" w:color="auto" w:sz="2" w:space="0"/>
              <w:left w:val="single" w:color="auto" w:sz="2" w:space="0"/>
              <w:bottom w:val="single" w:color="auto" w:sz="2" w:space="0"/>
              <w:right w:val="single" w:color="auto" w:sz="2" w:space="0"/>
            </w:tcBorders>
            <w:vAlign w:val="center"/>
          </w:tcPr>
          <w:p w14:paraId="6EACCDC0">
            <w:pPr>
              <w:spacing w:before="0" w:after="0" w:line="240" w:lineRule="exact"/>
              <w:jc w:val="right"/>
              <w:rPr>
                <w:rFonts w:ascii="宋体" w:hAnsi="宋体" w:eastAsia="宋体" w:cs="宋体"/>
                <w:sz w:val="18"/>
                <w:szCs w:val="18"/>
              </w:rPr>
            </w:pPr>
            <w:r>
              <w:rPr>
                <w:rFonts w:ascii="宋体" w:hAnsi="宋体" w:eastAsia="宋体" w:cs="宋体"/>
                <w:sz w:val="18"/>
                <w:szCs w:val="18"/>
              </w:rPr>
              <w:t>41,503,660.59</w:t>
            </w:r>
          </w:p>
        </w:tc>
        <w:tc>
          <w:tcPr>
            <w:tcW w:w="3213" w:type="dxa"/>
            <w:tcBorders>
              <w:top w:val="single" w:color="auto" w:sz="2" w:space="0"/>
              <w:left w:val="single" w:color="auto" w:sz="2" w:space="0"/>
              <w:bottom w:val="single" w:color="auto" w:sz="2" w:space="0"/>
              <w:right w:val="single" w:color="auto" w:sz="2" w:space="0"/>
            </w:tcBorders>
            <w:vAlign w:val="center"/>
          </w:tcPr>
          <w:p w14:paraId="1AD8FD21">
            <w:pPr>
              <w:spacing w:before="0" w:after="0" w:line="240" w:lineRule="exact"/>
              <w:jc w:val="right"/>
              <w:rPr>
                <w:rFonts w:ascii="宋体" w:hAnsi="宋体" w:eastAsia="宋体" w:cs="宋体"/>
                <w:sz w:val="18"/>
                <w:szCs w:val="18"/>
              </w:rPr>
            </w:pPr>
            <w:r>
              <w:rPr>
                <w:rFonts w:ascii="宋体" w:hAnsi="宋体" w:eastAsia="宋体" w:cs="宋体"/>
                <w:sz w:val="18"/>
                <w:szCs w:val="18"/>
              </w:rPr>
              <w:t>47,535,980.17</w:t>
            </w:r>
          </w:p>
        </w:tc>
      </w:tr>
      <w:tr w14:paraId="7234AC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DD3AB9C">
            <w:pPr>
              <w:spacing w:before="40" w:after="40" w:line="240" w:lineRule="exact"/>
              <w:jc w:val="left"/>
              <w:rPr>
                <w:rFonts w:ascii="宋体" w:hAnsi="宋体" w:eastAsia="宋体" w:cs="宋体"/>
                <w:sz w:val="18"/>
                <w:szCs w:val="18"/>
              </w:rPr>
            </w:pPr>
            <w:r>
              <w:rPr>
                <w:rFonts w:ascii="宋体" w:hAnsi="宋体" w:eastAsia="宋体" w:cs="宋体"/>
                <w:sz w:val="18"/>
                <w:szCs w:val="18"/>
              </w:rPr>
              <w:t>1至2年</w:t>
            </w:r>
          </w:p>
        </w:tc>
        <w:tc>
          <w:tcPr>
            <w:tcW w:w="3213" w:type="dxa"/>
            <w:tcBorders>
              <w:top w:val="single" w:color="auto" w:sz="2" w:space="0"/>
              <w:left w:val="single" w:color="auto" w:sz="2" w:space="0"/>
              <w:bottom w:val="single" w:color="auto" w:sz="2" w:space="0"/>
              <w:right w:val="single" w:color="auto" w:sz="2" w:space="0"/>
            </w:tcBorders>
            <w:vAlign w:val="center"/>
          </w:tcPr>
          <w:p w14:paraId="71D8F828">
            <w:pPr>
              <w:spacing w:before="0" w:after="0" w:line="240" w:lineRule="exact"/>
              <w:jc w:val="right"/>
              <w:rPr>
                <w:rFonts w:ascii="宋体" w:hAnsi="宋体" w:eastAsia="宋体" w:cs="宋体"/>
                <w:sz w:val="18"/>
                <w:szCs w:val="18"/>
              </w:rPr>
            </w:pPr>
            <w:r>
              <w:rPr>
                <w:rFonts w:ascii="宋体" w:hAnsi="宋体" w:eastAsia="宋体" w:cs="宋体"/>
                <w:sz w:val="18"/>
                <w:szCs w:val="18"/>
              </w:rPr>
              <w:t>348,896.00</w:t>
            </w:r>
          </w:p>
        </w:tc>
        <w:tc>
          <w:tcPr>
            <w:tcW w:w="3213" w:type="dxa"/>
            <w:tcBorders>
              <w:top w:val="single" w:color="auto" w:sz="2" w:space="0"/>
              <w:left w:val="single" w:color="auto" w:sz="2" w:space="0"/>
              <w:bottom w:val="single" w:color="auto" w:sz="2" w:space="0"/>
              <w:right w:val="single" w:color="auto" w:sz="2" w:space="0"/>
            </w:tcBorders>
            <w:vAlign w:val="center"/>
          </w:tcPr>
          <w:p w14:paraId="402F2BE2">
            <w:pPr>
              <w:spacing w:before="0" w:after="0" w:line="240" w:lineRule="exact"/>
              <w:jc w:val="right"/>
              <w:rPr>
                <w:rFonts w:ascii="宋体" w:hAnsi="宋体" w:eastAsia="宋体" w:cs="宋体"/>
                <w:sz w:val="18"/>
                <w:szCs w:val="18"/>
              </w:rPr>
            </w:pPr>
            <w:r>
              <w:rPr>
                <w:rFonts w:ascii="宋体" w:hAnsi="宋体" w:eastAsia="宋体" w:cs="宋体"/>
                <w:sz w:val="18"/>
                <w:szCs w:val="18"/>
              </w:rPr>
              <w:t>28,000.00</w:t>
            </w:r>
          </w:p>
        </w:tc>
      </w:tr>
      <w:tr w14:paraId="6897D2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B5FE621">
            <w:pPr>
              <w:spacing w:before="40" w:after="40" w:line="240" w:lineRule="exact"/>
              <w:jc w:val="left"/>
              <w:rPr>
                <w:rFonts w:ascii="宋体" w:hAnsi="宋体" w:eastAsia="宋体" w:cs="宋体"/>
                <w:sz w:val="18"/>
                <w:szCs w:val="18"/>
              </w:rPr>
            </w:pPr>
            <w:r>
              <w:rPr>
                <w:rFonts w:ascii="宋体" w:hAnsi="宋体" w:eastAsia="宋体" w:cs="宋体"/>
                <w:sz w:val="18"/>
                <w:szCs w:val="18"/>
              </w:rPr>
              <w:t>2至3年</w:t>
            </w:r>
          </w:p>
        </w:tc>
        <w:tc>
          <w:tcPr>
            <w:tcW w:w="3213" w:type="dxa"/>
            <w:tcBorders>
              <w:top w:val="single" w:color="auto" w:sz="2" w:space="0"/>
              <w:left w:val="single" w:color="auto" w:sz="2" w:space="0"/>
              <w:bottom w:val="single" w:color="auto" w:sz="2" w:space="0"/>
              <w:right w:val="single" w:color="auto" w:sz="2" w:space="0"/>
            </w:tcBorders>
            <w:vAlign w:val="center"/>
          </w:tcPr>
          <w:p w14:paraId="0E0C2555">
            <w:pPr>
              <w:spacing w:before="0" w:after="0" w:line="240" w:lineRule="exact"/>
              <w:jc w:val="right"/>
              <w:rPr>
                <w:rFonts w:ascii="宋体" w:hAnsi="宋体" w:eastAsia="宋体" w:cs="宋体"/>
                <w:sz w:val="18"/>
                <w:szCs w:val="18"/>
              </w:rPr>
            </w:pPr>
            <w:r>
              <w:rPr>
                <w:rFonts w:ascii="宋体" w:hAnsi="宋体" w:eastAsia="宋体" w:cs="宋体"/>
                <w:sz w:val="18"/>
                <w:szCs w:val="18"/>
              </w:rPr>
              <w:t>28,000.00</w:t>
            </w:r>
          </w:p>
        </w:tc>
        <w:tc>
          <w:tcPr>
            <w:tcW w:w="3213" w:type="dxa"/>
            <w:tcBorders>
              <w:top w:val="single" w:color="auto" w:sz="2" w:space="0"/>
              <w:left w:val="single" w:color="auto" w:sz="2" w:space="0"/>
              <w:bottom w:val="single" w:color="auto" w:sz="2" w:space="0"/>
              <w:right w:val="single" w:color="auto" w:sz="2" w:space="0"/>
            </w:tcBorders>
            <w:vAlign w:val="center"/>
          </w:tcPr>
          <w:p w14:paraId="00452CE6">
            <w:pPr>
              <w:spacing w:before="0" w:after="0" w:line="240" w:lineRule="exact"/>
              <w:jc w:val="right"/>
              <w:rPr>
                <w:rFonts w:ascii="宋体" w:hAnsi="宋体" w:eastAsia="宋体" w:cs="宋体"/>
                <w:sz w:val="18"/>
                <w:szCs w:val="18"/>
              </w:rPr>
            </w:pPr>
            <w:r>
              <w:rPr>
                <w:rFonts w:ascii="宋体" w:hAnsi="宋体" w:eastAsia="宋体" w:cs="宋体"/>
                <w:sz w:val="18"/>
                <w:szCs w:val="18"/>
              </w:rPr>
              <w:t>360,000.00</w:t>
            </w:r>
          </w:p>
        </w:tc>
      </w:tr>
      <w:tr w14:paraId="388B3C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6DEDA0A">
            <w:pPr>
              <w:spacing w:before="40" w:after="40" w:line="240" w:lineRule="exact"/>
              <w:jc w:val="left"/>
              <w:rPr>
                <w:rFonts w:ascii="宋体" w:hAnsi="宋体" w:eastAsia="宋体" w:cs="宋体"/>
                <w:sz w:val="18"/>
                <w:szCs w:val="18"/>
              </w:rPr>
            </w:pPr>
            <w:r>
              <w:rPr>
                <w:rFonts w:ascii="宋体" w:hAnsi="宋体" w:eastAsia="宋体" w:cs="宋体"/>
                <w:sz w:val="18"/>
                <w:szCs w:val="18"/>
              </w:rPr>
              <w:t>3年以上</w:t>
            </w:r>
          </w:p>
        </w:tc>
        <w:tc>
          <w:tcPr>
            <w:tcW w:w="3213" w:type="dxa"/>
            <w:tcBorders>
              <w:top w:val="single" w:color="auto" w:sz="2" w:space="0"/>
              <w:left w:val="single" w:color="auto" w:sz="2" w:space="0"/>
              <w:bottom w:val="single" w:color="auto" w:sz="2" w:space="0"/>
              <w:right w:val="single" w:color="auto" w:sz="2" w:space="0"/>
            </w:tcBorders>
            <w:vAlign w:val="center"/>
          </w:tcPr>
          <w:p w14:paraId="4A093723">
            <w:pPr>
              <w:spacing w:before="0" w:after="0" w:line="240" w:lineRule="exact"/>
              <w:jc w:val="right"/>
              <w:rPr>
                <w:rFonts w:ascii="宋体" w:hAnsi="宋体" w:eastAsia="宋体" w:cs="宋体"/>
                <w:sz w:val="18"/>
                <w:szCs w:val="18"/>
              </w:rPr>
            </w:pPr>
            <w:r>
              <w:rPr>
                <w:rFonts w:ascii="宋体" w:hAnsi="宋体" w:eastAsia="宋体" w:cs="宋体"/>
                <w:sz w:val="18"/>
                <w:szCs w:val="18"/>
              </w:rPr>
              <w:t>130,150.00</w:t>
            </w:r>
          </w:p>
        </w:tc>
        <w:tc>
          <w:tcPr>
            <w:tcW w:w="3213" w:type="dxa"/>
            <w:tcBorders>
              <w:top w:val="single" w:color="auto" w:sz="2" w:space="0"/>
              <w:left w:val="single" w:color="auto" w:sz="2" w:space="0"/>
              <w:bottom w:val="single" w:color="auto" w:sz="2" w:space="0"/>
              <w:right w:val="single" w:color="auto" w:sz="2" w:space="0"/>
            </w:tcBorders>
            <w:vAlign w:val="center"/>
          </w:tcPr>
          <w:p w14:paraId="12BE16BC">
            <w:pPr>
              <w:spacing w:before="0" w:after="0" w:line="240" w:lineRule="exact"/>
              <w:jc w:val="right"/>
              <w:rPr>
                <w:rFonts w:ascii="宋体" w:hAnsi="宋体" w:eastAsia="宋体" w:cs="宋体"/>
                <w:sz w:val="18"/>
                <w:szCs w:val="18"/>
              </w:rPr>
            </w:pPr>
            <w:r>
              <w:rPr>
                <w:rFonts w:ascii="宋体" w:hAnsi="宋体" w:eastAsia="宋体" w:cs="宋体"/>
                <w:sz w:val="18"/>
                <w:szCs w:val="18"/>
              </w:rPr>
              <w:t>100,150.00</w:t>
            </w:r>
          </w:p>
        </w:tc>
      </w:tr>
      <w:tr w14:paraId="1472BD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F7890A8">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3至4年</w:t>
            </w:r>
          </w:p>
        </w:tc>
        <w:tc>
          <w:tcPr>
            <w:tcW w:w="3213" w:type="dxa"/>
            <w:tcBorders>
              <w:top w:val="single" w:color="auto" w:sz="2" w:space="0"/>
              <w:left w:val="single" w:color="auto" w:sz="2" w:space="0"/>
              <w:bottom w:val="single" w:color="auto" w:sz="2" w:space="0"/>
              <w:right w:val="single" w:color="auto" w:sz="2" w:space="0"/>
            </w:tcBorders>
            <w:vAlign w:val="center"/>
          </w:tcPr>
          <w:p w14:paraId="2D7B5B1F">
            <w:pPr>
              <w:spacing w:before="0" w:after="0" w:line="240" w:lineRule="exact"/>
              <w:jc w:val="right"/>
              <w:rPr>
                <w:rFonts w:ascii="宋体" w:hAnsi="宋体" w:eastAsia="宋体" w:cs="宋体"/>
                <w:sz w:val="18"/>
                <w:szCs w:val="18"/>
              </w:rPr>
            </w:pPr>
            <w:r>
              <w:rPr>
                <w:rFonts w:ascii="宋体" w:hAnsi="宋体" w:eastAsia="宋体" w:cs="宋体"/>
                <w:sz w:val="18"/>
                <w:szCs w:val="18"/>
              </w:rPr>
              <w:t>30,000.00</w:t>
            </w:r>
          </w:p>
        </w:tc>
        <w:tc>
          <w:tcPr>
            <w:tcW w:w="3213" w:type="dxa"/>
            <w:tcBorders>
              <w:top w:val="single" w:color="auto" w:sz="2" w:space="0"/>
              <w:left w:val="single" w:color="auto" w:sz="2" w:space="0"/>
              <w:bottom w:val="single" w:color="auto" w:sz="2" w:space="0"/>
              <w:right w:val="single" w:color="auto" w:sz="2" w:space="0"/>
            </w:tcBorders>
            <w:vAlign w:val="center"/>
          </w:tcPr>
          <w:p w14:paraId="54F3054A">
            <w:pPr>
              <w:spacing w:before="0" w:after="0" w:line="240" w:lineRule="exact"/>
              <w:jc w:val="right"/>
              <w:rPr>
                <w:rFonts w:ascii="宋体" w:hAnsi="宋体" w:eastAsia="宋体" w:cs="宋体"/>
                <w:sz w:val="18"/>
                <w:szCs w:val="18"/>
              </w:rPr>
            </w:pPr>
            <w:r>
              <w:rPr>
                <w:rFonts w:ascii="宋体" w:hAnsi="宋体" w:eastAsia="宋体" w:cs="宋体"/>
                <w:sz w:val="18"/>
                <w:szCs w:val="18"/>
              </w:rPr>
              <w:t>94,650.00</w:t>
            </w:r>
          </w:p>
        </w:tc>
      </w:tr>
      <w:tr w14:paraId="39B510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4AA5A44">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4至5年</w:t>
            </w:r>
          </w:p>
        </w:tc>
        <w:tc>
          <w:tcPr>
            <w:tcW w:w="3213" w:type="dxa"/>
            <w:tcBorders>
              <w:top w:val="single" w:color="auto" w:sz="2" w:space="0"/>
              <w:left w:val="single" w:color="auto" w:sz="2" w:space="0"/>
              <w:bottom w:val="single" w:color="auto" w:sz="2" w:space="0"/>
              <w:right w:val="single" w:color="auto" w:sz="2" w:space="0"/>
            </w:tcBorders>
            <w:vAlign w:val="center"/>
          </w:tcPr>
          <w:p w14:paraId="3CE2627B">
            <w:pPr>
              <w:spacing w:before="0" w:after="0" w:line="240" w:lineRule="exact"/>
              <w:jc w:val="right"/>
              <w:rPr>
                <w:rFonts w:ascii="宋体" w:hAnsi="宋体" w:eastAsia="宋体" w:cs="宋体"/>
                <w:sz w:val="18"/>
                <w:szCs w:val="18"/>
              </w:rPr>
            </w:pPr>
            <w:r>
              <w:rPr>
                <w:rFonts w:ascii="宋体" w:hAnsi="宋体" w:eastAsia="宋体" w:cs="宋体"/>
                <w:sz w:val="18"/>
                <w:szCs w:val="18"/>
              </w:rPr>
              <w:t>94,650.00</w:t>
            </w:r>
          </w:p>
        </w:tc>
        <w:tc>
          <w:tcPr>
            <w:tcW w:w="3213" w:type="dxa"/>
            <w:tcBorders>
              <w:top w:val="single" w:color="auto" w:sz="2" w:space="0"/>
              <w:left w:val="single" w:color="auto" w:sz="2" w:space="0"/>
              <w:bottom w:val="single" w:color="auto" w:sz="2" w:space="0"/>
              <w:right w:val="single" w:color="auto" w:sz="2" w:space="0"/>
            </w:tcBorders>
            <w:vAlign w:val="center"/>
          </w:tcPr>
          <w:p w14:paraId="081C1F72">
            <w:pPr>
              <w:spacing w:before="0" w:after="0" w:line="240" w:lineRule="exact"/>
              <w:jc w:val="right"/>
              <w:rPr>
                <w:rFonts w:ascii="宋体" w:hAnsi="宋体" w:eastAsia="宋体" w:cs="宋体"/>
                <w:sz w:val="18"/>
                <w:szCs w:val="18"/>
              </w:rPr>
            </w:pPr>
          </w:p>
        </w:tc>
      </w:tr>
      <w:tr w14:paraId="17E6E9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47769CE">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5年以上</w:t>
            </w:r>
          </w:p>
        </w:tc>
        <w:tc>
          <w:tcPr>
            <w:tcW w:w="3213" w:type="dxa"/>
            <w:tcBorders>
              <w:top w:val="single" w:color="auto" w:sz="2" w:space="0"/>
              <w:left w:val="single" w:color="auto" w:sz="2" w:space="0"/>
              <w:bottom w:val="single" w:color="auto" w:sz="2" w:space="0"/>
              <w:right w:val="single" w:color="auto" w:sz="2" w:space="0"/>
            </w:tcBorders>
            <w:vAlign w:val="center"/>
          </w:tcPr>
          <w:p w14:paraId="099397AF">
            <w:pPr>
              <w:spacing w:before="0" w:after="0" w:line="240" w:lineRule="exact"/>
              <w:jc w:val="right"/>
              <w:rPr>
                <w:rFonts w:ascii="宋体" w:hAnsi="宋体" w:eastAsia="宋体" w:cs="宋体"/>
                <w:sz w:val="18"/>
                <w:szCs w:val="18"/>
              </w:rPr>
            </w:pPr>
            <w:r>
              <w:rPr>
                <w:rFonts w:ascii="宋体" w:hAnsi="宋体" w:eastAsia="宋体" w:cs="宋体"/>
                <w:sz w:val="18"/>
                <w:szCs w:val="18"/>
              </w:rPr>
              <w:t>5,500.00</w:t>
            </w:r>
          </w:p>
        </w:tc>
        <w:tc>
          <w:tcPr>
            <w:tcW w:w="3213" w:type="dxa"/>
            <w:tcBorders>
              <w:top w:val="single" w:color="auto" w:sz="2" w:space="0"/>
              <w:left w:val="single" w:color="auto" w:sz="2" w:space="0"/>
              <w:bottom w:val="single" w:color="auto" w:sz="2" w:space="0"/>
              <w:right w:val="single" w:color="auto" w:sz="2" w:space="0"/>
            </w:tcBorders>
            <w:vAlign w:val="center"/>
          </w:tcPr>
          <w:p w14:paraId="30128CF7">
            <w:pPr>
              <w:spacing w:before="0" w:after="0" w:line="240" w:lineRule="exact"/>
              <w:jc w:val="right"/>
              <w:rPr>
                <w:rFonts w:ascii="宋体" w:hAnsi="宋体" w:eastAsia="宋体" w:cs="宋体"/>
                <w:sz w:val="18"/>
                <w:szCs w:val="18"/>
              </w:rPr>
            </w:pPr>
            <w:r>
              <w:rPr>
                <w:rFonts w:ascii="宋体" w:hAnsi="宋体" w:eastAsia="宋体" w:cs="宋体"/>
                <w:sz w:val="18"/>
                <w:szCs w:val="18"/>
              </w:rPr>
              <w:t>5,500.00</w:t>
            </w:r>
          </w:p>
        </w:tc>
      </w:tr>
      <w:tr w14:paraId="208F18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1F19CE5">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64A373BF">
            <w:pPr>
              <w:spacing w:before="0" w:after="0" w:line="240" w:lineRule="exact"/>
              <w:jc w:val="right"/>
              <w:rPr>
                <w:rFonts w:ascii="宋体" w:hAnsi="宋体" w:eastAsia="宋体" w:cs="宋体"/>
                <w:sz w:val="18"/>
                <w:szCs w:val="18"/>
              </w:rPr>
            </w:pPr>
            <w:r>
              <w:rPr>
                <w:rFonts w:ascii="宋体" w:hAnsi="宋体" w:eastAsia="宋体" w:cs="宋体"/>
                <w:sz w:val="18"/>
                <w:szCs w:val="18"/>
              </w:rPr>
              <w:t>42,010,706.59</w:t>
            </w:r>
          </w:p>
        </w:tc>
        <w:tc>
          <w:tcPr>
            <w:tcW w:w="3213" w:type="dxa"/>
            <w:tcBorders>
              <w:top w:val="single" w:color="auto" w:sz="2" w:space="0"/>
              <w:left w:val="single" w:color="auto" w:sz="2" w:space="0"/>
              <w:bottom w:val="single" w:color="auto" w:sz="2" w:space="0"/>
              <w:right w:val="single" w:color="auto" w:sz="2" w:space="0"/>
            </w:tcBorders>
            <w:vAlign w:val="center"/>
          </w:tcPr>
          <w:p w14:paraId="59C876D1">
            <w:pPr>
              <w:spacing w:before="0" w:after="0" w:line="240" w:lineRule="exact"/>
              <w:jc w:val="right"/>
              <w:rPr>
                <w:rFonts w:ascii="宋体" w:hAnsi="宋体" w:eastAsia="宋体" w:cs="宋体"/>
                <w:sz w:val="18"/>
                <w:szCs w:val="18"/>
              </w:rPr>
            </w:pPr>
            <w:r>
              <w:rPr>
                <w:rFonts w:ascii="宋体" w:hAnsi="宋体" w:eastAsia="宋体" w:cs="宋体"/>
                <w:sz w:val="18"/>
                <w:szCs w:val="18"/>
              </w:rPr>
              <w:t>48,024,130.17</w:t>
            </w:r>
          </w:p>
        </w:tc>
      </w:tr>
    </w:tbl>
    <w:p w14:paraId="3D224997">
      <w:pPr>
        <w:keepNext/>
        <w:keepLines/>
        <w:spacing w:before="300" w:after="300" w:line="280" w:lineRule="exact"/>
        <w:jc w:val="left"/>
        <w:outlineLvl w:val="4"/>
        <w:rPr>
          <w:rFonts w:ascii="宋体" w:hAnsi="宋体" w:eastAsia="宋体" w:cs="宋体"/>
          <w:b/>
          <w:bCs/>
          <w:sz w:val="18"/>
          <w:szCs w:val="18"/>
        </w:rPr>
      </w:pPr>
      <w:bookmarkStart w:id="601" w:name="_Toc989484"/>
      <w:r>
        <w:rPr>
          <w:rFonts w:ascii="宋体" w:hAnsi="宋体" w:eastAsia="宋体" w:cs="宋体"/>
          <w:b/>
          <w:bCs/>
          <w:sz w:val="18"/>
          <w:szCs w:val="18"/>
        </w:rPr>
        <w:t>3） 按坏账计提方法分类披露</w:t>
      </w:r>
      <w:bookmarkEnd w:id="601"/>
    </w:p>
    <w:p w14:paraId="2D44CCD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76"/>
        <w:gridCol w:w="876"/>
        <w:gridCol w:w="876"/>
        <w:gridCol w:w="876"/>
        <w:gridCol w:w="876"/>
        <w:gridCol w:w="876"/>
        <w:gridCol w:w="876"/>
        <w:gridCol w:w="876"/>
        <w:gridCol w:w="876"/>
      </w:tblGrid>
      <w:tr w14:paraId="4F86CB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D7C569B">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65A9B909">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14:paraId="39C356E8">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6DD0DC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F177696"/>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4337D9DA">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DA6359C">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5521789">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9D7B9AB">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AB237B8">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41B9C405">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50BE38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1BE56AB"/>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236C48F3">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5D2FBFD">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CAA0459">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A10F0E7">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04FAF57"/>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A4EA595">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7D46828A">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60ABB3C6">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EB03E42">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9131203"/>
        </w:tc>
      </w:tr>
      <w:tr w14:paraId="0D763B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1"/>
            <w:tcBorders>
              <w:top w:val="single" w:color="auto" w:sz="2" w:space="0"/>
              <w:left w:val="single" w:color="auto" w:sz="2" w:space="0"/>
              <w:bottom w:val="single" w:color="auto" w:sz="2" w:space="0"/>
              <w:right w:val="single" w:color="auto" w:sz="2" w:space="0"/>
            </w:tcBorders>
            <w:shd w:val="clear" w:color="auto" w:fill="D3D3D3"/>
            <w:vAlign w:val="center"/>
          </w:tcPr>
          <w:p w14:paraId="7C0ED315">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r>
      <w:tr w14:paraId="09D0D2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F525CF0">
            <w:pPr>
              <w:spacing w:before="40" w:after="40" w:line="240" w:lineRule="exact"/>
              <w:jc w:val="left"/>
              <w:rPr>
                <w:rFonts w:ascii="宋体" w:hAnsi="宋体" w:eastAsia="宋体" w:cs="宋体"/>
                <w:sz w:val="18"/>
                <w:szCs w:val="18"/>
              </w:rPr>
            </w:pPr>
            <w:r>
              <w:rPr>
                <w:rFonts w:ascii="宋体" w:hAnsi="宋体" w:eastAsia="宋体" w:cs="宋体"/>
                <w:sz w:val="18"/>
                <w:szCs w:val="18"/>
              </w:rPr>
              <w:t>按组合计提坏账准备</w:t>
            </w:r>
          </w:p>
        </w:tc>
        <w:tc>
          <w:tcPr>
            <w:tcW w:w="876" w:type="dxa"/>
            <w:tcBorders>
              <w:top w:val="single" w:color="auto" w:sz="2" w:space="0"/>
              <w:left w:val="single" w:color="auto" w:sz="2" w:space="0"/>
              <w:bottom w:val="single" w:color="auto" w:sz="2" w:space="0"/>
              <w:right w:val="single" w:color="auto" w:sz="2" w:space="0"/>
            </w:tcBorders>
            <w:vAlign w:val="center"/>
          </w:tcPr>
          <w:p w14:paraId="7C30B174">
            <w:pPr>
              <w:spacing w:before="0" w:after="0" w:line="240" w:lineRule="exact"/>
              <w:jc w:val="right"/>
              <w:rPr>
                <w:rFonts w:ascii="宋体" w:hAnsi="宋体" w:eastAsia="宋体" w:cs="宋体"/>
                <w:sz w:val="18"/>
                <w:szCs w:val="18"/>
              </w:rPr>
            </w:pPr>
            <w:r>
              <w:rPr>
                <w:rFonts w:ascii="宋体" w:hAnsi="宋体" w:eastAsia="宋体" w:cs="宋体"/>
                <w:sz w:val="18"/>
                <w:szCs w:val="18"/>
              </w:rPr>
              <w:t>42,010,706.59</w:t>
            </w:r>
          </w:p>
        </w:tc>
        <w:tc>
          <w:tcPr>
            <w:tcW w:w="876" w:type="dxa"/>
            <w:tcBorders>
              <w:top w:val="single" w:color="auto" w:sz="2" w:space="0"/>
              <w:left w:val="single" w:color="auto" w:sz="2" w:space="0"/>
              <w:bottom w:val="single" w:color="auto" w:sz="2" w:space="0"/>
              <w:right w:val="single" w:color="auto" w:sz="2" w:space="0"/>
            </w:tcBorders>
            <w:vAlign w:val="center"/>
          </w:tcPr>
          <w:p w14:paraId="2DB33431">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4B6EF0D4">
            <w:pPr>
              <w:spacing w:before="0" w:after="0" w:line="240" w:lineRule="exact"/>
              <w:jc w:val="right"/>
              <w:rPr>
                <w:rFonts w:ascii="宋体" w:hAnsi="宋体" w:eastAsia="宋体" w:cs="宋体"/>
                <w:sz w:val="18"/>
                <w:szCs w:val="18"/>
              </w:rPr>
            </w:pPr>
            <w:r>
              <w:rPr>
                <w:rFonts w:ascii="宋体" w:hAnsi="宋体" w:eastAsia="宋体" w:cs="宋体"/>
                <w:sz w:val="18"/>
                <w:szCs w:val="18"/>
              </w:rPr>
              <w:t>17,701.93</w:t>
            </w:r>
          </w:p>
        </w:tc>
        <w:tc>
          <w:tcPr>
            <w:tcW w:w="876" w:type="dxa"/>
            <w:tcBorders>
              <w:top w:val="single" w:color="auto" w:sz="2" w:space="0"/>
              <w:left w:val="single" w:color="auto" w:sz="2" w:space="0"/>
              <w:bottom w:val="single" w:color="auto" w:sz="2" w:space="0"/>
              <w:right w:val="single" w:color="auto" w:sz="2" w:space="0"/>
            </w:tcBorders>
            <w:vAlign w:val="center"/>
          </w:tcPr>
          <w:p w14:paraId="41E27DB5">
            <w:pPr>
              <w:spacing w:before="0" w:after="0" w:line="240" w:lineRule="exact"/>
              <w:jc w:val="right"/>
              <w:rPr>
                <w:rFonts w:ascii="宋体" w:hAnsi="宋体" w:eastAsia="宋体" w:cs="宋体"/>
                <w:sz w:val="18"/>
                <w:szCs w:val="18"/>
              </w:rPr>
            </w:pPr>
            <w:r>
              <w:rPr>
                <w:rFonts w:ascii="宋体" w:hAnsi="宋体" w:eastAsia="宋体" w:cs="宋体"/>
                <w:sz w:val="18"/>
                <w:szCs w:val="18"/>
              </w:rPr>
              <w:t>0.04%</w:t>
            </w:r>
          </w:p>
        </w:tc>
        <w:tc>
          <w:tcPr>
            <w:tcW w:w="876" w:type="dxa"/>
            <w:tcBorders>
              <w:top w:val="single" w:color="auto" w:sz="2" w:space="0"/>
              <w:left w:val="single" w:color="auto" w:sz="2" w:space="0"/>
              <w:bottom w:val="single" w:color="auto" w:sz="2" w:space="0"/>
              <w:right w:val="single" w:color="auto" w:sz="2" w:space="0"/>
            </w:tcBorders>
            <w:vAlign w:val="center"/>
          </w:tcPr>
          <w:p w14:paraId="2FBC6D03">
            <w:pPr>
              <w:spacing w:before="0" w:after="0" w:line="240" w:lineRule="exact"/>
              <w:jc w:val="right"/>
              <w:rPr>
                <w:rFonts w:ascii="宋体" w:hAnsi="宋体" w:eastAsia="宋体" w:cs="宋体"/>
                <w:sz w:val="18"/>
                <w:szCs w:val="18"/>
              </w:rPr>
            </w:pPr>
            <w:r>
              <w:rPr>
                <w:rFonts w:ascii="宋体" w:hAnsi="宋体" w:eastAsia="宋体" w:cs="宋体"/>
                <w:sz w:val="18"/>
                <w:szCs w:val="18"/>
              </w:rPr>
              <w:t>41,993,004.66</w:t>
            </w:r>
          </w:p>
        </w:tc>
        <w:tc>
          <w:tcPr>
            <w:tcW w:w="876" w:type="dxa"/>
            <w:tcBorders>
              <w:top w:val="single" w:color="auto" w:sz="2" w:space="0"/>
              <w:left w:val="single" w:color="auto" w:sz="2" w:space="0"/>
              <w:bottom w:val="single" w:color="auto" w:sz="2" w:space="0"/>
              <w:right w:val="single" w:color="auto" w:sz="2" w:space="0"/>
            </w:tcBorders>
            <w:vAlign w:val="center"/>
          </w:tcPr>
          <w:p w14:paraId="1C4EBA90">
            <w:pPr>
              <w:spacing w:before="0" w:after="0" w:line="240" w:lineRule="exact"/>
              <w:jc w:val="right"/>
              <w:rPr>
                <w:rFonts w:ascii="宋体" w:hAnsi="宋体" w:eastAsia="宋体" w:cs="宋体"/>
                <w:sz w:val="18"/>
                <w:szCs w:val="18"/>
              </w:rPr>
            </w:pPr>
            <w:r>
              <w:rPr>
                <w:rFonts w:ascii="宋体" w:hAnsi="宋体" w:eastAsia="宋体" w:cs="宋体"/>
                <w:sz w:val="18"/>
                <w:szCs w:val="18"/>
              </w:rPr>
              <w:t>48,024,130.17</w:t>
            </w:r>
          </w:p>
        </w:tc>
        <w:tc>
          <w:tcPr>
            <w:tcW w:w="876" w:type="dxa"/>
            <w:tcBorders>
              <w:top w:val="single" w:color="auto" w:sz="2" w:space="0"/>
              <w:left w:val="single" w:color="auto" w:sz="2" w:space="0"/>
              <w:bottom w:val="single" w:color="auto" w:sz="2" w:space="0"/>
              <w:right w:val="single" w:color="auto" w:sz="2" w:space="0"/>
            </w:tcBorders>
            <w:vAlign w:val="center"/>
          </w:tcPr>
          <w:p w14:paraId="4CBED11E">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2183DA75">
            <w:pPr>
              <w:spacing w:before="0" w:after="0" w:line="240" w:lineRule="exact"/>
              <w:jc w:val="right"/>
              <w:rPr>
                <w:rFonts w:ascii="宋体" w:hAnsi="宋体" w:eastAsia="宋体" w:cs="宋体"/>
                <w:sz w:val="18"/>
                <w:szCs w:val="18"/>
              </w:rPr>
            </w:pPr>
            <w:r>
              <w:rPr>
                <w:rFonts w:ascii="宋体" w:hAnsi="宋体" w:eastAsia="宋体" w:cs="宋体"/>
                <w:sz w:val="18"/>
                <w:szCs w:val="18"/>
              </w:rPr>
              <w:t>19,006.64</w:t>
            </w:r>
          </w:p>
        </w:tc>
        <w:tc>
          <w:tcPr>
            <w:tcW w:w="876" w:type="dxa"/>
            <w:tcBorders>
              <w:top w:val="single" w:color="auto" w:sz="2" w:space="0"/>
              <w:left w:val="single" w:color="auto" w:sz="2" w:space="0"/>
              <w:bottom w:val="single" w:color="auto" w:sz="2" w:space="0"/>
              <w:right w:val="single" w:color="auto" w:sz="2" w:space="0"/>
            </w:tcBorders>
            <w:vAlign w:val="center"/>
          </w:tcPr>
          <w:p w14:paraId="118795AA">
            <w:pPr>
              <w:spacing w:before="0" w:after="0" w:line="240" w:lineRule="exact"/>
              <w:jc w:val="right"/>
              <w:rPr>
                <w:rFonts w:ascii="宋体" w:hAnsi="宋体" w:eastAsia="宋体" w:cs="宋体"/>
                <w:sz w:val="18"/>
                <w:szCs w:val="18"/>
              </w:rPr>
            </w:pPr>
            <w:r>
              <w:rPr>
                <w:rFonts w:ascii="宋体" w:hAnsi="宋体" w:eastAsia="宋体" w:cs="宋体"/>
                <w:sz w:val="18"/>
                <w:szCs w:val="18"/>
              </w:rPr>
              <w:t>0.04%</w:t>
            </w:r>
          </w:p>
        </w:tc>
        <w:tc>
          <w:tcPr>
            <w:tcW w:w="876" w:type="dxa"/>
            <w:tcBorders>
              <w:top w:val="single" w:color="auto" w:sz="2" w:space="0"/>
              <w:left w:val="single" w:color="auto" w:sz="2" w:space="0"/>
              <w:bottom w:val="single" w:color="auto" w:sz="2" w:space="0"/>
              <w:right w:val="single" w:color="auto" w:sz="2" w:space="0"/>
            </w:tcBorders>
            <w:vAlign w:val="center"/>
          </w:tcPr>
          <w:p w14:paraId="5CD2368C">
            <w:pPr>
              <w:spacing w:before="0" w:after="0" w:line="240" w:lineRule="exact"/>
              <w:jc w:val="right"/>
              <w:rPr>
                <w:rFonts w:ascii="宋体" w:hAnsi="宋体" w:eastAsia="宋体" w:cs="宋体"/>
                <w:sz w:val="18"/>
                <w:szCs w:val="18"/>
              </w:rPr>
            </w:pPr>
            <w:r>
              <w:rPr>
                <w:rFonts w:ascii="宋体" w:hAnsi="宋体" w:eastAsia="宋体" w:cs="宋体"/>
                <w:sz w:val="18"/>
                <w:szCs w:val="18"/>
              </w:rPr>
              <w:t>48,005,123.53</w:t>
            </w:r>
          </w:p>
        </w:tc>
      </w:tr>
      <w:tr w14:paraId="32E94D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1"/>
            <w:tcBorders>
              <w:top w:val="single" w:color="auto" w:sz="2" w:space="0"/>
              <w:left w:val="single" w:color="auto" w:sz="2" w:space="0"/>
              <w:bottom w:val="single" w:color="auto" w:sz="2" w:space="0"/>
              <w:right w:val="single" w:color="auto" w:sz="2" w:space="0"/>
            </w:tcBorders>
            <w:shd w:val="clear" w:color="auto" w:fill="D3D3D3"/>
            <w:vAlign w:val="center"/>
          </w:tcPr>
          <w:p w14:paraId="1352324D">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r>
      <w:tr w14:paraId="4279CC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7A4259F8">
            <w:pPr>
              <w:spacing w:before="0" w:after="0" w:line="240" w:lineRule="exact"/>
              <w:jc w:val="left"/>
              <w:rPr>
                <w:rFonts w:ascii="宋体" w:hAnsi="宋体" w:eastAsia="宋体" w:cs="宋体"/>
                <w:sz w:val="18"/>
                <w:szCs w:val="18"/>
              </w:rPr>
            </w:pPr>
            <w:r>
              <w:rPr>
                <w:rFonts w:ascii="宋体" w:hAnsi="宋体" w:eastAsia="宋体" w:cs="宋体"/>
                <w:sz w:val="18"/>
                <w:szCs w:val="18"/>
              </w:rPr>
              <w:t>押金、保证金、员工备用金组合</w:t>
            </w:r>
          </w:p>
        </w:tc>
        <w:tc>
          <w:tcPr>
            <w:tcW w:w="876" w:type="dxa"/>
            <w:tcBorders>
              <w:top w:val="single" w:color="auto" w:sz="2" w:space="0"/>
              <w:left w:val="single" w:color="auto" w:sz="2" w:space="0"/>
              <w:bottom w:val="single" w:color="auto" w:sz="2" w:space="0"/>
              <w:right w:val="single" w:color="auto" w:sz="2" w:space="0"/>
            </w:tcBorders>
            <w:vAlign w:val="center"/>
          </w:tcPr>
          <w:p w14:paraId="7E8D7255">
            <w:pPr>
              <w:spacing w:before="0" w:after="0" w:line="240" w:lineRule="exact"/>
              <w:jc w:val="right"/>
              <w:rPr>
                <w:rFonts w:ascii="宋体" w:hAnsi="宋体" w:eastAsia="宋体" w:cs="宋体"/>
                <w:sz w:val="18"/>
                <w:szCs w:val="18"/>
              </w:rPr>
            </w:pPr>
            <w:r>
              <w:rPr>
                <w:rFonts w:ascii="宋体" w:hAnsi="宋体" w:eastAsia="宋体" w:cs="宋体"/>
                <w:sz w:val="18"/>
                <w:szCs w:val="18"/>
              </w:rPr>
              <w:t>3,537,901.31</w:t>
            </w:r>
          </w:p>
        </w:tc>
        <w:tc>
          <w:tcPr>
            <w:tcW w:w="876" w:type="dxa"/>
            <w:tcBorders>
              <w:top w:val="single" w:color="auto" w:sz="2" w:space="0"/>
              <w:left w:val="single" w:color="auto" w:sz="2" w:space="0"/>
              <w:bottom w:val="single" w:color="auto" w:sz="2" w:space="0"/>
              <w:right w:val="single" w:color="auto" w:sz="2" w:space="0"/>
            </w:tcBorders>
            <w:vAlign w:val="center"/>
          </w:tcPr>
          <w:p w14:paraId="44D0BE45">
            <w:pPr>
              <w:spacing w:before="0" w:after="0" w:line="240" w:lineRule="exact"/>
              <w:jc w:val="right"/>
              <w:rPr>
                <w:rFonts w:ascii="宋体" w:hAnsi="宋体" w:eastAsia="宋体" w:cs="宋体"/>
                <w:sz w:val="18"/>
                <w:szCs w:val="18"/>
              </w:rPr>
            </w:pPr>
            <w:r>
              <w:rPr>
                <w:rFonts w:ascii="宋体" w:hAnsi="宋体" w:eastAsia="宋体" w:cs="宋体"/>
                <w:sz w:val="18"/>
                <w:szCs w:val="18"/>
              </w:rPr>
              <w:t>8.42%</w:t>
            </w:r>
          </w:p>
        </w:tc>
        <w:tc>
          <w:tcPr>
            <w:tcW w:w="876" w:type="dxa"/>
            <w:tcBorders>
              <w:top w:val="single" w:color="auto" w:sz="2" w:space="0"/>
              <w:left w:val="single" w:color="auto" w:sz="2" w:space="0"/>
              <w:bottom w:val="single" w:color="auto" w:sz="2" w:space="0"/>
              <w:right w:val="single" w:color="auto" w:sz="2" w:space="0"/>
            </w:tcBorders>
            <w:vAlign w:val="center"/>
          </w:tcPr>
          <w:p w14:paraId="5E718F15">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1EC9FE84">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261CB73B">
            <w:pPr>
              <w:spacing w:before="0" w:after="0" w:line="240" w:lineRule="exact"/>
              <w:jc w:val="right"/>
              <w:rPr>
                <w:rFonts w:ascii="宋体" w:hAnsi="宋体" w:eastAsia="宋体" w:cs="宋体"/>
                <w:sz w:val="18"/>
                <w:szCs w:val="18"/>
              </w:rPr>
            </w:pPr>
            <w:r>
              <w:rPr>
                <w:rFonts w:ascii="宋体" w:hAnsi="宋体" w:eastAsia="宋体" w:cs="宋体"/>
                <w:sz w:val="18"/>
                <w:szCs w:val="18"/>
              </w:rPr>
              <w:t>3,537,901.31</w:t>
            </w:r>
          </w:p>
        </w:tc>
        <w:tc>
          <w:tcPr>
            <w:tcW w:w="876" w:type="dxa"/>
            <w:tcBorders>
              <w:top w:val="single" w:color="auto" w:sz="2" w:space="0"/>
              <w:left w:val="single" w:color="auto" w:sz="2" w:space="0"/>
              <w:bottom w:val="single" w:color="auto" w:sz="2" w:space="0"/>
              <w:right w:val="single" w:color="auto" w:sz="2" w:space="0"/>
            </w:tcBorders>
            <w:vAlign w:val="center"/>
          </w:tcPr>
          <w:p w14:paraId="3CA847DB">
            <w:pPr>
              <w:spacing w:before="0" w:after="0" w:line="240" w:lineRule="exact"/>
              <w:jc w:val="right"/>
              <w:rPr>
                <w:rFonts w:ascii="宋体" w:hAnsi="宋体" w:eastAsia="宋体" w:cs="宋体"/>
                <w:sz w:val="18"/>
                <w:szCs w:val="18"/>
              </w:rPr>
            </w:pPr>
            <w:r>
              <w:rPr>
                <w:rFonts w:ascii="宋体" w:hAnsi="宋体" w:eastAsia="宋体" w:cs="宋体"/>
                <w:sz w:val="18"/>
                <w:szCs w:val="18"/>
              </w:rPr>
              <w:t>507,046.00</w:t>
            </w:r>
          </w:p>
        </w:tc>
        <w:tc>
          <w:tcPr>
            <w:tcW w:w="876" w:type="dxa"/>
            <w:tcBorders>
              <w:top w:val="single" w:color="auto" w:sz="2" w:space="0"/>
              <w:left w:val="single" w:color="auto" w:sz="2" w:space="0"/>
              <w:bottom w:val="single" w:color="auto" w:sz="2" w:space="0"/>
              <w:right w:val="single" w:color="auto" w:sz="2" w:space="0"/>
            </w:tcBorders>
            <w:vAlign w:val="center"/>
          </w:tcPr>
          <w:p w14:paraId="6A6C7C48">
            <w:pPr>
              <w:spacing w:before="0" w:after="0" w:line="240" w:lineRule="exact"/>
              <w:jc w:val="right"/>
              <w:rPr>
                <w:rFonts w:ascii="宋体" w:hAnsi="宋体" w:eastAsia="宋体" w:cs="宋体"/>
                <w:sz w:val="18"/>
                <w:szCs w:val="18"/>
              </w:rPr>
            </w:pPr>
            <w:r>
              <w:rPr>
                <w:rFonts w:ascii="宋体" w:hAnsi="宋体" w:eastAsia="宋体" w:cs="宋体"/>
                <w:sz w:val="18"/>
                <w:szCs w:val="18"/>
              </w:rPr>
              <w:t>1.06%</w:t>
            </w:r>
          </w:p>
        </w:tc>
        <w:tc>
          <w:tcPr>
            <w:tcW w:w="876" w:type="dxa"/>
            <w:tcBorders>
              <w:top w:val="single" w:color="auto" w:sz="2" w:space="0"/>
              <w:left w:val="single" w:color="auto" w:sz="2" w:space="0"/>
              <w:bottom w:val="single" w:color="auto" w:sz="2" w:space="0"/>
              <w:right w:val="single" w:color="auto" w:sz="2" w:space="0"/>
            </w:tcBorders>
            <w:vAlign w:val="center"/>
          </w:tcPr>
          <w:p w14:paraId="0B1B34BA">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00E20207">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5ED61DB4">
            <w:pPr>
              <w:spacing w:before="0" w:after="0" w:line="240" w:lineRule="exact"/>
              <w:jc w:val="right"/>
              <w:rPr>
                <w:rFonts w:ascii="宋体" w:hAnsi="宋体" w:eastAsia="宋体" w:cs="宋体"/>
                <w:sz w:val="18"/>
                <w:szCs w:val="18"/>
              </w:rPr>
            </w:pPr>
            <w:r>
              <w:rPr>
                <w:rFonts w:ascii="宋体" w:hAnsi="宋体" w:eastAsia="宋体" w:cs="宋体"/>
                <w:sz w:val="18"/>
                <w:szCs w:val="18"/>
              </w:rPr>
              <w:t>507,046.00</w:t>
            </w:r>
          </w:p>
        </w:tc>
      </w:tr>
      <w:tr w14:paraId="3FCC10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118EDF8D">
            <w:pPr>
              <w:spacing w:before="0" w:after="0" w:line="240" w:lineRule="exact"/>
              <w:jc w:val="left"/>
              <w:rPr>
                <w:rFonts w:ascii="宋体" w:hAnsi="宋体" w:eastAsia="宋体" w:cs="宋体"/>
                <w:sz w:val="18"/>
                <w:szCs w:val="18"/>
              </w:rPr>
            </w:pPr>
            <w:r>
              <w:rPr>
                <w:rFonts w:ascii="宋体" w:hAnsi="宋体" w:eastAsia="宋体" w:cs="宋体"/>
                <w:sz w:val="18"/>
                <w:szCs w:val="18"/>
              </w:rPr>
              <w:t>并表关联方组合</w:t>
            </w:r>
          </w:p>
        </w:tc>
        <w:tc>
          <w:tcPr>
            <w:tcW w:w="876" w:type="dxa"/>
            <w:tcBorders>
              <w:top w:val="single" w:color="auto" w:sz="2" w:space="0"/>
              <w:left w:val="single" w:color="auto" w:sz="2" w:space="0"/>
              <w:bottom w:val="single" w:color="auto" w:sz="2" w:space="0"/>
              <w:right w:val="single" w:color="auto" w:sz="2" w:space="0"/>
            </w:tcBorders>
            <w:vAlign w:val="center"/>
          </w:tcPr>
          <w:p w14:paraId="498DEDE3">
            <w:pPr>
              <w:spacing w:before="0" w:after="0" w:line="240" w:lineRule="exact"/>
              <w:jc w:val="right"/>
              <w:rPr>
                <w:rFonts w:ascii="宋体" w:hAnsi="宋体" w:eastAsia="宋体" w:cs="宋体"/>
                <w:sz w:val="18"/>
                <w:szCs w:val="18"/>
              </w:rPr>
            </w:pPr>
            <w:r>
              <w:rPr>
                <w:rFonts w:ascii="宋体" w:hAnsi="宋体" w:eastAsia="宋体" w:cs="宋体"/>
                <w:sz w:val="18"/>
                <w:szCs w:val="18"/>
              </w:rPr>
              <w:t>38,118,766.67</w:t>
            </w:r>
          </w:p>
        </w:tc>
        <w:tc>
          <w:tcPr>
            <w:tcW w:w="876" w:type="dxa"/>
            <w:tcBorders>
              <w:top w:val="single" w:color="auto" w:sz="2" w:space="0"/>
              <w:left w:val="single" w:color="auto" w:sz="2" w:space="0"/>
              <w:bottom w:val="single" w:color="auto" w:sz="2" w:space="0"/>
              <w:right w:val="single" w:color="auto" w:sz="2" w:space="0"/>
            </w:tcBorders>
            <w:vAlign w:val="center"/>
          </w:tcPr>
          <w:p w14:paraId="769AFDAD">
            <w:pPr>
              <w:spacing w:before="0" w:after="0" w:line="240" w:lineRule="exact"/>
              <w:jc w:val="right"/>
              <w:rPr>
                <w:rFonts w:ascii="宋体" w:hAnsi="宋体" w:eastAsia="宋体" w:cs="宋体"/>
                <w:sz w:val="18"/>
                <w:szCs w:val="18"/>
              </w:rPr>
            </w:pPr>
            <w:r>
              <w:rPr>
                <w:rFonts w:ascii="宋体" w:hAnsi="宋体" w:eastAsia="宋体" w:cs="宋体"/>
                <w:sz w:val="18"/>
                <w:szCs w:val="18"/>
              </w:rPr>
              <w:t>90.74%</w:t>
            </w:r>
          </w:p>
        </w:tc>
        <w:tc>
          <w:tcPr>
            <w:tcW w:w="876" w:type="dxa"/>
            <w:tcBorders>
              <w:top w:val="single" w:color="auto" w:sz="2" w:space="0"/>
              <w:left w:val="single" w:color="auto" w:sz="2" w:space="0"/>
              <w:bottom w:val="single" w:color="auto" w:sz="2" w:space="0"/>
              <w:right w:val="single" w:color="auto" w:sz="2" w:space="0"/>
            </w:tcBorders>
            <w:vAlign w:val="center"/>
          </w:tcPr>
          <w:p w14:paraId="4AB01312">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18444273">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01ED2FA9">
            <w:pPr>
              <w:spacing w:before="0" w:after="0" w:line="240" w:lineRule="exact"/>
              <w:jc w:val="right"/>
              <w:rPr>
                <w:rFonts w:ascii="宋体" w:hAnsi="宋体" w:eastAsia="宋体" w:cs="宋体"/>
                <w:sz w:val="18"/>
                <w:szCs w:val="18"/>
              </w:rPr>
            </w:pPr>
            <w:r>
              <w:rPr>
                <w:rFonts w:ascii="宋体" w:hAnsi="宋体" w:eastAsia="宋体" w:cs="宋体"/>
                <w:sz w:val="18"/>
                <w:szCs w:val="18"/>
              </w:rPr>
              <w:t>38,118,766.67</w:t>
            </w:r>
          </w:p>
        </w:tc>
        <w:tc>
          <w:tcPr>
            <w:tcW w:w="876" w:type="dxa"/>
            <w:tcBorders>
              <w:top w:val="single" w:color="auto" w:sz="2" w:space="0"/>
              <w:left w:val="single" w:color="auto" w:sz="2" w:space="0"/>
              <w:bottom w:val="single" w:color="auto" w:sz="2" w:space="0"/>
              <w:right w:val="single" w:color="auto" w:sz="2" w:space="0"/>
            </w:tcBorders>
            <w:vAlign w:val="center"/>
          </w:tcPr>
          <w:p w14:paraId="3E7B9DAE">
            <w:pPr>
              <w:spacing w:before="0" w:after="0" w:line="240" w:lineRule="exact"/>
              <w:jc w:val="right"/>
              <w:rPr>
                <w:rFonts w:ascii="宋体" w:hAnsi="宋体" w:eastAsia="宋体" w:cs="宋体"/>
                <w:sz w:val="18"/>
                <w:szCs w:val="18"/>
              </w:rPr>
            </w:pPr>
            <w:r>
              <w:rPr>
                <w:rFonts w:ascii="宋体" w:hAnsi="宋体" w:eastAsia="宋体" w:cs="宋体"/>
                <w:sz w:val="18"/>
                <w:szCs w:val="18"/>
              </w:rPr>
              <w:t>47,136,951.38</w:t>
            </w:r>
          </w:p>
        </w:tc>
        <w:tc>
          <w:tcPr>
            <w:tcW w:w="876" w:type="dxa"/>
            <w:tcBorders>
              <w:top w:val="single" w:color="auto" w:sz="2" w:space="0"/>
              <w:left w:val="single" w:color="auto" w:sz="2" w:space="0"/>
              <w:bottom w:val="single" w:color="auto" w:sz="2" w:space="0"/>
              <w:right w:val="single" w:color="auto" w:sz="2" w:space="0"/>
            </w:tcBorders>
            <w:vAlign w:val="center"/>
          </w:tcPr>
          <w:p w14:paraId="7B9B3010">
            <w:pPr>
              <w:spacing w:before="0" w:after="0" w:line="240" w:lineRule="exact"/>
              <w:jc w:val="right"/>
              <w:rPr>
                <w:rFonts w:ascii="宋体" w:hAnsi="宋体" w:eastAsia="宋体" w:cs="宋体"/>
                <w:sz w:val="18"/>
                <w:szCs w:val="18"/>
              </w:rPr>
            </w:pPr>
            <w:r>
              <w:rPr>
                <w:rFonts w:ascii="宋体" w:hAnsi="宋体" w:eastAsia="宋体" w:cs="宋体"/>
                <w:sz w:val="18"/>
                <w:szCs w:val="18"/>
              </w:rPr>
              <w:t>98.15%</w:t>
            </w:r>
          </w:p>
        </w:tc>
        <w:tc>
          <w:tcPr>
            <w:tcW w:w="876" w:type="dxa"/>
            <w:tcBorders>
              <w:top w:val="single" w:color="auto" w:sz="2" w:space="0"/>
              <w:left w:val="single" w:color="auto" w:sz="2" w:space="0"/>
              <w:bottom w:val="single" w:color="auto" w:sz="2" w:space="0"/>
              <w:right w:val="single" w:color="auto" w:sz="2" w:space="0"/>
            </w:tcBorders>
            <w:vAlign w:val="center"/>
          </w:tcPr>
          <w:p w14:paraId="7A57F1F0">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176E9F4A">
            <w:pPr>
              <w:spacing w:before="0" w:after="0"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14:paraId="163E32E9">
            <w:pPr>
              <w:spacing w:before="0" w:after="0" w:line="240" w:lineRule="exact"/>
              <w:jc w:val="right"/>
              <w:rPr>
                <w:rFonts w:ascii="宋体" w:hAnsi="宋体" w:eastAsia="宋体" w:cs="宋体"/>
                <w:sz w:val="18"/>
                <w:szCs w:val="18"/>
              </w:rPr>
            </w:pPr>
            <w:r>
              <w:rPr>
                <w:rFonts w:ascii="宋体" w:hAnsi="宋体" w:eastAsia="宋体" w:cs="宋体"/>
                <w:sz w:val="18"/>
                <w:szCs w:val="18"/>
              </w:rPr>
              <w:t>47,136,951.38</w:t>
            </w:r>
          </w:p>
        </w:tc>
      </w:tr>
      <w:tr w14:paraId="040B89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14:paraId="31744BFF">
            <w:pPr>
              <w:spacing w:before="0" w:after="0" w:line="240" w:lineRule="exact"/>
              <w:jc w:val="left"/>
              <w:rPr>
                <w:rFonts w:ascii="宋体" w:hAnsi="宋体" w:eastAsia="宋体" w:cs="宋体"/>
                <w:sz w:val="18"/>
                <w:szCs w:val="18"/>
              </w:rPr>
            </w:pPr>
            <w:r>
              <w:rPr>
                <w:rFonts w:ascii="宋体" w:hAnsi="宋体" w:eastAsia="宋体" w:cs="宋体"/>
                <w:sz w:val="18"/>
                <w:szCs w:val="18"/>
              </w:rPr>
              <w:t>信用组合</w:t>
            </w:r>
          </w:p>
        </w:tc>
        <w:tc>
          <w:tcPr>
            <w:tcW w:w="876" w:type="dxa"/>
            <w:tcBorders>
              <w:top w:val="single" w:color="auto" w:sz="2" w:space="0"/>
              <w:left w:val="single" w:color="auto" w:sz="2" w:space="0"/>
              <w:bottom w:val="single" w:color="auto" w:sz="2" w:space="0"/>
              <w:right w:val="single" w:color="auto" w:sz="2" w:space="0"/>
            </w:tcBorders>
            <w:vAlign w:val="center"/>
          </w:tcPr>
          <w:p w14:paraId="79AC8944">
            <w:pPr>
              <w:spacing w:before="0" w:after="0" w:line="240" w:lineRule="exact"/>
              <w:jc w:val="right"/>
              <w:rPr>
                <w:rFonts w:ascii="宋体" w:hAnsi="宋体" w:eastAsia="宋体" w:cs="宋体"/>
                <w:sz w:val="18"/>
                <w:szCs w:val="18"/>
              </w:rPr>
            </w:pPr>
            <w:r>
              <w:rPr>
                <w:rFonts w:ascii="宋体" w:hAnsi="宋体" w:eastAsia="宋体" w:cs="宋体"/>
                <w:sz w:val="18"/>
                <w:szCs w:val="18"/>
              </w:rPr>
              <w:t>354,038.61</w:t>
            </w:r>
          </w:p>
        </w:tc>
        <w:tc>
          <w:tcPr>
            <w:tcW w:w="876" w:type="dxa"/>
            <w:tcBorders>
              <w:top w:val="single" w:color="auto" w:sz="2" w:space="0"/>
              <w:left w:val="single" w:color="auto" w:sz="2" w:space="0"/>
              <w:bottom w:val="single" w:color="auto" w:sz="2" w:space="0"/>
              <w:right w:val="single" w:color="auto" w:sz="2" w:space="0"/>
            </w:tcBorders>
            <w:vAlign w:val="center"/>
          </w:tcPr>
          <w:p w14:paraId="32B1F10F">
            <w:pPr>
              <w:spacing w:before="0" w:after="0" w:line="240" w:lineRule="exact"/>
              <w:jc w:val="right"/>
              <w:rPr>
                <w:rFonts w:ascii="宋体" w:hAnsi="宋体" w:eastAsia="宋体" w:cs="宋体"/>
                <w:sz w:val="18"/>
                <w:szCs w:val="18"/>
              </w:rPr>
            </w:pPr>
            <w:r>
              <w:rPr>
                <w:rFonts w:ascii="宋体" w:hAnsi="宋体" w:eastAsia="宋体" w:cs="宋体"/>
                <w:sz w:val="18"/>
                <w:szCs w:val="18"/>
              </w:rPr>
              <w:t>0.84%</w:t>
            </w:r>
          </w:p>
        </w:tc>
        <w:tc>
          <w:tcPr>
            <w:tcW w:w="876" w:type="dxa"/>
            <w:tcBorders>
              <w:top w:val="single" w:color="auto" w:sz="2" w:space="0"/>
              <w:left w:val="single" w:color="auto" w:sz="2" w:space="0"/>
              <w:bottom w:val="single" w:color="auto" w:sz="2" w:space="0"/>
              <w:right w:val="single" w:color="auto" w:sz="2" w:space="0"/>
            </w:tcBorders>
            <w:vAlign w:val="center"/>
          </w:tcPr>
          <w:p w14:paraId="14437F40">
            <w:pPr>
              <w:spacing w:before="0" w:after="0" w:line="240" w:lineRule="exact"/>
              <w:jc w:val="right"/>
              <w:rPr>
                <w:rFonts w:ascii="宋体" w:hAnsi="宋体" w:eastAsia="宋体" w:cs="宋体"/>
                <w:sz w:val="18"/>
                <w:szCs w:val="18"/>
              </w:rPr>
            </w:pPr>
            <w:r>
              <w:rPr>
                <w:rFonts w:ascii="宋体" w:hAnsi="宋体" w:eastAsia="宋体" w:cs="宋体"/>
                <w:sz w:val="18"/>
                <w:szCs w:val="18"/>
              </w:rPr>
              <w:t>17,701.93</w:t>
            </w:r>
          </w:p>
        </w:tc>
        <w:tc>
          <w:tcPr>
            <w:tcW w:w="876" w:type="dxa"/>
            <w:tcBorders>
              <w:top w:val="single" w:color="auto" w:sz="2" w:space="0"/>
              <w:left w:val="single" w:color="auto" w:sz="2" w:space="0"/>
              <w:bottom w:val="single" w:color="auto" w:sz="2" w:space="0"/>
              <w:right w:val="single" w:color="auto" w:sz="2" w:space="0"/>
            </w:tcBorders>
            <w:vAlign w:val="center"/>
          </w:tcPr>
          <w:p w14:paraId="1EAE0FB3">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14:paraId="528F14F4">
            <w:pPr>
              <w:spacing w:before="0" w:after="0" w:line="240" w:lineRule="exact"/>
              <w:jc w:val="right"/>
              <w:rPr>
                <w:rFonts w:ascii="宋体" w:hAnsi="宋体" w:eastAsia="宋体" w:cs="宋体"/>
                <w:sz w:val="18"/>
                <w:szCs w:val="18"/>
              </w:rPr>
            </w:pPr>
            <w:r>
              <w:rPr>
                <w:rFonts w:ascii="宋体" w:hAnsi="宋体" w:eastAsia="宋体" w:cs="宋体"/>
                <w:sz w:val="18"/>
                <w:szCs w:val="18"/>
              </w:rPr>
              <w:t>336,336.68</w:t>
            </w:r>
          </w:p>
        </w:tc>
        <w:tc>
          <w:tcPr>
            <w:tcW w:w="876" w:type="dxa"/>
            <w:tcBorders>
              <w:top w:val="single" w:color="auto" w:sz="2" w:space="0"/>
              <w:left w:val="single" w:color="auto" w:sz="2" w:space="0"/>
              <w:bottom w:val="single" w:color="auto" w:sz="2" w:space="0"/>
              <w:right w:val="single" w:color="auto" w:sz="2" w:space="0"/>
            </w:tcBorders>
            <w:vAlign w:val="center"/>
          </w:tcPr>
          <w:p w14:paraId="5B8D0CA8">
            <w:pPr>
              <w:spacing w:before="0" w:after="0" w:line="240" w:lineRule="exact"/>
              <w:jc w:val="right"/>
              <w:rPr>
                <w:rFonts w:ascii="宋体" w:hAnsi="宋体" w:eastAsia="宋体" w:cs="宋体"/>
                <w:sz w:val="18"/>
                <w:szCs w:val="18"/>
              </w:rPr>
            </w:pPr>
            <w:r>
              <w:rPr>
                <w:rFonts w:ascii="宋体" w:hAnsi="宋体" w:eastAsia="宋体" w:cs="宋体"/>
                <w:sz w:val="18"/>
                <w:szCs w:val="18"/>
              </w:rPr>
              <w:t>380,132.79</w:t>
            </w:r>
          </w:p>
        </w:tc>
        <w:tc>
          <w:tcPr>
            <w:tcW w:w="876" w:type="dxa"/>
            <w:tcBorders>
              <w:top w:val="single" w:color="auto" w:sz="2" w:space="0"/>
              <w:left w:val="single" w:color="auto" w:sz="2" w:space="0"/>
              <w:bottom w:val="single" w:color="auto" w:sz="2" w:space="0"/>
              <w:right w:val="single" w:color="auto" w:sz="2" w:space="0"/>
            </w:tcBorders>
            <w:vAlign w:val="center"/>
          </w:tcPr>
          <w:p w14:paraId="150612A8">
            <w:pPr>
              <w:spacing w:before="0" w:after="0" w:line="240" w:lineRule="exact"/>
              <w:jc w:val="right"/>
              <w:rPr>
                <w:rFonts w:ascii="宋体" w:hAnsi="宋体" w:eastAsia="宋体" w:cs="宋体"/>
                <w:sz w:val="18"/>
                <w:szCs w:val="18"/>
              </w:rPr>
            </w:pPr>
            <w:r>
              <w:rPr>
                <w:rFonts w:ascii="宋体" w:hAnsi="宋体" w:eastAsia="宋体" w:cs="宋体"/>
                <w:sz w:val="18"/>
                <w:szCs w:val="18"/>
              </w:rPr>
              <w:t>0.79%</w:t>
            </w:r>
          </w:p>
        </w:tc>
        <w:tc>
          <w:tcPr>
            <w:tcW w:w="876" w:type="dxa"/>
            <w:tcBorders>
              <w:top w:val="single" w:color="auto" w:sz="2" w:space="0"/>
              <w:left w:val="single" w:color="auto" w:sz="2" w:space="0"/>
              <w:bottom w:val="single" w:color="auto" w:sz="2" w:space="0"/>
              <w:right w:val="single" w:color="auto" w:sz="2" w:space="0"/>
            </w:tcBorders>
            <w:vAlign w:val="center"/>
          </w:tcPr>
          <w:p w14:paraId="4EF2E005">
            <w:pPr>
              <w:spacing w:before="0" w:after="0" w:line="240" w:lineRule="exact"/>
              <w:jc w:val="right"/>
              <w:rPr>
                <w:rFonts w:ascii="宋体" w:hAnsi="宋体" w:eastAsia="宋体" w:cs="宋体"/>
                <w:sz w:val="18"/>
                <w:szCs w:val="18"/>
              </w:rPr>
            </w:pPr>
            <w:r>
              <w:rPr>
                <w:rFonts w:ascii="宋体" w:hAnsi="宋体" w:eastAsia="宋体" w:cs="宋体"/>
                <w:sz w:val="18"/>
                <w:szCs w:val="18"/>
              </w:rPr>
              <w:t>19,006.64</w:t>
            </w:r>
          </w:p>
        </w:tc>
        <w:tc>
          <w:tcPr>
            <w:tcW w:w="876" w:type="dxa"/>
            <w:tcBorders>
              <w:top w:val="single" w:color="auto" w:sz="2" w:space="0"/>
              <w:left w:val="single" w:color="auto" w:sz="2" w:space="0"/>
              <w:bottom w:val="single" w:color="auto" w:sz="2" w:space="0"/>
              <w:right w:val="single" w:color="auto" w:sz="2" w:space="0"/>
            </w:tcBorders>
            <w:vAlign w:val="center"/>
          </w:tcPr>
          <w:p w14:paraId="39B5029F">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14:paraId="23081E46">
            <w:pPr>
              <w:spacing w:before="0" w:after="0" w:line="240" w:lineRule="exact"/>
              <w:jc w:val="right"/>
              <w:rPr>
                <w:rFonts w:ascii="宋体" w:hAnsi="宋体" w:eastAsia="宋体" w:cs="宋体"/>
                <w:sz w:val="18"/>
                <w:szCs w:val="18"/>
              </w:rPr>
            </w:pPr>
            <w:r>
              <w:rPr>
                <w:rFonts w:ascii="宋体" w:hAnsi="宋体" w:eastAsia="宋体" w:cs="宋体"/>
                <w:sz w:val="18"/>
                <w:szCs w:val="18"/>
              </w:rPr>
              <w:t>361,126.15</w:t>
            </w:r>
          </w:p>
        </w:tc>
      </w:tr>
      <w:tr w14:paraId="3E5B1C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1E98B9FA">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876" w:type="dxa"/>
            <w:tcBorders>
              <w:top w:val="single" w:color="auto" w:sz="2" w:space="0"/>
              <w:left w:val="single" w:color="auto" w:sz="2" w:space="0"/>
              <w:bottom w:val="single" w:color="auto" w:sz="2" w:space="0"/>
              <w:right w:val="single" w:color="auto" w:sz="2" w:space="0"/>
            </w:tcBorders>
            <w:vAlign w:val="center"/>
          </w:tcPr>
          <w:p w14:paraId="65581752">
            <w:pPr>
              <w:spacing w:before="0" w:after="0" w:line="240" w:lineRule="exact"/>
              <w:jc w:val="right"/>
              <w:rPr>
                <w:rFonts w:ascii="宋体" w:hAnsi="宋体" w:eastAsia="宋体" w:cs="宋体"/>
                <w:sz w:val="18"/>
                <w:szCs w:val="18"/>
              </w:rPr>
            </w:pPr>
            <w:r>
              <w:rPr>
                <w:rFonts w:ascii="宋体" w:hAnsi="宋体" w:eastAsia="宋体" w:cs="宋体"/>
                <w:sz w:val="18"/>
                <w:szCs w:val="18"/>
              </w:rPr>
              <w:t>42,010,706.59</w:t>
            </w:r>
          </w:p>
        </w:tc>
        <w:tc>
          <w:tcPr>
            <w:tcW w:w="876" w:type="dxa"/>
            <w:tcBorders>
              <w:top w:val="single" w:color="auto" w:sz="2" w:space="0"/>
              <w:left w:val="single" w:color="auto" w:sz="2" w:space="0"/>
              <w:bottom w:val="single" w:color="auto" w:sz="2" w:space="0"/>
              <w:right w:val="single" w:color="auto" w:sz="2" w:space="0"/>
            </w:tcBorders>
            <w:vAlign w:val="center"/>
          </w:tcPr>
          <w:p w14:paraId="38CFE61E">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31A43E58">
            <w:pPr>
              <w:spacing w:before="0" w:after="0" w:line="240" w:lineRule="exact"/>
              <w:jc w:val="right"/>
              <w:rPr>
                <w:rFonts w:ascii="宋体" w:hAnsi="宋体" w:eastAsia="宋体" w:cs="宋体"/>
                <w:sz w:val="18"/>
                <w:szCs w:val="18"/>
              </w:rPr>
            </w:pPr>
            <w:r>
              <w:rPr>
                <w:rFonts w:ascii="宋体" w:hAnsi="宋体" w:eastAsia="宋体" w:cs="宋体"/>
                <w:sz w:val="18"/>
                <w:szCs w:val="18"/>
              </w:rPr>
              <w:t>17,701.93</w:t>
            </w:r>
          </w:p>
        </w:tc>
        <w:tc>
          <w:tcPr>
            <w:tcW w:w="876" w:type="dxa"/>
            <w:tcBorders>
              <w:top w:val="single" w:color="auto" w:sz="2" w:space="0"/>
              <w:left w:val="single" w:color="auto" w:sz="2" w:space="0"/>
              <w:bottom w:val="single" w:color="auto" w:sz="2" w:space="0"/>
              <w:right w:val="single" w:color="auto" w:sz="2" w:space="0"/>
            </w:tcBorders>
            <w:vAlign w:val="center"/>
          </w:tcPr>
          <w:p w14:paraId="71262966">
            <w:pPr>
              <w:spacing w:before="0" w:after="0" w:line="240" w:lineRule="exact"/>
              <w:jc w:val="right"/>
              <w:rPr>
                <w:rFonts w:ascii="宋体" w:hAnsi="宋体" w:eastAsia="宋体" w:cs="宋体"/>
                <w:sz w:val="18"/>
                <w:szCs w:val="18"/>
              </w:rPr>
            </w:pPr>
            <w:r>
              <w:rPr>
                <w:rFonts w:ascii="宋体" w:hAnsi="宋体" w:eastAsia="宋体" w:cs="宋体"/>
                <w:sz w:val="18"/>
                <w:szCs w:val="18"/>
              </w:rPr>
              <w:t>0.04%</w:t>
            </w:r>
          </w:p>
        </w:tc>
        <w:tc>
          <w:tcPr>
            <w:tcW w:w="876" w:type="dxa"/>
            <w:tcBorders>
              <w:top w:val="single" w:color="auto" w:sz="2" w:space="0"/>
              <w:left w:val="single" w:color="auto" w:sz="2" w:space="0"/>
              <w:bottom w:val="single" w:color="auto" w:sz="2" w:space="0"/>
              <w:right w:val="single" w:color="auto" w:sz="2" w:space="0"/>
            </w:tcBorders>
            <w:vAlign w:val="center"/>
          </w:tcPr>
          <w:p w14:paraId="50A5E63C">
            <w:pPr>
              <w:spacing w:before="0" w:after="0" w:line="240" w:lineRule="exact"/>
              <w:jc w:val="right"/>
              <w:rPr>
                <w:rFonts w:ascii="宋体" w:hAnsi="宋体" w:eastAsia="宋体" w:cs="宋体"/>
                <w:sz w:val="18"/>
                <w:szCs w:val="18"/>
              </w:rPr>
            </w:pPr>
            <w:r>
              <w:rPr>
                <w:rFonts w:ascii="宋体" w:hAnsi="宋体" w:eastAsia="宋体" w:cs="宋体"/>
                <w:sz w:val="18"/>
                <w:szCs w:val="18"/>
              </w:rPr>
              <w:t>41,993,004.66</w:t>
            </w:r>
          </w:p>
        </w:tc>
        <w:tc>
          <w:tcPr>
            <w:tcW w:w="876" w:type="dxa"/>
            <w:tcBorders>
              <w:top w:val="single" w:color="auto" w:sz="2" w:space="0"/>
              <w:left w:val="single" w:color="auto" w:sz="2" w:space="0"/>
              <w:bottom w:val="single" w:color="auto" w:sz="2" w:space="0"/>
              <w:right w:val="single" w:color="auto" w:sz="2" w:space="0"/>
            </w:tcBorders>
            <w:vAlign w:val="center"/>
          </w:tcPr>
          <w:p w14:paraId="7B0132E9">
            <w:pPr>
              <w:spacing w:before="0" w:after="0" w:line="240" w:lineRule="exact"/>
              <w:jc w:val="right"/>
              <w:rPr>
                <w:rFonts w:ascii="宋体" w:hAnsi="宋体" w:eastAsia="宋体" w:cs="宋体"/>
                <w:sz w:val="18"/>
                <w:szCs w:val="18"/>
              </w:rPr>
            </w:pPr>
            <w:r>
              <w:rPr>
                <w:rFonts w:ascii="宋体" w:hAnsi="宋体" w:eastAsia="宋体" w:cs="宋体"/>
                <w:sz w:val="18"/>
                <w:szCs w:val="18"/>
              </w:rPr>
              <w:t>48,024,130.17</w:t>
            </w:r>
          </w:p>
        </w:tc>
        <w:tc>
          <w:tcPr>
            <w:tcW w:w="876" w:type="dxa"/>
            <w:tcBorders>
              <w:top w:val="single" w:color="auto" w:sz="2" w:space="0"/>
              <w:left w:val="single" w:color="auto" w:sz="2" w:space="0"/>
              <w:bottom w:val="single" w:color="auto" w:sz="2" w:space="0"/>
              <w:right w:val="single" w:color="auto" w:sz="2" w:space="0"/>
            </w:tcBorders>
            <w:vAlign w:val="center"/>
          </w:tcPr>
          <w:p w14:paraId="41FF46B2">
            <w:pPr>
              <w:spacing w:before="0" w:after="0"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14:paraId="67769482">
            <w:pPr>
              <w:spacing w:before="0" w:after="0" w:line="240" w:lineRule="exact"/>
              <w:jc w:val="right"/>
              <w:rPr>
                <w:rFonts w:ascii="宋体" w:hAnsi="宋体" w:eastAsia="宋体" w:cs="宋体"/>
                <w:sz w:val="18"/>
                <w:szCs w:val="18"/>
              </w:rPr>
            </w:pPr>
            <w:r>
              <w:rPr>
                <w:rFonts w:ascii="宋体" w:hAnsi="宋体" w:eastAsia="宋体" w:cs="宋体"/>
                <w:sz w:val="18"/>
                <w:szCs w:val="18"/>
              </w:rPr>
              <w:t>19,006.64</w:t>
            </w:r>
          </w:p>
        </w:tc>
        <w:tc>
          <w:tcPr>
            <w:tcW w:w="876" w:type="dxa"/>
            <w:tcBorders>
              <w:top w:val="single" w:color="auto" w:sz="2" w:space="0"/>
              <w:left w:val="single" w:color="auto" w:sz="2" w:space="0"/>
              <w:bottom w:val="single" w:color="auto" w:sz="2" w:space="0"/>
              <w:right w:val="single" w:color="auto" w:sz="2" w:space="0"/>
            </w:tcBorders>
            <w:vAlign w:val="center"/>
          </w:tcPr>
          <w:p w14:paraId="1B537AE3">
            <w:pPr>
              <w:spacing w:before="0" w:after="0" w:line="240" w:lineRule="exact"/>
              <w:jc w:val="right"/>
              <w:rPr>
                <w:rFonts w:ascii="宋体" w:hAnsi="宋体" w:eastAsia="宋体" w:cs="宋体"/>
                <w:sz w:val="18"/>
                <w:szCs w:val="18"/>
              </w:rPr>
            </w:pPr>
            <w:r>
              <w:rPr>
                <w:rFonts w:ascii="宋体" w:hAnsi="宋体" w:eastAsia="宋体" w:cs="宋体"/>
                <w:sz w:val="18"/>
                <w:szCs w:val="18"/>
              </w:rPr>
              <w:t>0.04%</w:t>
            </w:r>
          </w:p>
        </w:tc>
        <w:tc>
          <w:tcPr>
            <w:tcW w:w="876" w:type="dxa"/>
            <w:tcBorders>
              <w:top w:val="single" w:color="auto" w:sz="2" w:space="0"/>
              <w:left w:val="single" w:color="auto" w:sz="2" w:space="0"/>
              <w:bottom w:val="single" w:color="auto" w:sz="2" w:space="0"/>
              <w:right w:val="single" w:color="auto" w:sz="2" w:space="0"/>
            </w:tcBorders>
            <w:vAlign w:val="center"/>
          </w:tcPr>
          <w:p w14:paraId="60DBDB10">
            <w:pPr>
              <w:spacing w:before="0" w:after="0" w:line="240" w:lineRule="exact"/>
              <w:jc w:val="right"/>
              <w:rPr>
                <w:rFonts w:ascii="宋体" w:hAnsi="宋体" w:eastAsia="宋体" w:cs="宋体"/>
                <w:sz w:val="18"/>
                <w:szCs w:val="18"/>
              </w:rPr>
            </w:pPr>
            <w:r>
              <w:rPr>
                <w:rFonts w:ascii="宋体" w:hAnsi="宋体" w:eastAsia="宋体" w:cs="宋体"/>
                <w:sz w:val="18"/>
                <w:szCs w:val="18"/>
              </w:rPr>
              <w:t>48,005,123.53</w:t>
            </w:r>
          </w:p>
        </w:tc>
      </w:tr>
    </w:tbl>
    <w:p w14:paraId="695CA191">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按组合计提坏账准备：（1）</w:t>
      </w:r>
      <w:r>
        <w:rPr>
          <w:rFonts w:ascii="宋体" w:hAnsi="宋体" w:eastAsia="宋体" w:cs="宋体"/>
          <w:sz w:val="18"/>
          <w:szCs w:val="18"/>
        </w:rPr>
        <w:tab/>
      </w:r>
      <w:r>
        <w:rPr>
          <w:rFonts w:ascii="宋体" w:hAnsi="宋体" w:eastAsia="宋体" w:cs="宋体"/>
          <w:sz w:val="18"/>
          <w:szCs w:val="18"/>
        </w:rPr>
        <w:t>押金、保证金、员工备用金组合</w:t>
      </w:r>
    </w:p>
    <w:p w14:paraId="7BCCE40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5916AF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DB2F1A0">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7B2E287A">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311FBB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B7BCD92"/>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DC768B8">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CEFC1EA">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B95E5D0">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14:paraId="5F9188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880A9B8">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2410" w:type="dxa"/>
            <w:tcBorders>
              <w:top w:val="single" w:color="auto" w:sz="2" w:space="0"/>
              <w:left w:val="single" w:color="auto" w:sz="2" w:space="0"/>
              <w:bottom w:val="single" w:color="auto" w:sz="2" w:space="0"/>
              <w:right w:val="single" w:color="auto" w:sz="2" w:space="0"/>
            </w:tcBorders>
            <w:vAlign w:val="center"/>
          </w:tcPr>
          <w:p w14:paraId="57F1072F">
            <w:pPr>
              <w:spacing w:before="0" w:after="0" w:line="240" w:lineRule="exact"/>
              <w:jc w:val="right"/>
              <w:rPr>
                <w:rFonts w:ascii="宋体" w:hAnsi="宋体" w:eastAsia="宋体" w:cs="宋体"/>
                <w:sz w:val="18"/>
                <w:szCs w:val="18"/>
              </w:rPr>
            </w:pPr>
            <w:r>
              <w:rPr>
                <w:rFonts w:ascii="宋体" w:hAnsi="宋体" w:eastAsia="宋体" w:cs="宋体"/>
                <w:sz w:val="18"/>
                <w:szCs w:val="18"/>
              </w:rPr>
              <w:t>3,030,855.31</w:t>
            </w:r>
          </w:p>
        </w:tc>
        <w:tc>
          <w:tcPr>
            <w:tcW w:w="2410" w:type="dxa"/>
            <w:tcBorders>
              <w:top w:val="single" w:color="auto" w:sz="2" w:space="0"/>
              <w:left w:val="single" w:color="auto" w:sz="2" w:space="0"/>
              <w:bottom w:val="single" w:color="auto" w:sz="2" w:space="0"/>
              <w:right w:val="single" w:color="auto" w:sz="2" w:space="0"/>
            </w:tcBorders>
            <w:vAlign w:val="center"/>
          </w:tcPr>
          <w:p w14:paraId="46129E0B">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5C27228">
            <w:pPr>
              <w:spacing w:before="0" w:after="0" w:line="240" w:lineRule="exact"/>
              <w:jc w:val="right"/>
              <w:rPr>
                <w:rFonts w:ascii="宋体" w:hAnsi="宋体" w:eastAsia="宋体" w:cs="宋体"/>
                <w:sz w:val="18"/>
                <w:szCs w:val="18"/>
              </w:rPr>
            </w:pPr>
          </w:p>
        </w:tc>
      </w:tr>
      <w:tr w14:paraId="3256A6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4309164C">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2410" w:type="dxa"/>
            <w:tcBorders>
              <w:top w:val="single" w:color="auto" w:sz="2" w:space="0"/>
              <w:left w:val="single" w:color="auto" w:sz="2" w:space="0"/>
              <w:bottom w:val="single" w:color="auto" w:sz="2" w:space="0"/>
              <w:right w:val="single" w:color="auto" w:sz="2" w:space="0"/>
            </w:tcBorders>
            <w:vAlign w:val="center"/>
          </w:tcPr>
          <w:p w14:paraId="2C8E402F">
            <w:pPr>
              <w:spacing w:before="0" w:after="0" w:line="240" w:lineRule="exact"/>
              <w:jc w:val="right"/>
              <w:rPr>
                <w:rFonts w:ascii="宋体" w:hAnsi="宋体" w:eastAsia="宋体" w:cs="宋体"/>
                <w:sz w:val="18"/>
                <w:szCs w:val="18"/>
              </w:rPr>
            </w:pPr>
            <w:r>
              <w:rPr>
                <w:rFonts w:ascii="宋体" w:hAnsi="宋体" w:eastAsia="宋体" w:cs="宋体"/>
                <w:sz w:val="18"/>
                <w:szCs w:val="18"/>
              </w:rPr>
              <w:t>348,896.00</w:t>
            </w:r>
          </w:p>
        </w:tc>
        <w:tc>
          <w:tcPr>
            <w:tcW w:w="2410" w:type="dxa"/>
            <w:tcBorders>
              <w:top w:val="single" w:color="auto" w:sz="2" w:space="0"/>
              <w:left w:val="single" w:color="auto" w:sz="2" w:space="0"/>
              <w:bottom w:val="single" w:color="auto" w:sz="2" w:space="0"/>
              <w:right w:val="single" w:color="auto" w:sz="2" w:space="0"/>
            </w:tcBorders>
            <w:vAlign w:val="center"/>
          </w:tcPr>
          <w:p w14:paraId="42AD7C0C">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3733F86">
            <w:pPr>
              <w:spacing w:before="0" w:after="0" w:line="240" w:lineRule="exact"/>
              <w:jc w:val="right"/>
              <w:rPr>
                <w:rFonts w:ascii="宋体" w:hAnsi="宋体" w:eastAsia="宋体" w:cs="宋体"/>
                <w:sz w:val="18"/>
                <w:szCs w:val="18"/>
              </w:rPr>
            </w:pPr>
          </w:p>
        </w:tc>
      </w:tr>
      <w:tr w14:paraId="6F3177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AD7A3B8">
            <w:pPr>
              <w:spacing w:before="0" w:after="0" w:line="240" w:lineRule="exact"/>
              <w:jc w:val="left"/>
              <w:rPr>
                <w:rFonts w:ascii="宋体" w:hAnsi="宋体" w:eastAsia="宋体" w:cs="宋体"/>
                <w:sz w:val="18"/>
                <w:szCs w:val="18"/>
              </w:rPr>
            </w:pPr>
            <w:r>
              <w:rPr>
                <w:rFonts w:ascii="宋体" w:hAnsi="宋体" w:eastAsia="宋体" w:cs="宋体"/>
                <w:sz w:val="18"/>
                <w:szCs w:val="18"/>
              </w:rPr>
              <w:t>2－3年</w:t>
            </w:r>
          </w:p>
        </w:tc>
        <w:tc>
          <w:tcPr>
            <w:tcW w:w="2410" w:type="dxa"/>
            <w:tcBorders>
              <w:top w:val="single" w:color="auto" w:sz="2" w:space="0"/>
              <w:left w:val="single" w:color="auto" w:sz="2" w:space="0"/>
              <w:bottom w:val="single" w:color="auto" w:sz="2" w:space="0"/>
              <w:right w:val="single" w:color="auto" w:sz="2" w:space="0"/>
            </w:tcBorders>
            <w:vAlign w:val="center"/>
          </w:tcPr>
          <w:p w14:paraId="65582513">
            <w:pPr>
              <w:spacing w:before="0" w:after="0" w:line="240" w:lineRule="exact"/>
              <w:jc w:val="right"/>
              <w:rPr>
                <w:rFonts w:ascii="宋体" w:hAnsi="宋体" w:eastAsia="宋体" w:cs="宋体"/>
                <w:sz w:val="18"/>
                <w:szCs w:val="18"/>
              </w:rPr>
            </w:pPr>
            <w:r>
              <w:rPr>
                <w:rFonts w:ascii="宋体" w:hAnsi="宋体" w:eastAsia="宋体" w:cs="宋体"/>
                <w:sz w:val="18"/>
                <w:szCs w:val="18"/>
              </w:rPr>
              <w:t>28,000.00</w:t>
            </w:r>
          </w:p>
        </w:tc>
        <w:tc>
          <w:tcPr>
            <w:tcW w:w="2410" w:type="dxa"/>
            <w:tcBorders>
              <w:top w:val="single" w:color="auto" w:sz="2" w:space="0"/>
              <w:left w:val="single" w:color="auto" w:sz="2" w:space="0"/>
              <w:bottom w:val="single" w:color="auto" w:sz="2" w:space="0"/>
              <w:right w:val="single" w:color="auto" w:sz="2" w:space="0"/>
            </w:tcBorders>
            <w:vAlign w:val="center"/>
          </w:tcPr>
          <w:p w14:paraId="7939F87D">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6818B78">
            <w:pPr>
              <w:spacing w:before="0" w:after="0" w:line="240" w:lineRule="exact"/>
              <w:jc w:val="right"/>
              <w:rPr>
                <w:rFonts w:ascii="宋体" w:hAnsi="宋体" w:eastAsia="宋体" w:cs="宋体"/>
                <w:sz w:val="18"/>
                <w:szCs w:val="18"/>
              </w:rPr>
            </w:pPr>
          </w:p>
        </w:tc>
      </w:tr>
      <w:tr w14:paraId="04AC81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E47D738">
            <w:pPr>
              <w:spacing w:before="0" w:after="0" w:line="240" w:lineRule="exact"/>
              <w:jc w:val="left"/>
              <w:rPr>
                <w:rFonts w:ascii="宋体" w:hAnsi="宋体" w:eastAsia="宋体" w:cs="宋体"/>
                <w:sz w:val="18"/>
                <w:szCs w:val="18"/>
              </w:rPr>
            </w:pPr>
            <w:r>
              <w:rPr>
                <w:rFonts w:ascii="宋体" w:hAnsi="宋体" w:eastAsia="宋体" w:cs="宋体"/>
                <w:sz w:val="18"/>
                <w:szCs w:val="18"/>
              </w:rPr>
              <w:t>3－4年</w:t>
            </w:r>
          </w:p>
        </w:tc>
        <w:tc>
          <w:tcPr>
            <w:tcW w:w="2410" w:type="dxa"/>
            <w:tcBorders>
              <w:top w:val="single" w:color="auto" w:sz="2" w:space="0"/>
              <w:left w:val="single" w:color="auto" w:sz="2" w:space="0"/>
              <w:bottom w:val="single" w:color="auto" w:sz="2" w:space="0"/>
              <w:right w:val="single" w:color="auto" w:sz="2" w:space="0"/>
            </w:tcBorders>
            <w:vAlign w:val="center"/>
          </w:tcPr>
          <w:p w14:paraId="696C06D5">
            <w:pPr>
              <w:spacing w:before="0" w:after="0" w:line="240" w:lineRule="exact"/>
              <w:jc w:val="right"/>
              <w:rPr>
                <w:rFonts w:ascii="宋体" w:hAnsi="宋体" w:eastAsia="宋体" w:cs="宋体"/>
                <w:sz w:val="18"/>
                <w:szCs w:val="18"/>
              </w:rPr>
            </w:pPr>
            <w:r>
              <w:rPr>
                <w:rFonts w:ascii="宋体" w:hAnsi="宋体" w:eastAsia="宋体" w:cs="宋体"/>
                <w:sz w:val="18"/>
                <w:szCs w:val="18"/>
              </w:rPr>
              <w:t>30,000.00</w:t>
            </w:r>
          </w:p>
        </w:tc>
        <w:tc>
          <w:tcPr>
            <w:tcW w:w="2410" w:type="dxa"/>
            <w:tcBorders>
              <w:top w:val="single" w:color="auto" w:sz="2" w:space="0"/>
              <w:left w:val="single" w:color="auto" w:sz="2" w:space="0"/>
              <w:bottom w:val="single" w:color="auto" w:sz="2" w:space="0"/>
              <w:right w:val="single" w:color="auto" w:sz="2" w:space="0"/>
            </w:tcBorders>
            <w:vAlign w:val="center"/>
          </w:tcPr>
          <w:p w14:paraId="40A79122">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FE1EABF">
            <w:pPr>
              <w:spacing w:before="0" w:after="0" w:line="240" w:lineRule="exact"/>
              <w:jc w:val="right"/>
              <w:rPr>
                <w:rFonts w:ascii="宋体" w:hAnsi="宋体" w:eastAsia="宋体" w:cs="宋体"/>
                <w:sz w:val="18"/>
                <w:szCs w:val="18"/>
              </w:rPr>
            </w:pPr>
          </w:p>
        </w:tc>
      </w:tr>
      <w:tr w14:paraId="519958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1EC8959">
            <w:pPr>
              <w:spacing w:before="0" w:after="0" w:line="240" w:lineRule="exact"/>
              <w:jc w:val="left"/>
              <w:rPr>
                <w:rFonts w:ascii="宋体" w:hAnsi="宋体" w:eastAsia="宋体" w:cs="宋体"/>
                <w:sz w:val="18"/>
                <w:szCs w:val="18"/>
              </w:rPr>
            </w:pPr>
            <w:r>
              <w:rPr>
                <w:rFonts w:ascii="宋体" w:hAnsi="宋体" w:eastAsia="宋体" w:cs="宋体"/>
                <w:sz w:val="18"/>
                <w:szCs w:val="18"/>
              </w:rPr>
              <w:t>4－5年</w:t>
            </w:r>
          </w:p>
        </w:tc>
        <w:tc>
          <w:tcPr>
            <w:tcW w:w="2410" w:type="dxa"/>
            <w:tcBorders>
              <w:top w:val="single" w:color="auto" w:sz="2" w:space="0"/>
              <w:left w:val="single" w:color="auto" w:sz="2" w:space="0"/>
              <w:bottom w:val="single" w:color="auto" w:sz="2" w:space="0"/>
              <w:right w:val="single" w:color="auto" w:sz="2" w:space="0"/>
            </w:tcBorders>
            <w:vAlign w:val="center"/>
          </w:tcPr>
          <w:p w14:paraId="79F8462B">
            <w:pPr>
              <w:spacing w:before="0" w:after="0" w:line="240" w:lineRule="exact"/>
              <w:jc w:val="right"/>
              <w:rPr>
                <w:rFonts w:ascii="宋体" w:hAnsi="宋体" w:eastAsia="宋体" w:cs="宋体"/>
                <w:sz w:val="18"/>
                <w:szCs w:val="18"/>
              </w:rPr>
            </w:pPr>
            <w:r>
              <w:rPr>
                <w:rFonts w:ascii="宋体" w:hAnsi="宋体" w:eastAsia="宋体" w:cs="宋体"/>
                <w:sz w:val="18"/>
                <w:szCs w:val="18"/>
              </w:rPr>
              <w:t>94,650.00</w:t>
            </w:r>
          </w:p>
        </w:tc>
        <w:tc>
          <w:tcPr>
            <w:tcW w:w="2410" w:type="dxa"/>
            <w:tcBorders>
              <w:top w:val="single" w:color="auto" w:sz="2" w:space="0"/>
              <w:left w:val="single" w:color="auto" w:sz="2" w:space="0"/>
              <w:bottom w:val="single" w:color="auto" w:sz="2" w:space="0"/>
              <w:right w:val="single" w:color="auto" w:sz="2" w:space="0"/>
            </w:tcBorders>
            <w:vAlign w:val="center"/>
          </w:tcPr>
          <w:p w14:paraId="7C4770D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5FC16D6">
            <w:pPr>
              <w:spacing w:before="0" w:after="0" w:line="240" w:lineRule="exact"/>
              <w:jc w:val="right"/>
              <w:rPr>
                <w:rFonts w:ascii="宋体" w:hAnsi="宋体" w:eastAsia="宋体" w:cs="宋体"/>
                <w:sz w:val="18"/>
                <w:szCs w:val="18"/>
              </w:rPr>
            </w:pPr>
          </w:p>
        </w:tc>
      </w:tr>
      <w:tr w14:paraId="13ED6F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6AC3920C">
            <w:pPr>
              <w:spacing w:before="0" w:after="0" w:line="240" w:lineRule="exact"/>
              <w:jc w:val="left"/>
              <w:rPr>
                <w:rFonts w:ascii="宋体" w:hAnsi="宋体" w:eastAsia="宋体" w:cs="宋体"/>
                <w:sz w:val="18"/>
                <w:szCs w:val="18"/>
              </w:rPr>
            </w:pPr>
            <w:r>
              <w:rPr>
                <w:rFonts w:ascii="宋体" w:hAnsi="宋体" w:eastAsia="宋体" w:cs="宋体"/>
                <w:sz w:val="18"/>
                <w:szCs w:val="18"/>
              </w:rPr>
              <w:t>5年以上</w:t>
            </w:r>
          </w:p>
        </w:tc>
        <w:tc>
          <w:tcPr>
            <w:tcW w:w="2410" w:type="dxa"/>
            <w:tcBorders>
              <w:top w:val="single" w:color="auto" w:sz="2" w:space="0"/>
              <w:left w:val="single" w:color="auto" w:sz="2" w:space="0"/>
              <w:bottom w:val="single" w:color="auto" w:sz="2" w:space="0"/>
              <w:right w:val="single" w:color="auto" w:sz="2" w:space="0"/>
            </w:tcBorders>
            <w:vAlign w:val="center"/>
          </w:tcPr>
          <w:p w14:paraId="19B0A448">
            <w:pPr>
              <w:spacing w:before="0" w:after="0" w:line="240" w:lineRule="exact"/>
              <w:jc w:val="right"/>
              <w:rPr>
                <w:rFonts w:ascii="宋体" w:hAnsi="宋体" w:eastAsia="宋体" w:cs="宋体"/>
                <w:sz w:val="18"/>
                <w:szCs w:val="18"/>
              </w:rPr>
            </w:pPr>
            <w:r>
              <w:rPr>
                <w:rFonts w:ascii="宋体" w:hAnsi="宋体" w:eastAsia="宋体" w:cs="宋体"/>
                <w:sz w:val="18"/>
                <w:szCs w:val="18"/>
              </w:rPr>
              <w:t>5,500.00</w:t>
            </w:r>
          </w:p>
        </w:tc>
        <w:tc>
          <w:tcPr>
            <w:tcW w:w="2410" w:type="dxa"/>
            <w:tcBorders>
              <w:top w:val="single" w:color="auto" w:sz="2" w:space="0"/>
              <w:left w:val="single" w:color="auto" w:sz="2" w:space="0"/>
              <w:bottom w:val="single" w:color="auto" w:sz="2" w:space="0"/>
              <w:right w:val="single" w:color="auto" w:sz="2" w:space="0"/>
            </w:tcBorders>
            <w:vAlign w:val="center"/>
          </w:tcPr>
          <w:p w14:paraId="7560603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6E4BB58">
            <w:pPr>
              <w:spacing w:before="0" w:after="0" w:line="240" w:lineRule="exact"/>
              <w:jc w:val="right"/>
              <w:rPr>
                <w:rFonts w:ascii="宋体" w:hAnsi="宋体" w:eastAsia="宋体" w:cs="宋体"/>
                <w:sz w:val="18"/>
                <w:szCs w:val="18"/>
              </w:rPr>
            </w:pPr>
          </w:p>
        </w:tc>
      </w:tr>
      <w:tr w14:paraId="4A2D0A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EDAE01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385B4490">
            <w:pPr>
              <w:spacing w:before="0" w:after="0" w:line="240" w:lineRule="exact"/>
              <w:jc w:val="right"/>
              <w:rPr>
                <w:rFonts w:ascii="宋体" w:hAnsi="宋体" w:eastAsia="宋体" w:cs="宋体"/>
                <w:sz w:val="18"/>
                <w:szCs w:val="18"/>
              </w:rPr>
            </w:pPr>
            <w:r>
              <w:rPr>
                <w:rFonts w:ascii="宋体" w:hAnsi="宋体" w:eastAsia="宋体" w:cs="宋体"/>
                <w:sz w:val="18"/>
                <w:szCs w:val="18"/>
              </w:rPr>
              <w:t>3,537,901.31</w:t>
            </w:r>
          </w:p>
        </w:tc>
        <w:tc>
          <w:tcPr>
            <w:tcW w:w="2410" w:type="dxa"/>
            <w:tcBorders>
              <w:top w:val="single" w:color="auto" w:sz="2" w:space="0"/>
              <w:left w:val="single" w:color="auto" w:sz="2" w:space="0"/>
              <w:bottom w:val="single" w:color="auto" w:sz="2" w:space="0"/>
              <w:right w:val="single" w:color="auto" w:sz="2" w:space="0"/>
            </w:tcBorders>
            <w:vAlign w:val="center"/>
          </w:tcPr>
          <w:p w14:paraId="51CBA43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0859E0D"/>
        </w:tc>
      </w:tr>
    </w:tbl>
    <w:p w14:paraId="6AF44F0A">
      <w:pPr>
        <w:spacing w:before="100" w:after="100" w:line="240" w:lineRule="exact"/>
        <w:jc w:val="left"/>
        <w:rPr>
          <w:rFonts w:ascii="宋体" w:hAnsi="宋体" w:eastAsia="宋体" w:cs="宋体"/>
          <w:sz w:val="18"/>
          <w:szCs w:val="18"/>
        </w:rPr>
      </w:pPr>
      <w:r>
        <w:rPr>
          <w:rFonts w:ascii="宋体" w:hAnsi="宋体" w:eastAsia="宋体" w:cs="宋体"/>
          <w:sz w:val="18"/>
          <w:szCs w:val="18"/>
        </w:rPr>
        <w:t>确定该组合依据的说明：</w:t>
      </w:r>
    </w:p>
    <w:p w14:paraId="13D95B2E">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按组合计提坏账准备：（2）</w:t>
      </w:r>
      <w:r>
        <w:rPr>
          <w:rFonts w:ascii="宋体" w:hAnsi="宋体" w:eastAsia="宋体" w:cs="宋体"/>
          <w:sz w:val="18"/>
          <w:szCs w:val="18"/>
        </w:rPr>
        <w:tab/>
      </w:r>
      <w:r>
        <w:rPr>
          <w:rFonts w:ascii="宋体" w:hAnsi="宋体" w:eastAsia="宋体" w:cs="宋体"/>
          <w:sz w:val="18"/>
          <w:szCs w:val="18"/>
        </w:rPr>
        <w:t>并表关联方组合</w:t>
      </w:r>
    </w:p>
    <w:p w14:paraId="71FB06E7">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07D587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8CA6D65">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1B9E40A8">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02D913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B0DB308"/>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6305093">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150140B">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93E86FA">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14:paraId="22A9DA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0C717608">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2410" w:type="dxa"/>
            <w:tcBorders>
              <w:top w:val="single" w:color="auto" w:sz="2" w:space="0"/>
              <w:left w:val="single" w:color="auto" w:sz="2" w:space="0"/>
              <w:bottom w:val="single" w:color="auto" w:sz="2" w:space="0"/>
              <w:right w:val="single" w:color="auto" w:sz="2" w:space="0"/>
            </w:tcBorders>
            <w:vAlign w:val="center"/>
          </w:tcPr>
          <w:p w14:paraId="63CBA9CC">
            <w:pPr>
              <w:spacing w:before="0" w:after="0" w:line="240" w:lineRule="exact"/>
              <w:jc w:val="right"/>
              <w:rPr>
                <w:rFonts w:ascii="宋体" w:hAnsi="宋体" w:eastAsia="宋体" w:cs="宋体"/>
                <w:sz w:val="18"/>
                <w:szCs w:val="18"/>
              </w:rPr>
            </w:pPr>
            <w:r>
              <w:rPr>
                <w:rFonts w:ascii="宋体" w:hAnsi="宋体" w:eastAsia="宋体" w:cs="宋体"/>
                <w:sz w:val="18"/>
                <w:szCs w:val="18"/>
              </w:rPr>
              <w:t>38,118,766.67</w:t>
            </w:r>
          </w:p>
        </w:tc>
        <w:tc>
          <w:tcPr>
            <w:tcW w:w="2410" w:type="dxa"/>
            <w:tcBorders>
              <w:top w:val="single" w:color="auto" w:sz="2" w:space="0"/>
              <w:left w:val="single" w:color="auto" w:sz="2" w:space="0"/>
              <w:bottom w:val="single" w:color="auto" w:sz="2" w:space="0"/>
              <w:right w:val="single" w:color="auto" w:sz="2" w:space="0"/>
            </w:tcBorders>
            <w:vAlign w:val="center"/>
          </w:tcPr>
          <w:p w14:paraId="495A7E32">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B8FC69F">
            <w:pPr>
              <w:spacing w:before="0" w:after="0" w:line="240" w:lineRule="exact"/>
              <w:jc w:val="right"/>
              <w:rPr>
                <w:rFonts w:ascii="宋体" w:hAnsi="宋体" w:eastAsia="宋体" w:cs="宋体"/>
                <w:sz w:val="18"/>
                <w:szCs w:val="18"/>
              </w:rPr>
            </w:pPr>
          </w:p>
        </w:tc>
      </w:tr>
      <w:tr w14:paraId="28FAC2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77792C7">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2410" w:type="dxa"/>
            <w:tcBorders>
              <w:top w:val="single" w:color="auto" w:sz="2" w:space="0"/>
              <w:left w:val="single" w:color="auto" w:sz="2" w:space="0"/>
              <w:bottom w:val="single" w:color="auto" w:sz="2" w:space="0"/>
              <w:right w:val="single" w:color="auto" w:sz="2" w:space="0"/>
            </w:tcBorders>
            <w:vAlign w:val="center"/>
          </w:tcPr>
          <w:p w14:paraId="494B5FB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46A7AAAC">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DB3514B">
            <w:pPr>
              <w:spacing w:before="0" w:after="0" w:line="240" w:lineRule="exact"/>
              <w:jc w:val="right"/>
              <w:rPr>
                <w:rFonts w:ascii="宋体" w:hAnsi="宋体" w:eastAsia="宋体" w:cs="宋体"/>
                <w:sz w:val="18"/>
                <w:szCs w:val="18"/>
              </w:rPr>
            </w:pPr>
          </w:p>
        </w:tc>
      </w:tr>
      <w:tr w14:paraId="0BFFF9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756E3B19">
            <w:pPr>
              <w:spacing w:before="0" w:after="0" w:line="240" w:lineRule="exact"/>
              <w:jc w:val="left"/>
              <w:rPr>
                <w:rFonts w:ascii="宋体" w:hAnsi="宋体" w:eastAsia="宋体" w:cs="宋体"/>
                <w:sz w:val="18"/>
                <w:szCs w:val="18"/>
              </w:rPr>
            </w:pPr>
            <w:r>
              <w:rPr>
                <w:rFonts w:ascii="宋体" w:hAnsi="宋体" w:eastAsia="宋体" w:cs="宋体"/>
                <w:sz w:val="18"/>
                <w:szCs w:val="18"/>
              </w:rPr>
              <w:t>2－3年</w:t>
            </w:r>
          </w:p>
        </w:tc>
        <w:tc>
          <w:tcPr>
            <w:tcW w:w="2410" w:type="dxa"/>
            <w:tcBorders>
              <w:top w:val="single" w:color="auto" w:sz="2" w:space="0"/>
              <w:left w:val="single" w:color="auto" w:sz="2" w:space="0"/>
              <w:bottom w:val="single" w:color="auto" w:sz="2" w:space="0"/>
              <w:right w:val="single" w:color="auto" w:sz="2" w:space="0"/>
            </w:tcBorders>
            <w:vAlign w:val="center"/>
          </w:tcPr>
          <w:p w14:paraId="048708A7">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B13385D">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77FBD099">
            <w:pPr>
              <w:spacing w:before="0" w:after="0" w:line="240" w:lineRule="exact"/>
              <w:jc w:val="right"/>
              <w:rPr>
                <w:rFonts w:ascii="宋体" w:hAnsi="宋体" w:eastAsia="宋体" w:cs="宋体"/>
                <w:sz w:val="18"/>
                <w:szCs w:val="18"/>
              </w:rPr>
            </w:pPr>
          </w:p>
        </w:tc>
      </w:tr>
      <w:tr w14:paraId="4DFEAA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4770E181">
            <w:pPr>
              <w:spacing w:before="0" w:after="0" w:line="240" w:lineRule="exact"/>
              <w:jc w:val="left"/>
              <w:rPr>
                <w:rFonts w:ascii="宋体" w:hAnsi="宋体" w:eastAsia="宋体" w:cs="宋体"/>
                <w:sz w:val="18"/>
                <w:szCs w:val="18"/>
              </w:rPr>
            </w:pPr>
            <w:r>
              <w:rPr>
                <w:rFonts w:ascii="宋体" w:hAnsi="宋体" w:eastAsia="宋体" w:cs="宋体"/>
                <w:sz w:val="18"/>
                <w:szCs w:val="18"/>
              </w:rPr>
              <w:t>3－4年</w:t>
            </w:r>
          </w:p>
        </w:tc>
        <w:tc>
          <w:tcPr>
            <w:tcW w:w="2410" w:type="dxa"/>
            <w:tcBorders>
              <w:top w:val="single" w:color="auto" w:sz="2" w:space="0"/>
              <w:left w:val="single" w:color="auto" w:sz="2" w:space="0"/>
              <w:bottom w:val="single" w:color="auto" w:sz="2" w:space="0"/>
              <w:right w:val="single" w:color="auto" w:sz="2" w:space="0"/>
            </w:tcBorders>
            <w:vAlign w:val="center"/>
          </w:tcPr>
          <w:p w14:paraId="1652198F">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9777DAF">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73EFB58">
            <w:pPr>
              <w:spacing w:before="0" w:after="0" w:line="240" w:lineRule="exact"/>
              <w:jc w:val="right"/>
              <w:rPr>
                <w:rFonts w:ascii="宋体" w:hAnsi="宋体" w:eastAsia="宋体" w:cs="宋体"/>
                <w:sz w:val="18"/>
                <w:szCs w:val="18"/>
              </w:rPr>
            </w:pPr>
          </w:p>
        </w:tc>
      </w:tr>
      <w:tr w14:paraId="7B247A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1D2E8B03">
            <w:pPr>
              <w:spacing w:before="0" w:after="0" w:line="240" w:lineRule="exact"/>
              <w:jc w:val="left"/>
              <w:rPr>
                <w:rFonts w:ascii="宋体" w:hAnsi="宋体" w:eastAsia="宋体" w:cs="宋体"/>
                <w:sz w:val="18"/>
                <w:szCs w:val="18"/>
              </w:rPr>
            </w:pPr>
            <w:r>
              <w:rPr>
                <w:rFonts w:ascii="宋体" w:hAnsi="宋体" w:eastAsia="宋体" w:cs="宋体"/>
                <w:sz w:val="18"/>
                <w:szCs w:val="18"/>
              </w:rPr>
              <w:t>4－5年</w:t>
            </w:r>
          </w:p>
        </w:tc>
        <w:tc>
          <w:tcPr>
            <w:tcW w:w="2410" w:type="dxa"/>
            <w:tcBorders>
              <w:top w:val="single" w:color="auto" w:sz="2" w:space="0"/>
              <w:left w:val="single" w:color="auto" w:sz="2" w:space="0"/>
              <w:bottom w:val="single" w:color="auto" w:sz="2" w:space="0"/>
              <w:right w:val="single" w:color="auto" w:sz="2" w:space="0"/>
            </w:tcBorders>
            <w:vAlign w:val="center"/>
          </w:tcPr>
          <w:p w14:paraId="2CE533FB">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A16671E">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61B825F">
            <w:pPr>
              <w:spacing w:before="0" w:after="0" w:line="240" w:lineRule="exact"/>
              <w:jc w:val="right"/>
              <w:rPr>
                <w:rFonts w:ascii="宋体" w:hAnsi="宋体" w:eastAsia="宋体" w:cs="宋体"/>
                <w:sz w:val="18"/>
                <w:szCs w:val="18"/>
              </w:rPr>
            </w:pPr>
          </w:p>
        </w:tc>
      </w:tr>
      <w:tr w14:paraId="3506FD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33DA8306">
            <w:pPr>
              <w:spacing w:before="0" w:after="0" w:line="240" w:lineRule="exact"/>
              <w:jc w:val="left"/>
              <w:rPr>
                <w:rFonts w:ascii="宋体" w:hAnsi="宋体" w:eastAsia="宋体" w:cs="宋体"/>
                <w:sz w:val="18"/>
                <w:szCs w:val="18"/>
              </w:rPr>
            </w:pPr>
            <w:r>
              <w:rPr>
                <w:rFonts w:ascii="宋体" w:hAnsi="宋体" w:eastAsia="宋体" w:cs="宋体"/>
                <w:sz w:val="18"/>
                <w:szCs w:val="18"/>
              </w:rPr>
              <w:t>5年以上</w:t>
            </w:r>
          </w:p>
        </w:tc>
        <w:tc>
          <w:tcPr>
            <w:tcW w:w="2410" w:type="dxa"/>
            <w:tcBorders>
              <w:top w:val="single" w:color="auto" w:sz="2" w:space="0"/>
              <w:left w:val="single" w:color="auto" w:sz="2" w:space="0"/>
              <w:bottom w:val="single" w:color="auto" w:sz="2" w:space="0"/>
              <w:right w:val="single" w:color="auto" w:sz="2" w:space="0"/>
            </w:tcBorders>
            <w:vAlign w:val="center"/>
          </w:tcPr>
          <w:p w14:paraId="1A9648F1">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058740BD">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EFDFB17">
            <w:pPr>
              <w:spacing w:before="0" w:after="0" w:line="240" w:lineRule="exact"/>
              <w:jc w:val="right"/>
              <w:rPr>
                <w:rFonts w:ascii="宋体" w:hAnsi="宋体" w:eastAsia="宋体" w:cs="宋体"/>
                <w:sz w:val="18"/>
                <w:szCs w:val="18"/>
              </w:rPr>
            </w:pPr>
          </w:p>
        </w:tc>
      </w:tr>
      <w:tr w14:paraId="1D199D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2016553">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6E485D28">
            <w:pPr>
              <w:spacing w:before="0" w:after="0" w:line="240" w:lineRule="exact"/>
              <w:jc w:val="right"/>
              <w:rPr>
                <w:rFonts w:ascii="宋体" w:hAnsi="宋体" w:eastAsia="宋体" w:cs="宋体"/>
                <w:sz w:val="18"/>
                <w:szCs w:val="18"/>
              </w:rPr>
            </w:pPr>
            <w:r>
              <w:rPr>
                <w:rFonts w:ascii="宋体" w:hAnsi="宋体" w:eastAsia="宋体" w:cs="宋体"/>
                <w:sz w:val="18"/>
                <w:szCs w:val="18"/>
              </w:rPr>
              <w:t>38,118,766.67</w:t>
            </w:r>
          </w:p>
        </w:tc>
        <w:tc>
          <w:tcPr>
            <w:tcW w:w="2410" w:type="dxa"/>
            <w:tcBorders>
              <w:top w:val="single" w:color="auto" w:sz="2" w:space="0"/>
              <w:left w:val="single" w:color="auto" w:sz="2" w:space="0"/>
              <w:bottom w:val="single" w:color="auto" w:sz="2" w:space="0"/>
              <w:right w:val="single" w:color="auto" w:sz="2" w:space="0"/>
            </w:tcBorders>
            <w:vAlign w:val="center"/>
          </w:tcPr>
          <w:p w14:paraId="1EFA289F">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1EF4375A"/>
        </w:tc>
      </w:tr>
    </w:tbl>
    <w:p w14:paraId="0D692F3B">
      <w:pPr>
        <w:spacing w:before="100" w:after="100" w:line="240" w:lineRule="exact"/>
        <w:jc w:val="left"/>
        <w:rPr>
          <w:rFonts w:ascii="宋体" w:hAnsi="宋体" w:eastAsia="宋体" w:cs="宋体"/>
          <w:sz w:val="18"/>
          <w:szCs w:val="18"/>
        </w:rPr>
      </w:pPr>
      <w:r>
        <w:rPr>
          <w:rFonts w:ascii="宋体" w:hAnsi="宋体" w:eastAsia="宋体" w:cs="宋体"/>
          <w:sz w:val="18"/>
          <w:szCs w:val="18"/>
        </w:rPr>
        <w:t>确定该组合依据的说明：</w:t>
      </w:r>
    </w:p>
    <w:p w14:paraId="1B827A38">
      <w:pPr>
        <w:spacing w:before="0" w:after="0" w:line="240" w:lineRule="exact"/>
        <w:jc w:val="left"/>
        <w:rPr>
          <w:rFonts w:ascii="宋体" w:hAnsi="宋体" w:eastAsia="宋体" w:cs="宋体"/>
          <w:sz w:val="18"/>
          <w:szCs w:val="18"/>
        </w:rPr>
      </w:pPr>
      <w:r>
        <w:rPr>
          <w:rFonts w:ascii="宋体" w:hAnsi="宋体" w:eastAsia="宋体" w:cs="宋体"/>
          <w:sz w:val="18"/>
          <w:szCs w:val="18"/>
        </w:rPr>
        <w:t>按组合计提坏账准备：（3）</w:t>
      </w:r>
      <w:r>
        <w:rPr>
          <w:rFonts w:ascii="宋体" w:hAnsi="宋体" w:eastAsia="宋体" w:cs="宋体"/>
          <w:sz w:val="18"/>
          <w:szCs w:val="18"/>
        </w:rPr>
        <w:tab/>
      </w:r>
      <w:r>
        <w:rPr>
          <w:rFonts w:ascii="宋体" w:hAnsi="宋体" w:eastAsia="宋体" w:cs="宋体"/>
          <w:sz w:val="18"/>
          <w:szCs w:val="18"/>
        </w:rPr>
        <w:t>信用组合</w:t>
      </w:r>
    </w:p>
    <w:p w14:paraId="14C83AD6">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244EAD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9AA042E">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68809366">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0045E2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28E59AA"/>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CBA8404">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6FB4B012">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39334C8D">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14:paraId="5136F1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1D50153A">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2410" w:type="dxa"/>
            <w:tcBorders>
              <w:top w:val="single" w:color="auto" w:sz="2" w:space="0"/>
              <w:left w:val="single" w:color="auto" w:sz="2" w:space="0"/>
              <w:bottom w:val="single" w:color="auto" w:sz="2" w:space="0"/>
              <w:right w:val="single" w:color="auto" w:sz="2" w:space="0"/>
            </w:tcBorders>
            <w:vAlign w:val="center"/>
          </w:tcPr>
          <w:p w14:paraId="3C3470E8">
            <w:pPr>
              <w:spacing w:before="0" w:after="0" w:line="240" w:lineRule="exact"/>
              <w:jc w:val="right"/>
              <w:rPr>
                <w:rFonts w:ascii="宋体" w:hAnsi="宋体" w:eastAsia="宋体" w:cs="宋体"/>
                <w:sz w:val="18"/>
                <w:szCs w:val="18"/>
              </w:rPr>
            </w:pPr>
            <w:r>
              <w:rPr>
                <w:rFonts w:ascii="宋体" w:hAnsi="宋体" w:eastAsia="宋体" w:cs="宋体"/>
                <w:sz w:val="18"/>
                <w:szCs w:val="18"/>
              </w:rPr>
              <w:t>354,038.61</w:t>
            </w:r>
          </w:p>
        </w:tc>
        <w:tc>
          <w:tcPr>
            <w:tcW w:w="2410" w:type="dxa"/>
            <w:tcBorders>
              <w:top w:val="single" w:color="auto" w:sz="2" w:space="0"/>
              <w:left w:val="single" w:color="auto" w:sz="2" w:space="0"/>
              <w:bottom w:val="single" w:color="auto" w:sz="2" w:space="0"/>
              <w:right w:val="single" w:color="auto" w:sz="2" w:space="0"/>
            </w:tcBorders>
            <w:vAlign w:val="center"/>
          </w:tcPr>
          <w:p w14:paraId="20027148">
            <w:pPr>
              <w:spacing w:before="0" w:after="0" w:line="240" w:lineRule="exact"/>
              <w:jc w:val="right"/>
              <w:rPr>
                <w:rFonts w:ascii="宋体" w:hAnsi="宋体" w:eastAsia="宋体" w:cs="宋体"/>
                <w:sz w:val="18"/>
                <w:szCs w:val="18"/>
              </w:rPr>
            </w:pPr>
            <w:r>
              <w:rPr>
                <w:rFonts w:ascii="宋体" w:hAnsi="宋体" w:eastAsia="宋体" w:cs="宋体"/>
                <w:sz w:val="18"/>
                <w:szCs w:val="18"/>
              </w:rPr>
              <w:t>17,701.93</w:t>
            </w:r>
          </w:p>
        </w:tc>
        <w:tc>
          <w:tcPr>
            <w:tcW w:w="2410" w:type="dxa"/>
            <w:tcBorders>
              <w:top w:val="single" w:color="auto" w:sz="2" w:space="0"/>
              <w:left w:val="single" w:color="auto" w:sz="2" w:space="0"/>
              <w:bottom w:val="single" w:color="auto" w:sz="2" w:space="0"/>
              <w:right w:val="single" w:color="auto" w:sz="2" w:space="0"/>
            </w:tcBorders>
            <w:vAlign w:val="center"/>
          </w:tcPr>
          <w:p w14:paraId="7BF8FFAA">
            <w:pPr>
              <w:spacing w:before="0" w:after="0" w:line="240" w:lineRule="exact"/>
              <w:jc w:val="right"/>
              <w:rPr>
                <w:rFonts w:ascii="宋体" w:hAnsi="宋体" w:eastAsia="宋体" w:cs="宋体"/>
                <w:sz w:val="18"/>
                <w:szCs w:val="18"/>
              </w:rPr>
            </w:pPr>
            <w:r>
              <w:rPr>
                <w:rFonts w:ascii="宋体" w:hAnsi="宋体" w:eastAsia="宋体" w:cs="宋体"/>
                <w:sz w:val="18"/>
                <w:szCs w:val="18"/>
              </w:rPr>
              <w:t>5.00%</w:t>
            </w:r>
          </w:p>
        </w:tc>
      </w:tr>
      <w:tr w14:paraId="008933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70C9522">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2410" w:type="dxa"/>
            <w:tcBorders>
              <w:top w:val="single" w:color="auto" w:sz="2" w:space="0"/>
              <w:left w:val="single" w:color="auto" w:sz="2" w:space="0"/>
              <w:bottom w:val="single" w:color="auto" w:sz="2" w:space="0"/>
              <w:right w:val="single" w:color="auto" w:sz="2" w:space="0"/>
            </w:tcBorders>
            <w:vAlign w:val="center"/>
          </w:tcPr>
          <w:p w14:paraId="109EBBB1">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FF112B2">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4D0513E">
            <w:pPr>
              <w:spacing w:before="0" w:after="0" w:line="240" w:lineRule="exact"/>
              <w:jc w:val="right"/>
              <w:rPr>
                <w:rFonts w:ascii="宋体" w:hAnsi="宋体" w:eastAsia="宋体" w:cs="宋体"/>
                <w:sz w:val="18"/>
                <w:szCs w:val="18"/>
              </w:rPr>
            </w:pPr>
          </w:p>
        </w:tc>
      </w:tr>
      <w:tr w14:paraId="336136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22F204A1">
            <w:pPr>
              <w:spacing w:before="0" w:after="0" w:line="240" w:lineRule="exact"/>
              <w:jc w:val="left"/>
              <w:rPr>
                <w:rFonts w:ascii="宋体" w:hAnsi="宋体" w:eastAsia="宋体" w:cs="宋体"/>
                <w:sz w:val="18"/>
                <w:szCs w:val="18"/>
              </w:rPr>
            </w:pPr>
            <w:r>
              <w:rPr>
                <w:rFonts w:ascii="宋体" w:hAnsi="宋体" w:eastAsia="宋体" w:cs="宋体"/>
                <w:sz w:val="18"/>
                <w:szCs w:val="18"/>
              </w:rPr>
              <w:t>2－3年</w:t>
            </w:r>
          </w:p>
        </w:tc>
        <w:tc>
          <w:tcPr>
            <w:tcW w:w="2410" w:type="dxa"/>
            <w:tcBorders>
              <w:top w:val="single" w:color="auto" w:sz="2" w:space="0"/>
              <w:left w:val="single" w:color="auto" w:sz="2" w:space="0"/>
              <w:bottom w:val="single" w:color="auto" w:sz="2" w:space="0"/>
              <w:right w:val="single" w:color="auto" w:sz="2" w:space="0"/>
            </w:tcBorders>
            <w:vAlign w:val="center"/>
          </w:tcPr>
          <w:p w14:paraId="54196C99">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43472411">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16596D55">
            <w:pPr>
              <w:spacing w:before="0" w:after="0" w:line="240" w:lineRule="exact"/>
              <w:jc w:val="right"/>
              <w:rPr>
                <w:rFonts w:ascii="宋体" w:hAnsi="宋体" w:eastAsia="宋体" w:cs="宋体"/>
                <w:sz w:val="18"/>
                <w:szCs w:val="18"/>
              </w:rPr>
            </w:pPr>
          </w:p>
        </w:tc>
      </w:tr>
      <w:tr w14:paraId="3656EE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40565D99">
            <w:pPr>
              <w:spacing w:before="0" w:after="0" w:line="240" w:lineRule="exact"/>
              <w:jc w:val="left"/>
              <w:rPr>
                <w:rFonts w:ascii="宋体" w:hAnsi="宋体" w:eastAsia="宋体" w:cs="宋体"/>
                <w:sz w:val="18"/>
                <w:szCs w:val="18"/>
              </w:rPr>
            </w:pPr>
            <w:r>
              <w:rPr>
                <w:rFonts w:ascii="宋体" w:hAnsi="宋体" w:eastAsia="宋体" w:cs="宋体"/>
                <w:sz w:val="18"/>
                <w:szCs w:val="18"/>
              </w:rPr>
              <w:t>3－4年</w:t>
            </w:r>
          </w:p>
        </w:tc>
        <w:tc>
          <w:tcPr>
            <w:tcW w:w="2410" w:type="dxa"/>
            <w:tcBorders>
              <w:top w:val="single" w:color="auto" w:sz="2" w:space="0"/>
              <w:left w:val="single" w:color="auto" w:sz="2" w:space="0"/>
              <w:bottom w:val="single" w:color="auto" w:sz="2" w:space="0"/>
              <w:right w:val="single" w:color="auto" w:sz="2" w:space="0"/>
            </w:tcBorders>
            <w:vAlign w:val="center"/>
          </w:tcPr>
          <w:p w14:paraId="3D44F533">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02402E6">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8EBB14B">
            <w:pPr>
              <w:spacing w:before="0" w:after="0" w:line="240" w:lineRule="exact"/>
              <w:jc w:val="right"/>
              <w:rPr>
                <w:rFonts w:ascii="宋体" w:hAnsi="宋体" w:eastAsia="宋体" w:cs="宋体"/>
                <w:sz w:val="18"/>
                <w:szCs w:val="18"/>
              </w:rPr>
            </w:pPr>
          </w:p>
        </w:tc>
      </w:tr>
      <w:tr w14:paraId="300D59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7C15BF0">
            <w:pPr>
              <w:spacing w:before="0" w:after="0" w:line="240" w:lineRule="exact"/>
              <w:jc w:val="left"/>
              <w:rPr>
                <w:rFonts w:ascii="宋体" w:hAnsi="宋体" w:eastAsia="宋体" w:cs="宋体"/>
                <w:sz w:val="18"/>
                <w:szCs w:val="18"/>
              </w:rPr>
            </w:pPr>
            <w:r>
              <w:rPr>
                <w:rFonts w:ascii="宋体" w:hAnsi="宋体" w:eastAsia="宋体" w:cs="宋体"/>
                <w:sz w:val="18"/>
                <w:szCs w:val="18"/>
              </w:rPr>
              <w:t>4－5年</w:t>
            </w:r>
          </w:p>
        </w:tc>
        <w:tc>
          <w:tcPr>
            <w:tcW w:w="2410" w:type="dxa"/>
            <w:tcBorders>
              <w:top w:val="single" w:color="auto" w:sz="2" w:space="0"/>
              <w:left w:val="single" w:color="auto" w:sz="2" w:space="0"/>
              <w:bottom w:val="single" w:color="auto" w:sz="2" w:space="0"/>
              <w:right w:val="single" w:color="auto" w:sz="2" w:space="0"/>
            </w:tcBorders>
            <w:vAlign w:val="center"/>
          </w:tcPr>
          <w:p w14:paraId="21F97E7A">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2CD8A864">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623BC055">
            <w:pPr>
              <w:spacing w:before="0" w:after="0" w:line="240" w:lineRule="exact"/>
              <w:jc w:val="right"/>
              <w:rPr>
                <w:rFonts w:ascii="宋体" w:hAnsi="宋体" w:eastAsia="宋体" w:cs="宋体"/>
                <w:sz w:val="18"/>
                <w:szCs w:val="18"/>
              </w:rPr>
            </w:pPr>
          </w:p>
        </w:tc>
      </w:tr>
      <w:tr w14:paraId="5F2E3E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14:paraId="5284BD48">
            <w:pPr>
              <w:spacing w:before="0" w:after="0" w:line="240" w:lineRule="exact"/>
              <w:jc w:val="left"/>
              <w:rPr>
                <w:rFonts w:ascii="宋体" w:hAnsi="宋体" w:eastAsia="宋体" w:cs="宋体"/>
                <w:sz w:val="18"/>
                <w:szCs w:val="18"/>
              </w:rPr>
            </w:pPr>
            <w:r>
              <w:rPr>
                <w:rFonts w:ascii="宋体" w:hAnsi="宋体" w:eastAsia="宋体" w:cs="宋体"/>
                <w:sz w:val="18"/>
                <w:szCs w:val="18"/>
              </w:rPr>
              <w:t>5年以上</w:t>
            </w:r>
          </w:p>
        </w:tc>
        <w:tc>
          <w:tcPr>
            <w:tcW w:w="2410" w:type="dxa"/>
            <w:tcBorders>
              <w:top w:val="single" w:color="auto" w:sz="2" w:space="0"/>
              <w:left w:val="single" w:color="auto" w:sz="2" w:space="0"/>
              <w:bottom w:val="single" w:color="auto" w:sz="2" w:space="0"/>
              <w:right w:val="single" w:color="auto" w:sz="2" w:space="0"/>
            </w:tcBorders>
            <w:vAlign w:val="center"/>
          </w:tcPr>
          <w:p w14:paraId="29C028AA">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3E3C8680">
            <w:pPr>
              <w:spacing w:before="0" w:after="0"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14:paraId="586809DC">
            <w:pPr>
              <w:spacing w:before="0" w:after="0" w:line="240" w:lineRule="exact"/>
              <w:jc w:val="right"/>
              <w:rPr>
                <w:rFonts w:ascii="宋体" w:hAnsi="宋体" w:eastAsia="宋体" w:cs="宋体"/>
                <w:sz w:val="18"/>
                <w:szCs w:val="18"/>
              </w:rPr>
            </w:pPr>
          </w:p>
        </w:tc>
      </w:tr>
      <w:tr w14:paraId="47ECD7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0DCB7AB7">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14:paraId="28C059B2">
            <w:pPr>
              <w:spacing w:before="0" w:after="0" w:line="240" w:lineRule="exact"/>
              <w:jc w:val="right"/>
              <w:rPr>
                <w:rFonts w:ascii="宋体" w:hAnsi="宋体" w:eastAsia="宋体" w:cs="宋体"/>
                <w:sz w:val="18"/>
                <w:szCs w:val="18"/>
              </w:rPr>
            </w:pPr>
            <w:r>
              <w:rPr>
                <w:rFonts w:ascii="宋体" w:hAnsi="宋体" w:eastAsia="宋体" w:cs="宋体"/>
                <w:sz w:val="18"/>
                <w:szCs w:val="18"/>
              </w:rPr>
              <w:t>354,038.61</w:t>
            </w:r>
          </w:p>
        </w:tc>
        <w:tc>
          <w:tcPr>
            <w:tcW w:w="2410" w:type="dxa"/>
            <w:tcBorders>
              <w:top w:val="single" w:color="auto" w:sz="2" w:space="0"/>
              <w:left w:val="single" w:color="auto" w:sz="2" w:space="0"/>
              <w:bottom w:val="single" w:color="auto" w:sz="2" w:space="0"/>
              <w:right w:val="single" w:color="auto" w:sz="2" w:space="0"/>
            </w:tcBorders>
            <w:vAlign w:val="center"/>
          </w:tcPr>
          <w:p w14:paraId="2E045E56">
            <w:pPr>
              <w:spacing w:before="0" w:after="0" w:line="240" w:lineRule="exact"/>
              <w:jc w:val="right"/>
              <w:rPr>
                <w:rFonts w:ascii="宋体" w:hAnsi="宋体" w:eastAsia="宋体" w:cs="宋体"/>
                <w:sz w:val="18"/>
                <w:szCs w:val="18"/>
              </w:rPr>
            </w:pPr>
            <w:r>
              <w:rPr>
                <w:rFonts w:ascii="宋体" w:hAnsi="宋体" w:eastAsia="宋体" w:cs="宋体"/>
                <w:sz w:val="18"/>
                <w:szCs w:val="18"/>
              </w:rPr>
              <w:t>17,701.93</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EDE12DB"/>
        </w:tc>
      </w:tr>
    </w:tbl>
    <w:p w14:paraId="075D8618">
      <w:pPr>
        <w:spacing w:before="100" w:after="100" w:line="240" w:lineRule="exact"/>
        <w:jc w:val="left"/>
        <w:rPr>
          <w:rFonts w:ascii="宋体" w:hAnsi="宋体" w:eastAsia="宋体" w:cs="宋体"/>
          <w:sz w:val="18"/>
          <w:szCs w:val="18"/>
        </w:rPr>
      </w:pPr>
      <w:r>
        <w:rPr>
          <w:rFonts w:ascii="宋体" w:hAnsi="宋体" w:eastAsia="宋体" w:cs="宋体"/>
          <w:sz w:val="18"/>
          <w:szCs w:val="18"/>
        </w:rPr>
        <w:t>确定该组合依据的说明：</w:t>
      </w:r>
    </w:p>
    <w:p w14:paraId="0FA59E26">
      <w:pPr>
        <w:spacing w:before="100" w:after="100" w:line="240" w:lineRule="exact"/>
        <w:jc w:val="left"/>
        <w:rPr>
          <w:rFonts w:ascii="宋体" w:hAnsi="宋体" w:eastAsia="宋体" w:cs="宋体"/>
          <w:sz w:val="18"/>
          <w:szCs w:val="18"/>
        </w:rPr>
      </w:pPr>
      <w:r>
        <w:rPr>
          <w:rFonts w:ascii="宋体" w:hAnsi="宋体" w:eastAsia="宋体" w:cs="宋体"/>
          <w:sz w:val="18"/>
          <w:szCs w:val="18"/>
        </w:rPr>
        <w:t>按预期信用损失一般模型计提坏账准备：</w:t>
      </w:r>
    </w:p>
    <w:p w14:paraId="4CA96AE2">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11040E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1C96A72">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5C10534">
            <w:pPr>
              <w:spacing w:before="40" w:after="40" w:line="240" w:lineRule="exact"/>
              <w:jc w:val="center"/>
              <w:rPr>
                <w:rFonts w:ascii="宋体" w:hAnsi="宋体" w:eastAsia="宋体" w:cs="宋体"/>
                <w:sz w:val="18"/>
                <w:szCs w:val="18"/>
              </w:rPr>
            </w:pPr>
            <w:r>
              <w:rPr>
                <w:rFonts w:ascii="宋体" w:hAnsi="宋体" w:eastAsia="宋体" w:cs="宋体"/>
                <w:sz w:val="18"/>
                <w:szCs w:val="18"/>
              </w:rPr>
              <w:t>第一阶段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B948BD7">
            <w:pPr>
              <w:spacing w:before="40" w:after="40" w:line="240" w:lineRule="exact"/>
              <w:jc w:val="center"/>
              <w:rPr>
                <w:rFonts w:ascii="宋体" w:hAnsi="宋体" w:eastAsia="宋体" w:cs="宋体"/>
                <w:sz w:val="18"/>
                <w:szCs w:val="18"/>
              </w:rPr>
            </w:pPr>
            <w:r>
              <w:rPr>
                <w:rFonts w:ascii="宋体" w:hAnsi="宋体" w:eastAsia="宋体" w:cs="宋体"/>
                <w:sz w:val="18"/>
                <w:szCs w:val="18"/>
              </w:rPr>
              <w:t>第二阶段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DE46C02">
            <w:pPr>
              <w:spacing w:before="40" w:after="40" w:line="240" w:lineRule="exact"/>
              <w:jc w:val="center"/>
              <w:rPr>
                <w:rFonts w:ascii="宋体" w:hAnsi="宋体" w:eastAsia="宋体" w:cs="宋体"/>
                <w:sz w:val="18"/>
                <w:szCs w:val="18"/>
              </w:rPr>
            </w:pPr>
            <w:r>
              <w:rPr>
                <w:rFonts w:ascii="宋体" w:hAnsi="宋体" w:eastAsia="宋体" w:cs="宋体"/>
                <w:sz w:val="18"/>
                <w:szCs w:val="18"/>
              </w:rPr>
              <w:t>第三阶段</w:t>
            </w:r>
          </w:p>
        </w:tc>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114E90C">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6F4F8D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06F3BEF"/>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5CB7269">
            <w:pPr>
              <w:spacing w:before="40" w:after="40" w:line="240" w:lineRule="exact"/>
              <w:jc w:val="center"/>
              <w:rPr>
                <w:rFonts w:ascii="宋体" w:hAnsi="宋体" w:eastAsia="宋体" w:cs="宋体"/>
                <w:sz w:val="18"/>
                <w:szCs w:val="18"/>
              </w:rPr>
            </w:pPr>
            <w:r>
              <w:rPr>
                <w:rFonts w:ascii="宋体" w:hAnsi="宋体" w:eastAsia="宋体" w:cs="宋体"/>
                <w:sz w:val="18"/>
                <w:szCs w:val="18"/>
              </w:rPr>
              <w:t>未来12个月预期信用损失</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45CD317">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整个存续期预期信用损失(未发生信用减值)</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4E11F38">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整个存续期预期信用损失(已发生信用减值)</w:t>
            </w:r>
          </w:p>
        </w:tc>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4D23DF6"/>
        </w:tc>
      </w:tr>
      <w:tr w14:paraId="7AF5DC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733FCAE">
            <w:pPr>
              <w:spacing w:before="40" w:after="40" w:line="240" w:lineRule="exact"/>
              <w:jc w:val="left"/>
              <w:rPr>
                <w:rFonts w:ascii="宋体" w:hAnsi="宋体" w:eastAsia="宋体" w:cs="宋体"/>
                <w:sz w:val="18"/>
                <w:szCs w:val="18"/>
              </w:rPr>
            </w:pPr>
            <w:r>
              <w:rPr>
                <w:rFonts w:ascii="宋体" w:hAnsi="宋体" w:eastAsia="宋体" w:cs="宋体"/>
                <w:sz w:val="18"/>
                <w:szCs w:val="18"/>
              </w:rPr>
              <w:t>2024年1月1日余额</w:t>
            </w:r>
          </w:p>
        </w:tc>
        <w:tc>
          <w:tcPr>
            <w:tcW w:w="1928" w:type="dxa"/>
            <w:tcBorders>
              <w:top w:val="single" w:color="auto" w:sz="2" w:space="0"/>
              <w:left w:val="single" w:color="auto" w:sz="2" w:space="0"/>
              <w:bottom w:val="single" w:color="auto" w:sz="2" w:space="0"/>
              <w:right w:val="single" w:color="auto" w:sz="2" w:space="0"/>
            </w:tcBorders>
            <w:vAlign w:val="center"/>
          </w:tcPr>
          <w:p w14:paraId="533A82DF">
            <w:pPr>
              <w:spacing w:before="0" w:after="0" w:line="240" w:lineRule="exact"/>
              <w:jc w:val="right"/>
              <w:rPr>
                <w:rFonts w:ascii="宋体" w:hAnsi="宋体" w:eastAsia="宋体" w:cs="宋体"/>
                <w:sz w:val="18"/>
                <w:szCs w:val="18"/>
              </w:rPr>
            </w:pPr>
            <w:r>
              <w:rPr>
                <w:rFonts w:ascii="宋体" w:hAnsi="宋体" w:eastAsia="宋体" w:cs="宋体"/>
                <w:sz w:val="18"/>
                <w:szCs w:val="18"/>
              </w:rPr>
              <w:t>19,006.64</w:t>
            </w:r>
          </w:p>
        </w:tc>
        <w:tc>
          <w:tcPr>
            <w:tcW w:w="1928" w:type="dxa"/>
            <w:tcBorders>
              <w:top w:val="single" w:color="auto" w:sz="2" w:space="0"/>
              <w:left w:val="single" w:color="auto" w:sz="2" w:space="0"/>
              <w:bottom w:val="single" w:color="auto" w:sz="2" w:space="0"/>
              <w:right w:val="single" w:color="auto" w:sz="2" w:space="0"/>
            </w:tcBorders>
            <w:vAlign w:val="center"/>
          </w:tcPr>
          <w:p w14:paraId="51F501C6">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282442A2">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068EA88A">
            <w:pPr>
              <w:spacing w:before="0" w:after="0" w:line="240" w:lineRule="exact"/>
              <w:jc w:val="right"/>
              <w:rPr>
                <w:rFonts w:ascii="宋体" w:hAnsi="宋体" w:eastAsia="宋体" w:cs="宋体"/>
                <w:sz w:val="18"/>
                <w:szCs w:val="18"/>
              </w:rPr>
            </w:pPr>
            <w:r>
              <w:rPr>
                <w:rFonts w:ascii="宋体" w:hAnsi="宋体" w:eastAsia="宋体" w:cs="宋体"/>
                <w:sz w:val="18"/>
                <w:szCs w:val="18"/>
              </w:rPr>
              <w:t>19,006.64</w:t>
            </w:r>
          </w:p>
        </w:tc>
      </w:tr>
      <w:tr w14:paraId="1EE12E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FDB0A85">
            <w:pPr>
              <w:spacing w:before="40" w:after="40" w:line="240" w:lineRule="exact"/>
              <w:jc w:val="left"/>
              <w:rPr>
                <w:rFonts w:ascii="宋体" w:hAnsi="宋体" w:eastAsia="宋体" w:cs="宋体"/>
                <w:sz w:val="18"/>
                <w:szCs w:val="18"/>
              </w:rPr>
            </w:pPr>
            <w:r>
              <w:rPr>
                <w:rFonts w:ascii="宋体" w:hAnsi="宋体" w:eastAsia="宋体" w:cs="宋体"/>
                <w:sz w:val="18"/>
                <w:szCs w:val="18"/>
              </w:rPr>
              <w:t>2024年1月1日余额在本期</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12F06DC"/>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3BA7BF9"/>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700D36C"/>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D83D098"/>
        </w:tc>
      </w:tr>
      <w:tr w14:paraId="6F1559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F5F3732">
            <w:pPr>
              <w:spacing w:before="40" w:after="40" w:line="240" w:lineRule="exact"/>
              <w:jc w:val="left"/>
              <w:rPr>
                <w:rFonts w:ascii="宋体" w:hAnsi="宋体" w:eastAsia="宋体" w:cs="宋体"/>
                <w:sz w:val="18"/>
                <w:szCs w:val="18"/>
              </w:rPr>
            </w:pPr>
            <w:r>
              <w:rPr>
                <w:rFonts w:ascii="宋体" w:hAnsi="宋体" w:eastAsia="宋体" w:cs="宋体"/>
                <w:sz w:val="18"/>
                <w:szCs w:val="18"/>
              </w:rPr>
              <w:t>本期转回</w:t>
            </w:r>
          </w:p>
        </w:tc>
        <w:tc>
          <w:tcPr>
            <w:tcW w:w="1928" w:type="dxa"/>
            <w:tcBorders>
              <w:top w:val="single" w:color="auto" w:sz="2" w:space="0"/>
              <w:left w:val="single" w:color="auto" w:sz="2" w:space="0"/>
              <w:bottom w:val="single" w:color="auto" w:sz="2" w:space="0"/>
              <w:right w:val="single" w:color="auto" w:sz="2" w:space="0"/>
            </w:tcBorders>
            <w:vAlign w:val="center"/>
          </w:tcPr>
          <w:p w14:paraId="3FA6A0D8">
            <w:pPr>
              <w:spacing w:before="0" w:after="0" w:line="240" w:lineRule="exact"/>
              <w:jc w:val="right"/>
              <w:rPr>
                <w:rFonts w:ascii="宋体" w:hAnsi="宋体" w:eastAsia="宋体" w:cs="宋体"/>
                <w:sz w:val="18"/>
                <w:szCs w:val="18"/>
              </w:rPr>
            </w:pPr>
            <w:r>
              <w:rPr>
                <w:rFonts w:ascii="宋体" w:hAnsi="宋体" w:eastAsia="宋体" w:cs="宋体"/>
                <w:sz w:val="18"/>
                <w:szCs w:val="18"/>
              </w:rPr>
              <w:t>1,304.71</w:t>
            </w:r>
          </w:p>
        </w:tc>
        <w:tc>
          <w:tcPr>
            <w:tcW w:w="1928" w:type="dxa"/>
            <w:tcBorders>
              <w:top w:val="single" w:color="auto" w:sz="2" w:space="0"/>
              <w:left w:val="single" w:color="auto" w:sz="2" w:space="0"/>
              <w:bottom w:val="single" w:color="auto" w:sz="2" w:space="0"/>
              <w:right w:val="single" w:color="auto" w:sz="2" w:space="0"/>
            </w:tcBorders>
            <w:vAlign w:val="center"/>
          </w:tcPr>
          <w:p w14:paraId="10D55114">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095A60F9">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4178A4DF">
            <w:pPr>
              <w:spacing w:before="0" w:after="0" w:line="240" w:lineRule="exact"/>
              <w:jc w:val="right"/>
              <w:rPr>
                <w:rFonts w:ascii="宋体" w:hAnsi="宋体" w:eastAsia="宋体" w:cs="宋体"/>
                <w:sz w:val="18"/>
                <w:szCs w:val="18"/>
              </w:rPr>
            </w:pPr>
            <w:r>
              <w:rPr>
                <w:rFonts w:ascii="宋体" w:hAnsi="宋体" w:eastAsia="宋体" w:cs="宋体"/>
                <w:sz w:val="18"/>
                <w:szCs w:val="18"/>
              </w:rPr>
              <w:t>1,304.71</w:t>
            </w:r>
          </w:p>
        </w:tc>
      </w:tr>
      <w:tr w14:paraId="334F3D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872415C">
            <w:pPr>
              <w:spacing w:before="40" w:after="40" w:line="240" w:lineRule="exact"/>
              <w:jc w:val="left"/>
              <w:rPr>
                <w:rFonts w:ascii="宋体" w:hAnsi="宋体" w:eastAsia="宋体" w:cs="宋体"/>
                <w:sz w:val="18"/>
                <w:szCs w:val="18"/>
              </w:rPr>
            </w:pPr>
            <w:r>
              <w:rPr>
                <w:rFonts w:ascii="宋体" w:hAnsi="宋体" w:eastAsia="宋体" w:cs="宋体"/>
                <w:sz w:val="18"/>
                <w:szCs w:val="18"/>
              </w:rPr>
              <w:t>2024年12月31日余额</w:t>
            </w:r>
          </w:p>
        </w:tc>
        <w:tc>
          <w:tcPr>
            <w:tcW w:w="1928" w:type="dxa"/>
            <w:tcBorders>
              <w:top w:val="single" w:color="auto" w:sz="2" w:space="0"/>
              <w:left w:val="single" w:color="auto" w:sz="2" w:space="0"/>
              <w:bottom w:val="single" w:color="auto" w:sz="2" w:space="0"/>
              <w:right w:val="single" w:color="auto" w:sz="2" w:space="0"/>
            </w:tcBorders>
            <w:vAlign w:val="center"/>
          </w:tcPr>
          <w:p w14:paraId="0C2A4E27">
            <w:pPr>
              <w:spacing w:before="0" w:after="0" w:line="240" w:lineRule="exact"/>
              <w:jc w:val="right"/>
              <w:rPr>
                <w:rFonts w:ascii="宋体" w:hAnsi="宋体" w:eastAsia="宋体" w:cs="宋体"/>
                <w:sz w:val="18"/>
                <w:szCs w:val="18"/>
              </w:rPr>
            </w:pPr>
            <w:r>
              <w:rPr>
                <w:rFonts w:ascii="宋体" w:hAnsi="宋体" w:eastAsia="宋体" w:cs="宋体"/>
                <w:sz w:val="18"/>
                <w:szCs w:val="18"/>
              </w:rPr>
              <w:t>17,701.93</w:t>
            </w:r>
          </w:p>
        </w:tc>
        <w:tc>
          <w:tcPr>
            <w:tcW w:w="1928" w:type="dxa"/>
            <w:tcBorders>
              <w:top w:val="single" w:color="auto" w:sz="2" w:space="0"/>
              <w:left w:val="single" w:color="auto" w:sz="2" w:space="0"/>
              <w:bottom w:val="single" w:color="auto" w:sz="2" w:space="0"/>
              <w:right w:val="single" w:color="auto" w:sz="2" w:space="0"/>
            </w:tcBorders>
            <w:vAlign w:val="center"/>
          </w:tcPr>
          <w:p w14:paraId="312A20C2">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74DC2448">
            <w:pPr>
              <w:spacing w:before="0" w:after="0"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14:paraId="03208C00">
            <w:pPr>
              <w:spacing w:before="0" w:after="0" w:line="240" w:lineRule="exact"/>
              <w:jc w:val="right"/>
              <w:rPr>
                <w:rFonts w:ascii="宋体" w:hAnsi="宋体" w:eastAsia="宋体" w:cs="宋体"/>
                <w:sz w:val="18"/>
                <w:szCs w:val="18"/>
              </w:rPr>
            </w:pPr>
            <w:r>
              <w:rPr>
                <w:rFonts w:ascii="宋体" w:hAnsi="宋体" w:eastAsia="宋体" w:cs="宋体"/>
                <w:sz w:val="18"/>
                <w:szCs w:val="18"/>
              </w:rPr>
              <w:t>17,701.93</w:t>
            </w:r>
          </w:p>
        </w:tc>
      </w:tr>
    </w:tbl>
    <w:p w14:paraId="346086C8">
      <w:pPr>
        <w:spacing w:before="100" w:after="100" w:line="240" w:lineRule="exact"/>
        <w:jc w:val="left"/>
        <w:rPr>
          <w:rFonts w:ascii="宋体" w:hAnsi="宋体" w:eastAsia="宋体" w:cs="宋体"/>
          <w:sz w:val="18"/>
          <w:szCs w:val="18"/>
        </w:rPr>
      </w:pPr>
      <w:r>
        <w:rPr>
          <w:rFonts w:ascii="宋体" w:hAnsi="宋体" w:eastAsia="宋体" w:cs="宋体"/>
          <w:sz w:val="18"/>
          <w:szCs w:val="18"/>
        </w:rPr>
        <w:t>各阶段划分依据和坏账准备计提比例</w:t>
      </w:r>
    </w:p>
    <w:p w14:paraId="6D0B7E5C">
      <w:pPr>
        <w:spacing w:before="100" w:after="100" w:line="240" w:lineRule="exact"/>
        <w:jc w:val="left"/>
        <w:rPr>
          <w:rFonts w:ascii="宋体" w:hAnsi="宋体" w:eastAsia="宋体" w:cs="宋体"/>
          <w:sz w:val="18"/>
          <w:szCs w:val="18"/>
        </w:rPr>
      </w:pPr>
      <w:r>
        <w:rPr>
          <w:rFonts w:ascii="宋体" w:hAnsi="宋体" w:eastAsia="宋体" w:cs="宋体"/>
          <w:sz w:val="18"/>
          <w:szCs w:val="18"/>
        </w:rPr>
        <w:t>损失准备本期变动金额重大的账面余额变动情况</w:t>
      </w:r>
    </w:p>
    <w:p w14:paraId="3B0CDF37">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1104CE6E">
      <w:pPr>
        <w:keepNext/>
        <w:keepLines/>
        <w:spacing w:before="300" w:after="300" w:line="280" w:lineRule="exact"/>
        <w:jc w:val="left"/>
        <w:outlineLvl w:val="4"/>
        <w:rPr>
          <w:rFonts w:ascii="宋体" w:hAnsi="宋体" w:eastAsia="宋体" w:cs="宋体"/>
          <w:b/>
          <w:bCs/>
          <w:sz w:val="18"/>
          <w:szCs w:val="18"/>
        </w:rPr>
      </w:pPr>
      <w:bookmarkStart w:id="602" w:name="_Toc989485"/>
      <w:r>
        <w:rPr>
          <w:rFonts w:ascii="宋体" w:hAnsi="宋体" w:eastAsia="宋体" w:cs="宋体"/>
          <w:b/>
          <w:bCs/>
          <w:sz w:val="18"/>
          <w:szCs w:val="18"/>
        </w:rPr>
        <w:t>4） 本期计提、收回或转回的坏账准备情况</w:t>
      </w:r>
      <w:bookmarkEnd w:id="602"/>
    </w:p>
    <w:p w14:paraId="2D962D9A">
      <w:pPr>
        <w:spacing w:before="0" w:after="0" w:line="240" w:lineRule="exact"/>
        <w:jc w:val="left"/>
        <w:rPr>
          <w:rFonts w:ascii="宋体" w:hAnsi="宋体" w:eastAsia="宋体" w:cs="宋体"/>
          <w:sz w:val="18"/>
          <w:szCs w:val="18"/>
        </w:rPr>
      </w:pPr>
      <w:r>
        <w:rPr>
          <w:rFonts w:ascii="宋体" w:hAnsi="宋体" w:eastAsia="宋体" w:cs="宋体"/>
          <w:sz w:val="18"/>
          <w:szCs w:val="18"/>
        </w:rPr>
        <w:t>本期计提坏账准备情况：</w:t>
      </w:r>
    </w:p>
    <w:p w14:paraId="05231E5D">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5DFFBE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A2DF980">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34D6BB7B">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482CEABA">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63D52B2">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14:paraId="3C031B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5669499"/>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1CA1A16"/>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79EED8C2">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D9565ED">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20A3D8B">
            <w:pPr>
              <w:spacing w:before="40" w:after="40" w:line="240" w:lineRule="exact"/>
              <w:jc w:val="center"/>
              <w:rPr>
                <w:rFonts w:ascii="宋体" w:hAnsi="宋体" w:eastAsia="宋体" w:cs="宋体"/>
                <w:sz w:val="18"/>
                <w:szCs w:val="18"/>
              </w:rPr>
            </w:pPr>
            <w:r>
              <w:rPr>
                <w:rFonts w:ascii="宋体" w:hAnsi="宋体" w:eastAsia="宋体" w:cs="宋体"/>
                <w:sz w:val="18"/>
                <w:szCs w:val="18"/>
              </w:rPr>
              <w:t>转销或核销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9BC454E">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329FCF6"/>
        </w:tc>
      </w:tr>
      <w:tr w14:paraId="39FEF4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14:paraId="5B6406F1">
            <w:pPr>
              <w:spacing w:before="0" w:after="0" w:line="240" w:lineRule="exact"/>
              <w:jc w:val="left"/>
              <w:rPr>
                <w:rFonts w:ascii="宋体" w:hAnsi="宋体" w:eastAsia="宋体" w:cs="宋体"/>
                <w:sz w:val="18"/>
                <w:szCs w:val="18"/>
              </w:rPr>
            </w:pPr>
            <w:r>
              <w:rPr>
                <w:rFonts w:ascii="宋体" w:hAnsi="宋体" w:eastAsia="宋体" w:cs="宋体"/>
                <w:sz w:val="18"/>
                <w:szCs w:val="18"/>
              </w:rPr>
              <w:t>信用组合</w:t>
            </w:r>
          </w:p>
        </w:tc>
        <w:tc>
          <w:tcPr>
            <w:tcW w:w="1377" w:type="dxa"/>
            <w:tcBorders>
              <w:top w:val="single" w:color="auto" w:sz="2" w:space="0"/>
              <w:left w:val="single" w:color="auto" w:sz="2" w:space="0"/>
              <w:bottom w:val="single" w:color="auto" w:sz="2" w:space="0"/>
              <w:right w:val="single" w:color="auto" w:sz="2" w:space="0"/>
            </w:tcBorders>
            <w:vAlign w:val="center"/>
          </w:tcPr>
          <w:p w14:paraId="2D2B9831">
            <w:pPr>
              <w:spacing w:before="0" w:after="0" w:line="240" w:lineRule="exact"/>
              <w:jc w:val="right"/>
              <w:rPr>
                <w:rFonts w:ascii="宋体" w:hAnsi="宋体" w:eastAsia="宋体" w:cs="宋体"/>
                <w:sz w:val="18"/>
                <w:szCs w:val="18"/>
              </w:rPr>
            </w:pPr>
            <w:r>
              <w:rPr>
                <w:rFonts w:ascii="宋体" w:hAnsi="宋体" w:eastAsia="宋体" w:cs="宋体"/>
                <w:sz w:val="18"/>
                <w:szCs w:val="18"/>
              </w:rPr>
              <w:t>19,006.64</w:t>
            </w:r>
          </w:p>
        </w:tc>
        <w:tc>
          <w:tcPr>
            <w:tcW w:w="1377" w:type="dxa"/>
            <w:tcBorders>
              <w:top w:val="single" w:color="auto" w:sz="2" w:space="0"/>
              <w:left w:val="single" w:color="auto" w:sz="2" w:space="0"/>
              <w:bottom w:val="single" w:color="auto" w:sz="2" w:space="0"/>
              <w:right w:val="single" w:color="auto" w:sz="2" w:space="0"/>
            </w:tcBorders>
            <w:vAlign w:val="center"/>
          </w:tcPr>
          <w:p w14:paraId="4F5E0A31">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215BEFC1">
            <w:pPr>
              <w:spacing w:before="0" w:after="0" w:line="240" w:lineRule="exact"/>
              <w:jc w:val="right"/>
              <w:rPr>
                <w:rFonts w:ascii="宋体" w:hAnsi="宋体" w:eastAsia="宋体" w:cs="宋体"/>
                <w:sz w:val="18"/>
                <w:szCs w:val="18"/>
              </w:rPr>
            </w:pPr>
            <w:r>
              <w:rPr>
                <w:rFonts w:ascii="宋体" w:hAnsi="宋体" w:eastAsia="宋体" w:cs="宋体"/>
                <w:sz w:val="18"/>
                <w:szCs w:val="18"/>
              </w:rPr>
              <w:t>1,304.71</w:t>
            </w:r>
          </w:p>
        </w:tc>
        <w:tc>
          <w:tcPr>
            <w:tcW w:w="1377" w:type="dxa"/>
            <w:tcBorders>
              <w:top w:val="single" w:color="auto" w:sz="2" w:space="0"/>
              <w:left w:val="single" w:color="auto" w:sz="2" w:space="0"/>
              <w:bottom w:val="single" w:color="auto" w:sz="2" w:space="0"/>
              <w:right w:val="single" w:color="auto" w:sz="2" w:space="0"/>
            </w:tcBorders>
            <w:vAlign w:val="center"/>
          </w:tcPr>
          <w:p w14:paraId="7BEEFCD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66F54B9C">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0E870A30">
            <w:pPr>
              <w:spacing w:before="0" w:after="0" w:line="240" w:lineRule="exact"/>
              <w:jc w:val="right"/>
              <w:rPr>
                <w:rFonts w:ascii="宋体" w:hAnsi="宋体" w:eastAsia="宋体" w:cs="宋体"/>
                <w:sz w:val="18"/>
                <w:szCs w:val="18"/>
              </w:rPr>
            </w:pPr>
            <w:r>
              <w:rPr>
                <w:rFonts w:ascii="宋体" w:hAnsi="宋体" w:eastAsia="宋体" w:cs="宋体"/>
                <w:sz w:val="18"/>
                <w:szCs w:val="18"/>
              </w:rPr>
              <w:t>17,701.93</w:t>
            </w:r>
          </w:p>
        </w:tc>
      </w:tr>
      <w:tr w14:paraId="1AABC5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01314D4">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69DDB043">
            <w:pPr>
              <w:spacing w:before="0" w:after="0" w:line="240" w:lineRule="exact"/>
              <w:jc w:val="right"/>
              <w:rPr>
                <w:rFonts w:ascii="宋体" w:hAnsi="宋体" w:eastAsia="宋体" w:cs="宋体"/>
                <w:sz w:val="18"/>
                <w:szCs w:val="18"/>
              </w:rPr>
            </w:pPr>
            <w:r>
              <w:rPr>
                <w:rFonts w:ascii="宋体" w:hAnsi="宋体" w:eastAsia="宋体" w:cs="宋体"/>
                <w:sz w:val="18"/>
                <w:szCs w:val="18"/>
              </w:rPr>
              <w:t>19,006.64</w:t>
            </w:r>
          </w:p>
        </w:tc>
        <w:tc>
          <w:tcPr>
            <w:tcW w:w="1377" w:type="dxa"/>
            <w:tcBorders>
              <w:top w:val="single" w:color="auto" w:sz="2" w:space="0"/>
              <w:left w:val="single" w:color="auto" w:sz="2" w:space="0"/>
              <w:bottom w:val="single" w:color="auto" w:sz="2" w:space="0"/>
              <w:right w:val="single" w:color="auto" w:sz="2" w:space="0"/>
            </w:tcBorders>
            <w:vAlign w:val="center"/>
          </w:tcPr>
          <w:p w14:paraId="2366D15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1937F248">
            <w:pPr>
              <w:spacing w:before="0" w:after="0" w:line="240" w:lineRule="exact"/>
              <w:jc w:val="right"/>
              <w:rPr>
                <w:rFonts w:ascii="宋体" w:hAnsi="宋体" w:eastAsia="宋体" w:cs="宋体"/>
                <w:sz w:val="18"/>
                <w:szCs w:val="18"/>
              </w:rPr>
            </w:pPr>
            <w:r>
              <w:rPr>
                <w:rFonts w:ascii="宋体" w:hAnsi="宋体" w:eastAsia="宋体" w:cs="宋体"/>
                <w:sz w:val="18"/>
                <w:szCs w:val="18"/>
              </w:rPr>
              <w:t>1,304.71</w:t>
            </w:r>
          </w:p>
        </w:tc>
        <w:tc>
          <w:tcPr>
            <w:tcW w:w="1377" w:type="dxa"/>
            <w:tcBorders>
              <w:top w:val="single" w:color="auto" w:sz="2" w:space="0"/>
              <w:left w:val="single" w:color="auto" w:sz="2" w:space="0"/>
              <w:bottom w:val="single" w:color="auto" w:sz="2" w:space="0"/>
              <w:right w:val="single" w:color="auto" w:sz="2" w:space="0"/>
            </w:tcBorders>
            <w:vAlign w:val="center"/>
          </w:tcPr>
          <w:p w14:paraId="34765004">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75B2D6A">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78558A45">
            <w:pPr>
              <w:spacing w:before="0" w:after="0" w:line="240" w:lineRule="exact"/>
              <w:jc w:val="right"/>
              <w:rPr>
                <w:rFonts w:ascii="宋体" w:hAnsi="宋体" w:eastAsia="宋体" w:cs="宋体"/>
                <w:sz w:val="18"/>
                <w:szCs w:val="18"/>
              </w:rPr>
            </w:pPr>
            <w:r>
              <w:rPr>
                <w:rFonts w:ascii="宋体" w:hAnsi="宋体" w:eastAsia="宋体" w:cs="宋体"/>
                <w:sz w:val="18"/>
                <w:szCs w:val="18"/>
              </w:rPr>
              <w:t>17,701.93</w:t>
            </w:r>
          </w:p>
        </w:tc>
      </w:tr>
    </w:tbl>
    <w:p w14:paraId="33B23619">
      <w:pPr>
        <w:spacing w:before="100" w:after="100" w:line="0" w:lineRule="exact"/>
        <w:jc w:val="left"/>
      </w:pPr>
    </w:p>
    <w:p w14:paraId="32CA0282">
      <w:pPr>
        <w:spacing w:before="100" w:after="100" w:line="240" w:lineRule="exact"/>
        <w:jc w:val="left"/>
        <w:rPr>
          <w:rFonts w:ascii="宋体" w:hAnsi="宋体" w:eastAsia="宋体" w:cs="宋体"/>
          <w:sz w:val="18"/>
          <w:szCs w:val="18"/>
        </w:rPr>
      </w:pPr>
      <w:r>
        <w:rPr>
          <w:rFonts w:ascii="宋体" w:hAnsi="宋体" w:eastAsia="宋体" w:cs="宋体"/>
          <w:sz w:val="18"/>
          <w:szCs w:val="18"/>
        </w:rPr>
        <w:t>其中本期坏账准备转回或收回金额重要的：</w:t>
      </w:r>
    </w:p>
    <w:p w14:paraId="6932B2E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4A4FB1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2EEC616">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CF68C24">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F134037">
            <w:pPr>
              <w:spacing w:before="40" w:after="40" w:line="240" w:lineRule="exact"/>
              <w:jc w:val="center"/>
              <w:rPr>
                <w:rFonts w:ascii="宋体" w:hAnsi="宋体" w:eastAsia="宋体" w:cs="宋体"/>
                <w:sz w:val="18"/>
                <w:szCs w:val="18"/>
              </w:rPr>
            </w:pPr>
            <w:r>
              <w:rPr>
                <w:rFonts w:ascii="宋体" w:hAnsi="宋体" w:eastAsia="宋体" w:cs="宋体"/>
                <w:sz w:val="18"/>
                <w:szCs w:val="18"/>
              </w:rPr>
              <w:t>转回原因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C52AC96">
            <w:pPr>
              <w:spacing w:before="40" w:after="40" w:line="240" w:lineRule="exact"/>
              <w:jc w:val="center"/>
              <w:rPr>
                <w:rFonts w:ascii="宋体" w:hAnsi="宋体" w:eastAsia="宋体" w:cs="宋体"/>
                <w:sz w:val="18"/>
                <w:szCs w:val="18"/>
              </w:rPr>
            </w:pPr>
            <w:r>
              <w:rPr>
                <w:rFonts w:ascii="宋体" w:hAnsi="宋体" w:eastAsia="宋体" w:cs="宋体"/>
                <w:sz w:val="18"/>
                <w:szCs w:val="18"/>
              </w:rPr>
              <w:t>收回方式</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BF9D6F2">
            <w:pPr>
              <w:spacing w:before="40" w:after="40" w:line="240" w:lineRule="exact"/>
              <w:jc w:val="center"/>
              <w:rPr>
                <w:rFonts w:ascii="宋体" w:hAnsi="宋体" w:eastAsia="宋体" w:cs="宋体"/>
                <w:sz w:val="18"/>
                <w:szCs w:val="18"/>
              </w:rPr>
            </w:pPr>
            <w:r>
              <w:rPr>
                <w:rFonts w:ascii="宋体" w:hAnsi="宋体" w:eastAsia="宋体" w:cs="宋体"/>
                <w:sz w:val="18"/>
                <w:szCs w:val="18"/>
              </w:rPr>
              <w:t>确定原坏账准备计提比例的依据及其合理性</w:t>
            </w:r>
          </w:p>
        </w:tc>
      </w:tr>
    </w:tbl>
    <w:p w14:paraId="2EEC4DAB">
      <w:pPr>
        <w:spacing w:before="100" w:after="100" w:line="0" w:lineRule="exact"/>
        <w:jc w:val="left"/>
      </w:pPr>
    </w:p>
    <w:p w14:paraId="0AAADCD7">
      <w:pPr>
        <w:keepNext/>
        <w:keepLines/>
        <w:spacing w:before="300" w:after="300" w:line="280" w:lineRule="exact"/>
        <w:jc w:val="left"/>
        <w:outlineLvl w:val="4"/>
        <w:rPr>
          <w:rFonts w:ascii="宋体" w:hAnsi="宋体" w:eastAsia="宋体" w:cs="宋体"/>
          <w:b/>
          <w:bCs/>
          <w:sz w:val="18"/>
          <w:szCs w:val="18"/>
        </w:rPr>
      </w:pPr>
      <w:bookmarkStart w:id="603" w:name="_Toc989486"/>
      <w:r>
        <w:rPr>
          <w:rFonts w:ascii="宋体" w:hAnsi="宋体" w:eastAsia="宋体" w:cs="宋体"/>
          <w:b/>
          <w:bCs/>
          <w:sz w:val="18"/>
          <w:szCs w:val="18"/>
        </w:rPr>
        <w:t>5） 本期实际核销的其他应收款情况</w:t>
      </w:r>
      <w:bookmarkEnd w:id="603"/>
    </w:p>
    <w:p w14:paraId="22463BE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20"/>
      </w:tblGrid>
      <w:tr w14:paraId="458400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26F66707">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14:paraId="11D99442">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bl>
    <w:p w14:paraId="2CCF2EC2">
      <w:pPr>
        <w:spacing w:before="100" w:after="100" w:line="240" w:lineRule="exact"/>
        <w:jc w:val="left"/>
        <w:rPr>
          <w:rFonts w:ascii="宋体" w:hAnsi="宋体" w:eastAsia="宋体" w:cs="宋体"/>
          <w:sz w:val="18"/>
          <w:szCs w:val="18"/>
        </w:rPr>
      </w:pPr>
      <w:r>
        <w:rPr>
          <w:rFonts w:ascii="宋体" w:hAnsi="宋体" w:eastAsia="宋体" w:cs="宋体"/>
          <w:sz w:val="18"/>
          <w:szCs w:val="18"/>
        </w:rPr>
        <w:t>其中重要的其他应收款核销情况：</w:t>
      </w:r>
    </w:p>
    <w:p w14:paraId="42E19DD4">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7CA97A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ADC1701">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46BA36C">
            <w:pPr>
              <w:spacing w:before="40" w:after="40" w:line="240" w:lineRule="exact"/>
              <w:jc w:val="center"/>
              <w:rPr>
                <w:rFonts w:ascii="宋体" w:hAnsi="宋体" w:eastAsia="宋体" w:cs="宋体"/>
                <w:sz w:val="18"/>
                <w:szCs w:val="18"/>
              </w:rPr>
            </w:pPr>
            <w:r>
              <w:rPr>
                <w:rFonts w:ascii="宋体" w:hAnsi="宋体" w:eastAsia="宋体" w:cs="宋体"/>
                <w:sz w:val="18"/>
                <w:szCs w:val="18"/>
              </w:rPr>
              <w:t>其他应收款性质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904A635">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774C2FE4">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AD0DA62">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E7625B8">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bl>
    <w:p w14:paraId="0A9B552B">
      <w:pPr>
        <w:spacing w:before="100" w:after="100" w:line="240" w:lineRule="exact"/>
        <w:jc w:val="left"/>
        <w:rPr>
          <w:rFonts w:ascii="宋体" w:hAnsi="宋体" w:eastAsia="宋体" w:cs="宋体"/>
          <w:sz w:val="18"/>
          <w:szCs w:val="18"/>
        </w:rPr>
      </w:pPr>
      <w:r>
        <w:rPr>
          <w:rFonts w:ascii="宋体" w:hAnsi="宋体" w:eastAsia="宋体" w:cs="宋体"/>
          <w:sz w:val="18"/>
          <w:szCs w:val="18"/>
        </w:rPr>
        <w:t>其他应收款核销说明：</w:t>
      </w:r>
    </w:p>
    <w:p w14:paraId="7EE0CAF2">
      <w:pPr>
        <w:keepNext/>
        <w:keepLines/>
        <w:spacing w:before="300" w:after="300" w:line="280" w:lineRule="exact"/>
        <w:jc w:val="left"/>
        <w:outlineLvl w:val="4"/>
        <w:rPr>
          <w:rFonts w:ascii="宋体" w:hAnsi="宋体" w:eastAsia="宋体" w:cs="宋体"/>
          <w:b/>
          <w:bCs/>
          <w:sz w:val="18"/>
          <w:szCs w:val="18"/>
        </w:rPr>
      </w:pPr>
      <w:bookmarkStart w:id="604" w:name="_Toc989487"/>
      <w:r>
        <w:rPr>
          <w:rFonts w:ascii="宋体" w:hAnsi="宋体" w:eastAsia="宋体" w:cs="宋体"/>
          <w:b/>
          <w:bCs/>
          <w:sz w:val="18"/>
          <w:szCs w:val="18"/>
        </w:rPr>
        <w:t>6） 按欠款方归集的期末余额前五名的其他应收款情况</w:t>
      </w:r>
      <w:bookmarkEnd w:id="604"/>
    </w:p>
    <w:p w14:paraId="47AA805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6"/>
        <w:gridCol w:w="1606"/>
        <w:gridCol w:w="1606"/>
      </w:tblGrid>
      <w:tr w14:paraId="0D54B1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6A35C86">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1BF7477">
            <w:pPr>
              <w:spacing w:before="40" w:after="40" w:line="240" w:lineRule="exact"/>
              <w:jc w:val="center"/>
              <w:rPr>
                <w:rFonts w:ascii="宋体" w:hAnsi="宋体" w:eastAsia="宋体" w:cs="宋体"/>
                <w:sz w:val="18"/>
                <w:szCs w:val="18"/>
              </w:rPr>
            </w:pPr>
            <w:r>
              <w:rPr>
                <w:rFonts w:ascii="宋体" w:hAnsi="宋体" w:eastAsia="宋体" w:cs="宋体"/>
                <w:sz w:val="18"/>
                <w:szCs w:val="18"/>
              </w:rPr>
              <w:t>款项的性质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45596BEC">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D04C343">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03F25E33">
            <w:pPr>
              <w:spacing w:before="40" w:after="40" w:line="240" w:lineRule="exact"/>
              <w:jc w:val="center"/>
              <w:rPr>
                <w:rFonts w:ascii="宋体" w:hAnsi="宋体" w:eastAsia="宋体" w:cs="宋体"/>
                <w:sz w:val="18"/>
                <w:szCs w:val="18"/>
              </w:rPr>
            </w:pPr>
            <w:r>
              <w:rPr>
                <w:rFonts w:ascii="宋体" w:hAnsi="宋体" w:eastAsia="宋体" w:cs="宋体"/>
                <w:sz w:val="18"/>
                <w:szCs w:val="18"/>
              </w:rPr>
              <w:t>占其他应收款期末余额合计数的比例</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5D0AFCE7">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坏账准备期末余额</w:t>
            </w:r>
          </w:p>
        </w:tc>
      </w:tr>
      <w:tr w14:paraId="7712A5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009136C2">
            <w:pPr>
              <w:spacing w:before="0" w:after="0" w:line="240" w:lineRule="exact"/>
              <w:jc w:val="left"/>
              <w:rPr>
                <w:rFonts w:ascii="宋体" w:hAnsi="宋体" w:eastAsia="宋体" w:cs="宋体"/>
                <w:sz w:val="18"/>
                <w:szCs w:val="18"/>
              </w:rPr>
            </w:pPr>
            <w:r>
              <w:rPr>
                <w:rFonts w:ascii="宋体" w:hAnsi="宋体" w:eastAsia="宋体" w:cs="宋体"/>
                <w:sz w:val="18"/>
                <w:szCs w:val="18"/>
              </w:rPr>
              <w:t>福建广生中霖生物科技有限公司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1014147B">
            <w:pPr>
              <w:spacing w:before="0" w:after="0" w:line="240" w:lineRule="exact"/>
              <w:jc w:val="left"/>
              <w:rPr>
                <w:rFonts w:ascii="宋体" w:hAnsi="宋体" w:eastAsia="宋体" w:cs="宋体"/>
                <w:sz w:val="18"/>
                <w:szCs w:val="18"/>
              </w:rPr>
            </w:pPr>
            <w:r>
              <w:rPr>
                <w:rFonts w:ascii="宋体" w:hAnsi="宋体" w:eastAsia="宋体" w:cs="宋体"/>
                <w:sz w:val="18"/>
                <w:szCs w:val="18"/>
              </w:rPr>
              <w:t>并表关联方往来</w:t>
            </w:r>
          </w:p>
        </w:tc>
        <w:tc>
          <w:tcPr>
            <w:tcW w:w="1606" w:type="dxa"/>
            <w:tcBorders>
              <w:top w:val="single" w:color="auto" w:sz="2" w:space="0"/>
              <w:left w:val="single" w:color="auto" w:sz="2" w:space="0"/>
              <w:bottom w:val="single" w:color="auto" w:sz="2" w:space="0"/>
              <w:right w:val="single" w:color="auto" w:sz="2" w:space="0"/>
            </w:tcBorders>
            <w:vAlign w:val="center"/>
          </w:tcPr>
          <w:p w14:paraId="556FA5BA">
            <w:pPr>
              <w:spacing w:before="0" w:after="0" w:line="240" w:lineRule="exact"/>
              <w:jc w:val="right"/>
              <w:rPr>
                <w:rFonts w:ascii="宋体" w:hAnsi="宋体" w:eastAsia="宋体" w:cs="宋体"/>
                <w:sz w:val="18"/>
                <w:szCs w:val="18"/>
              </w:rPr>
            </w:pPr>
            <w:r>
              <w:rPr>
                <w:rFonts w:ascii="宋体" w:hAnsi="宋体" w:eastAsia="宋体" w:cs="宋体"/>
                <w:sz w:val="18"/>
                <w:szCs w:val="18"/>
              </w:rPr>
              <w:t>30,118,766.67</w:t>
            </w:r>
          </w:p>
        </w:tc>
        <w:tc>
          <w:tcPr>
            <w:tcW w:w="1606" w:type="dxa"/>
            <w:tcBorders>
              <w:top w:val="single" w:color="auto" w:sz="2" w:space="0"/>
              <w:left w:val="single" w:color="auto" w:sz="2" w:space="0"/>
              <w:bottom w:val="single" w:color="auto" w:sz="2" w:space="0"/>
              <w:right w:val="single" w:color="auto" w:sz="2" w:space="0"/>
            </w:tcBorders>
            <w:vAlign w:val="center"/>
          </w:tcPr>
          <w:p w14:paraId="417E0F6C">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1606" w:type="dxa"/>
            <w:tcBorders>
              <w:top w:val="single" w:color="auto" w:sz="2" w:space="0"/>
              <w:left w:val="single" w:color="auto" w:sz="2" w:space="0"/>
              <w:bottom w:val="single" w:color="auto" w:sz="2" w:space="0"/>
              <w:right w:val="single" w:color="auto" w:sz="2" w:space="0"/>
            </w:tcBorders>
            <w:vAlign w:val="center"/>
          </w:tcPr>
          <w:p w14:paraId="5D9ABC5F">
            <w:pPr>
              <w:spacing w:before="0" w:after="0" w:line="240" w:lineRule="exact"/>
              <w:jc w:val="right"/>
              <w:rPr>
                <w:rFonts w:ascii="宋体" w:hAnsi="宋体" w:eastAsia="宋体" w:cs="宋体"/>
                <w:sz w:val="18"/>
                <w:szCs w:val="18"/>
              </w:rPr>
            </w:pPr>
            <w:r>
              <w:rPr>
                <w:rFonts w:ascii="宋体" w:hAnsi="宋体" w:eastAsia="宋体" w:cs="宋体"/>
                <w:sz w:val="18"/>
                <w:szCs w:val="18"/>
              </w:rPr>
              <w:t>71.69%</w:t>
            </w:r>
          </w:p>
        </w:tc>
        <w:tc>
          <w:tcPr>
            <w:tcW w:w="1606" w:type="dxa"/>
            <w:tcBorders>
              <w:top w:val="single" w:color="auto" w:sz="2" w:space="0"/>
              <w:left w:val="single" w:color="auto" w:sz="2" w:space="0"/>
              <w:bottom w:val="single" w:color="auto" w:sz="2" w:space="0"/>
              <w:right w:val="single" w:color="auto" w:sz="2" w:space="0"/>
            </w:tcBorders>
            <w:vAlign w:val="center"/>
          </w:tcPr>
          <w:p w14:paraId="27E77DB0">
            <w:pPr>
              <w:spacing w:before="0" w:after="0" w:line="240" w:lineRule="exact"/>
              <w:jc w:val="right"/>
              <w:rPr>
                <w:rFonts w:ascii="宋体" w:hAnsi="宋体" w:eastAsia="宋体" w:cs="宋体"/>
                <w:sz w:val="18"/>
                <w:szCs w:val="18"/>
              </w:rPr>
            </w:pPr>
          </w:p>
        </w:tc>
      </w:tr>
      <w:tr w14:paraId="706AA6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21068524">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福建广生堂金塘药业有限公司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441F01D0">
            <w:pPr>
              <w:spacing w:before="0" w:after="0" w:line="240" w:lineRule="exact"/>
              <w:jc w:val="left"/>
              <w:rPr>
                <w:rFonts w:ascii="宋体" w:hAnsi="宋体" w:eastAsia="宋体" w:cs="宋体"/>
                <w:sz w:val="18"/>
                <w:szCs w:val="18"/>
              </w:rPr>
            </w:pPr>
            <w:r>
              <w:rPr>
                <w:rFonts w:ascii="宋体" w:hAnsi="宋体" w:eastAsia="宋体" w:cs="宋体"/>
                <w:sz w:val="18"/>
                <w:szCs w:val="18"/>
              </w:rPr>
              <w:t>并表关联方往来</w:t>
            </w:r>
          </w:p>
        </w:tc>
        <w:tc>
          <w:tcPr>
            <w:tcW w:w="1606" w:type="dxa"/>
            <w:tcBorders>
              <w:top w:val="single" w:color="auto" w:sz="2" w:space="0"/>
              <w:left w:val="single" w:color="auto" w:sz="2" w:space="0"/>
              <w:bottom w:val="single" w:color="auto" w:sz="2" w:space="0"/>
              <w:right w:val="single" w:color="auto" w:sz="2" w:space="0"/>
            </w:tcBorders>
            <w:vAlign w:val="center"/>
          </w:tcPr>
          <w:p w14:paraId="6A0748AA">
            <w:pPr>
              <w:spacing w:before="0" w:after="0" w:line="240" w:lineRule="exact"/>
              <w:jc w:val="right"/>
              <w:rPr>
                <w:rFonts w:ascii="宋体" w:hAnsi="宋体" w:eastAsia="宋体" w:cs="宋体"/>
                <w:sz w:val="18"/>
                <w:szCs w:val="18"/>
              </w:rPr>
            </w:pPr>
            <w:r>
              <w:rPr>
                <w:rFonts w:ascii="宋体" w:hAnsi="宋体" w:eastAsia="宋体" w:cs="宋体"/>
                <w:sz w:val="18"/>
                <w:szCs w:val="18"/>
              </w:rPr>
              <w:t>8,000,000.00</w:t>
            </w:r>
          </w:p>
        </w:tc>
        <w:tc>
          <w:tcPr>
            <w:tcW w:w="1606" w:type="dxa"/>
            <w:tcBorders>
              <w:top w:val="single" w:color="auto" w:sz="2" w:space="0"/>
              <w:left w:val="single" w:color="auto" w:sz="2" w:space="0"/>
              <w:bottom w:val="single" w:color="auto" w:sz="2" w:space="0"/>
              <w:right w:val="single" w:color="auto" w:sz="2" w:space="0"/>
            </w:tcBorders>
            <w:vAlign w:val="center"/>
          </w:tcPr>
          <w:p w14:paraId="75A87938">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1606" w:type="dxa"/>
            <w:tcBorders>
              <w:top w:val="single" w:color="auto" w:sz="2" w:space="0"/>
              <w:left w:val="single" w:color="auto" w:sz="2" w:space="0"/>
              <w:bottom w:val="single" w:color="auto" w:sz="2" w:space="0"/>
              <w:right w:val="single" w:color="auto" w:sz="2" w:space="0"/>
            </w:tcBorders>
            <w:vAlign w:val="center"/>
          </w:tcPr>
          <w:p w14:paraId="4C2C4020">
            <w:pPr>
              <w:spacing w:before="0" w:after="0" w:line="240" w:lineRule="exact"/>
              <w:jc w:val="right"/>
              <w:rPr>
                <w:rFonts w:ascii="宋体" w:hAnsi="宋体" w:eastAsia="宋体" w:cs="宋体"/>
                <w:sz w:val="18"/>
                <w:szCs w:val="18"/>
              </w:rPr>
            </w:pPr>
            <w:r>
              <w:rPr>
                <w:rFonts w:ascii="宋体" w:hAnsi="宋体" w:eastAsia="宋体" w:cs="宋体"/>
                <w:sz w:val="18"/>
                <w:szCs w:val="18"/>
              </w:rPr>
              <w:t>19.04%</w:t>
            </w:r>
          </w:p>
        </w:tc>
        <w:tc>
          <w:tcPr>
            <w:tcW w:w="1606" w:type="dxa"/>
            <w:tcBorders>
              <w:top w:val="single" w:color="auto" w:sz="2" w:space="0"/>
              <w:left w:val="single" w:color="auto" w:sz="2" w:space="0"/>
              <w:bottom w:val="single" w:color="auto" w:sz="2" w:space="0"/>
              <w:right w:val="single" w:color="auto" w:sz="2" w:space="0"/>
            </w:tcBorders>
            <w:vAlign w:val="center"/>
          </w:tcPr>
          <w:p w14:paraId="57C5206E">
            <w:pPr>
              <w:spacing w:before="0" w:after="0" w:line="240" w:lineRule="exact"/>
              <w:jc w:val="right"/>
              <w:rPr>
                <w:rFonts w:ascii="宋体" w:hAnsi="宋体" w:eastAsia="宋体" w:cs="宋体"/>
                <w:sz w:val="18"/>
                <w:szCs w:val="18"/>
              </w:rPr>
            </w:pPr>
          </w:p>
        </w:tc>
      </w:tr>
      <w:tr w14:paraId="60B6D6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5E8FA296">
            <w:pPr>
              <w:spacing w:before="0" w:after="0" w:line="240" w:lineRule="exact"/>
              <w:jc w:val="left"/>
              <w:rPr>
                <w:rFonts w:ascii="宋体" w:hAnsi="宋体" w:eastAsia="宋体" w:cs="宋体"/>
                <w:sz w:val="18"/>
                <w:szCs w:val="18"/>
              </w:rPr>
            </w:pPr>
            <w:r>
              <w:rPr>
                <w:rFonts w:ascii="宋体" w:hAnsi="宋体" w:eastAsia="宋体" w:cs="宋体"/>
                <w:sz w:val="18"/>
                <w:szCs w:val="18"/>
              </w:rPr>
              <w:t>歌礼药业(浙江)有限公司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0A7C4DDB">
            <w:pPr>
              <w:spacing w:before="0" w:after="0" w:line="240" w:lineRule="exact"/>
              <w:jc w:val="left"/>
              <w:rPr>
                <w:rFonts w:ascii="宋体" w:hAnsi="宋体" w:eastAsia="宋体" w:cs="宋体"/>
                <w:sz w:val="18"/>
                <w:szCs w:val="18"/>
              </w:rPr>
            </w:pPr>
            <w:r>
              <w:rPr>
                <w:rFonts w:ascii="宋体" w:hAnsi="宋体" w:eastAsia="宋体" w:cs="宋体"/>
                <w:sz w:val="18"/>
                <w:szCs w:val="18"/>
              </w:rPr>
              <w:t>保证金、押金及员工备用金</w:t>
            </w:r>
          </w:p>
        </w:tc>
        <w:tc>
          <w:tcPr>
            <w:tcW w:w="1606" w:type="dxa"/>
            <w:tcBorders>
              <w:top w:val="single" w:color="auto" w:sz="2" w:space="0"/>
              <w:left w:val="single" w:color="auto" w:sz="2" w:space="0"/>
              <w:bottom w:val="single" w:color="auto" w:sz="2" w:space="0"/>
              <w:right w:val="single" w:color="auto" w:sz="2" w:space="0"/>
            </w:tcBorders>
            <w:vAlign w:val="center"/>
          </w:tcPr>
          <w:p w14:paraId="727EBCC3">
            <w:pPr>
              <w:spacing w:before="0" w:after="0" w:line="240" w:lineRule="exact"/>
              <w:jc w:val="right"/>
              <w:rPr>
                <w:rFonts w:ascii="宋体" w:hAnsi="宋体" w:eastAsia="宋体" w:cs="宋体"/>
                <w:sz w:val="18"/>
                <w:szCs w:val="18"/>
              </w:rPr>
            </w:pPr>
            <w:r>
              <w:rPr>
                <w:rFonts w:ascii="宋体" w:hAnsi="宋体" w:eastAsia="宋体" w:cs="宋体"/>
                <w:sz w:val="18"/>
                <w:szCs w:val="18"/>
              </w:rPr>
              <w:t>3,028,855.31</w:t>
            </w:r>
          </w:p>
        </w:tc>
        <w:tc>
          <w:tcPr>
            <w:tcW w:w="1606" w:type="dxa"/>
            <w:tcBorders>
              <w:top w:val="single" w:color="auto" w:sz="2" w:space="0"/>
              <w:left w:val="single" w:color="auto" w:sz="2" w:space="0"/>
              <w:bottom w:val="single" w:color="auto" w:sz="2" w:space="0"/>
              <w:right w:val="single" w:color="auto" w:sz="2" w:space="0"/>
            </w:tcBorders>
            <w:vAlign w:val="center"/>
          </w:tcPr>
          <w:p w14:paraId="3CB262F8">
            <w:pPr>
              <w:spacing w:before="0" w:after="0" w:line="240" w:lineRule="exact"/>
              <w:jc w:val="left"/>
              <w:rPr>
                <w:rFonts w:ascii="宋体" w:hAnsi="宋体" w:eastAsia="宋体" w:cs="宋体"/>
                <w:sz w:val="18"/>
                <w:szCs w:val="18"/>
              </w:rPr>
            </w:pPr>
            <w:r>
              <w:rPr>
                <w:rFonts w:ascii="宋体" w:hAnsi="宋体" w:eastAsia="宋体" w:cs="宋体"/>
                <w:sz w:val="18"/>
                <w:szCs w:val="18"/>
              </w:rPr>
              <w:t>1年以内</w:t>
            </w:r>
          </w:p>
        </w:tc>
        <w:tc>
          <w:tcPr>
            <w:tcW w:w="1606" w:type="dxa"/>
            <w:tcBorders>
              <w:top w:val="single" w:color="auto" w:sz="2" w:space="0"/>
              <w:left w:val="single" w:color="auto" w:sz="2" w:space="0"/>
              <w:bottom w:val="single" w:color="auto" w:sz="2" w:space="0"/>
              <w:right w:val="single" w:color="auto" w:sz="2" w:space="0"/>
            </w:tcBorders>
            <w:vAlign w:val="center"/>
          </w:tcPr>
          <w:p w14:paraId="3471404E">
            <w:pPr>
              <w:spacing w:before="0" w:after="0" w:line="240" w:lineRule="exact"/>
              <w:jc w:val="right"/>
              <w:rPr>
                <w:rFonts w:ascii="宋体" w:hAnsi="宋体" w:eastAsia="宋体" w:cs="宋体"/>
                <w:sz w:val="18"/>
                <w:szCs w:val="18"/>
              </w:rPr>
            </w:pPr>
            <w:r>
              <w:rPr>
                <w:rFonts w:ascii="宋体" w:hAnsi="宋体" w:eastAsia="宋体" w:cs="宋体"/>
                <w:sz w:val="18"/>
                <w:szCs w:val="18"/>
              </w:rPr>
              <w:t>7.21%</w:t>
            </w:r>
          </w:p>
        </w:tc>
        <w:tc>
          <w:tcPr>
            <w:tcW w:w="1606" w:type="dxa"/>
            <w:tcBorders>
              <w:top w:val="single" w:color="auto" w:sz="2" w:space="0"/>
              <w:left w:val="single" w:color="auto" w:sz="2" w:space="0"/>
              <w:bottom w:val="single" w:color="auto" w:sz="2" w:space="0"/>
              <w:right w:val="single" w:color="auto" w:sz="2" w:space="0"/>
            </w:tcBorders>
            <w:vAlign w:val="center"/>
          </w:tcPr>
          <w:p w14:paraId="4F03E798">
            <w:pPr>
              <w:spacing w:before="0" w:after="0" w:line="240" w:lineRule="exact"/>
              <w:jc w:val="right"/>
              <w:rPr>
                <w:rFonts w:ascii="宋体" w:hAnsi="宋体" w:eastAsia="宋体" w:cs="宋体"/>
                <w:sz w:val="18"/>
                <w:szCs w:val="18"/>
              </w:rPr>
            </w:pPr>
          </w:p>
        </w:tc>
      </w:tr>
      <w:tr w14:paraId="61CADD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4C30042E">
            <w:pPr>
              <w:spacing w:before="0" w:after="0" w:line="240" w:lineRule="exact"/>
              <w:jc w:val="left"/>
              <w:rPr>
                <w:rFonts w:ascii="宋体" w:hAnsi="宋体" w:eastAsia="宋体" w:cs="宋体"/>
                <w:sz w:val="18"/>
                <w:szCs w:val="18"/>
              </w:rPr>
            </w:pPr>
            <w:r>
              <w:rPr>
                <w:rFonts w:ascii="宋体" w:hAnsi="宋体" w:eastAsia="宋体" w:cs="宋体"/>
                <w:sz w:val="18"/>
                <w:szCs w:val="18"/>
              </w:rPr>
              <w:t>广州空港阿里健康大药房有限公司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70C45EEA">
            <w:pPr>
              <w:spacing w:before="0" w:after="0" w:line="240" w:lineRule="exact"/>
              <w:jc w:val="left"/>
              <w:rPr>
                <w:rFonts w:ascii="宋体" w:hAnsi="宋体" w:eastAsia="宋体" w:cs="宋体"/>
                <w:sz w:val="18"/>
                <w:szCs w:val="18"/>
              </w:rPr>
            </w:pPr>
            <w:r>
              <w:rPr>
                <w:rFonts w:ascii="宋体" w:hAnsi="宋体" w:eastAsia="宋体" w:cs="宋体"/>
                <w:sz w:val="18"/>
                <w:szCs w:val="18"/>
              </w:rPr>
              <w:t>保证金、押金及员工备用金</w:t>
            </w:r>
          </w:p>
        </w:tc>
        <w:tc>
          <w:tcPr>
            <w:tcW w:w="1606" w:type="dxa"/>
            <w:tcBorders>
              <w:top w:val="single" w:color="auto" w:sz="2" w:space="0"/>
              <w:left w:val="single" w:color="auto" w:sz="2" w:space="0"/>
              <w:bottom w:val="single" w:color="auto" w:sz="2" w:space="0"/>
              <w:right w:val="single" w:color="auto" w:sz="2" w:space="0"/>
            </w:tcBorders>
            <w:vAlign w:val="center"/>
          </w:tcPr>
          <w:p w14:paraId="69565BA9">
            <w:pPr>
              <w:spacing w:before="0" w:after="0" w:line="240" w:lineRule="exact"/>
              <w:jc w:val="right"/>
              <w:rPr>
                <w:rFonts w:ascii="宋体" w:hAnsi="宋体" w:eastAsia="宋体" w:cs="宋体"/>
                <w:sz w:val="18"/>
                <w:szCs w:val="18"/>
              </w:rPr>
            </w:pPr>
            <w:r>
              <w:rPr>
                <w:rFonts w:ascii="宋体" w:hAnsi="宋体" w:eastAsia="宋体" w:cs="宋体"/>
                <w:sz w:val="18"/>
                <w:szCs w:val="18"/>
              </w:rPr>
              <w:t>330,000.00</w:t>
            </w:r>
          </w:p>
        </w:tc>
        <w:tc>
          <w:tcPr>
            <w:tcW w:w="1606" w:type="dxa"/>
            <w:tcBorders>
              <w:top w:val="single" w:color="auto" w:sz="2" w:space="0"/>
              <w:left w:val="single" w:color="auto" w:sz="2" w:space="0"/>
              <w:bottom w:val="single" w:color="auto" w:sz="2" w:space="0"/>
              <w:right w:val="single" w:color="auto" w:sz="2" w:space="0"/>
            </w:tcBorders>
            <w:vAlign w:val="center"/>
          </w:tcPr>
          <w:p w14:paraId="19AF7310">
            <w:pPr>
              <w:spacing w:before="0" w:after="0" w:line="240" w:lineRule="exact"/>
              <w:jc w:val="left"/>
              <w:rPr>
                <w:rFonts w:ascii="宋体" w:hAnsi="宋体" w:eastAsia="宋体" w:cs="宋体"/>
                <w:sz w:val="18"/>
                <w:szCs w:val="18"/>
              </w:rPr>
            </w:pPr>
            <w:r>
              <w:rPr>
                <w:rFonts w:ascii="宋体" w:hAnsi="宋体" w:eastAsia="宋体" w:cs="宋体"/>
                <w:sz w:val="18"/>
                <w:szCs w:val="18"/>
              </w:rPr>
              <w:t>1-2年</w:t>
            </w:r>
          </w:p>
        </w:tc>
        <w:tc>
          <w:tcPr>
            <w:tcW w:w="1606" w:type="dxa"/>
            <w:tcBorders>
              <w:top w:val="single" w:color="auto" w:sz="2" w:space="0"/>
              <w:left w:val="single" w:color="auto" w:sz="2" w:space="0"/>
              <w:bottom w:val="single" w:color="auto" w:sz="2" w:space="0"/>
              <w:right w:val="single" w:color="auto" w:sz="2" w:space="0"/>
            </w:tcBorders>
            <w:vAlign w:val="center"/>
          </w:tcPr>
          <w:p w14:paraId="370B16D6">
            <w:pPr>
              <w:spacing w:before="0" w:after="0" w:line="240" w:lineRule="exact"/>
              <w:jc w:val="right"/>
              <w:rPr>
                <w:rFonts w:ascii="宋体" w:hAnsi="宋体" w:eastAsia="宋体" w:cs="宋体"/>
                <w:sz w:val="18"/>
                <w:szCs w:val="18"/>
              </w:rPr>
            </w:pPr>
            <w:r>
              <w:rPr>
                <w:rFonts w:ascii="宋体" w:hAnsi="宋体" w:eastAsia="宋体" w:cs="宋体"/>
                <w:sz w:val="18"/>
                <w:szCs w:val="18"/>
              </w:rPr>
              <w:t>0.79%</w:t>
            </w:r>
          </w:p>
        </w:tc>
        <w:tc>
          <w:tcPr>
            <w:tcW w:w="1606" w:type="dxa"/>
            <w:tcBorders>
              <w:top w:val="single" w:color="auto" w:sz="2" w:space="0"/>
              <w:left w:val="single" w:color="auto" w:sz="2" w:space="0"/>
              <w:bottom w:val="single" w:color="auto" w:sz="2" w:space="0"/>
              <w:right w:val="single" w:color="auto" w:sz="2" w:space="0"/>
            </w:tcBorders>
            <w:vAlign w:val="center"/>
          </w:tcPr>
          <w:p w14:paraId="3FE38116">
            <w:pPr>
              <w:spacing w:before="0" w:after="0" w:line="240" w:lineRule="exact"/>
              <w:jc w:val="right"/>
              <w:rPr>
                <w:rFonts w:ascii="宋体" w:hAnsi="宋体" w:eastAsia="宋体" w:cs="宋体"/>
                <w:sz w:val="18"/>
                <w:szCs w:val="18"/>
              </w:rPr>
            </w:pPr>
          </w:p>
        </w:tc>
      </w:tr>
      <w:tr w14:paraId="2D34E6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14:paraId="14B005B4">
            <w:pPr>
              <w:spacing w:before="0" w:after="0" w:line="240" w:lineRule="exact"/>
              <w:jc w:val="left"/>
              <w:rPr>
                <w:rFonts w:ascii="宋体" w:hAnsi="宋体" w:eastAsia="宋体" w:cs="宋体"/>
                <w:sz w:val="18"/>
                <w:szCs w:val="18"/>
              </w:rPr>
            </w:pPr>
            <w:r>
              <w:rPr>
                <w:rFonts w:ascii="宋体" w:hAnsi="宋体" w:eastAsia="宋体" w:cs="宋体"/>
                <w:sz w:val="18"/>
                <w:szCs w:val="18"/>
              </w:rPr>
              <w:t>福州高新区中节能物业管理有限公司</w:t>
            </w:r>
          </w:p>
        </w:tc>
        <w:tc>
          <w:tcPr>
            <w:tcW w:w="1606" w:type="dxa"/>
            <w:tcBorders>
              <w:top w:val="single" w:color="auto" w:sz="2" w:space="0"/>
              <w:left w:val="single" w:color="auto" w:sz="2" w:space="0"/>
              <w:bottom w:val="single" w:color="auto" w:sz="2" w:space="0"/>
              <w:right w:val="single" w:color="auto" w:sz="2" w:space="0"/>
            </w:tcBorders>
            <w:vAlign w:val="center"/>
          </w:tcPr>
          <w:p w14:paraId="29460F15">
            <w:pPr>
              <w:spacing w:before="0" w:after="0" w:line="240" w:lineRule="exact"/>
              <w:jc w:val="left"/>
              <w:rPr>
                <w:rFonts w:ascii="宋体" w:hAnsi="宋体" w:eastAsia="宋体" w:cs="宋体"/>
                <w:sz w:val="18"/>
                <w:szCs w:val="18"/>
              </w:rPr>
            </w:pPr>
            <w:r>
              <w:rPr>
                <w:rFonts w:ascii="宋体" w:hAnsi="宋体" w:eastAsia="宋体" w:cs="宋体"/>
                <w:sz w:val="18"/>
                <w:szCs w:val="18"/>
              </w:rPr>
              <w:t>保证金、押金及员工备用金</w:t>
            </w:r>
          </w:p>
        </w:tc>
        <w:tc>
          <w:tcPr>
            <w:tcW w:w="1606" w:type="dxa"/>
            <w:tcBorders>
              <w:top w:val="single" w:color="auto" w:sz="2" w:space="0"/>
              <w:left w:val="single" w:color="auto" w:sz="2" w:space="0"/>
              <w:bottom w:val="single" w:color="auto" w:sz="2" w:space="0"/>
              <w:right w:val="single" w:color="auto" w:sz="2" w:space="0"/>
            </w:tcBorders>
            <w:vAlign w:val="center"/>
          </w:tcPr>
          <w:p w14:paraId="69934B75">
            <w:pPr>
              <w:spacing w:before="0" w:after="0" w:line="240" w:lineRule="exact"/>
              <w:jc w:val="right"/>
              <w:rPr>
                <w:rFonts w:ascii="宋体" w:hAnsi="宋体" w:eastAsia="宋体" w:cs="宋体"/>
                <w:sz w:val="18"/>
                <w:szCs w:val="18"/>
              </w:rPr>
            </w:pPr>
            <w:r>
              <w:rPr>
                <w:rFonts w:ascii="宋体" w:hAnsi="宋体" w:eastAsia="宋体" w:cs="宋体"/>
                <w:sz w:val="18"/>
                <w:szCs w:val="18"/>
              </w:rPr>
              <w:t>50,000.00</w:t>
            </w:r>
          </w:p>
        </w:tc>
        <w:tc>
          <w:tcPr>
            <w:tcW w:w="1606" w:type="dxa"/>
            <w:tcBorders>
              <w:top w:val="single" w:color="auto" w:sz="2" w:space="0"/>
              <w:left w:val="single" w:color="auto" w:sz="2" w:space="0"/>
              <w:bottom w:val="single" w:color="auto" w:sz="2" w:space="0"/>
              <w:right w:val="single" w:color="auto" w:sz="2" w:space="0"/>
            </w:tcBorders>
            <w:vAlign w:val="center"/>
          </w:tcPr>
          <w:p w14:paraId="7560B234">
            <w:pPr>
              <w:spacing w:before="0" w:after="0" w:line="240" w:lineRule="exact"/>
              <w:jc w:val="left"/>
              <w:rPr>
                <w:rFonts w:ascii="宋体" w:hAnsi="宋体" w:eastAsia="宋体" w:cs="宋体"/>
                <w:sz w:val="18"/>
                <w:szCs w:val="18"/>
              </w:rPr>
            </w:pPr>
            <w:r>
              <w:rPr>
                <w:rFonts w:ascii="宋体" w:hAnsi="宋体" w:eastAsia="宋体" w:cs="宋体"/>
                <w:sz w:val="18"/>
                <w:szCs w:val="18"/>
              </w:rPr>
              <w:t>2-3年、3-4年</w:t>
            </w:r>
          </w:p>
        </w:tc>
        <w:tc>
          <w:tcPr>
            <w:tcW w:w="1606" w:type="dxa"/>
            <w:tcBorders>
              <w:top w:val="single" w:color="auto" w:sz="2" w:space="0"/>
              <w:left w:val="single" w:color="auto" w:sz="2" w:space="0"/>
              <w:bottom w:val="single" w:color="auto" w:sz="2" w:space="0"/>
              <w:right w:val="single" w:color="auto" w:sz="2" w:space="0"/>
            </w:tcBorders>
            <w:vAlign w:val="center"/>
          </w:tcPr>
          <w:p w14:paraId="08026474">
            <w:pPr>
              <w:spacing w:before="0" w:after="0" w:line="240" w:lineRule="exact"/>
              <w:jc w:val="right"/>
              <w:rPr>
                <w:rFonts w:ascii="宋体" w:hAnsi="宋体" w:eastAsia="宋体" w:cs="宋体"/>
                <w:sz w:val="18"/>
                <w:szCs w:val="18"/>
              </w:rPr>
            </w:pPr>
            <w:r>
              <w:rPr>
                <w:rFonts w:ascii="宋体" w:hAnsi="宋体" w:eastAsia="宋体" w:cs="宋体"/>
                <w:sz w:val="18"/>
                <w:szCs w:val="18"/>
              </w:rPr>
              <w:t>0.12%</w:t>
            </w:r>
          </w:p>
        </w:tc>
        <w:tc>
          <w:tcPr>
            <w:tcW w:w="1606" w:type="dxa"/>
            <w:tcBorders>
              <w:top w:val="single" w:color="auto" w:sz="2" w:space="0"/>
              <w:left w:val="single" w:color="auto" w:sz="2" w:space="0"/>
              <w:bottom w:val="single" w:color="auto" w:sz="2" w:space="0"/>
              <w:right w:val="single" w:color="auto" w:sz="2" w:space="0"/>
            </w:tcBorders>
            <w:vAlign w:val="center"/>
          </w:tcPr>
          <w:p w14:paraId="23C0201B">
            <w:pPr>
              <w:spacing w:before="0" w:after="0" w:line="240" w:lineRule="exact"/>
              <w:jc w:val="right"/>
              <w:rPr>
                <w:rFonts w:ascii="宋体" w:hAnsi="宋体" w:eastAsia="宋体" w:cs="宋体"/>
                <w:sz w:val="18"/>
                <w:szCs w:val="18"/>
              </w:rPr>
            </w:pPr>
          </w:p>
        </w:tc>
      </w:tr>
      <w:tr w14:paraId="50F785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625595AB">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14E44B3A"/>
        </w:tc>
        <w:tc>
          <w:tcPr>
            <w:tcW w:w="1606" w:type="dxa"/>
            <w:tcBorders>
              <w:top w:val="single" w:color="auto" w:sz="2" w:space="0"/>
              <w:left w:val="single" w:color="auto" w:sz="2" w:space="0"/>
              <w:bottom w:val="single" w:color="auto" w:sz="2" w:space="0"/>
              <w:right w:val="single" w:color="auto" w:sz="2" w:space="0"/>
            </w:tcBorders>
            <w:vAlign w:val="center"/>
          </w:tcPr>
          <w:p w14:paraId="42AA2F51">
            <w:pPr>
              <w:spacing w:before="0" w:after="0" w:line="240" w:lineRule="exact"/>
              <w:jc w:val="right"/>
              <w:rPr>
                <w:rFonts w:ascii="宋体" w:hAnsi="宋体" w:eastAsia="宋体" w:cs="宋体"/>
                <w:sz w:val="18"/>
                <w:szCs w:val="18"/>
              </w:rPr>
            </w:pPr>
            <w:r>
              <w:rPr>
                <w:rFonts w:ascii="宋体" w:hAnsi="宋体" w:eastAsia="宋体" w:cs="宋体"/>
                <w:sz w:val="18"/>
                <w:szCs w:val="18"/>
              </w:rPr>
              <w:t>41,527,621.98</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14:paraId="25305D6E"/>
        </w:tc>
        <w:tc>
          <w:tcPr>
            <w:tcW w:w="1606" w:type="dxa"/>
            <w:tcBorders>
              <w:top w:val="single" w:color="auto" w:sz="2" w:space="0"/>
              <w:left w:val="single" w:color="auto" w:sz="2" w:space="0"/>
              <w:bottom w:val="single" w:color="auto" w:sz="2" w:space="0"/>
              <w:right w:val="single" w:color="auto" w:sz="2" w:space="0"/>
            </w:tcBorders>
            <w:vAlign w:val="center"/>
          </w:tcPr>
          <w:p w14:paraId="591726CE">
            <w:pPr>
              <w:spacing w:before="0" w:after="0" w:line="240" w:lineRule="exact"/>
              <w:jc w:val="right"/>
              <w:rPr>
                <w:rFonts w:ascii="宋体" w:hAnsi="宋体" w:eastAsia="宋体" w:cs="宋体"/>
                <w:sz w:val="18"/>
                <w:szCs w:val="18"/>
              </w:rPr>
            </w:pPr>
            <w:r>
              <w:rPr>
                <w:rFonts w:ascii="宋体" w:hAnsi="宋体" w:eastAsia="宋体" w:cs="宋体"/>
                <w:sz w:val="18"/>
                <w:szCs w:val="18"/>
              </w:rPr>
              <w:t>98.85%</w:t>
            </w:r>
          </w:p>
        </w:tc>
        <w:tc>
          <w:tcPr>
            <w:tcW w:w="1606" w:type="dxa"/>
            <w:tcBorders>
              <w:top w:val="single" w:color="auto" w:sz="2" w:space="0"/>
              <w:left w:val="single" w:color="auto" w:sz="2" w:space="0"/>
              <w:bottom w:val="single" w:color="auto" w:sz="2" w:space="0"/>
              <w:right w:val="single" w:color="auto" w:sz="2" w:space="0"/>
            </w:tcBorders>
            <w:vAlign w:val="center"/>
          </w:tcPr>
          <w:p w14:paraId="55BCB7BC">
            <w:pPr>
              <w:spacing w:before="0" w:after="0" w:line="240" w:lineRule="exact"/>
              <w:jc w:val="right"/>
              <w:rPr>
                <w:rFonts w:ascii="宋体" w:hAnsi="宋体" w:eastAsia="宋体" w:cs="宋体"/>
                <w:sz w:val="18"/>
                <w:szCs w:val="18"/>
              </w:rPr>
            </w:pPr>
          </w:p>
        </w:tc>
      </w:tr>
    </w:tbl>
    <w:p w14:paraId="23097352">
      <w:pPr>
        <w:spacing w:before="100" w:after="100" w:line="0" w:lineRule="exact"/>
        <w:jc w:val="left"/>
      </w:pPr>
    </w:p>
    <w:p w14:paraId="747732ED">
      <w:pPr>
        <w:keepNext/>
        <w:keepLines/>
        <w:spacing w:before="300" w:after="300" w:line="280" w:lineRule="exact"/>
        <w:jc w:val="left"/>
        <w:outlineLvl w:val="4"/>
        <w:rPr>
          <w:rFonts w:ascii="宋体" w:hAnsi="宋体" w:eastAsia="宋体" w:cs="宋体"/>
          <w:b/>
          <w:bCs/>
          <w:sz w:val="18"/>
          <w:szCs w:val="18"/>
        </w:rPr>
      </w:pPr>
      <w:bookmarkStart w:id="605" w:name="_Toc989488"/>
      <w:r>
        <w:rPr>
          <w:rFonts w:ascii="宋体" w:hAnsi="宋体" w:eastAsia="宋体" w:cs="宋体"/>
          <w:b/>
          <w:bCs/>
          <w:sz w:val="18"/>
          <w:szCs w:val="18"/>
        </w:rPr>
        <w:t>7） 因资金集中管理而列报于其他应收款</w:t>
      </w:r>
      <w:bookmarkEnd w:id="605"/>
    </w:p>
    <w:p w14:paraId="6ADE3E91">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p w14:paraId="0B7C87CB">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4B9E0840">
      <w:pPr>
        <w:keepNext/>
        <w:keepLines/>
        <w:spacing w:before="300" w:after="300" w:line="280" w:lineRule="exact"/>
        <w:jc w:val="left"/>
        <w:outlineLvl w:val="2"/>
        <w:rPr>
          <w:rFonts w:ascii="宋体" w:hAnsi="宋体" w:eastAsia="宋体" w:cs="宋体"/>
          <w:b/>
          <w:bCs/>
          <w:sz w:val="21"/>
          <w:szCs w:val="21"/>
        </w:rPr>
      </w:pPr>
      <w:bookmarkStart w:id="606" w:name="_Toc989489"/>
      <w:r>
        <w:rPr>
          <w:rFonts w:ascii="宋体" w:hAnsi="宋体" w:eastAsia="宋体" w:cs="宋体"/>
          <w:b/>
          <w:bCs/>
          <w:sz w:val="21"/>
          <w:szCs w:val="21"/>
        </w:rPr>
        <w:t>3、长期股权投资</w:t>
      </w:r>
      <w:bookmarkEnd w:id="606"/>
    </w:p>
    <w:p w14:paraId="785C868E">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494C2A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7DC1672">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27EA2120">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14:paraId="4BC2E175">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14:paraId="0AAE10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7FE1F56"/>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7760E97">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A2492D7">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B8D8E19">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AED0329">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12780B8E">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5886012">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14:paraId="68B6EF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0C7D7C8F">
            <w:pPr>
              <w:spacing w:before="40" w:after="40" w:line="240" w:lineRule="exact"/>
              <w:jc w:val="left"/>
              <w:rPr>
                <w:rFonts w:ascii="宋体" w:hAnsi="宋体" w:eastAsia="宋体" w:cs="宋体"/>
                <w:sz w:val="18"/>
                <w:szCs w:val="18"/>
              </w:rPr>
            </w:pPr>
            <w:r>
              <w:rPr>
                <w:rFonts w:ascii="宋体" w:hAnsi="宋体" w:eastAsia="宋体" w:cs="宋体"/>
                <w:sz w:val="18"/>
                <w:szCs w:val="18"/>
              </w:rPr>
              <w:t>对子公司投资</w:t>
            </w:r>
          </w:p>
        </w:tc>
        <w:tc>
          <w:tcPr>
            <w:tcW w:w="1377" w:type="dxa"/>
            <w:tcBorders>
              <w:top w:val="single" w:color="auto" w:sz="2" w:space="0"/>
              <w:left w:val="single" w:color="auto" w:sz="2" w:space="0"/>
              <w:bottom w:val="single" w:color="auto" w:sz="2" w:space="0"/>
              <w:right w:val="single" w:color="auto" w:sz="2" w:space="0"/>
            </w:tcBorders>
            <w:vAlign w:val="center"/>
          </w:tcPr>
          <w:p w14:paraId="58B1FB16">
            <w:pPr>
              <w:spacing w:before="0" w:after="0" w:line="240" w:lineRule="exact"/>
              <w:jc w:val="right"/>
              <w:rPr>
                <w:rFonts w:ascii="宋体" w:hAnsi="宋体" w:eastAsia="宋体" w:cs="宋体"/>
                <w:sz w:val="18"/>
                <w:szCs w:val="18"/>
              </w:rPr>
            </w:pPr>
            <w:r>
              <w:rPr>
                <w:rFonts w:ascii="宋体" w:hAnsi="宋体" w:eastAsia="宋体" w:cs="宋体"/>
                <w:sz w:val="18"/>
                <w:szCs w:val="18"/>
              </w:rPr>
              <w:t>654,537,500.00</w:t>
            </w:r>
          </w:p>
        </w:tc>
        <w:tc>
          <w:tcPr>
            <w:tcW w:w="1377" w:type="dxa"/>
            <w:tcBorders>
              <w:top w:val="single" w:color="auto" w:sz="2" w:space="0"/>
              <w:left w:val="single" w:color="auto" w:sz="2" w:space="0"/>
              <w:bottom w:val="single" w:color="auto" w:sz="2" w:space="0"/>
              <w:right w:val="single" w:color="auto" w:sz="2" w:space="0"/>
            </w:tcBorders>
            <w:vAlign w:val="center"/>
          </w:tcPr>
          <w:p w14:paraId="26395F75">
            <w:pPr>
              <w:spacing w:before="0" w:after="0" w:line="240" w:lineRule="exact"/>
              <w:jc w:val="right"/>
              <w:rPr>
                <w:rFonts w:ascii="宋体" w:hAnsi="宋体" w:eastAsia="宋体" w:cs="宋体"/>
                <w:sz w:val="18"/>
                <w:szCs w:val="18"/>
              </w:rPr>
            </w:pPr>
            <w:r>
              <w:rPr>
                <w:rFonts w:ascii="宋体" w:hAnsi="宋体" w:eastAsia="宋体" w:cs="宋体"/>
                <w:sz w:val="18"/>
                <w:szCs w:val="18"/>
              </w:rPr>
              <w:t>17,414,664.40</w:t>
            </w:r>
          </w:p>
        </w:tc>
        <w:tc>
          <w:tcPr>
            <w:tcW w:w="1377" w:type="dxa"/>
            <w:tcBorders>
              <w:top w:val="single" w:color="auto" w:sz="2" w:space="0"/>
              <w:left w:val="single" w:color="auto" w:sz="2" w:space="0"/>
              <w:bottom w:val="single" w:color="auto" w:sz="2" w:space="0"/>
              <w:right w:val="single" w:color="auto" w:sz="2" w:space="0"/>
            </w:tcBorders>
            <w:vAlign w:val="center"/>
          </w:tcPr>
          <w:p w14:paraId="26D9986A">
            <w:pPr>
              <w:spacing w:before="0" w:after="0" w:line="240" w:lineRule="exact"/>
              <w:jc w:val="right"/>
              <w:rPr>
                <w:rFonts w:ascii="宋体" w:hAnsi="宋体" w:eastAsia="宋体" w:cs="宋体"/>
                <w:sz w:val="18"/>
                <w:szCs w:val="18"/>
              </w:rPr>
            </w:pPr>
            <w:r>
              <w:rPr>
                <w:rFonts w:ascii="宋体" w:hAnsi="宋体" w:eastAsia="宋体" w:cs="宋体"/>
                <w:sz w:val="18"/>
                <w:szCs w:val="18"/>
              </w:rPr>
              <w:t>637,122,835.60</w:t>
            </w:r>
          </w:p>
        </w:tc>
        <w:tc>
          <w:tcPr>
            <w:tcW w:w="1377" w:type="dxa"/>
            <w:tcBorders>
              <w:top w:val="single" w:color="auto" w:sz="2" w:space="0"/>
              <w:left w:val="single" w:color="auto" w:sz="2" w:space="0"/>
              <w:bottom w:val="single" w:color="auto" w:sz="2" w:space="0"/>
              <w:right w:val="single" w:color="auto" w:sz="2" w:space="0"/>
            </w:tcBorders>
            <w:vAlign w:val="center"/>
          </w:tcPr>
          <w:p w14:paraId="0C93C2A1">
            <w:pPr>
              <w:spacing w:before="0" w:after="0" w:line="240" w:lineRule="exact"/>
              <w:jc w:val="right"/>
              <w:rPr>
                <w:rFonts w:ascii="宋体" w:hAnsi="宋体" w:eastAsia="宋体" w:cs="宋体"/>
                <w:sz w:val="18"/>
                <w:szCs w:val="18"/>
              </w:rPr>
            </w:pPr>
            <w:r>
              <w:rPr>
                <w:rFonts w:ascii="宋体" w:hAnsi="宋体" w:eastAsia="宋体" w:cs="宋体"/>
                <w:sz w:val="18"/>
                <w:szCs w:val="18"/>
              </w:rPr>
              <w:t>687,537,500.00</w:t>
            </w:r>
          </w:p>
        </w:tc>
        <w:tc>
          <w:tcPr>
            <w:tcW w:w="1377" w:type="dxa"/>
            <w:tcBorders>
              <w:top w:val="single" w:color="auto" w:sz="2" w:space="0"/>
              <w:left w:val="single" w:color="auto" w:sz="2" w:space="0"/>
              <w:bottom w:val="single" w:color="auto" w:sz="2" w:space="0"/>
              <w:right w:val="single" w:color="auto" w:sz="2" w:space="0"/>
            </w:tcBorders>
            <w:vAlign w:val="center"/>
          </w:tcPr>
          <w:p w14:paraId="166817D2">
            <w:pPr>
              <w:spacing w:before="0" w:after="0" w:line="240" w:lineRule="exact"/>
              <w:jc w:val="right"/>
              <w:rPr>
                <w:rFonts w:ascii="宋体" w:hAnsi="宋体" w:eastAsia="宋体" w:cs="宋体"/>
                <w:sz w:val="18"/>
                <w:szCs w:val="18"/>
              </w:rPr>
            </w:pPr>
            <w:r>
              <w:rPr>
                <w:rFonts w:ascii="宋体" w:hAnsi="宋体" w:eastAsia="宋体" w:cs="宋体"/>
                <w:sz w:val="18"/>
                <w:szCs w:val="18"/>
              </w:rPr>
              <w:t>17,267,581.56</w:t>
            </w:r>
          </w:p>
        </w:tc>
        <w:tc>
          <w:tcPr>
            <w:tcW w:w="1377" w:type="dxa"/>
            <w:tcBorders>
              <w:top w:val="single" w:color="auto" w:sz="2" w:space="0"/>
              <w:left w:val="single" w:color="auto" w:sz="2" w:space="0"/>
              <w:bottom w:val="single" w:color="auto" w:sz="2" w:space="0"/>
              <w:right w:val="single" w:color="auto" w:sz="2" w:space="0"/>
            </w:tcBorders>
            <w:vAlign w:val="center"/>
          </w:tcPr>
          <w:p w14:paraId="55D07C13">
            <w:pPr>
              <w:spacing w:before="0" w:after="0" w:line="240" w:lineRule="exact"/>
              <w:jc w:val="right"/>
              <w:rPr>
                <w:rFonts w:ascii="宋体" w:hAnsi="宋体" w:eastAsia="宋体" w:cs="宋体"/>
                <w:sz w:val="18"/>
                <w:szCs w:val="18"/>
              </w:rPr>
            </w:pPr>
            <w:r>
              <w:rPr>
                <w:rFonts w:ascii="宋体" w:hAnsi="宋体" w:eastAsia="宋体" w:cs="宋体"/>
                <w:sz w:val="18"/>
                <w:szCs w:val="18"/>
              </w:rPr>
              <w:t>670,269,918.44</w:t>
            </w:r>
          </w:p>
        </w:tc>
      </w:tr>
      <w:tr w14:paraId="319100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33807EE">
            <w:pPr>
              <w:spacing w:before="40" w:after="40" w:line="240" w:lineRule="exact"/>
              <w:jc w:val="left"/>
              <w:rPr>
                <w:rFonts w:ascii="宋体" w:hAnsi="宋体" w:eastAsia="宋体" w:cs="宋体"/>
                <w:sz w:val="18"/>
                <w:szCs w:val="18"/>
              </w:rPr>
            </w:pPr>
            <w:r>
              <w:rPr>
                <w:rFonts w:ascii="宋体" w:hAnsi="宋体" w:eastAsia="宋体" w:cs="宋体"/>
                <w:sz w:val="18"/>
                <w:szCs w:val="18"/>
              </w:rPr>
              <w:t>对联营、合营企业投资</w:t>
            </w:r>
          </w:p>
        </w:tc>
        <w:tc>
          <w:tcPr>
            <w:tcW w:w="1377" w:type="dxa"/>
            <w:tcBorders>
              <w:top w:val="single" w:color="auto" w:sz="2" w:space="0"/>
              <w:left w:val="single" w:color="auto" w:sz="2" w:space="0"/>
              <w:bottom w:val="single" w:color="auto" w:sz="2" w:space="0"/>
              <w:right w:val="single" w:color="auto" w:sz="2" w:space="0"/>
            </w:tcBorders>
            <w:vAlign w:val="center"/>
          </w:tcPr>
          <w:p w14:paraId="53C52CF7">
            <w:pPr>
              <w:spacing w:before="0" w:after="0" w:line="240" w:lineRule="exact"/>
              <w:jc w:val="right"/>
              <w:rPr>
                <w:rFonts w:ascii="宋体" w:hAnsi="宋体" w:eastAsia="宋体" w:cs="宋体"/>
                <w:sz w:val="18"/>
                <w:szCs w:val="18"/>
              </w:rPr>
            </w:pPr>
            <w:r>
              <w:rPr>
                <w:rFonts w:ascii="宋体" w:hAnsi="宋体" w:eastAsia="宋体" w:cs="宋体"/>
                <w:sz w:val="18"/>
                <w:szCs w:val="18"/>
              </w:rPr>
              <w:t>80,177,607.81</w:t>
            </w:r>
          </w:p>
        </w:tc>
        <w:tc>
          <w:tcPr>
            <w:tcW w:w="1377" w:type="dxa"/>
            <w:tcBorders>
              <w:top w:val="single" w:color="auto" w:sz="2" w:space="0"/>
              <w:left w:val="single" w:color="auto" w:sz="2" w:space="0"/>
              <w:bottom w:val="single" w:color="auto" w:sz="2" w:space="0"/>
              <w:right w:val="single" w:color="auto" w:sz="2" w:space="0"/>
            </w:tcBorders>
            <w:vAlign w:val="center"/>
          </w:tcPr>
          <w:p w14:paraId="6127A575">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CDC9076">
            <w:pPr>
              <w:spacing w:before="0" w:after="0" w:line="240" w:lineRule="exact"/>
              <w:jc w:val="right"/>
              <w:rPr>
                <w:rFonts w:ascii="宋体" w:hAnsi="宋体" w:eastAsia="宋体" w:cs="宋体"/>
                <w:sz w:val="18"/>
                <w:szCs w:val="18"/>
              </w:rPr>
            </w:pPr>
            <w:r>
              <w:rPr>
                <w:rFonts w:ascii="宋体" w:hAnsi="宋体" w:eastAsia="宋体" w:cs="宋体"/>
                <w:sz w:val="18"/>
                <w:szCs w:val="18"/>
              </w:rPr>
              <w:t>80,177,607.81</w:t>
            </w:r>
          </w:p>
        </w:tc>
        <w:tc>
          <w:tcPr>
            <w:tcW w:w="1377" w:type="dxa"/>
            <w:tcBorders>
              <w:top w:val="single" w:color="auto" w:sz="2" w:space="0"/>
              <w:left w:val="single" w:color="auto" w:sz="2" w:space="0"/>
              <w:bottom w:val="single" w:color="auto" w:sz="2" w:space="0"/>
              <w:right w:val="single" w:color="auto" w:sz="2" w:space="0"/>
            </w:tcBorders>
            <w:vAlign w:val="center"/>
          </w:tcPr>
          <w:p w14:paraId="2E3B46F8">
            <w:pPr>
              <w:spacing w:before="0" w:after="0" w:line="240" w:lineRule="exact"/>
              <w:jc w:val="right"/>
              <w:rPr>
                <w:rFonts w:ascii="宋体" w:hAnsi="宋体" w:eastAsia="宋体" w:cs="宋体"/>
                <w:sz w:val="18"/>
                <w:szCs w:val="18"/>
              </w:rPr>
            </w:pPr>
            <w:r>
              <w:rPr>
                <w:rFonts w:ascii="宋体" w:hAnsi="宋体" w:eastAsia="宋体" w:cs="宋体"/>
                <w:sz w:val="18"/>
                <w:szCs w:val="18"/>
              </w:rPr>
              <w:t>108,812,855.05</w:t>
            </w:r>
          </w:p>
        </w:tc>
        <w:tc>
          <w:tcPr>
            <w:tcW w:w="1377" w:type="dxa"/>
            <w:tcBorders>
              <w:top w:val="single" w:color="auto" w:sz="2" w:space="0"/>
              <w:left w:val="single" w:color="auto" w:sz="2" w:space="0"/>
              <w:bottom w:val="single" w:color="auto" w:sz="2" w:space="0"/>
              <w:right w:val="single" w:color="auto" w:sz="2" w:space="0"/>
            </w:tcBorders>
            <w:vAlign w:val="center"/>
          </w:tcPr>
          <w:p w14:paraId="08E71E83">
            <w:pPr>
              <w:spacing w:before="0" w:after="0"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14:paraId="4BEFB772">
            <w:pPr>
              <w:spacing w:before="0" w:after="0" w:line="240" w:lineRule="exact"/>
              <w:jc w:val="right"/>
              <w:rPr>
                <w:rFonts w:ascii="宋体" w:hAnsi="宋体" w:eastAsia="宋体" w:cs="宋体"/>
                <w:sz w:val="18"/>
                <w:szCs w:val="18"/>
              </w:rPr>
            </w:pPr>
            <w:r>
              <w:rPr>
                <w:rFonts w:ascii="宋体" w:hAnsi="宋体" w:eastAsia="宋体" w:cs="宋体"/>
                <w:sz w:val="18"/>
                <w:szCs w:val="18"/>
              </w:rPr>
              <w:t>108,812,855.05</w:t>
            </w:r>
          </w:p>
        </w:tc>
      </w:tr>
      <w:tr w14:paraId="033183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75893EB">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14:paraId="0EAD48B3">
            <w:pPr>
              <w:spacing w:before="0" w:after="0" w:line="240" w:lineRule="exact"/>
              <w:jc w:val="right"/>
              <w:rPr>
                <w:rFonts w:ascii="宋体" w:hAnsi="宋体" w:eastAsia="宋体" w:cs="宋体"/>
                <w:sz w:val="18"/>
                <w:szCs w:val="18"/>
              </w:rPr>
            </w:pPr>
            <w:r>
              <w:rPr>
                <w:rFonts w:ascii="宋体" w:hAnsi="宋体" w:eastAsia="宋体" w:cs="宋体"/>
                <w:sz w:val="18"/>
                <w:szCs w:val="18"/>
              </w:rPr>
              <w:t>734,715,107.81</w:t>
            </w:r>
          </w:p>
        </w:tc>
        <w:tc>
          <w:tcPr>
            <w:tcW w:w="1377" w:type="dxa"/>
            <w:tcBorders>
              <w:top w:val="single" w:color="auto" w:sz="2" w:space="0"/>
              <w:left w:val="single" w:color="auto" w:sz="2" w:space="0"/>
              <w:bottom w:val="single" w:color="auto" w:sz="2" w:space="0"/>
              <w:right w:val="single" w:color="auto" w:sz="2" w:space="0"/>
            </w:tcBorders>
            <w:vAlign w:val="center"/>
          </w:tcPr>
          <w:p w14:paraId="599B31E7">
            <w:pPr>
              <w:spacing w:before="0" w:after="0" w:line="240" w:lineRule="exact"/>
              <w:jc w:val="right"/>
              <w:rPr>
                <w:rFonts w:ascii="宋体" w:hAnsi="宋体" w:eastAsia="宋体" w:cs="宋体"/>
                <w:sz w:val="18"/>
                <w:szCs w:val="18"/>
              </w:rPr>
            </w:pPr>
            <w:r>
              <w:rPr>
                <w:rFonts w:ascii="宋体" w:hAnsi="宋体" w:eastAsia="宋体" w:cs="宋体"/>
                <w:sz w:val="18"/>
                <w:szCs w:val="18"/>
              </w:rPr>
              <w:t>17,414,664.40</w:t>
            </w:r>
          </w:p>
        </w:tc>
        <w:tc>
          <w:tcPr>
            <w:tcW w:w="1377" w:type="dxa"/>
            <w:tcBorders>
              <w:top w:val="single" w:color="auto" w:sz="2" w:space="0"/>
              <w:left w:val="single" w:color="auto" w:sz="2" w:space="0"/>
              <w:bottom w:val="single" w:color="auto" w:sz="2" w:space="0"/>
              <w:right w:val="single" w:color="auto" w:sz="2" w:space="0"/>
            </w:tcBorders>
            <w:vAlign w:val="center"/>
          </w:tcPr>
          <w:p w14:paraId="0864EF17">
            <w:pPr>
              <w:spacing w:before="0" w:after="0" w:line="240" w:lineRule="exact"/>
              <w:jc w:val="right"/>
              <w:rPr>
                <w:rFonts w:ascii="宋体" w:hAnsi="宋体" w:eastAsia="宋体" w:cs="宋体"/>
                <w:sz w:val="18"/>
                <w:szCs w:val="18"/>
              </w:rPr>
            </w:pPr>
            <w:r>
              <w:rPr>
                <w:rFonts w:ascii="宋体" w:hAnsi="宋体" w:eastAsia="宋体" w:cs="宋体"/>
                <w:sz w:val="18"/>
                <w:szCs w:val="18"/>
              </w:rPr>
              <w:t>717,300,443.41</w:t>
            </w:r>
          </w:p>
        </w:tc>
        <w:tc>
          <w:tcPr>
            <w:tcW w:w="1377" w:type="dxa"/>
            <w:tcBorders>
              <w:top w:val="single" w:color="auto" w:sz="2" w:space="0"/>
              <w:left w:val="single" w:color="auto" w:sz="2" w:space="0"/>
              <w:bottom w:val="single" w:color="auto" w:sz="2" w:space="0"/>
              <w:right w:val="single" w:color="auto" w:sz="2" w:space="0"/>
            </w:tcBorders>
            <w:vAlign w:val="center"/>
          </w:tcPr>
          <w:p w14:paraId="2770765C">
            <w:pPr>
              <w:spacing w:before="0" w:after="0" w:line="240" w:lineRule="exact"/>
              <w:jc w:val="right"/>
              <w:rPr>
                <w:rFonts w:ascii="宋体" w:hAnsi="宋体" w:eastAsia="宋体" w:cs="宋体"/>
                <w:sz w:val="18"/>
                <w:szCs w:val="18"/>
              </w:rPr>
            </w:pPr>
            <w:r>
              <w:rPr>
                <w:rFonts w:ascii="宋体" w:hAnsi="宋体" w:eastAsia="宋体" w:cs="宋体"/>
                <w:sz w:val="18"/>
                <w:szCs w:val="18"/>
              </w:rPr>
              <w:t>796,350,355.05</w:t>
            </w:r>
          </w:p>
        </w:tc>
        <w:tc>
          <w:tcPr>
            <w:tcW w:w="1377" w:type="dxa"/>
            <w:tcBorders>
              <w:top w:val="single" w:color="auto" w:sz="2" w:space="0"/>
              <w:left w:val="single" w:color="auto" w:sz="2" w:space="0"/>
              <w:bottom w:val="single" w:color="auto" w:sz="2" w:space="0"/>
              <w:right w:val="single" w:color="auto" w:sz="2" w:space="0"/>
            </w:tcBorders>
            <w:vAlign w:val="center"/>
          </w:tcPr>
          <w:p w14:paraId="289ABCAA">
            <w:pPr>
              <w:spacing w:before="0" w:after="0" w:line="240" w:lineRule="exact"/>
              <w:jc w:val="right"/>
              <w:rPr>
                <w:rFonts w:ascii="宋体" w:hAnsi="宋体" w:eastAsia="宋体" w:cs="宋体"/>
                <w:sz w:val="18"/>
                <w:szCs w:val="18"/>
              </w:rPr>
            </w:pPr>
            <w:r>
              <w:rPr>
                <w:rFonts w:ascii="宋体" w:hAnsi="宋体" w:eastAsia="宋体" w:cs="宋体"/>
                <w:sz w:val="18"/>
                <w:szCs w:val="18"/>
              </w:rPr>
              <w:t>17,267,581.56</w:t>
            </w:r>
          </w:p>
        </w:tc>
        <w:tc>
          <w:tcPr>
            <w:tcW w:w="1377" w:type="dxa"/>
            <w:tcBorders>
              <w:top w:val="single" w:color="auto" w:sz="2" w:space="0"/>
              <w:left w:val="single" w:color="auto" w:sz="2" w:space="0"/>
              <w:bottom w:val="single" w:color="auto" w:sz="2" w:space="0"/>
              <w:right w:val="single" w:color="auto" w:sz="2" w:space="0"/>
            </w:tcBorders>
            <w:vAlign w:val="center"/>
          </w:tcPr>
          <w:p w14:paraId="366B8542">
            <w:pPr>
              <w:spacing w:before="0" w:after="0" w:line="240" w:lineRule="exact"/>
              <w:jc w:val="right"/>
              <w:rPr>
                <w:rFonts w:ascii="宋体" w:hAnsi="宋体" w:eastAsia="宋体" w:cs="宋体"/>
                <w:sz w:val="18"/>
                <w:szCs w:val="18"/>
              </w:rPr>
            </w:pPr>
            <w:r>
              <w:rPr>
                <w:rFonts w:ascii="宋体" w:hAnsi="宋体" w:eastAsia="宋体" w:cs="宋体"/>
                <w:sz w:val="18"/>
                <w:szCs w:val="18"/>
              </w:rPr>
              <w:t>779,082,773.49</w:t>
            </w:r>
          </w:p>
        </w:tc>
      </w:tr>
    </w:tbl>
    <w:p w14:paraId="50AE5B65">
      <w:pPr>
        <w:keepNext/>
        <w:keepLines/>
        <w:spacing w:before="300" w:after="300" w:line="280" w:lineRule="exact"/>
        <w:jc w:val="left"/>
        <w:outlineLvl w:val="3"/>
        <w:rPr>
          <w:rFonts w:ascii="宋体" w:hAnsi="宋体" w:eastAsia="宋体" w:cs="宋体"/>
          <w:b/>
          <w:bCs/>
          <w:sz w:val="21"/>
          <w:szCs w:val="21"/>
        </w:rPr>
      </w:pPr>
      <w:bookmarkStart w:id="607" w:name="_Toc989490"/>
      <w:r>
        <w:rPr>
          <w:rFonts w:ascii="宋体" w:hAnsi="宋体" w:eastAsia="宋体" w:cs="宋体"/>
          <w:b/>
          <w:bCs/>
          <w:sz w:val="21"/>
          <w:szCs w:val="21"/>
        </w:rPr>
        <w:t>（1） 对子公司投资</w:t>
      </w:r>
      <w:bookmarkEnd w:id="607"/>
    </w:p>
    <w:p w14:paraId="1A375FEF">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428700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179B0A1">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被投资单位</w:t>
            </w:r>
          </w:p>
        </w:tc>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FD61449">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期初余额（账面价值）</w:t>
            </w:r>
          </w:p>
        </w:tc>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9816799">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减值准备期初余额</w:t>
            </w:r>
          </w:p>
        </w:tc>
        <w:tc>
          <w:tcPr>
            <w:tcW w:w="4284"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0A2302E4">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本期增减变动</w:t>
            </w:r>
          </w:p>
        </w:tc>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D8E9759">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期末余额（账面价值）</w:t>
            </w:r>
          </w:p>
        </w:tc>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3FD84B7">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减值准备期末余额</w:t>
            </w:r>
          </w:p>
        </w:tc>
      </w:tr>
      <w:tr w14:paraId="14B1F4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DA5B345"/>
        </w:tc>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50D42659"/>
        </w:tc>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60163F7"/>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36A7DC7">
            <w:pPr>
              <w:spacing w:before="40" w:after="40" w:line="240" w:lineRule="exact"/>
              <w:jc w:val="center"/>
              <w:rPr>
                <w:rFonts w:ascii="宋体" w:hAnsi="宋体" w:eastAsia="宋体" w:cs="宋体"/>
                <w:sz w:val="18"/>
                <w:szCs w:val="18"/>
              </w:rPr>
            </w:pPr>
            <w:r>
              <w:rPr>
                <w:rFonts w:ascii="宋体" w:hAnsi="宋体" w:eastAsia="宋体" w:cs="宋体"/>
                <w:sz w:val="18"/>
                <w:szCs w:val="18"/>
              </w:rPr>
              <w:t>追加投资</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AB8B92D">
            <w:pPr>
              <w:spacing w:before="40" w:after="40" w:line="240" w:lineRule="exact"/>
              <w:jc w:val="center"/>
              <w:rPr>
                <w:rFonts w:ascii="宋体" w:hAnsi="宋体" w:eastAsia="宋体" w:cs="宋体"/>
                <w:sz w:val="18"/>
                <w:szCs w:val="18"/>
              </w:rPr>
            </w:pPr>
            <w:r>
              <w:rPr>
                <w:rFonts w:ascii="宋体" w:hAnsi="宋体" w:eastAsia="宋体" w:cs="宋体"/>
                <w:sz w:val="18"/>
                <w:szCs w:val="18"/>
              </w:rPr>
              <w:t>减少投资</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813646A">
            <w:pPr>
              <w:spacing w:before="40" w:after="40" w:line="240" w:lineRule="exact"/>
              <w:jc w:val="center"/>
              <w:rPr>
                <w:rFonts w:ascii="宋体" w:hAnsi="宋体" w:eastAsia="宋体" w:cs="宋体"/>
                <w:sz w:val="18"/>
                <w:szCs w:val="18"/>
              </w:rPr>
            </w:pPr>
            <w:r>
              <w:rPr>
                <w:rFonts w:ascii="宋体" w:hAnsi="宋体" w:eastAsia="宋体" w:cs="宋体"/>
                <w:sz w:val="18"/>
                <w:szCs w:val="18"/>
              </w:rPr>
              <w:t>计提减值准备</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BF970BB">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976C256"/>
        </w:tc>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B4169A2"/>
        </w:tc>
      </w:tr>
      <w:tr w14:paraId="601D0A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078FB3BC">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福建广生堂医药销售有限公司</w:t>
            </w:r>
          </w:p>
        </w:tc>
        <w:tc>
          <w:tcPr>
            <w:tcW w:w="1071" w:type="dxa"/>
            <w:tcBorders>
              <w:top w:val="single" w:color="auto" w:sz="2" w:space="0"/>
              <w:left w:val="single" w:color="auto" w:sz="2" w:space="0"/>
              <w:bottom w:val="single" w:color="auto" w:sz="2" w:space="0"/>
              <w:right w:val="single" w:color="auto" w:sz="2" w:space="0"/>
            </w:tcBorders>
            <w:vAlign w:val="center"/>
          </w:tcPr>
          <w:p w14:paraId="6394280C">
            <w:pPr>
              <w:spacing w:before="0" w:after="0" w:line="240" w:lineRule="exact"/>
              <w:jc w:val="right"/>
              <w:rPr>
                <w:rFonts w:ascii="宋体" w:hAnsi="宋体" w:eastAsia="宋体" w:cs="宋体"/>
                <w:sz w:val="18"/>
                <w:szCs w:val="18"/>
              </w:rPr>
            </w:pPr>
            <w:r>
              <w:rPr>
                <w:rFonts w:ascii="宋体" w:hAnsi="宋体" w:eastAsia="宋体" w:cs="宋体"/>
                <w:sz w:val="18"/>
                <w:szCs w:val="18"/>
              </w:rPr>
              <w:t>4,270,467.24</w:t>
            </w:r>
          </w:p>
        </w:tc>
        <w:tc>
          <w:tcPr>
            <w:tcW w:w="1071" w:type="dxa"/>
            <w:tcBorders>
              <w:top w:val="single" w:color="auto" w:sz="2" w:space="0"/>
              <w:left w:val="single" w:color="auto" w:sz="2" w:space="0"/>
              <w:bottom w:val="single" w:color="auto" w:sz="2" w:space="0"/>
              <w:right w:val="single" w:color="auto" w:sz="2" w:space="0"/>
            </w:tcBorders>
            <w:vAlign w:val="center"/>
          </w:tcPr>
          <w:p w14:paraId="6A905B3A">
            <w:pPr>
              <w:spacing w:before="0" w:after="0" w:line="240" w:lineRule="exact"/>
              <w:jc w:val="right"/>
              <w:rPr>
                <w:rFonts w:ascii="宋体" w:hAnsi="宋体" w:eastAsia="宋体" w:cs="宋体"/>
                <w:sz w:val="18"/>
                <w:szCs w:val="18"/>
              </w:rPr>
            </w:pPr>
            <w:r>
              <w:rPr>
                <w:rFonts w:ascii="宋体" w:hAnsi="宋体" w:eastAsia="宋体" w:cs="宋体"/>
                <w:sz w:val="18"/>
                <w:szCs w:val="18"/>
              </w:rPr>
              <w:t>10,729,532.76</w:t>
            </w:r>
          </w:p>
        </w:tc>
        <w:tc>
          <w:tcPr>
            <w:tcW w:w="1071" w:type="dxa"/>
            <w:tcBorders>
              <w:top w:val="single" w:color="auto" w:sz="2" w:space="0"/>
              <w:left w:val="single" w:color="auto" w:sz="2" w:space="0"/>
              <w:bottom w:val="single" w:color="auto" w:sz="2" w:space="0"/>
              <w:right w:val="single" w:color="auto" w:sz="2" w:space="0"/>
            </w:tcBorders>
            <w:vAlign w:val="center"/>
          </w:tcPr>
          <w:p w14:paraId="1C6B88A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01394E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C8D11ED">
            <w:pPr>
              <w:spacing w:before="0" w:after="0" w:line="240" w:lineRule="exact"/>
              <w:jc w:val="right"/>
              <w:rPr>
                <w:rFonts w:ascii="宋体" w:hAnsi="宋体" w:eastAsia="宋体" w:cs="宋体"/>
                <w:sz w:val="18"/>
                <w:szCs w:val="18"/>
              </w:rPr>
            </w:pPr>
            <w:r>
              <w:rPr>
                <w:rFonts w:ascii="宋体" w:hAnsi="宋体" w:eastAsia="宋体" w:cs="宋体"/>
                <w:sz w:val="18"/>
                <w:szCs w:val="18"/>
              </w:rPr>
              <w:t>147,082.84</w:t>
            </w:r>
          </w:p>
        </w:tc>
        <w:tc>
          <w:tcPr>
            <w:tcW w:w="1071" w:type="dxa"/>
            <w:tcBorders>
              <w:top w:val="single" w:color="auto" w:sz="2" w:space="0"/>
              <w:left w:val="single" w:color="auto" w:sz="2" w:space="0"/>
              <w:bottom w:val="single" w:color="auto" w:sz="2" w:space="0"/>
              <w:right w:val="single" w:color="auto" w:sz="2" w:space="0"/>
            </w:tcBorders>
            <w:vAlign w:val="center"/>
          </w:tcPr>
          <w:p w14:paraId="643E3B7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0003BC8">
            <w:pPr>
              <w:spacing w:before="0" w:after="0" w:line="240" w:lineRule="exact"/>
              <w:jc w:val="right"/>
              <w:rPr>
                <w:rFonts w:ascii="宋体" w:hAnsi="宋体" w:eastAsia="宋体" w:cs="宋体"/>
                <w:sz w:val="18"/>
                <w:szCs w:val="18"/>
              </w:rPr>
            </w:pPr>
            <w:r>
              <w:rPr>
                <w:rFonts w:ascii="宋体" w:hAnsi="宋体" w:eastAsia="宋体" w:cs="宋体"/>
                <w:sz w:val="18"/>
                <w:szCs w:val="18"/>
              </w:rPr>
              <w:t>4,123,384.40</w:t>
            </w:r>
          </w:p>
        </w:tc>
        <w:tc>
          <w:tcPr>
            <w:tcW w:w="1071" w:type="dxa"/>
            <w:tcBorders>
              <w:top w:val="single" w:color="auto" w:sz="2" w:space="0"/>
              <w:left w:val="single" w:color="auto" w:sz="2" w:space="0"/>
              <w:bottom w:val="single" w:color="auto" w:sz="2" w:space="0"/>
              <w:right w:val="single" w:color="auto" w:sz="2" w:space="0"/>
            </w:tcBorders>
            <w:vAlign w:val="center"/>
          </w:tcPr>
          <w:p w14:paraId="46E24D55">
            <w:pPr>
              <w:spacing w:before="0" w:after="0" w:line="240" w:lineRule="exact"/>
              <w:jc w:val="right"/>
              <w:rPr>
                <w:rFonts w:ascii="宋体" w:hAnsi="宋体" w:eastAsia="宋体" w:cs="宋体"/>
                <w:sz w:val="18"/>
                <w:szCs w:val="18"/>
              </w:rPr>
            </w:pPr>
            <w:r>
              <w:rPr>
                <w:rFonts w:ascii="宋体" w:hAnsi="宋体" w:eastAsia="宋体" w:cs="宋体"/>
                <w:sz w:val="18"/>
                <w:szCs w:val="18"/>
              </w:rPr>
              <w:t>10,876,615.60</w:t>
            </w:r>
          </w:p>
        </w:tc>
      </w:tr>
      <w:tr w14:paraId="7CA344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1E77A2C3">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福建广生医院有限公司</w:t>
            </w:r>
          </w:p>
        </w:tc>
        <w:tc>
          <w:tcPr>
            <w:tcW w:w="1071" w:type="dxa"/>
            <w:tcBorders>
              <w:top w:val="single" w:color="auto" w:sz="2" w:space="0"/>
              <w:left w:val="single" w:color="auto" w:sz="2" w:space="0"/>
              <w:bottom w:val="single" w:color="auto" w:sz="2" w:space="0"/>
              <w:right w:val="single" w:color="auto" w:sz="2" w:space="0"/>
            </w:tcBorders>
            <w:vAlign w:val="center"/>
          </w:tcPr>
          <w:p w14:paraId="346F5C4B">
            <w:pPr>
              <w:spacing w:before="0" w:after="0" w:line="240" w:lineRule="exact"/>
              <w:jc w:val="right"/>
              <w:rPr>
                <w:rFonts w:ascii="宋体" w:hAnsi="宋体" w:eastAsia="宋体" w:cs="宋体"/>
                <w:sz w:val="18"/>
                <w:szCs w:val="18"/>
              </w:rPr>
            </w:pPr>
            <w:r>
              <w:rPr>
                <w:rFonts w:ascii="宋体" w:hAnsi="宋体" w:eastAsia="宋体" w:cs="宋体"/>
                <w:sz w:val="18"/>
                <w:szCs w:val="18"/>
              </w:rPr>
              <w:t>37,961,951.20</w:t>
            </w:r>
          </w:p>
        </w:tc>
        <w:tc>
          <w:tcPr>
            <w:tcW w:w="1071" w:type="dxa"/>
            <w:tcBorders>
              <w:top w:val="single" w:color="auto" w:sz="2" w:space="0"/>
              <w:left w:val="single" w:color="auto" w:sz="2" w:space="0"/>
              <w:bottom w:val="single" w:color="auto" w:sz="2" w:space="0"/>
              <w:right w:val="single" w:color="auto" w:sz="2" w:space="0"/>
            </w:tcBorders>
            <w:vAlign w:val="center"/>
          </w:tcPr>
          <w:p w14:paraId="0293E58D">
            <w:pPr>
              <w:spacing w:before="0" w:after="0" w:line="240" w:lineRule="exact"/>
              <w:jc w:val="right"/>
              <w:rPr>
                <w:rFonts w:ascii="宋体" w:hAnsi="宋体" w:eastAsia="宋体" w:cs="宋体"/>
                <w:sz w:val="18"/>
                <w:szCs w:val="18"/>
              </w:rPr>
            </w:pPr>
            <w:r>
              <w:rPr>
                <w:rFonts w:ascii="宋体" w:hAnsi="宋体" w:eastAsia="宋体" w:cs="宋体"/>
                <w:sz w:val="18"/>
                <w:szCs w:val="18"/>
              </w:rPr>
              <w:t>6,538,048.80</w:t>
            </w:r>
          </w:p>
        </w:tc>
        <w:tc>
          <w:tcPr>
            <w:tcW w:w="1071" w:type="dxa"/>
            <w:tcBorders>
              <w:top w:val="single" w:color="auto" w:sz="2" w:space="0"/>
              <w:left w:val="single" w:color="auto" w:sz="2" w:space="0"/>
              <w:bottom w:val="single" w:color="auto" w:sz="2" w:space="0"/>
              <w:right w:val="single" w:color="auto" w:sz="2" w:space="0"/>
            </w:tcBorders>
            <w:vAlign w:val="center"/>
          </w:tcPr>
          <w:p w14:paraId="7CDFDC3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863F3CC">
            <w:pPr>
              <w:spacing w:before="0" w:after="0" w:line="240" w:lineRule="exact"/>
              <w:jc w:val="right"/>
              <w:rPr>
                <w:rFonts w:ascii="宋体" w:hAnsi="宋体" w:eastAsia="宋体" w:cs="宋体"/>
                <w:sz w:val="18"/>
                <w:szCs w:val="18"/>
              </w:rPr>
            </w:pPr>
            <w:r>
              <w:rPr>
                <w:rFonts w:ascii="宋体" w:hAnsi="宋体" w:eastAsia="宋体" w:cs="宋体"/>
                <w:sz w:val="18"/>
                <w:szCs w:val="18"/>
              </w:rPr>
              <w:t>34,000,000.00</w:t>
            </w:r>
          </w:p>
        </w:tc>
        <w:tc>
          <w:tcPr>
            <w:tcW w:w="1071" w:type="dxa"/>
            <w:tcBorders>
              <w:top w:val="single" w:color="auto" w:sz="2" w:space="0"/>
              <w:left w:val="single" w:color="auto" w:sz="2" w:space="0"/>
              <w:bottom w:val="single" w:color="auto" w:sz="2" w:space="0"/>
              <w:right w:val="single" w:color="auto" w:sz="2" w:space="0"/>
            </w:tcBorders>
            <w:vAlign w:val="center"/>
          </w:tcPr>
          <w:p w14:paraId="51ECBA1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33BC37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FECC168">
            <w:pPr>
              <w:spacing w:before="0" w:after="0" w:line="240" w:lineRule="exact"/>
              <w:jc w:val="right"/>
              <w:rPr>
                <w:rFonts w:ascii="宋体" w:hAnsi="宋体" w:eastAsia="宋体" w:cs="宋体"/>
                <w:sz w:val="18"/>
                <w:szCs w:val="18"/>
              </w:rPr>
            </w:pPr>
            <w:r>
              <w:rPr>
                <w:rFonts w:ascii="宋体" w:hAnsi="宋体" w:eastAsia="宋体" w:cs="宋体"/>
                <w:sz w:val="18"/>
                <w:szCs w:val="18"/>
              </w:rPr>
              <w:t>3,961,951.20</w:t>
            </w:r>
          </w:p>
        </w:tc>
        <w:tc>
          <w:tcPr>
            <w:tcW w:w="1071" w:type="dxa"/>
            <w:tcBorders>
              <w:top w:val="single" w:color="auto" w:sz="2" w:space="0"/>
              <w:left w:val="single" w:color="auto" w:sz="2" w:space="0"/>
              <w:bottom w:val="single" w:color="auto" w:sz="2" w:space="0"/>
              <w:right w:val="single" w:color="auto" w:sz="2" w:space="0"/>
            </w:tcBorders>
            <w:vAlign w:val="center"/>
          </w:tcPr>
          <w:p w14:paraId="463D6015">
            <w:pPr>
              <w:spacing w:before="0" w:after="0" w:line="240" w:lineRule="exact"/>
              <w:jc w:val="right"/>
              <w:rPr>
                <w:rFonts w:ascii="宋体" w:hAnsi="宋体" w:eastAsia="宋体" w:cs="宋体"/>
                <w:sz w:val="18"/>
                <w:szCs w:val="18"/>
              </w:rPr>
            </w:pPr>
            <w:r>
              <w:rPr>
                <w:rFonts w:ascii="宋体" w:hAnsi="宋体" w:eastAsia="宋体" w:cs="宋体"/>
                <w:sz w:val="18"/>
                <w:szCs w:val="18"/>
              </w:rPr>
              <w:t>6,538,048.80</w:t>
            </w:r>
          </w:p>
        </w:tc>
      </w:tr>
      <w:tr w14:paraId="1B42F4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003BD01E">
            <w:pPr>
              <w:spacing w:before="0" w:after="0" w:line="240" w:lineRule="exact"/>
              <w:jc w:val="left"/>
              <w:rPr>
                <w:rFonts w:ascii="宋体" w:hAnsi="宋体" w:eastAsia="宋体" w:cs="宋体"/>
                <w:sz w:val="18"/>
                <w:szCs w:val="18"/>
              </w:rPr>
            </w:pPr>
            <w:r>
              <w:rPr>
                <w:rFonts w:ascii="宋体" w:hAnsi="宋体" w:eastAsia="宋体" w:cs="宋体"/>
                <w:sz w:val="18"/>
                <w:szCs w:val="18"/>
              </w:rPr>
              <w:t>福建广生堂金塘药业有限公司</w:t>
            </w:r>
          </w:p>
        </w:tc>
        <w:tc>
          <w:tcPr>
            <w:tcW w:w="1071" w:type="dxa"/>
            <w:tcBorders>
              <w:top w:val="single" w:color="auto" w:sz="2" w:space="0"/>
              <w:left w:val="single" w:color="auto" w:sz="2" w:space="0"/>
              <w:bottom w:val="single" w:color="auto" w:sz="2" w:space="0"/>
              <w:right w:val="single" w:color="auto" w:sz="2" w:space="0"/>
            </w:tcBorders>
            <w:vAlign w:val="center"/>
          </w:tcPr>
          <w:p w14:paraId="28716AA7">
            <w:pPr>
              <w:spacing w:before="0" w:after="0" w:line="240" w:lineRule="exact"/>
              <w:jc w:val="right"/>
              <w:rPr>
                <w:rFonts w:ascii="宋体" w:hAnsi="宋体" w:eastAsia="宋体" w:cs="宋体"/>
                <w:sz w:val="18"/>
                <w:szCs w:val="18"/>
              </w:rPr>
            </w:pPr>
            <w:r>
              <w:rPr>
                <w:rFonts w:ascii="宋体" w:hAnsi="宋体" w:eastAsia="宋体" w:cs="宋体"/>
                <w:sz w:val="18"/>
                <w:szCs w:val="18"/>
              </w:rPr>
              <w:t>150,000,000.00</w:t>
            </w:r>
          </w:p>
        </w:tc>
        <w:tc>
          <w:tcPr>
            <w:tcW w:w="1071" w:type="dxa"/>
            <w:tcBorders>
              <w:top w:val="single" w:color="auto" w:sz="2" w:space="0"/>
              <w:left w:val="single" w:color="auto" w:sz="2" w:space="0"/>
              <w:bottom w:val="single" w:color="auto" w:sz="2" w:space="0"/>
              <w:right w:val="single" w:color="auto" w:sz="2" w:space="0"/>
            </w:tcBorders>
            <w:vAlign w:val="center"/>
          </w:tcPr>
          <w:p w14:paraId="078BF3C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4A97133">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5960D3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67D80A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FCD328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3B0ED06">
            <w:pPr>
              <w:spacing w:before="0" w:after="0" w:line="240" w:lineRule="exact"/>
              <w:jc w:val="right"/>
              <w:rPr>
                <w:rFonts w:ascii="宋体" w:hAnsi="宋体" w:eastAsia="宋体" w:cs="宋体"/>
                <w:sz w:val="18"/>
                <w:szCs w:val="18"/>
              </w:rPr>
            </w:pPr>
            <w:r>
              <w:rPr>
                <w:rFonts w:ascii="宋体" w:hAnsi="宋体" w:eastAsia="宋体" w:cs="宋体"/>
                <w:sz w:val="18"/>
                <w:szCs w:val="18"/>
              </w:rPr>
              <w:t>150,000,000.00</w:t>
            </w:r>
          </w:p>
        </w:tc>
        <w:tc>
          <w:tcPr>
            <w:tcW w:w="1071" w:type="dxa"/>
            <w:tcBorders>
              <w:top w:val="single" w:color="auto" w:sz="2" w:space="0"/>
              <w:left w:val="single" w:color="auto" w:sz="2" w:space="0"/>
              <w:bottom w:val="single" w:color="auto" w:sz="2" w:space="0"/>
              <w:right w:val="single" w:color="auto" w:sz="2" w:space="0"/>
            </w:tcBorders>
            <w:vAlign w:val="center"/>
          </w:tcPr>
          <w:p w14:paraId="52FB19AA">
            <w:pPr>
              <w:spacing w:before="0" w:after="0" w:line="240" w:lineRule="exact"/>
              <w:jc w:val="right"/>
              <w:rPr>
                <w:rFonts w:ascii="宋体" w:hAnsi="宋体" w:eastAsia="宋体" w:cs="宋体"/>
                <w:sz w:val="18"/>
                <w:szCs w:val="18"/>
              </w:rPr>
            </w:pPr>
          </w:p>
        </w:tc>
      </w:tr>
      <w:tr w14:paraId="73785E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7E02BC48">
            <w:pPr>
              <w:spacing w:before="0" w:after="0" w:line="240" w:lineRule="exact"/>
              <w:jc w:val="left"/>
              <w:rPr>
                <w:rFonts w:ascii="宋体" w:hAnsi="宋体" w:eastAsia="宋体" w:cs="宋体"/>
                <w:sz w:val="18"/>
                <w:szCs w:val="18"/>
              </w:rPr>
            </w:pPr>
            <w:r>
              <w:rPr>
                <w:rFonts w:ascii="宋体" w:hAnsi="宋体" w:eastAsia="宋体" w:cs="宋体"/>
                <w:sz w:val="18"/>
                <w:szCs w:val="18"/>
              </w:rPr>
              <w:t>江苏中兴药业有限公司</w:t>
            </w:r>
          </w:p>
        </w:tc>
        <w:tc>
          <w:tcPr>
            <w:tcW w:w="1071" w:type="dxa"/>
            <w:tcBorders>
              <w:top w:val="single" w:color="auto" w:sz="2" w:space="0"/>
              <w:left w:val="single" w:color="auto" w:sz="2" w:space="0"/>
              <w:bottom w:val="single" w:color="auto" w:sz="2" w:space="0"/>
              <w:right w:val="single" w:color="auto" w:sz="2" w:space="0"/>
            </w:tcBorders>
            <w:vAlign w:val="center"/>
          </w:tcPr>
          <w:p w14:paraId="03127D84">
            <w:pPr>
              <w:spacing w:before="0" w:after="0" w:line="240" w:lineRule="exact"/>
              <w:jc w:val="right"/>
              <w:rPr>
                <w:rFonts w:ascii="宋体" w:hAnsi="宋体" w:eastAsia="宋体" w:cs="宋体"/>
                <w:sz w:val="18"/>
                <w:szCs w:val="18"/>
              </w:rPr>
            </w:pPr>
            <w:r>
              <w:rPr>
                <w:rFonts w:ascii="宋体" w:hAnsi="宋体" w:eastAsia="宋体" w:cs="宋体"/>
                <w:sz w:val="18"/>
                <w:szCs w:val="18"/>
              </w:rPr>
              <w:t>148,037,500.00</w:t>
            </w:r>
          </w:p>
        </w:tc>
        <w:tc>
          <w:tcPr>
            <w:tcW w:w="1071" w:type="dxa"/>
            <w:tcBorders>
              <w:top w:val="single" w:color="auto" w:sz="2" w:space="0"/>
              <w:left w:val="single" w:color="auto" w:sz="2" w:space="0"/>
              <w:bottom w:val="single" w:color="auto" w:sz="2" w:space="0"/>
              <w:right w:val="single" w:color="auto" w:sz="2" w:space="0"/>
            </w:tcBorders>
            <w:vAlign w:val="center"/>
          </w:tcPr>
          <w:p w14:paraId="013C017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F4B1D8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3DF78B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B4DA01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8FECCB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132D5AA">
            <w:pPr>
              <w:spacing w:before="0" w:after="0" w:line="240" w:lineRule="exact"/>
              <w:jc w:val="right"/>
              <w:rPr>
                <w:rFonts w:ascii="宋体" w:hAnsi="宋体" w:eastAsia="宋体" w:cs="宋体"/>
                <w:sz w:val="18"/>
                <w:szCs w:val="18"/>
              </w:rPr>
            </w:pPr>
            <w:r>
              <w:rPr>
                <w:rFonts w:ascii="宋体" w:hAnsi="宋体" w:eastAsia="宋体" w:cs="宋体"/>
                <w:sz w:val="18"/>
                <w:szCs w:val="18"/>
              </w:rPr>
              <w:t>148,037,500.00</w:t>
            </w:r>
          </w:p>
        </w:tc>
        <w:tc>
          <w:tcPr>
            <w:tcW w:w="1071" w:type="dxa"/>
            <w:tcBorders>
              <w:top w:val="single" w:color="auto" w:sz="2" w:space="0"/>
              <w:left w:val="single" w:color="auto" w:sz="2" w:space="0"/>
              <w:bottom w:val="single" w:color="auto" w:sz="2" w:space="0"/>
              <w:right w:val="single" w:color="auto" w:sz="2" w:space="0"/>
            </w:tcBorders>
            <w:vAlign w:val="center"/>
          </w:tcPr>
          <w:p w14:paraId="7012D5A2">
            <w:pPr>
              <w:spacing w:before="0" w:after="0" w:line="240" w:lineRule="exact"/>
              <w:jc w:val="right"/>
              <w:rPr>
                <w:rFonts w:ascii="宋体" w:hAnsi="宋体" w:eastAsia="宋体" w:cs="宋体"/>
                <w:sz w:val="18"/>
                <w:szCs w:val="18"/>
              </w:rPr>
            </w:pPr>
          </w:p>
        </w:tc>
      </w:tr>
      <w:tr w14:paraId="1FE365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47F6D7A6">
            <w:pPr>
              <w:spacing w:before="0" w:after="0" w:line="240" w:lineRule="exact"/>
              <w:jc w:val="left"/>
              <w:rPr>
                <w:rFonts w:ascii="宋体" w:hAnsi="宋体" w:eastAsia="宋体" w:cs="宋体"/>
                <w:sz w:val="18"/>
                <w:szCs w:val="18"/>
              </w:rPr>
            </w:pPr>
            <w:r>
              <w:rPr>
                <w:rFonts w:ascii="宋体" w:hAnsi="宋体" w:eastAsia="宋体" w:cs="宋体"/>
                <w:sz w:val="18"/>
                <w:szCs w:val="18"/>
              </w:rPr>
              <w:t>福建广生中霖生物科技有限公司</w:t>
            </w:r>
          </w:p>
        </w:tc>
        <w:tc>
          <w:tcPr>
            <w:tcW w:w="1071" w:type="dxa"/>
            <w:tcBorders>
              <w:top w:val="single" w:color="auto" w:sz="2" w:space="0"/>
              <w:left w:val="single" w:color="auto" w:sz="2" w:space="0"/>
              <w:bottom w:val="single" w:color="auto" w:sz="2" w:space="0"/>
              <w:right w:val="single" w:color="auto" w:sz="2" w:space="0"/>
            </w:tcBorders>
            <w:vAlign w:val="center"/>
          </w:tcPr>
          <w:p w14:paraId="259ECBE2">
            <w:pPr>
              <w:spacing w:before="0" w:after="0" w:line="240" w:lineRule="exact"/>
              <w:jc w:val="right"/>
              <w:rPr>
                <w:rFonts w:ascii="宋体" w:hAnsi="宋体" w:eastAsia="宋体" w:cs="宋体"/>
                <w:sz w:val="18"/>
                <w:szCs w:val="18"/>
              </w:rPr>
            </w:pPr>
            <w:r>
              <w:rPr>
                <w:rFonts w:ascii="宋体" w:hAnsi="宋体" w:eastAsia="宋体" w:cs="宋体"/>
                <w:sz w:val="18"/>
                <w:szCs w:val="18"/>
              </w:rPr>
              <w:t>315,000,000.00</w:t>
            </w:r>
          </w:p>
        </w:tc>
        <w:tc>
          <w:tcPr>
            <w:tcW w:w="1071" w:type="dxa"/>
            <w:tcBorders>
              <w:top w:val="single" w:color="auto" w:sz="2" w:space="0"/>
              <w:left w:val="single" w:color="auto" w:sz="2" w:space="0"/>
              <w:bottom w:val="single" w:color="auto" w:sz="2" w:space="0"/>
              <w:right w:val="single" w:color="auto" w:sz="2" w:space="0"/>
            </w:tcBorders>
            <w:vAlign w:val="center"/>
          </w:tcPr>
          <w:p w14:paraId="5F3C1EF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B93447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5B2AEB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52DC28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F35A92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9C7B7AE">
            <w:pPr>
              <w:spacing w:before="0" w:after="0" w:line="240" w:lineRule="exact"/>
              <w:jc w:val="right"/>
              <w:rPr>
                <w:rFonts w:ascii="宋体" w:hAnsi="宋体" w:eastAsia="宋体" w:cs="宋体"/>
                <w:sz w:val="18"/>
                <w:szCs w:val="18"/>
              </w:rPr>
            </w:pPr>
            <w:r>
              <w:rPr>
                <w:rFonts w:ascii="宋体" w:hAnsi="宋体" w:eastAsia="宋体" w:cs="宋体"/>
                <w:sz w:val="18"/>
                <w:szCs w:val="18"/>
              </w:rPr>
              <w:t>315,000,000.00</w:t>
            </w:r>
          </w:p>
        </w:tc>
        <w:tc>
          <w:tcPr>
            <w:tcW w:w="1071" w:type="dxa"/>
            <w:tcBorders>
              <w:top w:val="single" w:color="auto" w:sz="2" w:space="0"/>
              <w:left w:val="single" w:color="auto" w:sz="2" w:space="0"/>
              <w:bottom w:val="single" w:color="auto" w:sz="2" w:space="0"/>
              <w:right w:val="single" w:color="auto" w:sz="2" w:space="0"/>
            </w:tcBorders>
            <w:vAlign w:val="center"/>
          </w:tcPr>
          <w:p w14:paraId="23B2B9AF">
            <w:pPr>
              <w:spacing w:before="0" w:after="0" w:line="240" w:lineRule="exact"/>
              <w:jc w:val="right"/>
              <w:rPr>
                <w:rFonts w:ascii="宋体" w:hAnsi="宋体" w:eastAsia="宋体" w:cs="宋体"/>
                <w:sz w:val="18"/>
                <w:szCs w:val="18"/>
              </w:rPr>
            </w:pPr>
          </w:p>
        </w:tc>
      </w:tr>
      <w:tr w14:paraId="6F695D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1DC39C59">
            <w:pPr>
              <w:spacing w:before="0" w:after="0" w:line="240" w:lineRule="exact"/>
              <w:jc w:val="left"/>
              <w:rPr>
                <w:rFonts w:ascii="宋体" w:hAnsi="宋体" w:eastAsia="宋体" w:cs="宋体"/>
                <w:sz w:val="18"/>
                <w:szCs w:val="18"/>
              </w:rPr>
            </w:pPr>
            <w:r>
              <w:rPr>
                <w:rFonts w:ascii="宋体" w:hAnsi="宋体" w:eastAsia="宋体" w:cs="宋体"/>
                <w:sz w:val="18"/>
                <w:szCs w:val="18"/>
              </w:rPr>
              <w:t>广喆来药业（福建）有限公司</w:t>
            </w:r>
          </w:p>
        </w:tc>
        <w:tc>
          <w:tcPr>
            <w:tcW w:w="1071" w:type="dxa"/>
            <w:tcBorders>
              <w:top w:val="single" w:color="auto" w:sz="2" w:space="0"/>
              <w:left w:val="single" w:color="auto" w:sz="2" w:space="0"/>
              <w:bottom w:val="single" w:color="auto" w:sz="2" w:space="0"/>
              <w:right w:val="single" w:color="auto" w:sz="2" w:space="0"/>
            </w:tcBorders>
            <w:vAlign w:val="center"/>
          </w:tcPr>
          <w:p w14:paraId="16E8E197">
            <w:pPr>
              <w:spacing w:before="0" w:after="0" w:line="240" w:lineRule="exact"/>
              <w:jc w:val="right"/>
              <w:rPr>
                <w:rFonts w:ascii="宋体" w:hAnsi="宋体" w:eastAsia="宋体" w:cs="宋体"/>
                <w:sz w:val="18"/>
                <w:szCs w:val="18"/>
              </w:rPr>
            </w:pPr>
            <w:r>
              <w:rPr>
                <w:rFonts w:ascii="宋体" w:hAnsi="宋体" w:eastAsia="宋体" w:cs="宋体"/>
                <w:sz w:val="18"/>
                <w:szCs w:val="18"/>
              </w:rPr>
              <w:t>15,000,000.00</w:t>
            </w:r>
          </w:p>
        </w:tc>
        <w:tc>
          <w:tcPr>
            <w:tcW w:w="1071" w:type="dxa"/>
            <w:tcBorders>
              <w:top w:val="single" w:color="auto" w:sz="2" w:space="0"/>
              <w:left w:val="single" w:color="auto" w:sz="2" w:space="0"/>
              <w:bottom w:val="single" w:color="auto" w:sz="2" w:space="0"/>
              <w:right w:val="single" w:color="auto" w:sz="2" w:space="0"/>
            </w:tcBorders>
            <w:vAlign w:val="center"/>
          </w:tcPr>
          <w:p w14:paraId="35C7C0D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D0A579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E63908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E59339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940213C">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FF2875C">
            <w:pPr>
              <w:spacing w:before="0" w:after="0" w:line="240" w:lineRule="exact"/>
              <w:jc w:val="right"/>
              <w:rPr>
                <w:rFonts w:ascii="宋体" w:hAnsi="宋体" w:eastAsia="宋体" w:cs="宋体"/>
                <w:sz w:val="18"/>
                <w:szCs w:val="18"/>
              </w:rPr>
            </w:pPr>
            <w:r>
              <w:rPr>
                <w:rFonts w:ascii="宋体" w:hAnsi="宋体" w:eastAsia="宋体" w:cs="宋体"/>
                <w:sz w:val="18"/>
                <w:szCs w:val="18"/>
              </w:rPr>
              <w:t>15,000,000.00</w:t>
            </w:r>
          </w:p>
        </w:tc>
        <w:tc>
          <w:tcPr>
            <w:tcW w:w="1071" w:type="dxa"/>
            <w:tcBorders>
              <w:top w:val="single" w:color="auto" w:sz="2" w:space="0"/>
              <w:left w:val="single" w:color="auto" w:sz="2" w:space="0"/>
              <w:bottom w:val="single" w:color="auto" w:sz="2" w:space="0"/>
              <w:right w:val="single" w:color="auto" w:sz="2" w:space="0"/>
            </w:tcBorders>
            <w:vAlign w:val="center"/>
          </w:tcPr>
          <w:p w14:paraId="68CFC1D6">
            <w:pPr>
              <w:spacing w:before="0" w:after="0" w:line="240" w:lineRule="exact"/>
              <w:jc w:val="right"/>
              <w:rPr>
                <w:rFonts w:ascii="宋体" w:hAnsi="宋体" w:eastAsia="宋体" w:cs="宋体"/>
                <w:sz w:val="18"/>
                <w:szCs w:val="18"/>
              </w:rPr>
            </w:pPr>
          </w:p>
        </w:tc>
      </w:tr>
      <w:tr w14:paraId="2A534E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03A3838E">
            <w:pPr>
              <w:spacing w:before="0" w:after="0" w:line="240" w:lineRule="exact"/>
              <w:jc w:val="left"/>
              <w:rPr>
                <w:rFonts w:ascii="宋体" w:hAnsi="宋体" w:eastAsia="宋体" w:cs="宋体"/>
                <w:sz w:val="18"/>
                <w:szCs w:val="18"/>
              </w:rPr>
            </w:pPr>
            <w:r>
              <w:rPr>
                <w:rFonts w:ascii="宋体" w:hAnsi="宋体" w:eastAsia="宋体" w:cs="宋体"/>
                <w:sz w:val="18"/>
                <w:szCs w:val="18"/>
              </w:rPr>
              <w:t>广生堂药业（漳州）有限公司</w:t>
            </w:r>
          </w:p>
        </w:tc>
        <w:tc>
          <w:tcPr>
            <w:tcW w:w="1071" w:type="dxa"/>
            <w:tcBorders>
              <w:top w:val="single" w:color="auto" w:sz="2" w:space="0"/>
              <w:left w:val="single" w:color="auto" w:sz="2" w:space="0"/>
              <w:bottom w:val="single" w:color="auto" w:sz="2" w:space="0"/>
              <w:right w:val="single" w:color="auto" w:sz="2" w:space="0"/>
            </w:tcBorders>
            <w:vAlign w:val="center"/>
          </w:tcPr>
          <w:p w14:paraId="26EBABF4">
            <w:pPr>
              <w:spacing w:before="0" w:after="0" w:line="240" w:lineRule="exact"/>
              <w:jc w:val="right"/>
              <w:rPr>
                <w:rFonts w:ascii="宋体" w:hAnsi="宋体" w:eastAsia="宋体" w:cs="宋体"/>
                <w:sz w:val="18"/>
                <w:szCs w:val="18"/>
              </w:rPr>
            </w:pPr>
            <w:r>
              <w:rPr>
                <w:rFonts w:ascii="宋体" w:hAnsi="宋体" w:eastAsia="宋体" w:cs="宋体"/>
                <w:sz w:val="18"/>
                <w:szCs w:val="18"/>
              </w:rPr>
              <w:t>0.00</w:t>
            </w:r>
          </w:p>
        </w:tc>
        <w:tc>
          <w:tcPr>
            <w:tcW w:w="1071" w:type="dxa"/>
            <w:tcBorders>
              <w:top w:val="single" w:color="auto" w:sz="2" w:space="0"/>
              <w:left w:val="single" w:color="auto" w:sz="2" w:space="0"/>
              <w:bottom w:val="single" w:color="auto" w:sz="2" w:space="0"/>
              <w:right w:val="single" w:color="auto" w:sz="2" w:space="0"/>
            </w:tcBorders>
            <w:vAlign w:val="center"/>
          </w:tcPr>
          <w:p w14:paraId="0FDE08B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10A5DE6">
            <w:pPr>
              <w:spacing w:before="0" w:after="0" w:line="240" w:lineRule="exact"/>
              <w:jc w:val="right"/>
              <w:rPr>
                <w:rFonts w:ascii="宋体" w:hAnsi="宋体" w:eastAsia="宋体" w:cs="宋体"/>
                <w:sz w:val="18"/>
                <w:szCs w:val="18"/>
              </w:rPr>
            </w:pPr>
            <w:r>
              <w:rPr>
                <w:rFonts w:ascii="宋体" w:hAnsi="宋体" w:eastAsia="宋体" w:cs="宋体"/>
                <w:sz w:val="18"/>
                <w:szCs w:val="18"/>
              </w:rPr>
              <w:t>1,000,000.00</w:t>
            </w:r>
          </w:p>
        </w:tc>
        <w:tc>
          <w:tcPr>
            <w:tcW w:w="1071" w:type="dxa"/>
            <w:tcBorders>
              <w:top w:val="single" w:color="auto" w:sz="2" w:space="0"/>
              <w:left w:val="single" w:color="auto" w:sz="2" w:space="0"/>
              <w:bottom w:val="single" w:color="auto" w:sz="2" w:space="0"/>
              <w:right w:val="single" w:color="auto" w:sz="2" w:space="0"/>
            </w:tcBorders>
            <w:vAlign w:val="center"/>
          </w:tcPr>
          <w:p w14:paraId="1031C36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9CB881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962A2D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AB67D57">
            <w:pPr>
              <w:spacing w:before="0" w:after="0" w:line="240" w:lineRule="exact"/>
              <w:jc w:val="right"/>
              <w:rPr>
                <w:rFonts w:ascii="宋体" w:hAnsi="宋体" w:eastAsia="宋体" w:cs="宋体"/>
                <w:sz w:val="18"/>
                <w:szCs w:val="18"/>
              </w:rPr>
            </w:pPr>
            <w:r>
              <w:rPr>
                <w:rFonts w:ascii="宋体" w:hAnsi="宋体" w:eastAsia="宋体" w:cs="宋体"/>
                <w:sz w:val="18"/>
                <w:szCs w:val="18"/>
              </w:rPr>
              <w:t>1,000,000.00</w:t>
            </w:r>
          </w:p>
        </w:tc>
        <w:tc>
          <w:tcPr>
            <w:tcW w:w="1071" w:type="dxa"/>
            <w:tcBorders>
              <w:top w:val="single" w:color="auto" w:sz="2" w:space="0"/>
              <w:left w:val="single" w:color="auto" w:sz="2" w:space="0"/>
              <w:bottom w:val="single" w:color="auto" w:sz="2" w:space="0"/>
              <w:right w:val="single" w:color="auto" w:sz="2" w:space="0"/>
            </w:tcBorders>
            <w:vAlign w:val="center"/>
          </w:tcPr>
          <w:p w14:paraId="5D614A11">
            <w:pPr>
              <w:spacing w:before="0" w:after="0" w:line="240" w:lineRule="exact"/>
              <w:jc w:val="right"/>
              <w:rPr>
                <w:rFonts w:ascii="宋体" w:hAnsi="宋体" w:eastAsia="宋体" w:cs="宋体"/>
                <w:sz w:val="18"/>
                <w:szCs w:val="18"/>
              </w:rPr>
            </w:pPr>
          </w:p>
        </w:tc>
      </w:tr>
      <w:tr w14:paraId="300F27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C215B28">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071" w:type="dxa"/>
            <w:tcBorders>
              <w:top w:val="single" w:color="auto" w:sz="2" w:space="0"/>
              <w:left w:val="single" w:color="auto" w:sz="2" w:space="0"/>
              <w:bottom w:val="single" w:color="auto" w:sz="2" w:space="0"/>
              <w:right w:val="single" w:color="auto" w:sz="2" w:space="0"/>
            </w:tcBorders>
            <w:vAlign w:val="center"/>
          </w:tcPr>
          <w:p w14:paraId="7A1CC8D0">
            <w:pPr>
              <w:spacing w:before="0" w:after="0" w:line="240" w:lineRule="exact"/>
              <w:jc w:val="right"/>
              <w:rPr>
                <w:rFonts w:ascii="宋体" w:hAnsi="宋体" w:eastAsia="宋体" w:cs="宋体"/>
                <w:sz w:val="18"/>
                <w:szCs w:val="18"/>
              </w:rPr>
            </w:pPr>
            <w:r>
              <w:rPr>
                <w:rFonts w:ascii="宋体" w:hAnsi="宋体" w:eastAsia="宋体" w:cs="宋体"/>
                <w:sz w:val="18"/>
                <w:szCs w:val="18"/>
              </w:rPr>
              <w:t>670,269,918.44</w:t>
            </w:r>
          </w:p>
        </w:tc>
        <w:tc>
          <w:tcPr>
            <w:tcW w:w="1071" w:type="dxa"/>
            <w:tcBorders>
              <w:top w:val="single" w:color="auto" w:sz="2" w:space="0"/>
              <w:left w:val="single" w:color="auto" w:sz="2" w:space="0"/>
              <w:bottom w:val="single" w:color="auto" w:sz="2" w:space="0"/>
              <w:right w:val="single" w:color="auto" w:sz="2" w:space="0"/>
            </w:tcBorders>
            <w:vAlign w:val="center"/>
          </w:tcPr>
          <w:p w14:paraId="2950CBC8">
            <w:pPr>
              <w:spacing w:before="0" w:after="0" w:line="240" w:lineRule="exact"/>
              <w:jc w:val="right"/>
              <w:rPr>
                <w:rFonts w:ascii="宋体" w:hAnsi="宋体" w:eastAsia="宋体" w:cs="宋体"/>
                <w:sz w:val="18"/>
                <w:szCs w:val="18"/>
              </w:rPr>
            </w:pPr>
            <w:r>
              <w:rPr>
                <w:rFonts w:ascii="宋体" w:hAnsi="宋体" w:eastAsia="宋体" w:cs="宋体"/>
                <w:sz w:val="18"/>
                <w:szCs w:val="18"/>
              </w:rPr>
              <w:t>17,267,581.56</w:t>
            </w:r>
          </w:p>
        </w:tc>
        <w:tc>
          <w:tcPr>
            <w:tcW w:w="1071" w:type="dxa"/>
            <w:tcBorders>
              <w:top w:val="single" w:color="auto" w:sz="2" w:space="0"/>
              <w:left w:val="single" w:color="auto" w:sz="2" w:space="0"/>
              <w:bottom w:val="single" w:color="auto" w:sz="2" w:space="0"/>
              <w:right w:val="single" w:color="auto" w:sz="2" w:space="0"/>
            </w:tcBorders>
            <w:vAlign w:val="center"/>
          </w:tcPr>
          <w:p w14:paraId="67C52DCB">
            <w:pPr>
              <w:spacing w:before="0" w:after="0" w:line="240" w:lineRule="exact"/>
              <w:jc w:val="right"/>
              <w:rPr>
                <w:rFonts w:ascii="宋体" w:hAnsi="宋体" w:eastAsia="宋体" w:cs="宋体"/>
                <w:sz w:val="18"/>
                <w:szCs w:val="18"/>
              </w:rPr>
            </w:pPr>
            <w:r>
              <w:rPr>
                <w:rFonts w:ascii="宋体" w:hAnsi="宋体" w:eastAsia="宋体" w:cs="宋体"/>
                <w:sz w:val="18"/>
                <w:szCs w:val="18"/>
              </w:rPr>
              <w:t>1,000,000.00</w:t>
            </w:r>
          </w:p>
        </w:tc>
        <w:tc>
          <w:tcPr>
            <w:tcW w:w="1071" w:type="dxa"/>
            <w:tcBorders>
              <w:top w:val="single" w:color="auto" w:sz="2" w:space="0"/>
              <w:left w:val="single" w:color="auto" w:sz="2" w:space="0"/>
              <w:bottom w:val="single" w:color="auto" w:sz="2" w:space="0"/>
              <w:right w:val="single" w:color="auto" w:sz="2" w:space="0"/>
            </w:tcBorders>
            <w:vAlign w:val="center"/>
          </w:tcPr>
          <w:p w14:paraId="1B12B239">
            <w:pPr>
              <w:spacing w:before="0" w:after="0" w:line="240" w:lineRule="exact"/>
              <w:jc w:val="right"/>
              <w:rPr>
                <w:rFonts w:ascii="宋体" w:hAnsi="宋体" w:eastAsia="宋体" w:cs="宋体"/>
                <w:sz w:val="18"/>
                <w:szCs w:val="18"/>
              </w:rPr>
            </w:pPr>
            <w:r>
              <w:rPr>
                <w:rFonts w:ascii="宋体" w:hAnsi="宋体" w:eastAsia="宋体" w:cs="宋体"/>
                <w:sz w:val="18"/>
                <w:szCs w:val="18"/>
              </w:rPr>
              <w:t>34,000,000.00</w:t>
            </w:r>
          </w:p>
        </w:tc>
        <w:tc>
          <w:tcPr>
            <w:tcW w:w="1071" w:type="dxa"/>
            <w:tcBorders>
              <w:top w:val="single" w:color="auto" w:sz="2" w:space="0"/>
              <w:left w:val="single" w:color="auto" w:sz="2" w:space="0"/>
              <w:bottom w:val="single" w:color="auto" w:sz="2" w:space="0"/>
              <w:right w:val="single" w:color="auto" w:sz="2" w:space="0"/>
            </w:tcBorders>
            <w:vAlign w:val="center"/>
          </w:tcPr>
          <w:p w14:paraId="5572F220">
            <w:pPr>
              <w:spacing w:before="0" w:after="0" w:line="240" w:lineRule="exact"/>
              <w:jc w:val="right"/>
              <w:rPr>
                <w:rFonts w:ascii="宋体" w:hAnsi="宋体" w:eastAsia="宋体" w:cs="宋体"/>
                <w:sz w:val="18"/>
                <w:szCs w:val="18"/>
              </w:rPr>
            </w:pPr>
            <w:r>
              <w:rPr>
                <w:rFonts w:ascii="宋体" w:hAnsi="宋体" w:eastAsia="宋体" w:cs="宋体"/>
                <w:sz w:val="18"/>
                <w:szCs w:val="18"/>
              </w:rPr>
              <w:t>147,082.84</w:t>
            </w:r>
          </w:p>
        </w:tc>
        <w:tc>
          <w:tcPr>
            <w:tcW w:w="1071" w:type="dxa"/>
            <w:tcBorders>
              <w:top w:val="single" w:color="auto" w:sz="2" w:space="0"/>
              <w:left w:val="single" w:color="auto" w:sz="2" w:space="0"/>
              <w:bottom w:val="single" w:color="auto" w:sz="2" w:space="0"/>
              <w:right w:val="single" w:color="auto" w:sz="2" w:space="0"/>
            </w:tcBorders>
            <w:vAlign w:val="center"/>
          </w:tcPr>
          <w:p w14:paraId="102FC8C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F7143EB">
            <w:pPr>
              <w:spacing w:before="0" w:after="0" w:line="240" w:lineRule="exact"/>
              <w:jc w:val="right"/>
              <w:rPr>
                <w:rFonts w:ascii="宋体" w:hAnsi="宋体" w:eastAsia="宋体" w:cs="宋体"/>
                <w:sz w:val="18"/>
                <w:szCs w:val="18"/>
              </w:rPr>
            </w:pPr>
            <w:r>
              <w:rPr>
                <w:rFonts w:ascii="宋体" w:hAnsi="宋体" w:eastAsia="宋体" w:cs="宋体"/>
                <w:sz w:val="18"/>
                <w:szCs w:val="18"/>
              </w:rPr>
              <w:t>637,122,835.60</w:t>
            </w:r>
          </w:p>
        </w:tc>
        <w:tc>
          <w:tcPr>
            <w:tcW w:w="1071" w:type="dxa"/>
            <w:tcBorders>
              <w:top w:val="single" w:color="auto" w:sz="2" w:space="0"/>
              <w:left w:val="single" w:color="auto" w:sz="2" w:space="0"/>
              <w:bottom w:val="single" w:color="auto" w:sz="2" w:space="0"/>
              <w:right w:val="single" w:color="auto" w:sz="2" w:space="0"/>
            </w:tcBorders>
            <w:vAlign w:val="center"/>
          </w:tcPr>
          <w:p w14:paraId="3B8FAC68">
            <w:pPr>
              <w:spacing w:before="0" w:after="0" w:line="240" w:lineRule="exact"/>
              <w:jc w:val="right"/>
              <w:rPr>
                <w:rFonts w:ascii="宋体" w:hAnsi="宋体" w:eastAsia="宋体" w:cs="宋体"/>
                <w:sz w:val="18"/>
                <w:szCs w:val="18"/>
              </w:rPr>
            </w:pPr>
            <w:r>
              <w:rPr>
                <w:rFonts w:ascii="宋体" w:hAnsi="宋体" w:eastAsia="宋体" w:cs="宋体"/>
                <w:sz w:val="18"/>
                <w:szCs w:val="18"/>
              </w:rPr>
              <w:t>17,414,664.40</w:t>
            </w:r>
          </w:p>
        </w:tc>
      </w:tr>
    </w:tbl>
    <w:p w14:paraId="419D6465">
      <w:pPr>
        <w:keepNext/>
        <w:keepLines/>
        <w:spacing w:before="300" w:after="300" w:line="280" w:lineRule="exact"/>
        <w:jc w:val="left"/>
        <w:outlineLvl w:val="3"/>
        <w:rPr>
          <w:rFonts w:ascii="宋体" w:hAnsi="宋体" w:eastAsia="宋体" w:cs="宋体"/>
          <w:b/>
          <w:bCs/>
          <w:sz w:val="21"/>
          <w:szCs w:val="21"/>
        </w:rPr>
      </w:pPr>
      <w:bookmarkStart w:id="608" w:name="_Toc989491"/>
      <w:r>
        <w:rPr>
          <w:rFonts w:ascii="宋体" w:hAnsi="宋体" w:eastAsia="宋体" w:cs="宋体"/>
          <w:b/>
          <w:bCs/>
          <w:sz w:val="21"/>
          <w:szCs w:val="21"/>
        </w:rPr>
        <w:t>（2） 对联营、合营企业投资</w:t>
      </w:r>
      <w:bookmarkEnd w:id="608"/>
    </w:p>
    <w:p w14:paraId="689E2F5B">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41"/>
        <w:gridCol w:w="741"/>
        <w:gridCol w:w="741"/>
        <w:gridCol w:w="741"/>
        <w:gridCol w:w="741"/>
        <w:gridCol w:w="741"/>
        <w:gridCol w:w="741"/>
        <w:gridCol w:w="741"/>
        <w:gridCol w:w="741"/>
        <w:gridCol w:w="741"/>
        <w:gridCol w:w="741"/>
        <w:gridCol w:w="741"/>
        <w:gridCol w:w="741"/>
      </w:tblGrid>
      <w:tr w14:paraId="009759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34766E3">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被投资单位</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8198031">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期初余额（账面价值）</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5703011C">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减值准备期初余额</w:t>
            </w:r>
          </w:p>
        </w:tc>
        <w:tc>
          <w:tcPr>
            <w:tcW w:w="5932" w:type="dxa"/>
            <w:gridSpan w:val="8"/>
            <w:tcBorders>
              <w:top w:val="single" w:color="auto" w:sz="2" w:space="0"/>
              <w:left w:val="single" w:color="auto" w:sz="2" w:space="0"/>
              <w:bottom w:val="single" w:color="auto" w:sz="2" w:space="0"/>
              <w:right w:val="single" w:color="auto" w:sz="2" w:space="0"/>
            </w:tcBorders>
            <w:shd w:val="clear" w:color="auto" w:fill="D3D3D3"/>
            <w:vAlign w:val="center"/>
          </w:tcPr>
          <w:p w14:paraId="3A3FCC6D">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本期增减变动</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0AE56E5">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期末余额（账面价值）</w:t>
            </w:r>
          </w:p>
        </w:tc>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21780C2">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减值准备期末余额</w:t>
            </w:r>
          </w:p>
        </w:tc>
      </w:tr>
      <w:tr w14:paraId="5C2FC3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CC10CD1"/>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3B9FE54"/>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72589F4"/>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09F64D7">
            <w:pPr>
              <w:spacing w:before="40" w:after="40" w:line="240" w:lineRule="exact"/>
              <w:jc w:val="center"/>
              <w:rPr>
                <w:rFonts w:ascii="宋体" w:hAnsi="宋体" w:eastAsia="宋体" w:cs="宋体"/>
                <w:sz w:val="18"/>
                <w:szCs w:val="18"/>
              </w:rPr>
            </w:pPr>
            <w:r>
              <w:rPr>
                <w:rFonts w:ascii="宋体" w:hAnsi="宋体" w:eastAsia="宋体" w:cs="宋体"/>
                <w:sz w:val="18"/>
                <w:szCs w:val="18"/>
              </w:rPr>
              <w:t>追加投资</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2106FFB2">
            <w:pPr>
              <w:spacing w:before="40" w:after="40" w:line="240" w:lineRule="exact"/>
              <w:jc w:val="center"/>
              <w:rPr>
                <w:rFonts w:ascii="宋体" w:hAnsi="宋体" w:eastAsia="宋体" w:cs="宋体"/>
                <w:sz w:val="18"/>
                <w:szCs w:val="18"/>
              </w:rPr>
            </w:pPr>
            <w:r>
              <w:rPr>
                <w:rFonts w:ascii="宋体" w:hAnsi="宋体" w:eastAsia="宋体" w:cs="宋体"/>
                <w:sz w:val="18"/>
                <w:szCs w:val="18"/>
              </w:rPr>
              <w:t>减少投资</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7CE46CED">
            <w:pPr>
              <w:spacing w:before="40" w:after="40" w:line="240" w:lineRule="exact"/>
              <w:jc w:val="center"/>
              <w:rPr>
                <w:rFonts w:ascii="宋体" w:hAnsi="宋体" w:eastAsia="宋体" w:cs="宋体"/>
                <w:sz w:val="18"/>
                <w:szCs w:val="18"/>
              </w:rPr>
            </w:pPr>
            <w:r>
              <w:rPr>
                <w:rFonts w:ascii="宋体" w:hAnsi="宋体" w:eastAsia="宋体" w:cs="宋体"/>
                <w:sz w:val="18"/>
                <w:szCs w:val="18"/>
              </w:rPr>
              <w:t>权益法下确认的投资损益</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3EE1615E">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其他综合收益调整</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335EDCA">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其他权益变动</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707ECF8">
            <w:pPr>
              <w:spacing w:before="40" w:after="40" w:line="240" w:lineRule="exact"/>
              <w:jc w:val="center"/>
              <w:rPr>
                <w:rFonts w:ascii="宋体" w:hAnsi="宋体" w:eastAsia="宋体" w:cs="宋体"/>
                <w:sz w:val="18"/>
                <w:szCs w:val="18"/>
              </w:rPr>
            </w:pPr>
            <w:r>
              <w:rPr>
                <w:rFonts w:ascii="宋体" w:hAnsi="宋体" w:eastAsia="宋体" w:cs="宋体"/>
                <w:sz w:val="18"/>
                <w:szCs w:val="18"/>
              </w:rPr>
              <w:t>宣告发放现金股利或利润</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49B0259">
            <w:pPr>
              <w:spacing w:before="40" w:after="40" w:line="240" w:lineRule="exact"/>
              <w:jc w:val="center"/>
              <w:rPr>
                <w:rFonts w:ascii="宋体" w:hAnsi="宋体" w:eastAsia="宋体" w:cs="宋体"/>
                <w:sz w:val="18"/>
                <w:szCs w:val="18"/>
              </w:rPr>
            </w:pPr>
            <w:r>
              <w:rPr>
                <w:rFonts w:ascii="宋体" w:hAnsi="宋体" w:eastAsia="宋体" w:cs="宋体"/>
                <w:sz w:val="18"/>
                <w:szCs w:val="18"/>
              </w:rPr>
              <w:t>计提减值准备</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6955AB0C">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C8DE977"/>
        </w:tc>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F91B677"/>
        </w:tc>
      </w:tr>
      <w:tr w14:paraId="754404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3"/>
            <w:tcBorders>
              <w:top w:val="single" w:color="auto" w:sz="2" w:space="0"/>
              <w:left w:val="single" w:color="auto" w:sz="2" w:space="0"/>
              <w:bottom w:val="single" w:color="auto" w:sz="2" w:space="0"/>
              <w:right w:val="single" w:color="auto" w:sz="2" w:space="0"/>
            </w:tcBorders>
            <w:shd w:val="clear" w:color="auto" w:fill="D3D3D3"/>
            <w:vAlign w:val="center"/>
          </w:tcPr>
          <w:p w14:paraId="78AC6DF2">
            <w:pPr>
              <w:spacing w:before="40" w:after="40" w:line="240" w:lineRule="exact"/>
              <w:jc w:val="left"/>
              <w:rPr>
                <w:rFonts w:ascii="宋体" w:hAnsi="宋体" w:eastAsia="宋体" w:cs="宋体"/>
                <w:sz w:val="18"/>
                <w:szCs w:val="18"/>
              </w:rPr>
            </w:pPr>
            <w:r>
              <w:rPr>
                <w:rFonts w:ascii="宋体" w:hAnsi="宋体" w:eastAsia="宋体" w:cs="宋体"/>
                <w:sz w:val="18"/>
                <w:szCs w:val="18"/>
              </w:rPr>
              <w:t>一、合营企业</w:t>
            </w:r>
          </w:p>
        </w:tc>
      </w:tr>
      <w:tr w14:paraId="26B931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3"/>
            <w:tcBorders>
              <w:top w:val="single" w:color="auto" w:sz="2" w:space="0"/>
              <w:left w:val="single" w:color="auto" w:sz="2" w:space="0"/>
              <w:bottom w:val="single" w:color="auto" w:sz="2" w:space="0"/>
              <w:right w:val="single" w:color="auto" w:sz="2" w:space="0"/>
            </w:tcBorders>
            <w:shd w:val="clear" w:color="auto" w:fill="D3D3D3"/>
            <w:vAlign w:val="center"/>
          </w:tcPr>
          <w:p w14:paraId="45259273">
            <w:pPr>
              <w:spacing w:before="40" w:after="40" w:line="240" w:lineRule="exact"/>
              <w:jc w:val="left"/>
              <w:rPr>
                <w:rFonts w:ascii="宋体" w:hAnsi="宋体" w:eastAsia="宋体" w:cs="宋体"/>
                <w:sz w:val="18"/>
                <w:szCs w:val="18"/>
              </w:rPr>
            </w:pPr>
            <w:r>
              <w:rPr>
                <w:rFonts w:ascii="宋体" w:hAnsi="宋体" w:eastAsia="宋体" w:cs="宋体"/>
                <w:sz w:val="18"/>
                <w:szCs w:val="18"/>
              </w:rPr>
              <w:t>二、联营企业</w:t>
            </w:r>
          </w:p>
        </w:tc>
      </w:tr>
      <w:tr w14:paraId="693DA1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1B53C730">
            <w:pPr>
              <w:spacing w:before="0" w:after="0" w:line="240" w:lineRule="exact"/>
              <w:jc w:val="left"/>
              <w:rPr>
                <w:rFonts w:ascii="宋体" w:hAnsi="宋体" w:eastAsia="宋体" w:cs="宋体"/>
                <w:sz w:val="18"/>
                <w:szCs w:val="18"/>
              </w:rPr>
            </w:pPr>
            <w:r>
              <w:rPr>
                <w:rFonts w:ascii="宋体" w:hAnsi="宋体" w:eastAsia="宋体" w:cs="宋体"/>
                <w:sz w:val="18"/>
                <w:szCs w:val="18"/>
              </w:rPr>
              <w:t>福建博奥医学检验所有限公司</w:t>
            </w:r>
          </w:p>
        </w:tc>
        <w:tc>
          <w:tcPr>
            <w:tcW w:w="741" w:type="dxa"/>
            <w:tcBorders>
              <w:top w:val="single" w:color="auto" w:sz="2" w:space="0"/>
              <w:left w:val="single" w:color="auto" w:sz="2" w:space="0"/>
              <w:bottom w:val="single" w:color="auto" w:sz="2" w:space="0"/>
              <w:right w:val="single" w:color="auto" w:sz="2" w:space="0"/>
            </w:tcBorders>
            <w:vAlign w:val="center"/>
          </w:tcPr>
          <w:p w14:paraId="793FB908">
            <w:pPr>
              <w:spacing w:before="0" w:after="0" w:line="240" w:lineRule="exact"/>
              <w:jc w:val="right"/>
              <w:rPr>
                <w:rFonts w:ascii="宋体" w:hAnsi="宋体" w:eastAsia="宋体" w:cs="宋体"/>
                <w:sz w:val="18"/>
                <w:szCs w:val="18"/>
              </w:rPr>
            </w:pPr>
            <w:r>
              <w:rPr>
                <w:rFonts w:ascii="宋体" w:hAnsi="宋体" w:eastAsia="宋体" w:cs="宋体"/>
                <w:sz w:val="18"/>
                <w:szCs w:val="18"/>
              </w:rPr>
              <w:t>58,814,930.02</w:t>
            </w:r>
          </w:p>
        </w:tc>
        <w:tc>
          <w:tcPr>
            <w:tcW w:w="741" w:type="dxa"/>
            <w:tcBorders>
              <w:top w:val="single" w:color="auto" w:sz="2" w:space="0"/>
              <w:left w:val="single" w:color="auto" w:sz="2" w:space="0"/>
              <w:bottom w:val="single" w:color="auto" w:sz="2" w:space="0"/>
              <w:right w:val="single" w:color="auto" w:sz="2" w:space="0"/>
            </w:tcBorders>
            <w:vAlign w:val="center"/>
          </w:tcPr>
          <w:p w14:paraId="60F766D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3DE170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F140A5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C431847">
            <w:pPr>
              <w:spacing w:before="0" w:after="0" w:line="240" w:lineRule="exact"/>
              <w:jc w:val="right"/>
              <w:rPr>
                <w:rFonts w:ascii="宋体" w:hAnsi="宋体" w:eastAsia="宋体" w:cs="宋体"/>
                <w:sz w:val="18"/>
                <w:szCs w:val="18"/>
              </w:rPr>
            </w:pPr>
            <w:r>
              <w:rPr>
                <w:rFonts w:ascii="宋体" w:hAnsi="宋体" w:eastAsia="宋体" w:cs="宋体"/>
                <w:sz w:val="18"/>
                <w:szCs w:val="18"/>
              </w:rPr>
              <w:t>-7,804,116.93</w:t>
            </w:r>
          </w:p>
        </w:tc>
        <w:tc>
          <w:tcPr>
            <w:tcW w:w="741" w:type="dxa"/>
            <w:tcBorders>
              <w:top w:val="single" w:color="auto" w:sz="2" w:space="0"/>
              <w:left w:val="single" w:color="auto" w:sz="2" w:space="0"/>
              <w:bottom w:val="single" w:color="auto" w:sz="2" w:space="0"/>
              <w:right w:val="single" w:color="auto" w:sz="2" w:space="0"/>
            </w:tcBorders>
            <w:vAlign w:val="center"/>
          </w:tcPr>
          <w:p w14:paraId="6A09A24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44018A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4A19242">
            <w:pPr>
              <w:spacing w:before="0" w:after="0" w:line="240" w:lineRule="exact"/>
              <w:jc w:val="right"/>
              <w:rPr>
                <w:rFonts w:ascii="宋体" w:hAnsi="宋体" w:eastAsia="宋体" w:cs="宋体"/>
                <w:sz w:val="18"/>
                <w:szCs w:val="18"/>
              </w:rPr>
            </w:pPr>
            <w:r>
              <w:rPr>
                <w:rFonts w:ascii="宋体" w:hAnsi="宋体" w:eastAsia="宋体" w:cs="宋体"/>
                <w:sz w:val="18"/>
                <w:szCs w:val="18"/>
              </w:rPr>
              <w:t>17,640,000.00</w:t>
            </w:r>
          </w:p>
        </w:tc>
        <w:tc>
          <w:tcPr>
            <w:tcW w:w="741" w:type="dxa"/>
            <w:tcBorders>
              <w:top w:val="single" w:color="auto" w:sz="2" w:space="0"/>
              <w:left w:val="single" w:color="auto" w:sz="2" w:space="0"/>
              <w:bottom w:val="single" w:color="auto" w:sz="2" w:space="0"/>
              <w:right w:val="single" w:color="auto" w:sz="2" w:space="0"/>
            </w:tcBorders>
            <w:vAlign w:val="center"/>
          </w:tcPr>
          <w:p w14:paraId="3B382AE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F704D7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8713B63">
            <w:pPr>
              <w:spacing w:before="0" w:after="0" w:line="240" w:lineRule="exact"/>
              <w:jc w:val="right"/>
              <w:rPr>
                <w:rFonts w:ascii="宋体" w:hAnsi="宋体" w:eastAsia="宋体" w:cs="宋体"/>
                <w:sz w:val="18"/>
                <w:szCs w:val="18"/>
              </w:rPr>
            </w:pPr>
            <w:r>
              <w:rPr>
                <w:rFonts w:ascii="宋体" w:hAnsi="宋体" w:eastAsia="宋体" w:cs="宋体"/>
                <w:sz w:val="18"/>
                <w:szCs w:val="18"/>
              </w:rPr>
              <w:t>33,370,813.09</w:t>
            </w:r>
          </w:p>
        </w:tc>
        <w:tc>
          <w:tcPr>
            <w:tcW w:w="741" w:type="dxa"/>
            <w:tcBorders>
              <w:top w:val="single" w:color="auto" w:sz="2" w:space="0"/>
              <w:left w:val="single" w:color="auto" w:sz="2" w:space="0"/>
              <w:bottom w:val="single" w:color="auto" w:sz="2" w:space="0"/>
              <w:right w:val="single" w:color="auto" w:sz="2" w:space="0"/>
            </w:tcBorders>
            <w:vAlign w:val="center"/>
          </w:tcPr>
          <w:p w14:paraId="2E14B473">
            <w:pPr>
              <w:spacing w:before="0" w:after="0" w:line="240" w:lineRule="exact"/>
              <w:jc w:val="right"/>
              <w:rPr>
                <w:rFonts w:ascii="宋体" w:hAnsi="宋体" w:eastAsia="宋体" w:cs="宋体"/>
                <w:sz w:val="18"/>
                <w:szCs w:val="18"/>
              </w:rPr>
            </w:pPr>
          </w:p>
        </w:tc>
      </w:tr>
      <w:tr w14:paraId="51A41C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1F91A70C">
            <w:pPr>
              <w:spacing w:before="0" w:after="0" w:line="240" w:lineRule="exact"/>
              <w:jc w:val="left"/>
              <w:rPr>
                <w:rFonts w:ascii="宋体" w:hAnsi="宋体" w:eastAsia="宋体" w:cs="宋体"/>
                <w:sz w:val="18"/>
                <w:szCs w:val="18"/>
              </w:rPr>
            </w:pPr>
            <w:r>
              <w:rPr>
                <w:rFonts w:ascii="宋体" w:hAnsi="宋体" w:eastAsia="宋体" w:cs="宋体"/>
                <w:sz w:val="18"/>
                <w:szCs w:val="18"/>
              </w:rPr>
              <w:t>福建广明方医药投资研发中心</w:t>
            </w:r>
          </w:p>
          <w:p w14:paraId="1DAE6DDA">
            <w:pPr>
              <w:spacing w:before="0" w:after="0" w:line="240" w:lineRule="exact"/>
              <w:jc w:val="left"/>
              <w:rPr>
                <w:rFonts w:ascii="宋体" w:hAnsi="宋体" w:eastAsia="宋体" w:cs="宋体"/>
                <w:sz w:val="18"/>
                <w:szCs w:val="18"/>
              </w:rPr>
            </w:pPr>
            <w:r>
              <w:rPr>
                <w:rFonts w:ascii="宋体" w:hAnsi="宋体" w:eastAsia="宋体" w:cs="宋体"/>
                <w:sz w:val="18"/>
                <w:szCs w:val="18"/>
              </w:rPr>
              <w:t>（有限合伙）</w:t>
            </w:r>
          </w:p>
        </w:tc>
        <w:tc>
          <w:tcPr>
            <w:tcW w:w="741" w:type="dxa"/>
            <w:tcBorders>
              <w:top w:val="single" w:color="auto" w:sz="2" w:space="0"/>
              <w:left w:val="single" w:color="auto" w:sz="2" w:space="0"/>
              <w:bottom w:val="single" w:color="auto" w:sz="2" w:space="0"/>
              <w:right w:val="single" w:color="auto" w:sz="2" w:space="0"/>
            </w:tcBorders>
            <w:vAlign w:val="center"/>
          </w:tcPr>
          <w:p w14:paraId="0E7792A3">
            <w:pPr>
              <w:spacing w:before="0" w:after="0" w:line="240" w:lineRule="exact"/>
              <w:jc w:val="right"/>
              <w:rPr>
                <w:rFonts w:ascii="宋体" w:hAnsi="宋体" w:eastAsia="宋体" w:cs="宋体"/>
                <w:sz w:val="18"/>
                <w:szCs w:val="18"/>
              </w:rPr>
            </w:pPr>
            <w:r>
              <w:rPr>
                <w:rFonts w:ascii="宋体" w:hAnsi="宋体" w:eastAsia="宋体" w:cs="宋体"/>
                <w:sz w:val="18"/>
                <w:szCs w:val="18"/>
              </w:rPr>
              <w:t>40,000,521.38</w:t>
            </w:r>
          </w:p>
        </w:tc>
        <w:tc>
          <w:tcPr>
            <w:tcW w:w="741" w:type="dxa"/>
            <w:tcBorders>
              <w:top w:val="single" w:color="auto" w:sz="2" w:space="0"/>
              <w:left w:val="single" w:color="auto" w:sz="2" w:space="0"/>
              <w:bottom w:val="single" w:color="auto" w:sz="2" w:space="0"/>
              <w:right w:val="single" w:color="auto" w:sz="2" w:space="0"/>
            </w:tcBorders>
            <w:vAlign w:val="center"/>
          </w:tcPr>
          <w:p w14:paraId="25E6595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E6A7D61">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5AC6EE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82709BB">
            <w:pPr>
              <w:spacing w:before="0" w:after="0" w:line="240" w:lineRule="exact"/>
              <w:jc w:val="right"/>
              <w:rPr>
                <w:rFonts w:ascii="宋体" w:hAnsi="宋体" w:eastAsia="宋体" w:cs="宋体"/>
                <w:sz w:val="18"/>
                <w:szCs w:val="18"/>
              </w:rPr>
            </w:pPr>
            <w:r>
              <w:rPr>
                <w:rFonts w:ascii="宋体" w:hAnsi="宋体" w:eastAsia="宋体" w:cs="宋体"/>
                <w:sz w:val="18"/>
                <w:szCs w:val="18"/>
              </w:rPr>
              <w:t>11.24</w:t>
            </w:r>
          </w:p>
        </w:tc>
        <w:tc>
          <w:tcPr>
            <w:tcW w:w="741" w:type="dxa"/>
            <w:tcBorders>
              <w:top w:val="single" w:color="auto" w:sz="2" w:space="0"/>
              <w:left w:val="single" w:color="auto" w:sz="2" w:space="0"/>
              <w:bottom w:val="single" w:color="auto" w:sz="2" w:space="0"/>
              <w:right w:val="single" w:color="auto" w:sz="2" w:space="0"/>
            </w:tcBorders>
            <w:vAlign w:val="center"/>
          </w:tcPr>
          <w:p w14:paraId="5F932AB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FB7045E">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236021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7B8FD4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615873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1B763FB">
            <w:pPr>
              <w:spacing w:before="0" w:after="0" w:line="240" w:lineRule="exact"/>
              <w:jc w:val="right"/>
              <w:rPr>
                <w:rFonts w:ascii="宋体" w:hAnsi="宋体" w:eastAsia="宋体" w:cs="宋体"/>
                <w:sz w:val="18"/>
                <w:szCs w:val="18"/>
              </w:rPr>
            </w:pPr>
            <w:r>
              <w:rPr>
                <w:rFonts w:ascii="宋体" w:hAnsi="宋体" w:eastAsia="宋体" w:cs="宋体"/>
                <w:sz w:val="18"/>
                <w:szCs w:val="18"/>
              </w:rPr>
              <w:t>40,000,532.62</w:t>
            </w:r>
          </w:p>
        </w:tc>
        <w:tc>
          <w:tcPr>
            <w:tcW w:w="741" w:type="dxa"/>
            <w:tcBorders>
              <w:top w:val="single" w:color="auto" w:sz="2" w:space="0"/>
              <w:left w:val="single" w:color="auto" w:sz="2" w:space="0"/>
              <w:bottom w:val="single" w:color="auto" w:sz="2" w:space="0"/>
              <w:right w:val="single" w:color="auto" w:sz="2" w:space="0"/>
            </w:tcBorders>
            <w:vAlign w:val="center"/>
          </w:tcPr>
          <w:p w14:paraId="718224ED">
            <w:pPr>
              <w:spacing w:before="0" w:after="0" w:line="240" w:lineRule="exact"/>
              <w:jc w:val="right"/>
              <w:rPr>
                <w:rFonts w:ascii="宋体" w:hAnsi="宋体" w:eastAsia="宋体" w:cs="宋体"/>
                <w:sz w:val="18"/>
                <w:szCs w:val="18"/>
              </w:rPr>
            </w:pPr>
          </w:p>
        </w:tc>
      </w:tr>
      <w:tr w14:paraId="5144B1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14:paraId="605C038D">
            <w:pPr>
              <w:spacing w:before="0" w:after="0" w:line="240" w:lineRule="exact"/>
              <w:jc w:val="left"/>
              <w:rPr>
                <w:rFonts w:ascii="宋体" w:hAnsi="宋体" w:eastAsia="宋体" w:cs="宋体"/>
                <w:sz w:val="18"/>
                <w:szCs w:val="18"/>
              </w:rPr>
            </w:pPr>
            <w:r>
              <w:rPr>
                <w:rFonts w:ascii="宋体" w:hAnsi="宋体" w:eastAsia="宋体" w:cs="宋体"/>
                <w:sz w:val="18"/>
                <w:szCs w:val="18"/>
              </w:rPr>
              <w:t>莆田博奥医学检验有限公司</w:t>
            </w:r>
          </w:p>
        </w:tc>
        <w:tc>
          <w:tcPr>
            <w:tcW w:w="741" w:type="dxa"/>
            <w:tcBorders>
              <w:top w:val="single" w:color="auto" w:sz="2" w:space="0"/>
              <w:left w:val="single" w:color="auto" w:sz="2" w:space="0"/>
              <w:bottom w:val="single" w:color="auto" w:sz="2" w:space="0"/>
              <w:right w:val="single" w:color="auto" w:sz="2" w:space="0"/>
            </w:tcBorders>
            <w:vAlign w:val="center"/>
          </w:tcPr>
          <w:p w14:paraId="343DA2BC">
            <w:pPr>
              <w:spacing w:before="0" w:after="0" w:line="240" w:lineRule="exact"/>
              <w:jc w:val="right"/>
              <w:rPr>
                <w:rFonts w:ascii="宋体" w:hAnsi="宋体" w:eastAsia="宋体" w:cs="宋体"/>
                <w:sz w:val="18"/>
                <w:szCs w:val="18"/>
              </w:rPr>
            </w:pPr>
            <w:r>
              <w:rPr>
                <w:rFonts w:ascii="宋体" w:hAnsi="宋体" w:eastAsia="宋体" w:cs="宋体"/>
                <w:sz w:val="18"/>
                <w:szCs w:val="18"/>
              </w:rPr>
              <w:t>9,997,403.65</w:t>
            </w:r>
          </w:p>
        </w:tc>
        <w:tc>
          <w:tcPr>
            <w:tcW w:w="741" w:type="dxa"/>
            <w:tcBorders>
              <w:top w:val="single" w:color="auto" w:sz="2" w:space="0"/>
              <w:left w:val="single" w:color="auto" w:sz="2" w:space="0"/>
              <w:bottom w:val="single" w:color="auto" w:sz="2" w:space="0"/>
              <w:right w:val="single" w:color="auto" w:sz="2" w:space="0"/>
            </w:tcBorders>
            <w:vAlign w:val="center"/>
          </w:tcPr>
          <w:p w14:paraId="6491748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0D5BA0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19A38C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3E8771F">
            <w:pPr>
              <w:spacing w:before="0" w:after="0" w:line="240" w:lineRule="exact"/>
              <w:jc w:val="right"/>
              <w:rPr>
                <w:rFonts w:ascii="宋体" w:hAnsi="宋体" w:eastAsia="宋体" w:cs="宋体"/>
                <w:sz w:val="18"/>
                <w:szCs w:val="18"/>
              </w:rPr>
            </w:pPr>
            <w:r>
              <w:rPr>
                <w:rFonts w:ascii="宋体" w:hAnsi="宋体" w:eastAsia="宋体" w:cs="宋体"/>
                <w:sz w:val="18"/>
                <w:szCs w:val="18"/>
              </w:rPr>
              <w:t>-3,191,141.55</w:t>
            </w:r>
          </w:p>
        </w:tc>
        <w:tc>
          <w:tcPr>
            <w:tcW w:w="741" w:type="dxa"/>
            <w:tcBorders>
              <w:top w:val="single" w:color="auto" w:sz="2" w:space="0"/>
              <w:left w:val="single" w:color="auto" w:sz="2" w:space="0"/>
              <w:bottom w:val="single" w:color="auto" w:sz="2" w:space="0"/>
              <w:right w:val="single" w:color="auto" w:sz="2" w:space="0"/>
            </w:tcBorders>
            <w:vAlign w:val="center"/>
          </w:tcPr>
          <w:p w14:paraId="6AEAAD57">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16D8D7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9447AF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71D530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48F565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77F829E">
            <w:pPr>
              <w:spacing w:before="0" w:after="0" w:line="240" w:lineRule="exact"/>
              <w:jc w:val="right"/>
              <w:rPr>
                <w:rFonts w:ascii="宋体" w:hAnsi="宋体" w:eastAsia="宋体" w:cs="宋体"/>
                <w:sz w:val="18"/>
                <w:szCs w:val="18"/>
              </w:rPr>
            </w:pPr>
            <w:r>
              <w:rPr>
                <w:rFonts w:ascii="宋体" w:hAnsi="宋体" w:eastAsia="宋体" w:cs="宋体"/>
                <w:sz w:val="18"/>
                <w:szCs w:val="18"/>
              </w:rPr>
              <w:t>6,806,262.10</w:t>
            </w:r>
          </w:p>
        </w:tc>
        <w:tc>
          <w:tcPr>
            <w:tcW w:w="741" w:type="dxa"/>
            <w:tcBorders>
              <w:top w:val="single" w:color="auto" w:sz="2" w:space="0"/>
              <w:left w:val="single" w:color="auto" w:sz="2" w:space="0"/>
              <w:bottom w:val="single" w:color="auto" w:sz="2" w:space="0"/>
              <w:right w:val="single" w:color="auto" w:sz="2" w:space="0"/>
            </w:tcBorders>
            <w:vAlign w:val="center"/>
          </w:tcPr>
          <w:p w14:paraId="01C1CD24">
            <w:pPr>
              <w:spacing w:before="0" w:after="0" w:line="240" w:lineRule="exact"/>
              <w:jc w:val="right"/>
              <w:rPr>
                <w:rFonts w:ascii="宋体" w:hAnsi="宋体" w:eastAsia="宋体" w:cs="宋体"/>
                <w:sz w:val="18"/>
                <w:szCs w:val="18"/>
              </w:rPr>
            </w:pPr>
          </w:p>
        </w:tc>
      </w:tr>
      <w:tr w14:paraId="02C5A3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0A68083F">
            <w:pPr>
              <w:spacing w:before="40" w:after="40" w:line="240" w:lineRule="exact"/>
              <w:jc w:val="left"/>
              <w:rPr>
                <w:rFonts w:ascii="宋体" w:hAnsi="宋体" w:eastAsia="宋体" w:cs="宋体"/>
                <w:sz w:val="18"/>
                <w:szCs w:val="18"/>
              </w:rPr>
            </w:pPr>
            <w:r>
              <w:rPr>
                <w:rFonts w:ascii="宋体" w:hAnsi="宋体" w:eastAsia="宋体" w:cs="宋体"/>
                <w:sz w:val="18"/>
                <w:szCs w:val="18"/>
              </w:rPr>
              <w:t>小计</w:t>
            </w:r>
          </w:p>
        </w:tc>
        <w:tc>
          <w:tcPr>
            <w:tcW w:w="741" w:type="dxa"/>
            <w:tcBorders>
              <w:top w:val="single" w:color="auto" w:sz="2" w:space="0"/>
              <w:left w:val="single" w:color="auto" w:sz="2" w:space="0"/>
              <w:bottom w:val="single" w:color="auto" w:sz="2" w:space="0"/>
              <w:right w:val="single" w:color="auto" w:sz="2" w:space="0"/>
            </w:tcBorders>
            <w:vAlign w:val="center"/>
          </w:tcPr>
          <w:p w14:paraId="2CEF9123">
            <w:pPr>
              <w:spacing w:before="0" w:after="0" w:line="240" w:lineRule="exact"/>
              <w:jc w:val="right"/>
              <w:rPr>
                <w:rFonts w:ascii="宋体" w:hAnsi="宋体" w:eastAsia="宋体" w:cs="宋体"/>
                <w:sz w:val="18"/>
                <w:szCs w:val="18"/>
              </w:rPr>
            </w:pPr>
            <w:r>
              <w:rPr>
                <w:rFonts w:ascii="宋体" w:hAnsi="宋体" w:eastAsia="宋体" w:cs="宋体"/>
                <w:sz w:val="18"/>
                <w:szCs w:val="18"/>
              </w:rPr>
              <w:t>108,812,855.05</w:t>
            </w:r>
          </w:p>
        </w:tc>
        <w:tc>
          <w:tcPr>
            <w:tcW w:w="741" w:type="dxa"/>
            <w:tcBorders>
              <w:top w:val="single" w:color="auto" w:sz="2" w:space="0"/>
              <w:left w:val="single" w:color="auto" w:sz="2" w:space="0"/>
              <w:bottom w:val="single" w:color="auto" w:sz="2" w:space="0"/>
              <w:right w:val="single" w:color="auto" w:sz="2" w:space="0"/>
            </w:tcBorders>
            <w:vAlign w:val="center"/>
          </w:tcPr>
          <w:p w14:paraId="2E36555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E3DD8F4">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091C70B2">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E9C5E18">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741" w:type="dxa"/>
            <w:tcBorders>
              <w:top w:val="single" w:color="auto" w:sz="2" w:space="0"/>
              <w:left w:val="single" w:color="auto" w:sz="2" w:space="0"/>
              <w:bottom w:val="single" w:color="auto" w:sz="2" w:space="0"/>
              <w:right w:val="single" w:color="auto" w:sz="2" w:space="0"/>
            </w:tcBorders>
            <w:vAlign w:val="center"/>
          </w:tcPr>
          <w:p w14:paraId="4BFC8A65">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BC814BD">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80062CE">
            <w:pPr>
              <w:spacing w:before="0" w:after="0" w:line="240" w:lineRule="exact"/>
              <w:jc w:val="right"/>
              <w:rPr>
                <w:rFonts w:ascii="宋体" w:hAnsi="宋体" w:eastAsia="宋体" w:cs="宋体"/>
                <w:sz w:val="18"/>
                <w:szCs w:val="18"/>
              </w:rPr>
            </w:pPr>
            <w:r>
              <w:rPr>
                <w:rFonts w:ascii="宋体" w:hAnsi="宋体" w:eastAsia="宋体" w:cs="宋体"/>
                <w:sz w:val="18"/>
                <w:szCs w:val="18"/>
              </w:rPr>
              <w:t>17,640,000.00</w:t>
            </w:r>
          </w:p>
        </w:tc>
        <w:tc>
          <w:tcPr>
            <w:tcW w:w="741" w:type="dxa"/>
            <w:tcBorders>
              <w:top w:val="single" w:color="auto" w:sz="2" w:space="0"/>
              <w:left w:val="single" w:color="auto" w:sz="2" w:space="0"/>
              <w:bottom w:val="single" w:color="auto" w:sz="2" w:space="0"/>
              <w:right w:val="single" w:color="auto" w:sz="2" w:space="0"/>
            </w:tcBorders>
            <w:vAlign w:val="center"/>
          </w:tcPr>
          <w:p w14:paraId="4A9124FF">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37033F83">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21E424C5">
            <w:pPr>
              <w:spacing w:before="0" w:after="0" w:line="240" w:lineRule="exact"/>
              <w:jc w:val="right"/>
              <w:rPr>
                <w:rFonts w:ascii="宋体" w:hAnsi="宋体" w:eastAsia="宋体" w:cs="宋体"/>
                <w:sz w:val="18"/>
                <w:szCs w:val="18"/>
              </w:rPr>
            </w:pPr>
            <w:r>
              <w:rPr>
                <w:rFonts w:ascii="宋体" w:hAnsi="宋体" w:eastAsia="宋体" w:cs="宋体"/>
                <w:sz w:val="18"/>
                <w:szCs w:val="18"/>
              </w:rPr>
              <w:t>80,177,607.81</w:t>
            </w:r>
          </w:p>
        </w:tc>
        <w:tc>
          <w:tcPr>
            <w:tcW w:w="741" w:type="dxa"/>
            <w:tcBorders>
              <w:top w:val="single" w:color="auto" w:sz="2" w:space="0"/>
              <w:left w:val="single" w:color="auto" w:sz="2" w:space="0"/>
              <w:bottom w:val="single" w:color="auto" w:sz="2" w:space="0"/>
              <w:right w:val="single" w:color="auto" w:sz="2" w:space="0"/>
            </w:tcBorders>
            <w:vAlign w:val="center"/>
          </w:tcPr>
          <w:p w14:paraId="7AB29161">
            <w:pPr>
              <w:spacing w:before="0" w:after="0" w:line="240" w:lineRule="exact"/>
              <w:jc w:val="right"/>
              <w:rPr>
                <w:rFonts w:ascii="宋体" w:hAnsi="宋体" w:eastAsia="宋体" w:cs="宋体"/>
                <w:sz w:val="18"/>
                <w:szCs w:val="18"/>
              </w:rPr>
            </w:pPr>
          </w:p>
        </w:tc>
      </w:tr>
      <w:tr w14:paraId="5EDD77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14:paraId="566EE560">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741" w:type="dxa"/>
            <w:tcBorders>
              <w:top w:val="single" w:color="auto" w:sz="2" w:space="0"/>
              <w:left w:val="single" w:color="auto" w:sz="2" w:space="0"/>
              <w:bottom w:val="single" w:color="auto" w:sz="2" w:space="0"/>
              <w:right w:val="single" w:color="auto" w:sz="2" w:space="0"/>
            </w:tcBorders>
            <w:vAlign w:val="center"/>
          </w:tcPr>
          <w:p w14:paraId="16D6A71D">
            <w:pPr>
              <w:spacing w:before="0" w:after="0" w:line="240" w:lineRule="exact"/>
              <w:jc w:val="right"/>
              <w:rPr>
                <w:rFonts w:ascii="宋体" w:hAnsi="宋体" w:eastAsia="宋体" w:cs="宋体"/>
                <w:sz w:val="18"/>
                <w:szCs w:val="18"/>
              </w:rPr>
            </w:pPr>
            <w:r>
              <w:rPr>
                <w:rFonts w:ascii="宋体" w:hAnsi="宋体" w:eastAsia="宋体" w:cs="宋体"/>
                <w:sz w:val="18"/>
                <w:szCs w:val="18"/>
              </w:rPr>
              <w:t>108,812,855.05</w:t>
            </w:r>
          </w:p>
        </w:tc>
        <w:tc>
          <w:tcPr>
            <w:tcW w:w="741" w:type="dxa"/>
            <w:tcBorders>
              <w:top w:val="single" w:color="auto" w:sz="2" w:space="0"/>
              <w:left w:val="single" w:color="auto" w:sz="2" w:space="0"/>
              <w:bottom w:val="single" w:color="auto" w:sz="2" w:space="0"/>
              <w:right w:val="single" w:color="auto" w:sz="2" w:space="0"/>
            </w:tcBorders>
            <w:vAlign w:val="center"/>
          </w:tcPr>
          <w:p w14:paraId="16B01A60">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195AD7DA">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4CBDF47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9C0A530">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741" w:type="dxa"/>
            <w:tcBorders>
              <w:top w:val="single" w:color="auto" w:sz="2" w:space="0"/>
              <w:left w:val="single" w:color="auto" w:sz="2" w:space="0"/>
              <w:bottom w:val="single" w:color="auto" w:sz="2" w:space="0"/>
              <w:right w:val="single" w:color="auto" w:sz="2" w:space="0"/>
            </w:tcBorders>
            <w:vAlign w:val="center"/>
          </w:tcPr>
          <w:p w14:paraId="4A38E3E6">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5051F428">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58A89D7">
            <w:pPr>
              <w:spacing w:before="0" w:after="0" w:line="240" w:lineRule="exact"/>
              <w:jc w:val="right"/>
              <w:rPr>
                <w:rFonts w:ascii="宋体" w:hAnsi="宋体" w:eastAsia="宋体" w:cs="宋体"/>
                <w:sz w:val="18"/>
                <w:szCs w:val="18"/>
              </w:rPr>
            </w:pPr>
            <w:r>
              <w:rPr>
                <w:rFonts w:ascii="宋体" w:hAnsi="宋体" w:eastAsia="宋体" w:cs="宋体"/>
                <w:sz w:val="18"/>
                <w:szCs w:val="18"/>
              </w:rPr>
              <w:t>17,640,000.00</w:t>
            </w:r>
          </w:p>
        </w:tc>
        <w:tc>
          <w:tcPr>
            <w:tcW w:w="741" w:type="dxa"/>
            <w:tcBorders>
              <w:top w:val="single" w:color="auto" w:sz="2" w:space="0"/>
              <w:left w:val="single" w:color="auto" w:sz="2" w:space="0"/>
              <w:bottom w:val="single" w:color="auto" w:sz="2" w:space="0"/>
              <w:right w:val="single" w:color="auto" w:sz="2" w:space="0"/>
            </w:tcBorders>
            <w:vAlign w:val="center"/>
          </w:tcPr>
          <w:p w14:paraId="2613997B">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60D5FACC">
            <w:pPr>
              <w:spacing w:before="0" w:after="0"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14:paraId="74C55EC9">
            <w:pPr>
              <w:spacing w:before="0" w:after="0" w:line="240" w:lineRule="exact"/>
              <w:jc w:val="right"/>
              <w:rPr>
                <w:rFonts w:ascii="宋体" w:hAnsi="宋体" w:eastAsia="宋体" w:cs="宋体"/>
                <w:sz w:val="18"/>
                <w:szCs w:val="18"/>
              </w:rPr>
            </w:pPr>
            <w:r>
              <w:rPr>
                <w:rFonts w:ascii="宋体" w:hAnsi="宋体" w:eastAsia="宋体" w:cs="宋体"/>
                <w:sz w:val="18"/>
                <w:szCs w:val="18"/>
              </w:rPr>
              <w:t>80,177,607.81</w:t>
            </w:r>
          </w:p>
        </w:tc>
        <w:tc>
          <w:tcPr>
            <w:tcW w:w="741" w:type="dxa"/>
            <w:tcBorders>
              <w:top w:val="single" w:color="auto" w:sz="2" w:space="0"/>
              <w:left w:val="single" w:color="auto" w:sz="2" w:space="0"/>
              <w:bottom w:val="single" w:color="auto" w:sz="2" w:space="0"/>
              <w:right w:val="single" w:color="auto" w:sz="2" w:space="0"/>
            </w:tcBorders>
            <w:vAlign w:val="center"/>
          </w:tcPr>
          <w:p w14:paraId="4F90326D">
            <w:pPr>
              <w:spacing w:before="0" w:after="0" w:line="240" w:lineRule="exact"/>
              <w:jc w:val="right"/>
              <w:rPr>
                <w:rFonts w:ascii="宋体" w:hAnsi="宋体" w:eastAsia="宋体" w:cs="宋体"/>
                <w:sz w:val="18"/>
                <w:szCs w:val="18"/>
              </w:rPr>
            </w:pPr>
          </w:p>
        </w:tc>
      </w:tr>
    </w:tbl>
    <w:p w14:paraId="7976C225">
      <w:pPr>
        <w:spacing w:before="100" w:after="100" w:line="240" w:lineRule="exact"/>
        <w:jc w:val="left"/>
        <w:rPr>
          <w:rFonts w:ascii="宋体" w:hAnsi="宋体" w:eastAsia="宋体" w:cs="宋体"/>
          <w:sz w:val="18"/>
          <w:szCs w:val="18"/>
        </w:rPr>
      </w:pPr>
      <w:r>
        <w:rPr>
          <w:rFonts w:ascii="宋体" w:hAnsi="宋体" w:eastAsia="宋体" w:cs="宋体"/>
          <w:sz w:val="18"/>
          <w:szCs w:val="18"/>
        </w:rPr>
        <w:t>可收回金额按公允价值减去处置费用后的净额确定</w:t>
      </w:r>
    </w:p>
    <w:p w14:paraId="2E2144BB">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0015D5CE">
      <w:pPr>
        <w:spacing w:before="100" w:after="100" w:line="240" w:lineRule="exact"/>
        <w:jc w:val="left"/>
        <w:rPr>
          <w:rFonts w:ascii="宋体" w:hAnsi="宋体" w:eastAsia="宋体" w:cs="宋体"/>
          <w:sz w:val="18"/>
          <w:szCs w:val="18"/>
        </w:rPr>
      </w:pPr>
      <w:r>
        <w:rPr>
          <w:rFonts w:ascii="宋体" w:hAnsi="宋体" w:eastAsia="宋体" w:cs="宋体"/>
          <w:sz w:val="18"/>
          <w:szCs w:val="18"/>
        </w:rPr>
        <w:t>可收回金额按预计未来现金流量的现值确定</w:t>
      </w:r>
    </w:p>
    <w:p w14:paraId="02FF2569">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4C30091">
      <w:pPr>
        <w:spacing w:before="100" w:after="100" w:line="240" w:lineRule="exact"/>
        <w:jc w:val="left"/>
        <w:rPr>
          <w:rFonts w:ascii="宋体" w:hAnsi="宋体" w:eastAsia="宋体" w:cs="宋体"/>
          <w:sz w:val="18"/>
          <w:szCs w:val="18"/>
        </w:rPr>
      </w:pPr>
      <w:r>
        <w:rPr>
          <w:rFonts w:ascii="宋体" w:hAnsi="宋体" w:eastAsia="宋体" w:cs="宋体"/>
          <w:sz w:val="18"/>
          <w:szCs w:val="18"/>
        </w:rPr>
        <w:t>前述信息与以前年度减值测试采用的信息或外部信息明显不一致的差异原因</w:t>
      </w:r>
    </w:p>
    <w:p w14:paraId="598AF83D">
      <w:pPr>
        <w:spacing w:before="100" w:after="100" w:line="240" w:lineRule="exact"/>
        <w:jc w:val="left"/>
        <w:rPr>
          <w:rFonts w:ascii="宋体" w:hAnsi="宋体" w:eastAsia="宋体" w:cs="宋体"/>
          <w:sz w:val="18"/>
          <w:szCs w:val="18"/>
        </w:rPr>
      </w:pPr>
      <w:r>
        <w:rPr>
          <w:rFonts w:ascii="宋体" w:hAnsi="宋体" w:eastAsia="宋体" w:cs="宋体"/>
          <w:sz w:val="18"/>
          <w:szCs w:val="18"/>
        </w:rPr>
        <w:t>公司以前年度减值测试采用信息与当年实际情况明显不一致的差异原因</w:t>
      </w:r>
    </w:p>
    <w:p w14:paraId="5CAF1D71">
      <w:pPr>
        <w:keepNext/>
        <w:keepLines/>
        <w:spacing w:before="300" w:after="300" w:line="280" w:lineRule="exact"/>
        <w:jc w:val="left"/>
        <w:outlineLvl w:val="3"/>
        <w:rPr>
          <w:rFonts w:ascii="宋体" w:hAnsi="宋体" w:eastAsia="宋体" w:cs="宋体"/>
          <w:b/>
          <w:bCs/>
          <w:sz w:val="21"/>
          <w:szCs w:val="21"/>
        </w:rPr>
      </w:pPr>
      <w:bookmarkStart w:id="609" w:name="_Toc989492"/>
      <w:r>
        <w:rPr>
          <w:rFonts w:ascii="宋体" w:hAnsi="宋体" w:eastAsia="宋体" w:cs="宋体"/>
          <w:b/>
          <w:bCs/>
          <w:sz w:val="21"/>
          <w:szCs w:val="21"/>
        </w:rPr>
        <w:t>（3） 其他说明</w:t>
      </w:r>
      <w:bookmarkEnd w:id="609"/>
    </w:p>
    <w:p w14:paraId="78EB2163">
      <w:pPr>
        <w:keepNext/>
        <w:keepLines/>
        <w:spacing w:before="300" w:after="300" w:line="280" w:lineRule="exact"/>
        <w:jc w:val="left"/>
        <w:outlineLvl w:val="2"/>
        <w:rPr>
          <w:rFonts w:ascii="宋体" w:hAnsi="宋体" w:eastAsia="宋体" w:cs="宋体"/>
          <w:b/>
          <w:bCs/>
          <w:sz w:val="21"/>
          <w:szCs w:val="21"/>
        </w:rPr>
      </w:pPr>
      <w:bookmarkStart w:id="610" w:name="_Toc989493"/>
      <w:r>
        <w:rPr>
          <w:rFonts w:ascii="宋体" w:hAnsi="宋体" w:eastAsia="宋体" w:cs="宋体"/>
          <w:b/>
          <w:bCs/>
          <w:sz w:val="21"/>
          <w:szCs w:val="21"/>
        </w:rPr>
        <w:t>4、营业收入和营业成本</w:t>
      </w:r>
      <w:bookmarkEnd w:id="610"/>
    </w:p>
    <w:p w14:paraId="094A70F8">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8"/>
        <w:gridCol w:w="1928"/>
        <w:gridCol w:w="1928"/>
        <w:gridCol w:w="1928"/>
        <w:gridCol w:w="1928"/>
      </w:tblGrid>
      <w:tr w14:paraId="15C269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F02799A">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9194341">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301E3DEF">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7DBD5D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1FC48BBC"/>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F0024AD">
            <w:pPr>
              <w:spacing w:before="40" w:after="40" w:line="240" w:lineRule="exact"/>
              <w:jc w:val="center"/>
              <w:rPr>
                <w:rFonts w:ascii="宋体" w:hAnsi="宋体" w:eastAsia="宋体" w:cs="宋体"/>
                <w:sz w:val="18"/>
                <w:szCs w:val="18"/>
              </w:rPr>
            </w:pPr>
            <w:r>
              <w:rPr>
                <w:rFonts w:ascii="宋体" w:hAnsi="宋体" w:eastAsia="宋体" w:cs="宋体"/>
                <w:sz w:val="18"/>
                <w:szCs w:val="18"/>
              </w:rPr>
              <w:t>收入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E09A813">
            <w:pPr>
              <w:spacing w:before="40" w:after="40" w:line="240" w:lineRule="exact"/>
              <w:jc w:val="center"/>
              <w:rPr>
                <w:rFonts w:ascii="宋体" w:hAnsi="宋体" w:eastAsia="宋体" w:cs="宋体"/>
                <w:sz w:val="18"/>
                <w:szCs w:val="18"/>
              </w:rPr>
            </w:pPr>
            <w:r>
              <w:rPr>
                <w:rFonts w:ascii="宋体" w:hAnsi="宋体" w:eastAsia="宋体" w:cs="宋体"/>
                <w:sz w:val="18"/>
                <w:szCs w:val="18"/>
              </w:rPr>
              <w:t>成本</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DE37F67">
            <w:pPr>
              <w:spacing w:before="40" w:after="40" w:line="240" w:lineRule="exact"/>
              <w:jc w:val="center"/>
              <w:rPr>
                <w:rFonts w:ascii="宋体" w:hAnsi="宋体" w:eastAsia="宋体" w:cs="宋体"/>
                <w:sz w:val="18"/>
                <w:szCs w:val="18"/>
              </w:rPr>
            </w:pPr>
            <w:r>
              <w:rPr>
                <w:rFonts w:ascii="宋体" w:hAnsi="宋体" w:eastAsia="宋体" w:cs="宋体"/>
                <w:sz w:val="18"/>
                <w:szCs w:val="18"/>
              </w:rPr>
              <w:t>收入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C22D5F2">
            <w:pPr>
              <w:spacing w:before="40" w:after="40" w:line="240" w:lineRule="exact"/>
              <w:jc w:val="center"/>
              <w:rPr>
                <w:rFonts w:ascii="宋体" w:hAnsi="宋体" w:eastAsia="宋体" w:cs="宋体"/>
                <w:sz w:val="18"/>
                <w:szCs w:val="18"/>
              </w:rPr>
            </w:pPr>
            <w:r>
              <w:rPr>
                <w:rFonts w:ascii="宋体" w:hAnsi="宋体" w:eastAsia="宋体" w:cs="宋体"/>
                <w:sz w:val="18"/>
                <w:szCs w:val="18"/>
              </w:rPr>
              <w:t>成本</w:t>
            </w:r>
          </w:p>
        </w:tc>
      </w:tr>
      <w:tr w14:paraId="776055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1A7E652">
            <w:pPr>
              <w:spacing w:before="40" w:after="40" w:line="240" w:lineRule="exact"/>
              <w:jc w:val="left"/>
              <w:rPr>
                <w:rFonts w:ascii="宋体" w:hAnsi="宋体" w:eastAsia="宋体" w:cs="宋体"/>
                <w:sz w:val="18"/>
                <w:szCs w:val="18"/>
              </w:rPr>
            </w:pPr>
            <w:r>
              <w:rPr>
                <w:rFonts w:ascii="宋体" w:hAnsi="宋体" w:eastAsia="宋体" w:cs="宋体"/>
                <w:sz w:val="18"/>
                <w:szCs w:val="18"/>
              </w:rPr>
              <w:t>主营业务</w:t>
            </w:r>
          </w:p>
        </w:tc>
        <w:tc>
          <w:tcPr>
            <w:tcW w:w="1928" w:type="dxa"/>
            <w:tcBorders>
              <w:top w:val="single" w:color="auto" w:sz="2" w:space="0"/>
              <w:left w:val="single" w:color="auto" w:sz="2" w:space="0"/>
              <w:bottom w:val="single" w:color="auto" w:sz="2" w:space="0"/>
              <w:right w:val="single" w:color="auto" w:sz="2" w:space="0"/>
            </w:tcBorders>
            <w:vAlign w:val="center"/>
          </w:tcPr>
          <w:p w14:paraId="73985D3B">
            <w:pPr>
              <w:spacing w:before="0" w:after="0" w:line="240" w:lineRule="exact"/>
              <w:jc w:val="right"/>
              <w:rPr>
                <w:rFonts w:ascii="宋体" w:hAnsi="宋体" w:eastAsia="宋体" w:cs="宋体"/>
                <w:sz w:val="18"/>
                <w:szCs w:val="18"/>
              </w:rPr>
            </w:pPr>
            <w:r>
              <w:rPr>
                <w:rFonts w:ascii="宋体" w:hAnsi="宋体" w:eastAsia="宋体" w:cs="宋体"/>
                <w:sz w:val="18"/>
                <w:szCs w:val="18"/>
              </w:rPr>
              <w:t>230,542,071.64</w:t>
            </w:r>
          </w:p>
        </w:tc>
        <w:tc>
          <w:tcPr>
            <w:tcW w:w="1928" w:type="dxa"/>
            <w:tcBorders>
              <w:top w:val="single" w:color="auto" w:sz="2" w:space="0"/>
              <w:left w:val="single" w:color="auto" w:sz="2" w:space="0"/>
              <w:bottom w:val="single" w:color="auto" w:sz="2" w:space="0"/>
              <w:right w:val="single" w:color="auto" w:sz="2" w:space="0"/>
            </w:tcBorders>
            <w:vAlign w:val="center"/>
          </w:tcPr>
          <w:p w14:paraId="6193101F">
            <w:pPr>
              <w:spacing w:before="0" w:after="0" w:line="240" w:lineRule="exact"/>
              <w:jc w:val="right"/>
              <w:rPr>
                <w:rFonts w:ascii="宋体" w:hAnsi="宋体" w:eastAsia="宋体" w:cs="宋体"/>
                <w:sz w:val="18"/>
                <w:szCs w:val="18"/>
              </w:rPr>
            </w:pPr>
            <w:r>
              <w:rPr>
                <w:rFonts w:ascii="宋体" w:hAnsi="宋体" w:eastAsia="宋体" w:cs="宋体"/>
                <w:sz w:val="18"/>
                <w:szCs w:val="18"/>
              </w:rPr>
              <w:t>135,392,124.17</w:t>
            </w:r>
          </w:p>
        </w:tc>
        <w:tc>
          <w:tcPr>
            <w:tcW w:w="1928" w:type="dxa"/>
            <w:tcBorders>
              <w:top w:val="single" w:color="auto" w:sz="2" w:space="0"/>
              <w:left w:val="single" w:color="auto" w:sz="2" w:space="0"/>
              <w:bottom w:val="single" w:color="auto" w:sz="2" w:space="0"/>
              <w:right w:val="single" w:color="auto" w:sz="2" w:space="0"/>
            </w:tcBorders>
            <w:vAlign w:val="center"/>
          </w:tcPr>
          <w:p w14:paraId="1940326F">
            <w:pPr>
              <w:spacing w:before="0" w:after="0" w:line="240" w:lineRule="exact"/>
              <w:jc w:val="right"/>
              <w:rPr>
                <w:rFonts w:ascii="宋体" w:hAnsi="宋体" w:eastAsia="宋体" w:cs="宋体"/>
                <w:sz w:val="18"/>
                <w:szCs w:val="18"/>
              </w:rPr>
            </w:pPr>
            <w:r>
              <w:rPr>
                <w:rFonts w:ascii="宋体" w:hAnsi="宋体" w:eastAsia="宋体" w:cs="宋体"/>
                <w:sz w:val="18"/>
                <w:szCs w:val="18"/>
              </w:rPr>
              <w:t>184,104,027.93</w:t>
            </w:r>
          </w:p>
        </w:tc>
        <w:tc>
          <w:tcPr>
            <w:tcW w:w="1928" w:type="dxa"/>
            <w:tcBorders>
              <w:top w:val="single" w:color="auto" w:sz="2" w:space="0"/>
              <w:left w:val="single" w:color="auto" w:sz="2" w:space="0"/>
              <w:bottom w:val="single" w:color="auto" w:sz="2" w:space="0"/>
              <w:right w:val="single" w:color="auto" w:sz="2" w:space="0"/>
            </w:tcBorders>
            <w:vAlign w:val="center"/>
          </w:tcPr>
          <w:p w14:paraId="6B180434">
            <w:pPr>
              <w:spacing w:before="0" w:after="0" w:line="240" w:lineRule="exact"/>
              <w:jc w:val="right"/>
              <w:rPr>
                <w:rFonts w:ascii="宋体" w:hAnsi="宋体" w:eastAsia="宋体" w:cs="宋体"/>
                <w:sz w:val="18"/>
                <w:szCs w:val="18"/>
              </w:rPr>
            </w:pPr>
            <w:r>
              <w:rPr>
                <w:rFonts w:ascii="宋体" w:hAnsi="宋体" w:eastAsia="宋体" w:cs="宋体"/>
                <w:sz w:val="18"/>
                <w:szCs w:val="18"/>
              </w:rPr>
              <w:t>114,959,457.08</w:t>
            </w:r>
          </w:p>
        </w:tc>
      </w:tr>
      <w:tr w14:paraId="3FE37C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7D1A1EB6">
            <w:pPr>
              <w:spacing w:before="40" w:after="40" w:line="240" w:lineRule="exact"/>
              <w:jc w:val="left"/>
              <w:rPr>
                <w:rFonts w:ascii="宋体" w:hAnsi="宋体" w:eastAsia="宋体" w:cs="宋体"/>
                <w:sz w:val="18"/>
                <w:szCs w:val="18"/>
              </w:rPr>
            </w:pPr>
            <w:r>
              <w:rPr>
                <w:rFonts w:ascii="宋体" w:hAnsi="宋体" w:eastAsia="宋体" w:cs="宋体"/>
                <w:sz w:val="18"/>
                <w:szCs w:val="18"/>
              </w:rPr>
              <w:t>其他业务</w:t>
            </w:r>
          </w:p>
        </w:tc>
        <w:tc>
          <w:tcPr>
            <w:tcW w:w="1928" w:type="dxa"/>
            <w:tcBorders>
              <w:top w:val="single" w:color="auto" w:sz="2" w:space="0"/>
              <w:left w:val="single" w:color="auto" w:sz="2" w:space="0"/>
              <w:bottom w:val="single" w:color="auto" w:sz="2" w:space="0"/>
              <w:right w:val="single" w:color="auto" w:sz="2" w:space="0"/>
            </w:tcBorders>
            <w:vAlign w:val="center"/>
          </w:tcPr>
          <w:p w14:paraId="55950ED6">
            <w:pPr>
              <w:spacing w:before="0" w:after="0" w:line="240" w:lineRule="exact"/>
              <w:jc w:val="right"/>
              <w:rPr>
                <w:rFonts w:ascii="宋体" w:hAnsi="宋体" w:eastAsia="宋体" w:cs="宋体"/>
                <w:sz w:val="18"/>
                <w:szCs w:val="18"/>
              </w:rPr>
            </w:pPr>
            <w:r>
              <w:rPr>
                <w:rFonts w:ascii="宋体" w:hAnsi="宋体" w:eastAsia="宋体" w:cs="宋体"/>
                <w:sz w:val="18"/>
                <w:szCs w:val="18"/>
              </w:rPr>
              <w:t>11,070,717.01</w:t>
            </w:r>
          </w:p>
        </w:tc>
        <w:tc>
          <w:tcPr>
            <w:tcW w:w="1928" w:type="dxa"/>
            <w:tcBorders>
              <w:top w:val="single" w:color="auto" w:sz="2" w:space="0"/>
              <w:left w:val="single" w:color="auto" w:sz="2" w:space="0"/>
              <w:bottom w:val="single" w:color="auto" w:sz="2" w:space="0"/>
              <w:right w:val="single" w:color="auto" w:sz="2" w:space="0"/>
            </w:tcBorders>
            <w:vAlign w:val="center"/>
          </w:tcPr>
          <w:p w14:paraId="1EC5E6A0">
            <w:pPr>
              <w:spacing w:before="0" w:after="0" w:line="240" w:lineRule="exact"/>
              <w:jc w:val="right"/>
              <w:rPr>
                <w:rFonts w:ascii="宋体" w:hAnsi="宋体" w:eastAsia="宋体" w:cs="宋体"/>
                <w:sz w:val="18"/>
                <w:szCs w:val="18"/>
              </w:rPr>
            </w:pPr>
            <w:r>
              <w:rPr>
                <w:rFonts w:ascii="宋体" w:hAnsi="宋体" w:eastAsia="宋体" w:cs="宋体"/>
                <w:sz w:val="18"/>
                <w:szCs w:val="18"/>
              </w:rPr>
              <w:t>10,055,699.33</w:t>
            </w:r>
          </w:p>
        </w:tc>
        <w:tc>
          <w:tcPr>
            <w:tcW w:w="1928" w:type="dxa"/>
            <w:tcBorders>
              <w:top w:val="single" w:color="auto" w:sz="2" w:space="0"/>
              <w:left w:val="single" w:color="auto" w:sz="2" w:space="0"/>
              <w:bottom w:val="single" w:color="auto" w:sz="2" w:space="0"/>
              <w:right w:val="single" w:color="auto" w:sz="2" w:space="0"/>
            </w:tcBorders>
            <w:vAlign w:val="center"/>
          </w:tcPr>
          <w:p w14:paraId="259891A2">
            <w:pPr>
              <w:spacing w:before="0" w:after="0" w:line="240" w:lineRule="exact"/>
              <w:jc w:val="right"/>
              <w:rPr>
                <w:rFonts w:ascii="宋体" w:hAnsi="宋体" w:eastAsia="宋体" w:cs="宋体"/>
                <w:sz w:val="18"/>
                <w:szCs w:val="18"/>
              </w:rPr>
            </w:pPr>
            <w:r>
              <w:rPr>
                <w:rFonts w:ascii="宋体" w:hAnsi="宋体" w:eastAsia="宋体" w:cs="宋体"/>
                <w:sz w:val="18"/>
                <w:szCs w:val="18"/>
              </w:rPr>
              <w:t>25,783,251.04</w:t>
            </w:r>
          </w:p>
        </w:tc>
        <w:tc>
          <w:tcPr>
            <w:tcW w:w="1928" w:type="dxa"/>
            <w:tcBorders>
              <w:top w:val="single" w:color="auto" w:sz="2" w:space="0"/>
              <w:left w:val="single" w:color="auto" w:sz="2" w:space="0"/>
              <w:bottom w:val="single" w:color="auto" w:sz="2" w:space="0"/>
              <w:right w:val="single" w:color="auto" w:sz="2" w:space="0"/>
            </w:tcBorders>
            <w:vAlign w:val="center"/>
          </w:tcPr>
          <w:p w14:paraId="741939B7">
            <w:pPr>
              <w:spacing w:before="0" w:after="0" w:line="240" w:lineRule="exact"/>
              <w:jc w:val="right"/>
              <w:rPr>
                <w:rFonts w:ascii="宋体" w:hAnsi="宋体" w:eastAsia="宋体" w:cs="宋体"/>
                <w:sz w:val="18"/>
                <w:szCs w:val="18"/>
              </w:rPr>
            </w:pPr>
            <w:r>
              <w:rPr>
                <w:rFonts w:ascii="宋体" w:hAnsi="宋体" w:eastAsia="宋体" w:cs="宋体"/>
                <w:sz w:val="18"/>
                <w:szCs w:val="18"/>
              </w:rPr>
              <w:t>25,062,411.22</w:t>
            </w:r>
          </w:p>
        </w:tc>
      </w:tr>
      <w:tr w14:paraId="13027F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265CF37E">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14:paraId="31803753">
            <w:pPr>
              <w:spacing w:before="0" w:after="0" w:line="240" w:lineRule="exact"/>
              <w:jc w:val="right"/>
              <w:rPr>
                <w:rFonts w:ascii="宋体" w:hAnsi="宋体" w:eastAsia="宋体" w:cs="宋体"/>
                <w:sz w:val="18"/>
                <w:szCs w:val="18"/>
              </w:rPr>
            </w:pPr>
            <w:r>
              <w:rPr>
                <w:rFonts w:ascii="宋体" w:hAnsi="宋体" w:eastAsia="宋体" w:cs="宋体"/>
                <w:sz w:val="18"/>
                <w:szCs w:val="18"/>
              </w:rPr>
              <w:t>241,612,788.65</w:t>
            </w:r>
          </w:p>
        </w:tc>
        <w:tc>
          <w:tcPr>
            <w:tcW w:w="1928" w:type="dxa"/>
            <w:tcBorders>
              <w:top w:val="single" w:color="auto" w:sz="2" w:space="0"/>
              <w:left w:val="single" w:color="auto" w:sz="2" w:space="0"/>
              <w:bottom w:val="single" w:color="auto" w:sz="2" w:space="0"/>
              <w:right w:val="single" w:color="auto" w:sz="2" w:space="0"/>
            </w:tcBorders>
            <w:vAlign w:val="center"/>
          </w:tcPr>
          <w:p w14:paraId="46A2F6C8">
            <w:pPr>
              <w:spacing w:before="0" w:after="0" w:line="240" w:lineRule="exact"/>
              <w:jc w:val="right"/>
              <w:rPr>
                <w:rFonts w:ascii="宋体" w:hAnsi="宋体" w:eastAsia="宋体" w:cs="宋体"/>
                <w:sz w:val="18"/>
                <w:szCs w:val="18"/>
              </w:rPr>
            </w:pPr>
            <w:r>
              <w:rPr>
                <w:rFonts w:ascii="宋体" w:hAnsi="宋体" w:eastAsia="宋体" w:cs="宋体"/>
                <w:sz w:val="18"/>
                <w:szCs w:val="18"/>
              </w:rPr>
              <w:t>145,447,823.50</w:t>
            </w:r>
          </w:p>
        </w:tc>
        <w:tc>
          <w:tcPr>
            <w:tcW w:w="1928" w:type="dxa"/>
            <w:tcBorders>
              <w:top w:val="single" w:color="auto" w:sz="2" w:space="0"/>
              <w:left w:val="single" w:color="auto" w:sz="2" w:space="0"/>
              <w:bottom w:val="single" w:color="auto" w:sz="2" w:space="0"/>
              <w:right w:val="single" w:color="auto" w:sz="2" w:space="0"/>
            </w:tcBorders>
            <w:vAlign w:val="center"/>
          </w:tcPr>
          <w:p w14:paraId="68B50019">
            <w:pPr>
              <w:spacing w:before="0" w:after="0" w:line="240" w:lineRule="exact"/>
              <w:jc w:val="right"/>
              <w:rPr>
                <w:rFonts w:ascii="宋体" w:hAnsi="宋体" w:eastAsia="宋体" w:cs="宋体"/>
                <w:sz w:val="18"/>
                <w:szCs w:val="18"/>
              </w:rPr>
            </w:pPr>
            <w:r>
              <w:rPr>
                <w:rFonts w:ascii="宋体" w:hAnsi="宋体" w:eastAsia="宋体" w:cs="宋体"/>
                <w:sz w:val="18"/>
                <w:szCs w:val="18"/>
              </w:rPr>
              <w:t>209,887,278.97</w:t>
            </w:r>
          </w:p>
        </w:tc>
        <w:tc>
          <w:tcPr>
            <w:tcW w:w="1928" w:type="dxa"/>
            <w:tcBorders>
              <w:top w:val="single" w:color="auto" w:sz="2" w:space="0"/>
              <w:left w:val="single" w:color="auto" w:sz="2" w:space="0"/>
              <w:bottom w:val="single" w:color="auto" w:sz="2" w:space="0"/>
              <w:right w:val="single" w:color="auto" w:sz="2" w:space="0"/>
            </w:tcBorders>
            <w:vAlign w:val="center"/>
          </w:tcPr>
          <w:p w14:paraId="0D4C8B26">
            <w:pPr>
              <w:spacing w:before="0" w:after="0" w:line="240" w:lineRule="exact"/>
              <w:jc w:val="right"/>
              <w:rPr>
                <w:rFonts w:ascii="宋体" w:hAnsi="宋体" w:eastAsia="宋体" w:cs="宋体"/>
                <w:sz w:val="18"/>
                <w:szCs w:val="18"/>
              </w:rPr>
            </w:pPr>
            <w:r>
              <w:rPr>
                <w:rFonts w:ascii="宋体" w:hAnsi="宋体" w:eastAsia="宋体" w:cs="宋体"/>
                <w:sz w:val="18"/>
                <w:szCs w:val="18"/>
              </w:rPr>
              <w:t>140,021,868.30</w:t>
            </w:r>
          </w:p>
        </w:tc>
      </w:tr>
    </w:tbl>
    <w:p w14:paraId="1E0652BB">
      <w:pPr>
        <w:spacing w:before="100" w:after="100" w:line="240" w:lineRule="exact"/>
        <w:jc w:val="left"/>
        <w:rPr>
          <w:rFonts w:ascii="宋体" w:hAnsi="宋体" w:eastAsia="宋体" w:cs="宋体"/>
          <w:sz w:val="18"/>
          <w:szCs w:val="18"/>
        </w:rPr>
      </w:pPr>
      <w:r>
        <w:rPr>
          <w:rFonts w:ascii="宋体" w:hAnsi="宋体" w:eastAsia="宋体" w:cs="宋体"/>
          <w:sz w:val="18"/>
          <w:szCs w:val="18"/>
        </w:rPr>
        <w:t>营业收入、营业成本的分解信息：</w:t>
      </w:r>
    </w:p>
    <w:p w14:paraId="24F3F78A">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14:paraId="536685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55DB388">
            <w:pPr>
              <w:spacing w:before="40" w:after="40" w:line="240" w:lineRule="exact"/>
              <w:jc w:val="center"/>
              <w:rPr>
                <w:rFonts w:ascii="宋体" w:hAnsi="宋体" w:eastAsia="宋体" w:cs="宋体"/>
                <w:sz w:val="18"/>
                <w:szCs w:val="18"/>
              </w:rPr>
            </w:pPr>
            <w:r>
              <w:rPr>
                <w:rFonts w:ascii="宋体" w:hAnsi="宋体" w:eastAsia="宋体" w:cs="宋体"/>
                <w:sz w:val="18"/>
                <w:szCs w:val="18"/>
              </w:rPr>
              <w:t>合同分类</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E79F69A">
            <w:pPr>
              <w:spacing w:before="40" w:after="40" w:line="240" w:lineRule="exact"/>
              <w:jc w:val="center"/>
              <w:rPr>
                <w:rFonts w:ascii="宋体" w:hAnsi="宋体" w:eastAsia="宋体" w:cs="宋体"/>
                <w:sz w:val="18"/>
                <w:szCs w:val="18"/>
              </w:rPr>
            </w:pPr>
            <w:r>
              <w:rPr>
                <w:rFonts w:ascii="宋体" w:hAnsi="宋体" w:eastAsia="宋体" w:cs="宋体"/>
                <w:sz w:val="18"/>
                <w:szCs w:val="18"/>
              </w:rPr>
              <w:t>分部1</w:t>
            </w: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A750A8A">
            <w:pPr>
              <w:spacing w:before="40" w:after="40" w:line="240" w:lineRule="exact"/>
              <w:jc w:val="center"/>
              <w:rPr>
                <w:rFonts w:ascii="宋体" w:hAnsi="宋体" w:eastAsia="宋体" w:cs="宋体"/>
                <w:sz w:val="18"/>
                <w:szCs w:val="18"/>
              </w:rPr>
            </w:pPr>
            <w:r>
              <w:rPr>
                <w:rFonts w:ascii="宋体" w:hAnsi="宋体" w:eastAsia="宋体" w:cs="宋体"/>
                <w:sz w:val="18"/>
                <w:szCs w:val="18"/>
              </w:rPr>
              <w:t>分部2</w:t>
            </w:r>
          </w:p>
        </w:tc>
        <w:tc>
          <w:tcPr>
            <w:tcW w:w="2142" w:type="dxa"/>
            <w:gridSpan w:val="2"/>
            <w:tcBorders>
              <w:top w:val="single" w:color="auto" w:sz="2" w:space="0"/>
              <w:left w:val="single" w:color="auto" w:sz="2" w:space="0"/>
              <w:bottom w:val="single" w:color="auto" w:sz="2" w:space="0"/>
              <w:right w:val="single" w:color="auto" w:sz="2" w:space="0"/>
            </w:tcBorders>
            <w:vAlign w:val="center"/>
          </w:tcPr>
          <w:p w14:paraId="17E0D0CF">
            <w:pPr>
              <w:spacing w:before="0" w:after="0" w:line="240" w:lineRule="exact"/>
              <w:jc w:val="center"/>
              <w:rPr>
                <w:rFonts w:ascii="宋体" w:hAnsi="宋体" w:eastAsia="宋体" w:cs="宋体"/>
                <w:sz w:val="18"/>
                <w:szCs w:val="18"/>
              </w:rPr>
            </w:pPr>
          </w:p>
        </w:tc>
        <w:tc>
          <w:tcPr>
            <w:tcW w:w="214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B4A9BA8">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14:paraId="1BD330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02293F4"/>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2FA155A">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53C79FD">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B987BD6">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99AA8C9">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00CAF0A">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8EE1B09">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766DF19">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97595DD">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w:t>
            </w:r>
          </w:p>
        </w:tc>
      </w:tr>
      <w:tr w14:paraId="7E7829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167820F">
            <w:pPr>
              <w:spacing w:before="40" w:after="40" w:line="240" w:lineRule="exact"/>
              <w:jc w:val="left"/>
              <w:rPr>
                <w:rFonts w:ascii="宋体" w:hAnsi="宋体" w:eastAsia="宋体" w:cs="宋体"/>
                <w:sz w:val="18"/>
                <w:szCs w:val="18"/>
              </w:rPr>
            </w:pPr>
            <w:r>
              <w:rPr>
                <w:rFonts w:ascii="宋体" w:hAnsi="宋体" w:eastAsia="宋体" w:cs="宋体"/>
                <w:sz w:val="18"/>
                <w:szCs w:val="18"/>
              </w:rPr>
              <w:t>业务类型</w:t>
            </w:r>
          </w:p>
        </w:tc>
        <w:tc>
          <w:tcPr>
            <w:tcW w:w="1071" w:type="dxa"/>
            <w:tcBorders>
              <w:top w:val="single" w:color="auto" w:sz="2" w:space="0"/>
              <w:left w:val="single" w:color="auto" w:sz="2" w:space="0"/>
              <w:bottom w:val="single" w:color="auto" w:sz="2" w:space="0"/>
              <w:right w:val="single" w:color="auto" w:sz="2" w:space="0"/>
            </w:tcBorders>
            <w:vAlign w:val="center"/>
          </w:tcPr>
          <w:p w14:paraId="08C7396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8470B6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5A27E2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CB48A9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DCB291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F60CE1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BEFDDA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62A132F">
            <w:pPr>
              <w:spacing w:before="0" w:after="0" w:line="240" w:lineRule="exact"/>
              <w:jc w:val="right"/>
              <w:rPr>
                <w:rFonts w:ascii="宋体" w:hAnsi="宋体" w:eastAsia="宋体" w:cs="宋体"/>
                <w:sz w:val="18"/>
                <w:szCs w:val="18"/>
              </w:rPr>
            </w:pPr>
          </w:p>
        </w:tc>
      </w:tr>
      <w:tr w14:paraId="69DBBF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512D463">
            <w:pPr>
              <w:spacing w:before="40" w:after="40" w:line="240" w:lineRule="exact"/>
              <w:jc w:val="left"/>
              <w:rPr>
                <w:rFonts w:ascii="宋体" w:hAnsi="宋体" w:eastAsia="宋体" w:cs="宋体"/>
                <w:sz w:val="18"/>
                <w:szCs w:val="18"/>
              </w:rPr>
            </w:pPr>
            <w:r>
              <w:rPr>
                <w:rFonts w:ascii="宋体" w:hAnsi="宋体" w:eastAsia="宋体" w:cs="宋体"/>
                <w:sz w:val="18"/>
                <w:szCs w:val="18"/>
              </w:rPr>
              <w:t>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4F033C0"/>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5297530"/>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F432EEE"/>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BB54E4B"/>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741071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D631AE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1A08E03"/>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55CCA05"/>
        </w:tc>
      </w:tr>
      <w:tr w14:paraId="15DD94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7E68700B">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C1B9E3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FB4042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80F1A3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EE3697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A0B662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B4DB6B3">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F80D96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21B38A3">
            <w:pPr>
              <w:spacing w:before="0" w:after="0" w:line="240" w:lineRule="exact"/>
              <w:jc w:val="right"/>
              <w:rPr>
                <w:rFonts w:ascii="宋体" w:hAnsi="宋体" w:eastAsia="宋体" w:cs="宋体"/>
                <w:sz w:val="18"/>
                <w:szCs w:val="18"/>
              </w:rPr>
            </w:pPr>
          </w:p>
        </w:tc>
      </w:tr>
      <w:tr w14:paraId="53341A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B14A887">
            <w:pPr>
              <w:spacing w:before="40" w:after="40" w:line="240" w:lineRule="exact"/>
              <w:jc w:val="left"/>
              <w:rPr>
                <w:rFonts w:ascii="宋体" w:hAnsi="宋体" w:eastAsia="宋体" w:cs="宋体"/>
                <w:sz w:val="18"/>
                <w:szCs w:val="18"/>
              </w:rPr>
            </w:pPr>
            <w:r>
              <w:rPr>
                <w:rFonts w:ascii="宋体" w:hAnsi="宋体" w:eastAsia="宋体" w:cs="宋体"/>
                <w:sz w:val="18"/>
                <w:szCs w:val="18"/>
              </w:rPr>
              <w:t>按经营地区分类</w:t>
            </w:r>
          </w:p>
        </w:tc>
        <w:tc>
          <w:tcPr>
            <w:tcW w:w="1071" w:type="dxa"/>
            <w:tcBorders>
              <w:top w:val="single" w:color="auto" w:sz="2" w:space="0"/>
              <w:left w:val="single" w:color="auto" w:sz="2" w:space="0"/>
              <w:bottom w:val="single" w:color="auto" w:sz="2" w:space="0"/>
              <w:right w:val="single" w:color="auto" w:sz="2" w:space="0"/>
            </w:tcBorders>
            <w:vAlign w:val="center"/>
          </w:tcPr>
          <w:p w14:paraId="7B77B63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DA00D7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2A951F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19E13C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2C1F24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404375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E7A6D0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E9124EB">
            <w:pPr>
              <w:spacing w:before="0" w:after="0" w:line="240" w:lineRule="exact"/>
              <w:jc w:val="right"/>
              <w:rPr>
                <w:rFonts w:ascii="宋体" w:hAnsi="宋体" w:eastAsia="宋体" w:cs="宋体"/>
                <w:sz w:val="18"/>
                <w:szCs w:val="18"/>
              </w:rPr>
            </w:pPr>
          </w:p>
        </w:tc>
      </w:tr>
      <w:tr w14:paraId="0858AD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A38198E">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B75C206"/>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32D84A5"/>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296D879"/>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538D051"/>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9104FA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09C2F9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3673518"/>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828DB7B"/>
        </w:tc>
      </w:tr>
      <w:tr w14:paraId="4BC4B0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74DDABCF">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716973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9240C8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939B1A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3DD253C">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B6BB71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9B3A31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924454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A9F9D0B">
            <w:pPr>
              <w:spacing w:before="0" w:after="0" w:line="240" w:lineRule="exact"/>
              <w:jc w:val="right"/>
              <w:rPr>
                <w:rFonts w:ascii="宋体" w:hAnsi="宋体" w:eastAsia="宋体" w:cs="宋体"/>
                <w:sz w:val="18"/>
                <w:szCs w:val="18"/>
              </w:rPr>
            </w:pPr>
          </w:p>
        </w:tc>
      </w:tr>
      <w:tr w14:paraId="0499CB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16A36C0">
            <w:pPr>
              <w:spacing w:before="40" w:after="40" w:line="240" w:lineRule="exact"/>
              <w:jc w:val="left"/>
              <w:rPr>
                <w:rFonts w:ascii="宋体" w:hAnsi="宋体" w:eastAsia="宋体" w:cs="宋体"/>
                <w:sz w:val="18"/>
                <w:szCs w:val="18"/>
              </w:rPr>
            </w:pPr>
            <w:r>
              <w:rPr>
                <w:rFonts w:ascii="宋体" w:hAnsi="宋体" w:eastAsia="宋体" w:cs="宋体"/>
                <w:sz w:val="18"/>
                <w:szCs w:val="18"/>
              </w:rPr>
              <w:t>市场或客户类型</w:t>
            </w:r>
          </w:p>
        </w:tc>
        <w:tc>
          <w:tcPr>
            <w:tcW w:w="1071" w:type="dxa"/>
            <w:tcBorders>
              <w:top w:val="single" w:color="auto" w:sz="2" w:space="0"/>
              <w:left w:val="single" w:color="auto" w:sz="2" w:space="0"/>
              <w:bottom w:val="single" w:color="auto" w:sz="2" w:space="0"/>
              <w:right w:val="single" w:color="auto" w:sz="2" w:space="0"/>
            </w:tcBorders>
            <w:vAlign w:val="center"/>
          </w:tcPr>
          <w:p w14:paraId="1974D35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E912EB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B761FEC">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9C5F79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991ACF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0BE32C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89A6A9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64C1BF9">
            <w:pPr>
              <w:spacing w:before="0" w:after="0" w:line="240" w:lineRule="exact"/>
              <w:jc w:val="right"/>
              <w:rPr>
                <w:rFonts w:ascii="宋体" w:hAnsi="宋体" w:eastAsia="宋体" w:cs="宋体"/>
                <w:sz w:val="18"/>
                <w:szCs w:val="18"/>
              </w:rPr>
            </w:pPr>
          </w:p>
        </w:tc>
      </w:tr>
      <w:tr w14:paraId="518CF6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BEBC1E3">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BEEAA64"/>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19F1E2D"/>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E384906"/>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7FEBC8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05191DB"/>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8F27D29"/>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10A5BC5"/>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5EAA700"/>
        </w:tc>
      </w:tr>
      <w:tr w14:paraId="4C87C2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679AE4D4">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471B81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871440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5CA0226">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08419D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B94D8A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E0E212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99881C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985CEBD">
            <w:pPr>
              <w:spacing w:before="0" w:after="0" w:line="240" w:lineRule="exact"/>
              <w:jc w:val="right"/>
              <w:rPr>
                <w:rFonts w:ascii="宋体" w:hAnsi="宋体" w:eastAsia="宋体" w:cs="宋体"/>
                <w:sz w:val="18"/>
                <w:szCs w:val="18"/>
              </w:rPr>
            </w:pPr>
          </w:p>
        </w:tc>
      </w:tr>
      <w:tr w14:paraId="015FFE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D6AE635">
            <w:pPr>
              <w:spacing w:before="40" w:after="40" w:line="240" w:lineRule="exact"/>
              <w:jc w:val="left"/>
              <w:rPr>
                <w:rFonts w:ascii="宋体" w:hAnsi="宋体" w:eastAsia="宋体" w:cs="宋体"/>
                <w:sz w:val="18"/>
                <w:szCs w:val="18"/>
              </w:rPr>
            </w:pPr>
            <w:r>
              <w:rPr>
                <w:rFonts w:ascii="宋体" w:hAnsi="宋体" w:eastAsia="宋体" w:cs="宋体"/>
                <w:sz w:val="18"/>
                <w:szCs w:val="18"/>
              </w:rPr>
              <w:t>合同类型</w:t>
            </w:r>
          </w:p>
        </w:tc>
        <w:tc>
          <w:tcPr>
            <w:tcW w:w="1071" w:type="dxa"/>
            <w:tcBorders>
              <w:top w:val="single" w:color="auto" w:sz="2" w:space="0"/>
              <w:left w:val="single" w:color="auto" w:sz="2" w:space="0"/>
              <w:bottom w:val="single" w:color="auto" w:sz="2" w:space="0"/>
              <w:right w:val="single" w:color="auto" w:sz="2" w:space="0"/>
            </w:tcBorders>
            <w:vAlign w:val="center"/>
          </w:tcPr>
          <w:p w14:paraId="07757D2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0711D9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18686C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D68DDE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47D503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9916CD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B08336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868A279">
            <w:pPr>
              <w:spacing w:before="0" w:after="0" w:line="240" w:lineRule="exact"/>
              <w:jc w:val="right"/>
              <w:rPr>
                <w:rFonts w:ascii="宋体" w:hAnsi="宋体" w:eastAsia="宋体" w:cs="宋体"/>
                <w:sz w:val="18"/>
                <w:szCs w:val="18"/>
              </w:rPr>
            </w:pPr>
          </w:p>
        </w:tc>
      </w:tr>
      <w:tr w14:paraId="44C8D5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E3AE080">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41206DA"/>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E8E45FA"/>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2596780"/>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D4816C5"/>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446C4D4"/>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F15AE86"/>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5995FFA"/>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F7AB5B5"/>
        </w:tc>
      </w:tr>
      <w:tr w14:paraId="00CF22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6E64105C">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8E6206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F8408D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2F8990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1E1E5B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7C10A4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0AAC68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42C815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530A543">
            <w:pPr>
              <w:spacing w:before="0" w:after="0" w:line="240" w:lineRule="exact"/>
              <w:jc w:val="right"/>
              <w:rPr>
                <w:rFonts w:ascii="宋体" w:hAnsi="宋体" w:eastAsia="宋体" w:cs="宋体"/>
                <w:sz w:val="18"/>
                <w:szCs w:val="18"/>
              </w:rPr>
            </w:pPr>
          </w:p>
        </w:tc>
      </w:tr>
      <w:tr w14:paraId="1E132A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C377770">
            <w:pPr>
              <w:spacing w:before="40" w:after="40" w:line="240" w:lineRule="exact"/>
              <w:jc w:val="left"/>
              <w:rPr>
                <w:rFonts w:ascii="宋体" w:hAnsi="宋体" w:eastAsia="宋体" w:cs="宋体"/>
                <w:sz w:val="18"/>
                <w:szCs w:val="18"/>
              </w:rPr>
            </w:pPr>
            <w:r>
              <w:rPr>
                <w:rFonts w:ascii="宋体" w:hAnsi="宋体" w:eastAsia="宋体" w:cs="宋体"/>
                <w:sz w:val="18"/>
                <w:szCs w:val="18"/>
              </w:rPr>
              <w:t>按商品转让的时间分类</w:t>
            </w:r>
          </w:p>
        </w:tc>
        <w:tc>
          <w:tcPr>
            <w:tcW w:w="1071" w:type="dxa"/>
            <w:tcBorders>
              <w:top w:val="single" w:color="auto" w:sz="2" w:space="0"/>
              <w:left w:val="single" w:color="auto" w:sz="2" w:space="0"/>
              <w:bottom w:val="single" w:color="auto" w:sz="2" w:space="0"/>
              <w:right w:val="single" w:color="auto" w:sz="2" w:space="0"/>
            </w:tcBorders>
            <w:vAlign w:val="center"/>
          </w:tcPr>
          <w:p w14:paraId="4513F43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D9B2D6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8F6CFF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6F2BF9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56BEC1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6F42A7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3DD8613">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7947F5B">
            <w:pPr>
              <w:spacing w:before="0" w:after="0" w:line="240" w:lineRule="exact"/>
              <w:jc w:val="right"/>
              <w:rPr>
                <w:rFonts w:ascii="宋体" w:hAnsi="宋体" w:eastAsia="宋体" w:cs="宋体"/>
                <w:sz w:val="18"/>
                <w:szCs w:val="18"/>
              </w:rPr>
            </w:pPr>
          </w:p>
        </w:tc>
      </w:tr>
      <w:tr w14:paraId="479AE2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0AA7AD7">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A897608"/>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1D200AA"/>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2C3281A"/>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C677080"/>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0A8823B"/>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17956206"/>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20F75B2"/>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CBAB0E0"/>
        </w:tc>
      </w:tr>
      <w:tr w14:paraId="1BDC1E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39560278">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8C7131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3B922A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EA6DF83">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279BF4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C2BA16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E343FBC">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298DAA4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EEF460D">
            <w:pPr>
              <w:spacing w:before="0" w:after="0" w:line="240" w:lineRule="exact"/>
              <w:jc w:val="right"/>
              <w:rPr>
                <w:rFonts w:ascii="宋体" w:hAnsi="宋体" w:eastAsia="宋体" w:cs="宋体"/>
                <w:sz w:val="18"/>
                <w:szCs w:val="18"/>
              </w:rPr>
            </w:pPr>
          </w:p>
        </w:tc>
      </w:tr>
      <w:tr w14:paraId="689D27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C97BFEC">
            <w:pPr>
              <w:spacing w:before="40" w:after="40" w:line="240" w:lineRule="exact"/>
              <w:jc w:val="left"/>
              <w:rPr>
                <w:rFonts w:ascii="宋体" w:hAnsi="宋体" w:eastAsia="宋体" w:cs="宋体"/>
                <w:sz w:val="18"/>
                <w:szCs w:val="18"/>
              </w:rPr>
            </w:pPr>
            <w:r>
              <w:rPr>
                <w:rFonts w:ascii="宋体" w:hAnsi="宋体" w:eastAsia="宋体" w:cs="宋体"/>
                <w:sz w:val="18"/>
                <w:szCs w:val="18"/>
              </w:rPr>
              <w:t>按合同期限分类</w:t>
            </w:r>
          </w:p>
        </w:tc>
        <w:tc>
          <w:tcPr>
            <w:tcW w:w="1071" w:type="dxa"/>
            <w:tcBorders>
              <w:top w:val="single" w:color="auto" w:sz="2" w:space="0"/>
              <w:left w:val="single" w:color="auto" w:sz="2" w:space="0"/>
              <w:bottom w:val="single" w:color="auto" w:sz="2" w:space="0"/>
              <w:right w:val="single" w:color="auto" w:sz="2" w:space="0"/>
            </w:tcBorders>
            <w:vAlign w:val="center"/>
          </w:tcPr>
          <w:p w14:paraId="35E6B02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C79055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9433EE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28CDF5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A6BCC6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B42A26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C88461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4D3BA1A">
            <w:pPr>
              <w:spacing w:before="0" w:after="0" w:line="240" w:lineRule="exact"/>
              <w:jc w:val="right"/>
              <w:rPr>
                <w:rFonts w:ascii="宋体" w:hAnsi="宋体" w:eastAsia="宋体" w:cs="宋体"/>
                <w:sz w:val="18"/>
                <w:szCs w:val="18"/>
              </w:rPr>
            </w:pPr>
          </w:p>
        </w:tc>
      </w:tr>
      <w:tr w14:paraId="2E2CB8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1A940FE">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A37E6A9"/>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7E9A441"/>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DF3D9B6"/>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BEDBA6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1432B95"/>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205E0D2"/>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E5E3758"/>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0CE91A2"/>
        </w:tc>
      </w:tr>
      <w:tr w14:paraId="2762CF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42D5BCC8">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7D8FAA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819374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AAAD374">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8132797">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C3F1CF2">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5A5510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B0DF5B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E80D441">
            <w:pPr>
              <w:spacing w:before="0" w:after="0" w:line="240" w:lineRule="exact"/>
              <w:jc w:val="right"/>
              <w:rPr>
                <w:rFonts w:ascii="宋体" w:hAnsi="宋体" w:eastAsia="宋体" w:cs="宋体"/>
                <w:sz w:val="18"/>
                <w:szCs w:val="18"/>
              </w:rPr>
            </w:pPr>
          </w:p>
        </w:tc>
      </w:tr>
      <w:tr w14:paraId="21EC71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C0AD6DE">
            <w:pPr>
              <w:spacing w:before="40" w:after="40" w:line="240" w:lineRule="exact"/>
              <w:jc w:val="left"/>
              <w:rPr>
                <w:rFonts w:ascii="宋体" w:hAnsi="宋体" w:eastAsia="宋体" w:cs="宋体"/>
                <w:sz w:val="18"/>
                <w:szCs w:val="18"/>
              </w:rPr>
            </w:pPr>
            <w:r>
              <w:rPr>
                <w:rFonts w:ascii="宋体" w:hAnsi="宋体" w:eastAsia="宋体" w:cs="宋体"/>
                <w:sz w:val="18"/>
                <w:szCs w:val="18"/>
              </w:rPr>
              <w:t>按销售渠道分类</w:t>
            </w:r>
          </w:p>
        </w:tc>
        <w:tc>
          <w:tcPr>
            <w:tcW w:w="1071" w:type="dxa"/>
            <w:tcBorders>
              <w:top w:val="single" w:color="auto" w:sz="2" w:space="0"/>
              <w:left w:val="single" w:color="auto" w:sz="2" w:space="0"/>
              <w:bottom w:val="single" w:color="auto" w:sz="2" w:space="0"/>
              <w:right w:val="single" w:color="auto" w:sz="2" w:space="0"/>
            </w:tcBorders>
            <w:vAlign w:val="center"/>
          </w:tcPr>
          <w:p w14:paraId="50B7F1B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CFC666D">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33EEFF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35C52E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2662D3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196792F3">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84FB2DB">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A143E85">
            <w:pPr>
              <w:spacing w:before="0" w:after="0" w:line="240" w:lineRule="exact"/>
              <w:jc w:val="right"/>
              <w:rPr>
                <w:rFonts w:ascii="宋体" w:hAnsi="宋体" w:eastAsia="宋体" w:cs="宋体"/>
                <w:sz w:val="18"/>
                <w:szCs w:val="18"/>
              </w:rPr>
            </w:pPr>
          </w:p>
        </w:tc>
      </w:tr>
      <w:tr w14:paraId="16272B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7C1AD4B3">
            <w:pPr>
              <w:spacing w:before="40" w:after="40" w:line="240" w:lineRule="exact"/>
              <w:jc w:val="left"/>
              <w:rPr>
                <w:rFonts w:ascii="宋体" w:hAnsi="宋体" w:eastAsia="宋体" w:cs="宋体"/>
                <w:sz w:val="18"/>
                <w:szCs w:val="18"/>
              </w:rPr>
            </w:pPr>
            <w:r>
              <w:rPr>
                <w:rFonts w:ascii="宋体" w:hAnsi="宋体" w:eastAsia="宋体" w:cs="宋体"/>
                <w:sz w:val="18"/>
                <w:szCs w:val="18"/>
              </w:rPr>
              <w:t>　其中：</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A88C6B6"/>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2BB43E84"/>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43649A8E"/>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5BDD4C9"/>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50FF9F7C"/>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061EECFE"/>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2811F8D"/>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6CA7F5D6"/>
        </w:tc>
      </w:tr>
      <w:tr w14:paraId="68EE15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14:paraId="2899BC20">
            <w:pPr>
              <w:spacing w:before="0" w:after="0" w:line="240" w:lineRule="exact"/>
              <w:jc w:val="lef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29DB338">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DD94A8E">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ABBD3B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726557C">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7893497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623D2510">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1A796F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08AD470">
            <w:pPr>
              <w:spacing w:before="0" w:after="0" w:line="240" w:lineRule="exact"/>
              <w:jc w:val="right"/>
              <w:rPr>
                <w:rFonts w:ascii="宋体" w:hAnsi="宋体" w:eastAsia="宋体" w:cs="宋体"/>
                <w:sz w:val="18"/>
                <w:szCs w:val="18"/>
              </w:rPr>
            </w:pPr>
          </w:p>
        </w:tc>
      </w:tr>
      <w:tr w14:paraId="2F7851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14:paraId="3078BA0A">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1071" w:type="dxa"/>
            <w:tcBorders>
              <w:top w:val="single" w:color="auto" w:sz="2" w:space="0"/>
              <w:left w:val="single" w:color="auto" w:sz="2" w:space="0"/>
              <w:bottom w:val="single" w:color="auto" w:sz="2" w:space="0"/>
              <w:right w:val="single" w:color="auto" w:sz="2" w:space="0"/>
            </w:tcBorders>
            <w:vAlign w:val="center"/>
          </w:tcPr>
          <w:p w14:paraId="7D7852E5">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F1DFF59">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F0ACE3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0086867A">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3D3E3D1">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46F4BADF">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593AB3A3">
            <w:pPr>
              <w:spacing w:before="0" w:after="0"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14:paraId="3C9DC837">
            <w:pPr>
              <w:spacing w:before="0" w:after="0" w:line="240" w:lineRule="exact"/>
              <w:jc w:val="right"/>
              <w:rPr>
                <w:rFonts w:ascii="宋体" w:hAnsi="宋体" w:eastAsia="宋体" w:cs="宋体"/>
                <w:sz w:val="18"/>
                <w:szCs w:val="18"/>
              </w:rPr>
            </w:pPr>
          </w:p>
        </w:tc>
      </w:tr>
    </w:tbl>
    <w:p w14:paraId="7F5058D2">
      <w:pPr>
        <w:spacing w:before="100" w:after="100" w:line="240" w:lineRule="exact"/>
        <w:jc w:val="left"/>
        <w:rPr>
          <w:rFonts w:ascii="宋体" w:hAnsi="宋体" w:eastAsia="宋体" w:cs="宋体"/>
          <w:sz w:val="18"/>
          <w:szCs w:val="18"/>
        </w:rPr>
      </w:pPr>
      <w:r>
        <w:rPr>
          <w:rFonts w:ascii="宋体" w:hAnsi="宋体" w:eastAsia="宋体" w:cs="宋体"/>
          <w:sz w:val="18"/>
          <w:szCs w:val="18"/>
        </w:rPr>
        <w:t>与履约义务相关的信息：</w:t>
      </w:r>
    </w:p>
    <w:p w14:paraId="0B839699">
      <w:pPr>
        <w:spacing w:before="0" w:after="0" w:line="0" w:lineRule="exact"/>
        <w:jc w:val="left"/>
      </w:pP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14:paraId="40AF87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4EB05E3">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BD58B9E">
            <w:pPr>
              <w:spacing w:before="40" w:after="40" w:line="240" w:lineRule="exact"/>
              <w:jc w:val="center"/>
              <w:rPr>
                <w:rFonts w:ascii="宋体" w:hAnsi="宋体" w:eastAsia="宋体" w:cs="宋体"/>
                <w:sz w:val="18"/>
                <w:szCs w:val="18"/>
              </w:rPr>
            </w:pPr>
            <w:r>
              <w:rPr>
                <w:rFonts w:ascii="宋体" w:hAnsi="宋体" w:eastAsia="宋体" w:cs="宋体"/>
                <w:sz w:val="18"/>
                <w:szCs w:val="18"/>
              </w:rPr>
              <w:t>履行履约义务的时间</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2A84A60A">
            <w:pPr>
              <w:spacing w:before="40" w:after="40" w:line="240" w:lineRule="exact"/>
              <w:jc w:val="center"/>
              <w:rPr>
                <w:rFonts w:ascii="宋体" w:hAnsi="宋体" w:eastAsia="宋体" w:cs="宋体"/>
                <w:sz w:val="18"/>
                <w:szCs w:val="18"/>
              </w:rPr>
            </w:pPr>
            <w:r>
              <w:rPr>
                <w:rFonts w:ascii="宋体" w:hAnsi="宋体" w:eastAsia="宋体" w:cs="宋体"/>
                <w:sz w:val="18"/>
                <w:szCs w:val="18"/>
              </w:rPr>
              <w:t>重要的支付条款</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49EDE209">
            <w:pPr>
              <w:spacing w:before="40" w:after="40" w:line="240" w:lineRule="exact"/>
              <w:jc w:val="center"/>
              <w:rPr>
                <w:rFonts w:ascii="宋体" w:hAnsi="宋体" w:eastAsia="宋体" w:cs="宋体"/>
                <w:sz w:val="18"/>
                <w:szCs w:val="18"/>
              </w:rPr>
            </w:pPr>
            <w:r>
              <w:rPr>
                <w:rFonts w:ascii="宋体" w:hAnsi="宋体" w:eastAsia="宋体" w:cs="宋体"/>
                <w:sz w:val="18"/>
                <w:szCs w:val="18"/>
              </w:rPr>
              <w:t>公司承诺转让商品的性质</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38E1F108">
            <w:pPr>
              <w:spacing w:before="40" w:after="40" w:line="240" w:lineRule="exact"/>
              <w:jc w:val="center"/>
              <w:rPr>
                <w:rFonts w:ascii="宋体" w:hAnsi="宋体" w:eastAsia="宋体" w:cs="宋体"/>
                <w:sz w:val="18"/>
                <w:szCs w:val="18"/>
              </w:rPr>
            </w:pPr>
            <w:r>
              <w:rPr>
                <w:rFonts w:ascii="宋体" w:hAnsi="宋体" w:eastAsia="宋体" w:cs="宋体"/>
                <w:sz w:val="18"/>
                <w:szCs w:val="18"/>
              </w:rPr>
              <w:t>是否为主要责任人</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96AF900">
            <w:pPr>
              <w:spacing w:before="40" w:after="40" w:line="240" w:lineRule="exact"/>
              <w:jc w:val="center"/>
              <w:rPr>
                <w:rFonts w:ascii="宋体" w:hAnsi="宋体" w:eastAsia="宋体" w:cs="宋体"/>
                <w:sz w:val="18"/>
                <w:szCs w:val="18"/>
              </w:rPr>
            </w:pPr>
            <w:r>
              <w:rPr>
                <w:rFonts w:ascii="宋体" w:hAnsi="宋体" w:eastAsia="宋体" w:cs="宋体"/>
                <w:sz w:val="18"/>
                <w:szCs w:val="18"/>
              </w:rPr>
              <w:t>公司承担的预期将退还给客户的款项</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14:paraId="52BE6568">
            <w:pPr>
              <w:spacing w:before="40" w:after="40" w:line="240" w:lineRule="exact"/>
              <w:jc w:val="center"/>
              <w:rPr>
                <w:rFonts w:ascii="宋体" w:hAnsi="宋体" w:eastAsia="宋体" w:cs="宋体"/>
                <w:sz w:val="18"/>
                <w:szCs w:val="18"/>
              </w:rPr>
            </w:pPr>
            <w:r>
              <w:rPr>
                <w:rFonts w:ascii="宋体" w:hAnsi="宋体" w:eastAsia="宋体" w:cs="宋体"/>
                <w:sz w:val="18"/>
                <w:szCs w:val="18"/>
              </w:rPr>
              <w:t>公司提供的质量保证类型及相关义务</w:t>
            </w:r>
          </w:p>
        </w:tc>
      </w:tr>
    </w:tbl>
    <w:p w14:paraId="613C3255">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57A248B8">
      <w:pPr>
        <w:spacing w:before="100" w:after="100" w:line="240" w:lineRule="exact"/>
        <w:jc w:val="left"/>
        <w:rPr>
          <w:rFonts w:ascii="宋体" w:hAnsi="宋体" w:eastAsia="宋体" w:cs="宋体"/>
          <w:sz w:val="18"/>
          <w:szCs w:val="18"/>
        </w:rPr>
      </w:pPr>
      <w:r>
        <w:rPr>
          <w:rFonts w:ascii="宋体" w:hAnsi="宋体" w:eastAsia="宋体" w:cs="宋体"/>
          <w:sz w:val="18"/>
          <w:szCs w:val="18"/>
        </w:rPr>
        <w:t>与分摊至剩余履约义务的交易价格相关的信息：</w:t>
      </w:r>
    </w:p>
    <w:p w14:paraId="5F8A723A">
      <w:pPr>
        <w:spacing w:before="0" w:after="0" w:line="240" w:lineRule="exact"/>
        <w:jc w:val="left"/>
        <w:rPr>
          <w:rFonts w:ascii="宋体" w:hAnsi="宋体" w:eastAsia="宋体" w:cs="宋体"/>
          <w:sz w:val="18"/>
          <w:szCs w:val="18"/>
        </w:rPr>
      </w:pPr>
      <w:r>
        <w:rPr>
          <w:rFonts w:ascii="宋体" w:hAnsi="宋体" w:eastAsia="宋体" w:cs="宋体"/>
          <w:sz w:val="18"/>
          <w:szCs w:val="18"/>
        </w:rPr>
        <w:t>本报告期末已签订合同、但尚未履行或尚未履行完毕的履约义务所对应的收入金额为0.00元，其中，元预计将于年度确认收入，元预计将于年度确认收入，元预计将于年度确认收入。</w:t>
      </w:r>
    </w:p>
    <w:p w14:paraId="20C9FAC1">
      <w:pPr>
        <w:spacing w:before="100" w:after="100" w:line="240" w:lineRule="exact"/>
        <w:jc w:val="left"/>
        <w:rPr>
          <w:rFonts w:ascii="宋体" w:hAnsi="宋体" w:eastAsia="宋体" w:cs="宋体"/>
          <w:sz w:val="18"/>
          <w:szCs w:val="18"/>
        </w:rPr>
      </w:pPr>
      <w:r>
        <w:rPr>
          <w:rFonts w:ascii="宋体" w:hAnsi="宋体" w:eastAsia="宋体" w:cs="宋体"/>
          <w:sz w:val="18"/>
          <w:szCs w:val="18"/>
        </w:rPr>
        <w:t>重大合同变更或重大交易价格调整</w:t>
      </w:r>
    </w:p>
    <w:p w14:paraId="5378B1C2">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6303F1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8031B2F">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A8AB1EB">
            <w:pPr>
              <w:spacing w:before="40" w:after="40" w:line="240" w:lineRule="exact"/>
              <w:jc w:val="center"/>
              <w:rPr>
                <w:rFonts w:ascii="宋体" w:hAnsi="宋体" w:eastAsia="宋体" w:cs="宋体"/>
                <w:sz w:val="18"/>
                <w:szCs w:val="18"/>
              </w:rPr>
            </w:pPr>
            <w:r>
              <w:rPr>
                <w:rFonts w:ascii="宋体" w:hAnsi="宋体" w:eastAsia="宋体" w:cs="宋体"/>
                <w:sz w:val="18"/>
                <w:szCs w:val="18"/>
              </w:rPr>
              <w:t>会计处理方法</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9714522">
            <w:pPr>
              <w:spacing w:before="40" w:after="40" w:line="240" w:lineRule="exact"/>
              <w:jc w:val="center"/>
              <w:rPr>
                <w:rFonts w:ascii="宋体" w:hAnsi="宋体" w:eastAsia="宋体" w:cs="宋体"/>
                <w:sz w:val="18"/>
                <w:szCs w:val="18"/>
              </w:rPr>
            </w:pPr>
            <w:r>
              <w:rPr>
                <w:rFonts w:ascii="宋体" w:hAnsi="宋体" w:eastAsia="宋体" w:cs="宋体"/>
                <w:sz w:val="18"/>
                <w:szCs w:val="18"/>
              </w:rPr>
              <w:t>对收入的影响金额</w:t>
            </w:r>
          </w:p>
        </w:tc>
      </w:tr>
    </w:tbl>
    <w:p w14:paraId="1CCEA26F">
      <w:pPr>
        <w:spacing w:before="100" w:after="100" w:line="240" w:lineRule="exact"/>
        <w:jc w:val="left"/>
        <w:rPr>
          <w:rFonts w:ascii="宋体" w:hAnsi="宋体" w:eastAsia="宋体" w:cs="宋体"/>
          <w:sz w:val="18"/>
          <w:szCs w:val="18"/>
        </w:rPr>
      </w:pPr>
      <w:r>
        <w:rPr>
          <w:rFonts w:ascii="宋体" w:hAnsi="宋体" w:eastAsia="宋体" w:cs="宋体"/>
          <w:sz w:val="18"/>
          <w:szCs w:val="18"/>
        </w:rPr>
        <w:t>其他说明：</w:t>
      </w:r>
    </w:p>
    <w:p w14:paraId="74C712FA">
      <w:pPr>
        <w:keepNext/>
        <w:keepLines/>
        <w:spacing w:before="300" w:after="300" w:line="280" w:lineRule="exact"/>
        <w:jc w:val="left"/>
        <w:outlineLvl w:val="2"/>
        <w:rPr>
          <w:rFonts w:ascii="宋体" w:hAnsi="宋体" w:eastAsia="宋体" w:cs="宋体"/>
          <w:b/>
          <w:bCs/>
          <w:sz w:val="21"/>
          <w:szCs w:val="21"/>
        </w:rPr>
      </w:pPr>
      <w:bookmarkStart w:id="611" w:name="_Toc989494"/>
      <w:r>
        <w:rPr>
          <w:rFonts w:ascii="宋体" w:hAnsi="宋体" w:eastAsia="宋体" w:cs="宋体"/>
          <w:b/>
          <w:bCs/>
          <w:sz w:val="21"/>
          <w:szCs w:val="21"/>
        </w:rPr>
        <w:t>5、投资收益</w:t>
      </w:r>
      <w:bookmarkEnd w:id="611"/>
    </w:p>
    <w:p w14:paraId="7263ACD9">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3F8E83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E6C6000">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723CF3A8">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F268F45">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14:paraId="0B9A6A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4EDEE93">
            <w:pPr>
              <w:spacing w:before="40" w:after="40" w:line="240" w:lineRule="exact"/>
              <w:jc w:val="left"/>
              <w:rPr>
                <w:rFonts w:ascii="宋体" w:hAnsi="宋体" w:eastAsia="宋体" w:cs="宋体"/>
                <w:sz w:val="18"/>
                <w:szCs w:val="18"/>
              </w:rPr>
            </w:pPr>
            <w:r>
              <w:rPr>
                <w:rFonts w:ascii="宋体" w:hAnsi="宋体" w:eastAsia="宋体" w:cs="宋体"/>
                <w:sz w:val="18"/>
                <w:szCs w:val="18"/>
              </w:rPr>
              <w:t>成本法核算的长期股权投资收益</w:t>
            </w:r>
          </w:p>
        </w:tc>
        <w:tc>
          <w:tcPr>
            <w:tcW w:w="3213" w:type="dxa"/>
            <w:tcBorders>
              <w:top w:val="single" w:color="auto" w:sz="2" w:space="0"/>
              <w:left w:val="single" w:color="auto" w:sz="2" w:space="0"/>
              <w:bottom w:val="single" w:color="auto" w:sz="2" w:space="0"/>
              <w:right w:val="single" w:color="auto" w:sz="2" w:space="0"/>
            </w:tcBorders>
            <w:vAlign w:val="center"/>
          </w:tcPr>
          <w:p w14:paraId="367A85F6">
            <w:pPr>
              <w:spacing w:before="0" w:after="0" w:line="240" w:lineRule="exact"/>
              <w:jc w:val="right"/>
              <w:rPr>
                <w:rFonts w:ascii="宋体" w:hAnsi="宋体" w:eastAsia="宋体" w:cs="宋体"/>
                <w:sz w:val="18"/>
                <w:szCs w:val="18"/>
              </w:rPr>
            </w:pPr>
            <w:r>
              <w:rPr>
                <w:rFonts w:ascii="宋体" w:hAnsi="宋体" w:eastAsia="宋体" w:cs="宋体"/>
                <w:sz w:val="18"/>
                <w:szCs w:val="18"/>
              </w:rPr>
              <w:t>20,000,000.00</w:t>
            </w:r>
          </w:p>
        </w:tc>
        <w:tc>
          <w:tcPr>
            <w:tcW w:w="3213" w:type="dxa"/>
            <w:tcBorders>
              <w:top w:val="single" w:color="auto" w:sz="2" w:space="0"/>
              <w:left w:val="single" w:color="auto" w:sz="2" w:space="0"/>
              <w:bottom w:val="single" w:color="auto" w:sz="2" w:space="0"/>
              <w:right w:val="single" w:color="auto" w:sz="2" w:space="0"/>
            </w:tcBorders>
            <w:vAlign w:val="center"/>
          </w:tcPr>
          <w:p w14:paraId="08EAB21F">
            <w:pPr>
              <w:spacing w:before="0" w:after="0" w:line="240" w:lineRule="exact"/>
              <w:jc w:val="right"/>
              <w:rPr>
                <w:rFonts w:ascii="宋体" w:hAnsi="宋体" w:eastAsia="宋体" w:cs="宋体"/>
                <w:sz w:val="18"/>
                <w:szCs w:val="18"/>
              </w:rPr>
            </w:pPr>
            <w:r>
              <w:rPr>
                <w:rFonts w:ascii="宋体" w:hAnsi="宋体" w:eastAsia="宋体" w:cs="宋体"/>
                <w:sz w:val="18"/>
                <w:szCs w:val="18"/>
              </w:rPr>
              <w:t>-61,931,371.88</w:t>
            </w:r>
          </w:p>
        </w:tc>
      </w:tr>
      <w:tr w14:paraId="4D47F2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53F8858">
            <w:pPr>
              <w:spacing w:before="40" w:after="40" w:line="240" w:lineRule="exact"/>
              <w:jc w:val="left"/>
              <w:rPr>
                <w:rFonts w:ascii="宋体" w:hAnsi="宋体" w:eastAsia="宋体" w:cs="宋体"/>
                <w:sz w:val="18"/>
                <w:szCs w:val="18"/>
              </w:rPr>
            </w:pPr>
            <w:r>
              <w:rPr>
                <w:rFonts w:ascii="宋体" w:hAnsi="宋体" w:eastAsia="宋体" w:cs="宋体"/>
                <w:sz w:val="18"/>
                <w:szCs w:val="18"/>
              </w:rPr>
              <w:t>权益法核算的长期股权投资收益</w:t>
            </w:r>
          </w:p>
        </w:tc>
        <w:tc>
          <w:tcPr>
            <w:tcW w:w="3213" w:type="dxa"/>
            <w:tcBorders>
              <w:top w:val="single" w:color="auto" w:sz="2" w:space="0"/>
              <w:left w:val="single" w:color="auto" w:sz="2" w:space="0"/>
              <w:bottom w:val="single" w:color="auto" w:sz="2" w:space="0"/>
              <w:right w:val="single" w:color="auto" w:sz="2" w:space="0"/>
            </w:tcBorders>
            <w:vAlign w:val="center"/>
          </w:tcPr>
          <w:p w14:paraId="1B104D1A">
            <w:pPr>
              <w:spacing w:before="0" w:after="0" w:line="240" w:lineRule="exact"/>
              <w:jc w:val="right"/>
              <w:rPr>
                <w:rFonts w:ascii="宋体" w:hAnsi="宋体" w:eastAsia="宋体" w:cs="宋体"/>
                <w:sz w:val="18"/>
                <w:szCs w:val="18"/>
              </w:rPr>
            </w:pPr>
            <w:r>
              <w:rPr>
                <w:rFonts w:ascii="宋体" w:hAnsi="宋体" w:eastAsia="宋体" w:cs="宋体"/>
                <w:sz w:val="18"/>
                <w:szCs w:val="18"/>
              </w:rPr>
              <w:t>-10,995,247.24</w:t>
            </w:r>
          </w:p>
        </w:tc>
        <w:tc>
          <w:tcPr>
            <w:tcW w:w="3213" w:type="dxa"/>
            <w:tcBorders>
              <w:top w:val="single" w:color="auto" w:sz="2" w:space="0"/>
              <w:left w:val="single" w:color="auto" w:sz="2" w:space="0"/>
              <w:bottom w:val="single" w:color="auto" w:sz="2" w:space="0"/>
              <w:right w:val="single" w:color="auto" w:sz="2" w:space="0"/>
            </w:tcBorders>
            <w:vAlign w:val="center"/>
          </w:tcPr>
          <w:p w14:paraId="6EBC39AB">
            <w:pPr>
              <w:spacing w:before="0" w:after="0" w:line="240" w:lineRule="exact"/>
              <w:jc w:val="right"/>
              <w:rPr>
                <w:rFonts w:ascii="宋体" w:hAnsi="宋体" w:eastAsia="宋体" w:cs="宋体"/>
                <w:sz w:val="18"/>
                <w:szCs w:val="18"/>
              </w:rPr>
            </w:pPr>
            <w:r>
              <w:rPr>
                <w:rFonts w:ascii="宋体" w:hAnsi="宋体" w:eastAsia="宋体" w:cs="宋体"/>
                <w:sz w:val="18"/>
                <w:szCs w:val="18"/>
              </w:rPr>
              <w:t>14,109,739.16</w:t>
            </w:r>
          </w:p>
        </w:tc>
      </w:tr>
      <w:tr w14:paraId="5032CF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5E25BD5">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72642A61">
            <w:pPr>
              <w:spacing w:before="0" w:after="0" w:line="240" w:lineRule="exact"/>
              <w:jc w:val="right"/>
              <w:rPr>
                <w:rFonts w:ascii="宋体" w:hAnsi="宋体" w:eastAsia="宋体" w:cs="宋体"/>
                <w:sz w:val="18"/>
                <w:szCs w:val="18"/>
              </w:rPr>
            </w:pPr>
            <w:r>
              <w:rPr>
                <w:rFonts w:ascii="宋体" w:hAnsi="宋体" w:eastAsia="宋体" w:cs="宋体"/>
                <w:sz w:val="18"/>
                <w:szCs w:val="18"/>
              </w:rPr>
              <w:t>9,004,752.76</w:t>
            </w:r>
          </w:p>
        </w:tc>
        <w:tc>
          <w:tcPr>
            <w:tcW w:w="3213" w:type="dxa"/>
            <w:tcBorders>
              <w:top w:val="single" w:color="auto" w:sz="2" w:space="0"/>
              <w:left w:val="single" w:color="auto" w:sz="2" w:space="0"/>
              <w:bottom w:val="single" w:color="auto" w:sz="2" w:space="0"/>
              <w:right w:val="single" w:color="auto" w:sz="2" w:space="0"/>
            </w:tcBorders>
            <w:vAlign w:val="center"/>
          </w:tcPr>
          <w:p w14:paraId="053EFFBE">
            <w:pPr>
              <w:spacing w:before="0" w:after="0" w:line="240" w:lineRule="exact"/>
              <w:jc w:val="right"/>
              <w:rPr>
                <w:rFonts w:ascii="宋体" w:hAnsi="宋体" w:eastAsia="宋体" w:cs="宋体"/>
                <w:sz w:val="18"/>
                <w:szCs w:val="18"/>
              </w:rPr>
            </w:pPr>
            <w:r>
              <w:rPr>
                <w:rFonts w:ascii="宋体" w:hAnsi="宋体" w:eastAsia="宋体" w:cs="宋体"/>
                <w:sz w:val="18"/>
                <w:szCs w:val="18"/>
              </w:rPr>
              <w:t>-47,821,632.72</w:t>
            </w:r>
          </w:p>
        </w:tc>
      </w:tr>
    </w:tbl>
    <w:p w14:paraId="42EF4252">
      <w:pPr>
        <w:keepNext/>
        <w:keepLines/>
        <w:spacing w:before="300" w:after="300" w:line="280" w:lineRule="exact"/>
        <w:jc w:val="left"/>
        <w:outlineLvl w:val="2"/>
        <w:rPr>
          <w:rFonts w:ascii="宋体" w:hAnsi="宋体" w:eastAsia="宋体" w:cs="宋体"/>
          <w:b/>
          <w:bCs/>
          <w:sz w:val="21"/>
          <w:szCs w:val="21"/>
        </w:rPr>
      </w:pPr>
      <w:bookmarkStart w:id="612" w:name="_Toc989495"/>
      <w:r>
        <w:rPr>
          <w:rFonts w:ascii="宋体" w:hAnsi="宋体" w:eastAsia="宋体" w:cs="宋体"/>
          <w:b/>
          <w:bCs/>
          <w:sz w:val="21"/>
          <w:szCs w:val="21"/>
        </w:rPr>
        <w:t>6、其他</w:t>
      </w:r>
      <w:bookmarkEnd w:id="612"/>
    </w:p>
    <w:p w14:paraId="66F69B28">
      <w:pPr>
        <w:keepNext/>
        <w:keepLines/>
        <w:spacing w:before="300" w:after="300" w:line="320" w:lineRule="exact"/>
        <w:jc w:val="left"/>
        <w:outlineLvl w:val="1"/>
        <w:rPr>
          <w:rFonts w:ascii="宋体" w:hAnsi="宋体" w:eastAsia="宋体" w:cs="宋体"/>
          <w:b/>
          <w:bCs/>
          <w:sz w:val="24"/>
          <w:szCs w:val="24"/>
        </w:rPr>
      </w:pPr>
      <w:bookmarkStart w:id="613" w:name="_Toc989496"/>
      <w:r>
        <w:rPr>
          <w:rFonts w:ascii="宋体" w:hAnsi="宋体" w:eastAsia="宋体" w:cs="宋体"/>
          <w:b/>
          <w:bCs/>
          <w:sz w:val="24"/>
          <w:szCs w:val="24"/>
        </w:rPr>
        <w:t>二十、补充资料</w:t>
      </w:r>
      <w:bookmarkEnd w:id="613"/>
    </w:p>
    <w:p w14:paraId="4D6AC0FC">
      <w:pPr>
        <w:keepNext/>
        <w:keepLines/>
        <w:spacing w:before="300" w:after="300" w:line="280" w:lineRule="exact"/>
        <w:jc w:val="left"/>
        <w:outlineLvl w:val="2"/>
        <w:rPr>
          <w:rFonts w:ascii="宋体" w:hAnsi="宋体" w:eastAsia="宋体" w:cs="宋体"/>
          <w:b/>
          <w:bCs/>
          <w:sz w:val="21"/>
          <w:szCs w:val="21"/>
        </w:rPr>
      </w:pPr>
      <w:bookmarkStart w:id="614" w:name="_Toc989497"/>
      <w:r>
        <w:rPr>
          <w:rFonts w:ascii="宋体" w:hAnsi="宋体" w:eastAsia="宋体" w:cs="宋体"/>
          <w:b/>
          <w:bCs/>
          <w:sz w:val="21"/>
          <w:szCs w:val="21"/>
        </w:rPr>
        <w:t>1、当期非经常性损益明细表</w:t>
      </w:r>
      <w:bookmarkEnd w:id="614"/>
    </w:p>
    <w:p w14:paraId="699C6730">
      <w:pPr>
        <w:spacing w:before="0" w:after="0" w:line="240" w:lineRule="exact"/>
        <w:jc w:val="lef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适用 □不适用</w:t>
      </w:r>
    </w:p>
    <w:p w14:paraId="681A3151">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14:paraId="07279A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1D0F1B8B">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2CFAAE2">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08A2ACC">
            <w:pPr>
              <w:spacing w:before="40" w:after="40" w:line="240" w:lineRule="exact"/>
              <w:jc w:val="center"/>
              <w:rPr>
                <w:rFonts w:ascii="宋体" w:hAnsi="宋体" w:eastAsia="宋体" w:cs="宋体"/>
                <w:sz w:val="18"/>
                <w:szCs w:val="18"/>
              </w:rPr>
            </w:pPr>
            <w:r>
              <w:rPr>
                <w:rFonts w:ascii="宋体" w:hAnsi="宋体" w:eastAsia="宋体" w:cs="宋体"/>
                <w:sz w:val="18"/>
                <w:szCs w:val="18"/>
              </w:rPr>
              <w:t>说明</w:t>
            </w:r>
          </w:p>
        </w:tc>
      </w:tr>
      <w:tr w14:paraId="506B80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25370FB">
            <w:pPr>
              <w:spacing w:before="40" w:after="40" w:line="240" w:lineRule="exact"/>
              <w:jc w:val="left"/>
              <w:rPr>
                <w:rFonts w:ascii="宋体" w:hAnsi="宋体" w:eastAsia="宋体" w:cs="宋体"/>
                <w:sz w:val="18"/>
                <w:szCs w:val="18"/>
              </w:rPr>
            </w:pPr>
            <w:r>
              <w:rPr>
                <w:rFonts w:ascii="宋体" w:hAnsi="宋体" w:eastAsia="宋体" w:cs="宋体"/>
                <w:sz w:val="18"/>
                <w:szCs w:val="18"/>
              </w:rPr>
              <w:t>非流动性资产处置损益</w:t>
            </w:r>
          </w:p>
        </w:tc>
        <w:tc>
          <w:tcPr>
            <w:tcW w:w="3213" w:type="dxa"/>
            <w:tcBorders>
              <w:top w:val="single" w:color="auto" w:sz="2" w:space="0"/>
              <w:left w:val="single" w:color="auto" w:sz="2" w:space="0"/>
              <w:bottom w:val="single" w:color="auto" w:sz="2" w:space="0"/>
              <w:right w:val="single" w:color="auto" w:sz="2" w:space="0"/>
            </w:tcBorders>
            <w:vAlign w:val="center"/>
          </w:tcPr>
          <w:p w14:paraId="7933A484">
            <w:pPr>
              <w:spacing w:before="0" w:after="0" w:line="240" w:lineRule="exact"/>
              <w:jc w:val="right"/>
              <w:rPr>
                <w:rFonts w:ascii="宋体" w:hAnsi="宋体" w:eastAsia="宋体" w:cs="宋体"/>
                <w:sz w:val="18"/>
                <w:szCs w:val="18"/>
              </w:rPr>
            </w:pPr>
            <w:r>
              <w:rPr>
                <w:rFonts w:ascii="宋体" w:hAnsi="宋体" w:eastAsia="宋体" w:cs="宋体"/>
                <w:sz w:val="18"/>
                <w:szCs w:val="18"/>
              </w:rPr>
              <w:t>-42,493.12</w:t>
            </w:r>
          </w:p>
        </w:tc>
        <w:tc>
          <w:tcPr>
            <w:tcW w:w="3213" w:type="dxa"/>
            <w:tcBorders>
              <w:top w:val="single" w:color="auto" w:sz="2" w:space="0"/>
              <w:left w:val="single" w:color="auto" w:sz="2" w:space="0"/>
              <w:bottom w:val="single" w:color="auto" w:sz="2" w:space="0"/>
              <w:right w:val="single" w:color="auto" w:sz="2" w:space="0"/>
            </w:tcBorders>
            <w:vAlign w:val="center"/>
          </w:tcPr>
          <w:p w14:paraId="0C383CCD">
            <w:pPr>
              <w:spacing w:before="0" w:after="0" w:line="240" w:lineRule="exact"/>
              <w:jc w:val="left"/>
              <w:rPr>
                <w:rFonts w:ascii="宋体" w:hAnsi="宋体" w:eastAsia="宋体" w:cs="宋体"/>
                <w:sz w:val="18"/>
                <w:szCs w:val="18"/>
              </w:rPr>
            </w:pPr>
          </w:p>
        </w:tc>
      </w:tr>
      <w:tr w14:paraId="1D8950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6F75E8D9">
            <w:pPr>
              <w:spacing w:before="40" w:after="40" w:line="240" w:lineRule="exact"/>
              <w:jc w:val="left"/>
              <w:rPr>
                <w:rFonts w:ascii="宋体" w:hAnsi="宋体" w:eastAsia="宋体" w:cs="宋体"/>
                <w:sz w:val="18"/>
                <w:szCs w:val="18"/>
              </w:rPr>
            </w:pPr>
            <w:r>
              <w:rPr>
                <w:rFonts w:ascii="宋体" w:hAnsi="宋体" w:eastAsia="宋体" w:cs="宋体"/>
                <w:sz w:val="18"/>
                <w:szCs w:val="18"/>
              </w:rPr>
              <w:t>计入当期损益的政府补助（与公司正常经营业务密切相关，符合国家政策规定、按照确定的标准享有、对公司损益产生持续影响的政府补助除外）</w:t>
            </w:r>
          </w:p>
        </w:tc>
        <w:tc>
          <w:tcPr>
            <w:tcW w:w="3213" w:type="dxa"/>
            <w:tcBorders>
              <w:top w:val="single" w:color="auto" w:sz="2" w:space="0"/>
              <w:left w:val="single" w:color="auto" w:sz="2" w:space="0"/>
              <w:bottom w:val="single" w:color="auto" w:sz="2" w:space="0"/>
              <w:right w:val="single" w:color="auto" w:sz="2" w:space="0"/>
            </w:tcBorders>
            <w:vAlign w:val="center"/>
          </w:tcPr>
          <w:p w14:paraId="4084372C">
            <w:pPr>
              <w:spacing w:before="0" w:after="0" w:line="240" w:lineRule="exact"/>
              <w:jc w:val="right"/>
              <w:rPr>
                <w:rFonts w:ascii="宋体" w:hAnsi="宋体" w:eastAsia="宋体" w:cs="宋体"/>
                <w:sz w:val="18"/>
                <w:szCs w:val="18"/>
              </w:rPr>
            </w:pPr>
            <w:r>
              <w:rPr>
                <w:rFonts w:ascii="宋体" w:hAnsi="宋体" w:eastAsia="宋体" w:cs="宋体"/>
                <w:sz w:val="18"/>
                <w:szCs w:val="18"/>
              </w:rPr>
              <w:t>45,114,872.01</w:t>
            </w:r>
          </w:p>
        </w:tc>
        <w:tc>
          <w:tcPr>
            <w:tcW w:w="3213" w:type="dxa"/>
            <w:tcBorders>
              <w:top w:val="single" w:color="auto" w:sz="2" w:space="0"/>
              <w:left w:val="single" w:color="auto" w:sz="2" w:space="0"/>
              <w:bottom w:val="single" w:color="auto" w:sz="2" w:space="0"/>
              <w:right w:val="single" w:color="auto" w:sz="2" w:space="0"/>
            </w:tcBorders>
            <w:vAlign w:val="center"/>
          </w:tcPr>
          <w:p w14:paraId="54B10A57">
            <w:pPr>
              <w:spacing w:before="0" w:after="0" w:line="240" w:lineRule="exact"/>
              <w:jc w:val="left"/>
              <w:rPr>
                <w:rFonts w:ascii="宋体" w:hAnsi="宋体" w:eastAsia="宋体" w:cs="宋体"/>
                <w:sz w:val="18"/>
                <w:szCs w:val="18"/>
              </w:rPr>
            </w:pPr>
            <w:r>
              <w:rPr>
                <w:rFonts w:hint="eastAsia" w:ascii="宋体" w:hAnsi="宋体" w:eastAsia="宋体" w:cs="宋体"/>
                <w:sz w:val="18"/>
                <w:szCs w:val="18"/>
              </w:rPr>
              <w:t>主要为收到大额创新药临床补助</w:t>
            </w:r>
          </w:p>
        </w:tc>
      </w:tr>
      <w:tr w14:paraId="6DA059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5C6A5131">
            <w:pPr>
              <w:spacing w:before="40" w:after="40" w:line="240" w:lineRule="exact"/>
              <w:jc w:val="left"/>
              <w:rPr>
                <w:rFonts w:ascii="宋体" w:hAnsi="宋体" w:eastAsia="宋体" w:cs="宋体"/>
                <w:sz w:val="18"/>
                <w:szCs w:val="18"/>
              </w:rPr>
            </w:pPr>
            <w:r>
              <w:rPr>
                <w:rFonts w:ascii="宋体" w:hAnsi="宋体" w:eastAsia="宋体" w:cs="宋体"/>
                <w:sz w:val="18"/>
                <w:szCs w:val="18"/>
              </w:rPr>
              <w:t>除上述各项之外的其他营业外收入和支出</w:t>
            </w:r>
          </w:p>
        </w:tc>
        <w:tc>
          <w:tcPr>
            <w:tcW w:w="3213" w:type="dxa"/>
            <w:tcBorders>
              <w:top w:val="single" w:color="auto" w:sz="2" w:space="0"/>
              <w:left w:val="single" w:color="auto" w:sz="2" w:space="0"/>
              <w:bottom w:val="single" w:color="auto" w:sz="2" w:space="0"/>
              <w:right w:val="single" w:color="auto" w:sz="2" w:space="0"/>
            </w:tcBorders>
            <w:vAlign w:val="center"/>
          </w:tcPr>
          <w:p w14:paraId="2BB9E7C6">
            <w:pPr>
              <w:spacing w:before="0" w:after="0" w:line="240" w:lineRule="exact"/>
              <w:jc w:val="right"/>
              <w:rPr>
                <w:rFonts w:ascii="宋体" w:hAnsi="宋体" w:eastAsia="宋体" w:cs="宋体"/>
                <w:sz w:val="18"/>
                <w:szCs w:val="18"/>
              </w:rPr>
            </w:pPr>
            <w:r>
              <w:rPr>
                <w:rFonts w:ascii="宋体" w:hAnsi="宋体" w:eastAsia="宋体" w:cs="宋体"/>
                <w:sz w:val="18"/>
                <w:szCs w:val="18"/>
              </w:rPr>
              <w:t>156,802.26</w:t>
            </w:r>
          </w:p>
        </w:tc>
        <w:tc>
          <w:tcPr>
            <w:tcW w:w="3213" w:type="dxa"/>
            <w:tcBorders>
              <w:top w:val="single" w:color="auto" w:sz="2" w:space="0"/>
              <w:left w:val="single" w:color="auto" w:sz="2" w:space="0"/>
              <w:bottom w:val="single" w:color="auto" w:sz="2" w:space="0"/>
              <w:right w:val="single" w:color="auto" w:sz="2" w:space="0"/>
            </w:tcBorders>
            <w:vAlign w:val="center"/>
          </w:tcPr>
          <w:p w14:paraId="02E3056D">
            <w:pPr>
              <w:spacing w:before="0" w:after="0" w:line="240" w:lineRule="exact"/>
              <w:jc w:val="left"/>
              <w:rPr>
                <w:rFonts w:ascii="宋体" w:hAnsi="宋体" w:eastAsia="宋体" w:cs="宋体"/>
                <w:sz w:val="18"/>
                <w:szCs w:val="18"/>
              </w:rPr>
            </w:pPr>
          </w:p>
        </w:tc>
      </w:tr>
      <w:tr w14:paraId="433418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A76D6EF">
            <w:pPr>
              <w:spacing w:before="40" w:after="40" w:line="240" w:lineRule="exact"/>
              <w:jc w:val="left"/>
              <w:rPr>
                <w:rFonts w:ascii="宋体" w:hAnsi="宋体" w:eastAsia="宋体" w:cs="宋体"/>
                <w:sz w:val="18"/>
                <w:szCs w:val="18"/>
              </w:rPr>
            </w:pPr>
            <w:r>
              <w:rPr>
                <w:rFonts w:ascii="宋体" w:hAnsi="宋体" w:eastAsia="宋体" w:cs="宋体"/>
                <w:sz w:val="18"/>
                <w:szCs w:val="18"/>
              </w:rPr>
              <w:t>其他符合非经常性损益定义的损益项目</w:t>
            </w:r>
          </w:p>
        </w:tc>
        <w:tc>
          <w:tcPr>
            <w:tcW w:w="3213" w:type="dxa"/>
            <w:tcBorders>
              <w:top w:val="single" w:color="auto" w:sz="2" w:space="0"/>
              <w:left w:val="single" w:color="auto" w:sz="2" w:space="0"/>
              <w:bottom w:val="single" w:color="auto" w:sz="2" w:space="0"/>
              <w:right w:val="single" w:color="auto" w:sz="2" w:space="0"/>
            </w:tcBorders>
            <w:vAlign w:val="center"/>
          </w:tcPr>
          <w:p w14:paraId="4D61DEFA">
            <w:pPr>
              <w:spacing w:before="0" w:after="0" w:line="240" w:lineRule="exact"/>
              <w:jc w:val="right"/>
              <w:rPr>
                <w:rFonts w:ascii="宋体" w:hAnsi="宋体" w:eastAsia="宋体" w:cs="宋体"/>
                <w:sz w:val="18"/>
                <w:szCs w:val="18"/>
              </w:rPr>
            </w:pPr>
            <w:r>
              <w:rPr>
                <w:rFonts w:ascii="宋体" w:hAnsi="宋体" w:eastAsia="宋体" w:cs="宋体"/>
                <w:sz w:val="18"/>
                <w:szCs w:val="18"/>
              </w:rPr>
              <w:t>1,635,499.58</w:t>
            </w:r>
          </w:p>
        </w:tc>
        <w:tc>
          <w:tcPr>
            <w:tcW w:w="3213" w:type="dxa"/>
            <w:tcBorders>
              <w:top w:val="single" w:color="auto" w:sz="2" w:space="0"/>
              <w:left w:val="single" w:color="auto" w:sz="2" w:space="0"/>
              <w:bottom w:val="single" w:color="auto" w:sz="2" w:space="0"/>
              <w:right w:val="single" w:color="auto" w:sz="2" w:space="0"/>
            </w:tcBorders>
            <w:vAlign w:val="center"/>
          </w:tcPr>
          <w:p w14:paraId="4EA6E507">
            <w:pPr>
              <w:spacing w:before="0" w:after="0" w:line="240" w:lineRule="exact"/>
              <w:jc w:val="left"/>
              <w:rPr>
                <w:rFonts w:ascii="宋体" w:hAnsi="宋体" w:eastAsia="宋体" w:cs="宋体"/>
                <w:sz w:val="18"/>
                <w:szCs w:val="18"/>
              </w:rPr>
            </w:pPr>
          </w:p>
        </w:tc>
      </w:tr>
      <w:tr w14:paraId="54F088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009641B7">
            <w:pPr>
              <w:spacing w:before="40" w:after="40" w:line="240" w:lineRule="exact"/>
              <w:jc w:val="left"/>
              <w:rPr>
                <w:rFonts w:ascii="宋体" w:hAnsi="宋体" w:eastAsia="宋体" w:cs="宋体"/>
                <w:sz w:val="18"/>
                <w:szCs w:val="18"/>
              </w:rPr>
            </w:pPr>
            <w:r>
              <w:rPr>
                <w:rFonts w:ascii="宋体" w:hAnsi="宋体" w:eastAsia="宋体" w:cs="宋体"/>
                <w:sz w:val="18"/>
                <w:szCs w:val="18"/>
              </w:rPr>
              <w:t>减：所得税影响额</w:t>
            </w:r>
          </w:p>
        </w:tc>
        <w:tc>
          <w:tcPr>
            <w:tcW w:w="3213" w:type="dxa"/>
            <w:tcBorders>
              <w:top w:val="single" w:color="auto" w:sz="2" w:space="0"/>
              <w:left w:val="single" w:color="auto" w:sz="2" w:space="0"/>
              <w:bottom w:val="single" w:color="auto" w:sz="2" w:space="0"/>
              <w:right w:val="single" w:color="auto" w:sz="2" w:space="0"/>
            </w:tcBorders>
            <w:vAlign w:val="center"/>
          </w:tcPr>
          <w:p w14:paraId="65ABB270">
            <w:pPr>
              <w:spacing w:before="0" w:after="0" w:line="240" w:lineRule="exact"/>
              <w:jc w:val="right"/>
              <w:rPr>
                <w:rFonts w:ascii="宋体" w:hAnsi="宋体" w:eastAsia="宋体" w:cs="宋体"/>
                <w:sz w:val="18"/>
                <w:szCs w:val="18"/>
              </w:rPr>
            </w:pPr>
            <w:r>
              <w:rPr>
                <w:rFonts w:ascii="宋体" w:hAnsi="宋体" w:eastAsia="宋体" w:cs="宋体"/>
                <w:sz w:val="18"/>
                <w:szCs w:val="18"/>
              </w:rPr>
              <w:t>52,450.03</w:t>
            </w:r>
          </w:p>
        </w:tc>
        <w:tc>
          <w:tcPr>
            <w:tcW w:w="3213" w:type="dxa"/>
            <w:tcBorders>
              <w:top w:val="single" w:color="auto" w:sz="2" w:space="0"/>
              <w:left w:val="single" w:color="auto" w:sz="2" w:space="0"/>
              <w:bottom w:val="single" w:color="auto" w:sz="2" w:space="0"/>
              <w:right w:val="single" w:color="auto" w:sz="2" w:space="0"/>
            </w:tcBorders>
            <w:vAlign w:val="center"/>
          </w:tcPr>
          <w:p w14:paraId="43ED63B6">
            <w:pPr>
              <w:spacing w:before="0" w:after="0" w:line="240" w:lineRule="exact"/>
              <w:jc w:val="left"/>
              <w:rPr>
                <w:rFonts w:ascii="宋体" w:hAnsi="宋体" w:eastAsia="宋体" w:cs="宋体"/>
                <w:sz w:val="18"/>
                <w:szCs w:val="18"/>
              </w:rPr>
            </w:pPr>
          </w:p>
        </w:tc>
      </w:tr>
      <w:tr w14:paraId="462208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36AA56E9">
            <w:pPr>
              <w:spacing w:before="40" w:after="40" w:line="240" w:lineRule="exact"/>
              <w:ind w:firstLine="360" w:firstLineChars="200"/>
              <w:jc w:val="left"/>
              <w:rPr>
                <w:rFonts w:ascii="宋体" w:hAnsi="宋体" w:eastAsia="宋体" w:cs="宋体"/>
                <w:sz w:val="18"/>
                <w:szCs w:val="18"/>
              </w:rPr>
            </w:pPr>
            <w:r>
              <w:rPr>
                <w:rFonts w:ascii="宋体" w:hAnsi="宋体" w:eastAsia="宋体" w:cs="宋体"/>
                <w:sz w:val="18"/>
                <w:szCs w:val="18"/>
              </w:rPr>
              <w:t>少数股东权益影响额（税后）</w:t>
            </w:r>
          </w:p>
        </w:tc>
        <w:tc>
          <w:tcPr>
            <w:tcW w:w="3213" w:type="dxa"/>
            <w:tcBorders>
              <w:top w:val="single" w:color="auto" w:sz="2" w:space="0"/>
              <w:left w:val="single" w:color="auto" w:sz="2" w:space="0"/>
              <w:bottom w:val="single" w:color="auto" w:sz="2" w:space="0"/>
              <w:right w:val="single" w:color="auto" w:sz="2" w:space="0"/>
            </w:tcBorders>
            <w:vAlign w:val="center"/>
          </w:tcPr>
          <w:p w14:paraId="4D9746D6">
            <w:pPr>
              <w:spacing w:before="0" w:after="0" w:line="240" w:lineRule="exact"/>
              <w:jc w:val="right"/>
              <w:rPr>
                <w:rFonts w:ascii="宋体" w:hAnsi="宋体" w:eastAsia="宋体" w:cs="宋体"/>
                <w:sz w:val="18"/>
                <w:szCs w:val="18"/>
              </w:rPr>
            </w:pPr>
            <w:r>
              <w:rPr>
                <w:rFonts w:ascii="宋体" w:hAnsi="宋体" w:eastAsia="宋体" w:cs="宋体"/>
                <w:sz w:val="18"/>
                <w:szCs w:val="18"/>
              </w:rPr>
              <w:t>3,577,690.97</w:t>
            </w:r>
          </w:p>
        </w:tc>
        <w:tc>
          <w:tcPr>
            <w:tcW w:w="3213" w:type="dxa"/>
            <w:tcBorders>
              <w:top w:val="single" w:color="auto" w:sz="2" w:space="0"/>
              <w:left w:val="single" w:color="auto" w:sz="2" w:space="0"/>
              <w:bottom w:val="single" w:color="auto" w:sz="2" w:space="0"/>
              <w:right w:val="single" w:color="auto" w:sz="2" w:space="0"/>
            </w:tcBorders>
            <w:vAlign w:val="center"/>
          </w:tcPr>
          <w:p w14:paraId="07BC3FD2">
            <w:pPr>
              <w:spacing w:before="0" w:after="0" w:line="240" w:lineRule="exact"/>
              <w:jc w:val="left"/>
              <w:rPr>
                <w:rFonts w:ascii="宋体" w:hAnsi="宋体" w:eastAsia="宋体" w:cs="宋体"/>
                <w:sz w:val="18"/>
                <w:szCs w:val="18"/>
              </w:rPr>
            </w:pPr>
          </w:p>
        </w:tc>
      </w:tr>
      <w:tr w14:paraId="12F58D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40168CDB">
            <w:pPr>
              <w:spacing w:before="40" w:after="40" w:line="240" w:lineRule="exact"/>
              <w:jc w:val="lef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14:paraId="1C07A3FE">
            <w:pPr>
              <w:spacing w:before="0" w:after="0" w:line="240" w:lineRule="exact"/>
              <w:jc w:val="right"/>
              <w:rPr>
                <w:rFonts w:ascii="宋体" w:hAnsi="宋体" w:eastAsia="宋体" w:cs="宋体"/>
                <w:sz w:val="18"/>
                <w:szCs w:val="18"/>
              </w:rPr>
            </w:pPr>
            <w:r>
              <w:rPr>
                <w:rFonts w:ascii="宋体" w:hAnsi="宋体" w:eastAsia="宋体" w:cs="宋体"/>
                <w:sz w:val="18"/>
                <w:szCs w:val="18"/>
              </w:rPr>
              <w:t>43,234,539.73</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14:paraId="24F561C2">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14:paraId="4D550182">
      <w:pPr>
        <w:spacing w:before="100" w:after="100" w:line="240" w:lineRule="exact"/>
        <w:jc w:val="left"/>
        <w:rPr>
          <w:rFonts w:ascii="宋体" w:hAnsi="宋体" w:eastAsia="宋体" w:cs="宋体"/>
          <w:sz w:val="18"/>
          <w:szCs w:val="18"/>
        </w:rPr>
      </w:pPr>
      <w:r>
        <w:rPr>
          <w:rFonts w:ascii="宋体" w:hAnsi="宋体" w:eastAsia="宋体" w:cs="宋体"/>
          <w:sz w:val="18"/>
          <w:szCs w:val="18"/>
        </w:rPr>
        <w:t>其他符合非经常性损益定义的损益项目的具体情况：</w:t>
      </w:r>
    </w:p>
    <w:p w14:paraId="22C4D163">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5CC33511">
      <w:pPr>
        <w:spacing w:before="100" w:after="100" w:line="240" w:lineRule="exact"/>
        <w:jc w:val="left"/>
        <w:rPr>
          <w:rFonts w:ascii="宋体" w:hAnsi="宋体" w:eastAsia="宋体" w:cs="宋体"/>
          <w:sz w:val="18"/>
          <w:szCs w:val="18"/>
        </w:rPr>
      </w:pPr>
      <w:r>
        <w:rPr>
          <w:rFonts w:ascii="宋体" w:hAnsi="宋体" w:eastAsia="宋体" w:cs="宋体"/>
          <w:sz w:val="18"/>
          <w:szCs w:val="18"/>
        </w:rPr>
        <w:t>公司不存在其他符合非经常性损益定义的损益项目的具体情况。</w:t>
      </w:r>
    </w:p>
    <w:p w14:paraId="5C32E8ED">
      <w:pPr>
        <w:spacing w:before="100" w:after="100" w:line="240" w:lineRule="exact"/>
        <w:jc w:val="left"/>
        <w:rPr>
          <w:rFonts w:ascii="宋体" w:hAnsi="宋体" w:eastAsia="宋体" w:cs="宋体"/>
          <w:sz w:val="18"/>
          <w:szCs w:val="18"/>
        </w:rPr>
      </w:pPr>
      <w:r>
        <w:rPr>
          <w:rFonts w:ascii="宋体" w:hAnsi="宋体" w:eastAsia="宋体" w:cs="宋体"/>
          <w:sz w:val="18"/>
          <w:szCs w:val="18"/>
        </w:rPr>
        <w:t>将《公开发行证券的公司信息披露解释性公告第1号——非经常性损益》中列举的非经常性损益项目界定为经常性损益项目的情况说明</w:t>
      </w:r>
    </w:p>
    <w:p w14:paraId="73DF74DD">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3BF619E2">
      <w:pPr>
        <w:keepNext/>
        <w:keepLines/>
        <w:spacing w:before="300" w:after="300" w:line="280" w:lineRule="exact"/>
        <w:jc w:val="left"/>
        <w:outlineLvl w:val="2"/>
        <w:rPr>
          <w:rFonts w:ascii="宋体" w:hAnsi="宋体" w:eastAsia="宋体" w:cs="宋体"/>
          <w:b/>
          <w:bCs/>
          <w:sz w:val="21"/>
          <w:szCs w:val="21"/>
        </w:rPr>
      </w:pPr>
      <w:bookmarkStart w:id="615" w:name="_Toc989498"/>
      <w:r>
        <w:rPr>
          <w:rFonts w:ascii="宋体" w:hAnsi="宋体" w:eastAsia="宋体" w:cs="宋体"/>
          <w:b/>
          <w:bCs/>
          <w:sz w:val="21"/>
          <w:szCs w:val="21"/>
        </w:rPr>
        <w:t>2、净资产收益率及每股收益</w:t>
      </w:r>
      <w:bookmarkEnd w:id="615"/>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2410"/>
        <w:gridCol w:w="2410"/>
        <w:gridCol w:w="2410"/>
      </w:tblGrid>
      <w:tr w14:paraId="20A29F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2F369884">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报告期利润</w:t>
            </w:r>
          </w:p>
        </w:tc>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080556EB">
            <w:pPr>
              <w:spacing w:before="40" w:after="40" w:line="240" w:lineRule="exact"/>
              <w:jc w:val="center"/>
              <w:rPr>
                <w:rFonts w:ascii="宋体" w:hAnsi="宋体" w:eastAsia="宋体" w:cs="宋体"/>
                <w:sz w:val="18"/>
                <w:szCs w:val="18"/>
              </w:rPr>
            </w:pPr>
            <w:r>
              <w:rPr>
                <w:rFonts w:ascii="宋体" w:hAnsi="宋体" w:eastAsia="宋体" w:cs="宋体"/>
                <w:sz w:val="18"/>
                <w:szCs w:val="18"/>
              </w:rPr>
              <w:t>加权平均净资产收益率</w:t>
            </w:r>
          </w:p>
        </w:tc>
        <w:tc>
          <w:tcPr>
            <w:tcW w:w="482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C2D892F">
            <w:pPr>
              <w:spacing w:before="40" w:after="40" w:line="240" w:lineRule="exact"/>
              <w:jc w:val="center"/>
              <w:rPr>
                <w:rFonts w:ascii="宋体" w:hAnsi="宋体" w:eastAsia="宋体" w:cs="宋体"/>
                <w:sz w:val="18"/>
                <w:szCs w:val="18"/>
              </w:rPr>
            </w:pPr>
            <w:r>
              <w:rPr>
                <w:rFonts w:ascii="宋体" w:hAnsi="宋体" w:eastAsia="宋体" w:cs="宋体"/>
                <w:sz w:val="18"/>
                <w:szCs w:val="18"/>
              </w:rPr>
              <w:t>每股收益</w:t>
            </w:r>
          </w:p>
        </w:tc>
      </w:tr>
      <w:tr w14:paraId="30F859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694F3984"/>
        </w:tc>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70D595A8"/>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2F066DB3">
            <w:pPr>
              <w:spacing w:before="40" w:after="40" w:line="240" w:lineRule="exact"/>
              <w:jc w:val="center"/>
              <w:rPr>
                <w:rFonts w:ascii="宋体" w:hAnsi="宋体" w:eastAsia="宋体" w:cs="宋体"/>
                <w:sz w:val="18"/>
                <w:szCs w:val="18"/>
              </w:rPr>
            </w:pPr>
            <w:r>
              <w:rPr>
                <w:rFonts w:ascii="宋体" w:hAnsi="宋体" w:eastAsia="宋体" w:cs="宋体"/>
                <w:sz w:val="18"/>
                <w:szCs w:val="18"/>
              </w:rPr>
              <w:t>基本每股收益（元/股）</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5B78D801">
            <w:pPr>
              <w:spacing w:before="40" w:after="40" w:line="240" w:lineRule="exact"/>
              <w:jc w:val="center"/>
              <w:rPr>
                <w:rFonts w:ascii="宋体" w:hAnsi="宋体" w:eastAsia="宋体" w:cs="宋体"/>
                <w:sz w:val="18"/>
                <w:szCs w:val="18"/>
              </w:rPr>
            </w:pPr>
            <w:r>
              <w:rPr>
                <w:rFonts w:ascii="宋体" w:hAnsi="宋体" w:eastAsia="宋体" w:cs="宋体"/>
                <w:sz w:val="18"/>
                <w:szCs w:val="18"/>
              </w:rPr>
              <w:t>稀释每股收益（元/股）</w:t>
            </w:r>
          </w:p>
        </w:tc>
      </w:tr>
      <w:tr w14:paraId="5142D9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8699BA9">
            <w:pPr>
              <w:spacing w:before="40" w:after="40" w:line="240" w:lineRule="exact"/>
              <w:jc w:val="left"/>
              <w:rPr>
                <w:rFonts w:ascii="宋体" w:hAnsi="宋体" w:eastAsia="宋体" w:cs="宋体"/>
                <w:sz w:val="18"/>
                <w:szCs w:val="18"/>
              </w:rPr>
            </w:pPr>
            <w:r>
              <w:rPr>
                <w:rFonts w:ascii="宋体" w:hAnsi="宋体" w:eastAsia="宋体" w:cs="宋体"/>
                <w:sz w:val="18"/>
                <w:szCs w:val="18"/>
              </w:rPr>
              <w:t>归属于公司普通股股东的净利润</w:t>
            </w:r>
          </w:p>
        </w:tc>
        <w:tc>
          <w:tcPr>
            <w:tcW w:w="2410" w:type="dxa"/>
            <w:tcBorders>
              <w:top w:val="single" w:color="auto" w:sz="2" w:space="0"/>
              <w:left w:val="single" w:color="auto" w:sz="2" w:space="0"/>
              <w:bottom w:val="single" w:color="auto" w:sz="2" w:space="0"/>
              <w:right w:val="single" w:color="auto" w:sz="2" w:space="0"/>
            </w:tcBorders>
            <w:vAlign w:val="center"/>
          </w:tcPr>
          <w:p w14:paraId="16191F63">
            <w:pPr>
              <w:spacing w:before="0" w:after="0" w:line="240" w:lineRule="exact"/>
              <w:jc w:val="right"/>
              <w:rPr>
                <w:rFonts w:ascii="宋体" w:hAnsi="宋体" w:eastAsia="宋体" w:cs="宋体"/>
                <w:sz w:val="18"/>
                <w:szCs w:val="18"/>
              </w:rPr>
            </w:pPr>
            <w:r>
              <w:rPr>
                <w:rFonts w:ascii="宋体" w:hAnsi="宋体" w:eastAsia="宋体" w:cs="宋体"/>
                <w:sz w:val="18"/>
                <w:szCs w:val="18"/>
              </w:rPr>
              <w:t>-35.66%</w:t>
            </w:r>
          </w:p>
        </w:tc>
        <w:tc>
          <w:tcPr>
            <w:tcW w:w="2410" w:type="dxa"/>
            <w:tcBorders>
              <w:top w:val="single" w:color="auto" w:sz="2" w:space="0"/>
              <w:left w:val="single" w:color="auto" w:sz="2" w:space="0"/>
              <w:bottom w:val="single" w:color="auto" w:sz="2" w:space="0"/>
              <w:right w:val="single" w:color="auto" w:sz="2" w:space="0"/>
            </w:tcBorders>
            <w:vAlign w:val="center"/>
          </w:tcPr>
          <w:p w14:paraId="27274E7A">
            <w:pPr>
              <w:spacing w:before="0" w:after="0" w:line="240" w:lineRule="exact"/>
              <w:jc w:val="right"/>
              <w:rPr>
                <w:rFonts w:ascii="宋体" w:hAnsi="宋体" w:eastAsia="宋体" w:cs="宋体"/>
                <w:sz w:val="18"/>
                <w:szCs w:val="18"/>
              </w:rPr>
            </w:pPr>
            <w:r>
              <w:rPr>
                <w:rFonts w:ascii="宋体" w:hAnsi="宋体" w:eastAsia="宋体" w:cs="宋体"/>
                <w:sz w:val="18"/>
                <w:szCs w:val="18"/>
              </w:rPr>
              <w:t>-0.9814</w:t>
            </w:r>
          </w:p>
        </w:tc>
        <w:tc>
          <w:tcPr>
            <w:tcW w:w="2410" w:type="dxa"/>
            <w:tcBorders>
              <w:top w:val="single" w:color="auto" w:sz="2" w:space="0"/>
              <w:left w:val="single" w:color="auto" w:sz="2" w:space="0"/>
              <w:bottom w:val="single" w:color="auto" w:sz="2" w:space="0"/>
              <w:right w:val="single" w:color="auto" w:sz="2" w:space="0"/>
            </w:tcBorders>
            <w:vAlign w:val="center"/>
          </w:tcPr>
          <w:p w14:paraId="0F41B01F">
            <w:pPr>
              <w:spacing w:before="0" w:after="0" w:line="240" w:lineRule="exact"/>
              <w:jc w:val="right"/>
              <w:rPr>
                <w:rFonts w:ascii="宋体" w:hAnsi="宋体" w:eastAsia="宋体" w:cs="宋体"/>
                <w:sz w:val="18"/>
                <w:szCs w:val="18"/>
              </w:rPr>
            </w:pPr>
            <w:r>
              <w:rPr>
                <w:rFonts w:ascii="宋体" w:hAnsi="宋体" w:eastAsia="宋体" w:cs="宋体"/>
                <w:sz w:val="18"/>
                <w:szCs w:val="18"/>
              </w:rPr>
              <w:t>-0.9814</w:t>
            </w:r>
          </w:p>
        </w:tc>
      </w:tr>
      <w:tr w14:paraId="67E978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14:paraId="78FCE16C">
            <w:pPr>
              <w:spacing w:before="40" w:after="40" w:line="240" w:lineRule="exact"/>
              <w:jc w:val="left"/>
              <w:rPr>
                <w:rFonts w:ascii="宋体" w:hAnsi="宋体" w:eastAsia="宋体" w:cs="宋体"/>
                <w:sz w:val="18"/>
                <w:szCs w:val="18"/>
              </w:rPr>
            </w:pPr>
            <w:r>
              <w:rPr>
                <w:rFonts w:ascii="宋体" w:hAnsi="宋体" w:eastAsia="宋体" w:cs="宋体"/>
                <w:sz w:val="18"/>
                <w:szCs w:val="18"/>
              </w:rPr>
              <w:t>扣除非经常性损益后归属于公司普通股股东的净利润</w:t>
            </w:r>
          </w:p>
        </w:tc>
        <w:tc>
          <w:tcPr>
            <w:tcW w:w="2410" w:type="dxa"/>
            <w:tcBorders>
              <w:top w:val="single" w:color="auto" w:sz="2" w:space="0"/>
              <w:left w:val="single" w:color="auto" w:sz="2" w:space="0"/>
              <w:bottom w:val="single" w:color="auto" w:sz="2" w:space="0"/>
              <w:right w:val="single" w:color="auto" w:sz="2" w:space="0"/>
            </w:tcBorders>
            <w:vAlign w:val="center"/>
          </w:tcPr>
          <w:p w14:paraId="7BED16F7">
            <w:pPr>
              <w:spacing w:before="0" w:after="0" w:line="240" w:lineRule="exact"/>
              <w:jc w:val="right"/>
              <w:rPr>
                <w:rFonts w:ascii="宋体" w:hAnsi="宋体" w:eastAsia="宋体" w:cs="宋体"/>
                <w:sz w:val="18"/>
                <w:szCs w:val="18"/>
              </w:rPr>
            </w:pPr>
            <w:r>
              <w:rPr>
                <w:rFonts w:ascii="宋体" w:hAnsi="宋体" w:eastAsia="宋体" w:cs="宋体"/>
                <w:sz w:val="18"/>
                <w:szCs w:val="18"/>
              </w:rPr>
              <w:t>-45.52%</w:t>
            </w:r>
          </w:p>
        </w:tc>
        <w:tc>
          <w:tcPr>
            <w:tcW w:w="2410" w:type="dxa"/>
            <w:tcBorders>
              <w:top w:val="single" w:color="auto" w:sz="2" w:space="0"/>
              <w:left w:val="single" w:color="auto" w:sz="2" w:space="0"/>
              <w:bottom w:val="single" w:color="auto" w:sz="2" w:space="0"/>
              <w:right w:val="single" w:color="auto" w:sz="2" w:space="0"/>
            </w:tcBorders>
            <w:vAlign w:val="center"/>
          </w:tcPr>
          <w:p w14:paraId="4C560479">
            <w:pPr>
              <w:spacing w:before="0" w:after="0" w:line="240" w:lineRule="exact"/>
              <w:jc w:val="right"/>
              <w:rPr>
                <w:rFonts w:ascii="宋体" w:hAnsi="宋体" w:eastAsia="宋体" w:cs="宋体"/>
                <w:sz w:val="18"/>
                <w:szCs w:val="18"/>
              </w:rPr>
            </w:pPr>
            <w:r>
              <w:rPr>
                <w:rFonts w:ascii="宋体" w:hAnsi="宋体" w:eastAsia="宋体" w:cs="宋体"/>
                <w:sz w:val="18"/>
                <w:szCs w:val="18"/>
              </w:rPr>
              <w:t>-1.2529</w:t>
            </w:r>
          </w:p>
        </w:tc>
        <w:tc>
          <w:tcPr>
            <w:tcW w:w="2410" w:type="dxa"/>
            <w:tcBorders>
              <w:top w:val="single" w:color="auto" w:sz="2" w:space="0"/>
              <w:left w:val="single" w:color="auto" w:sz="2" w:space="0"/>
              <w:bottom w:val="single" w:color="auto" w:sz="2" w:space="0"/>
              <w:right w:val="single" w:color="auto" w:sz="2" w:space="0"/>
            </w:tcBorders>
            <w:vAlign w:val="center"/>
          </w:tcPr>
          <w:p w14:paraId="607D4018">
            <w:pPr>
              <w:spacing w:before="0" w:after="0" w:line="240" w:lineRule="exact"/>
              <w:jc w:val="right"/>
              <w:rPr>
                <w:rFonts w:ascii="宋体" w:hAnsi="宋体" w:eastAsia="宋体" w:cs="宋体"/>
                <w:sz w:val="18"/>
                <w:szCs w:val="18"/>
              </w:rPr>
            </w:pPr>
            <w:r>
              <w:rPr>
                <w:rFonts w:ascii="宋体" w:hAnsi="宋体" w:eastAsia="宋体" w:cs="宋体"/>
                <w:sz w:val="18"/>
                <w:szCs w:val="18"/>
              </w:rPr>
              <w:t>-1.2529</w:t>
            </w:r>
          </w:p>
        </w:tc>
      </w:tr>
    </w:tbl>
    <w:p w14:paraId="34C6798E">
      <w:pPr>
        <w:keepNext/>
        <w:keepLines/>
        <w:spacing w:before="300" w:after="300" w:line="280" w:lineRule="exact"/>
        <w:jc w:val="left"/>
        <w:outlineLvl w:val="2"/>
        <w:rPr>
          <w:rFonts w:ascii="宋体" w:hAnsi="宋体" w:eastAsia="宋体" w:cs="宋体"/>
          <w:b/>
          <w:bCs/>
          <w:sz w:val="21"/>
          <w:szCs w:val="21"/>
        </w:rPr>
      </w:pPr>
      <w:bookmarkStart w:id="616" w:name="_Toc989499"/>
      <w:r>
        <w:rPr>
          <w:rFonts w:ascii="宋体" w:hAnsi="宋体" w:eastAsia="宋体" w:cs="宋体"/>
          <w:b/>
          <w:bCs/>
          <w:sz w:val="21"/>
          <w:szCs w:val="21"/>
        </w:rPr>
        <w:t>3、境内外会计准则下会计数据差异</w:t>
      </w:r>
      <w:bookmarkEnd w:id="616"/>
    </w:p>
    <w:p w14:paraId="6C173350">
      <w:pPr>
        <w:keepNext/>
        <w:keepLines/>
        <w:spacing w:before="300" w:after="300" w:line="280" w:lineRule="exact"/>
        <w:jc w:val="left"/>
        <w:outlineLvl w:val="3"/>
        <w:rPr>
          <w:rFonts w:ascii="宋体" w:hAnsi="宋体" w:eastAsia="宋体" w:cs="宋体"/>
          <w:b/>
          <w:bCs/>
          <w:sz w:val="21"/>
          <w:szCs w:val="21"/>
        </w:rPr>
      </w:pPr>
      <w:bookmarkStart w:id="617" w:name="_Toc989500"/>
      <w:r>
        <w:rPr>
          <w:rFonts w:ascii="宋体" w:hAnsi="宋体" w:eastAsia="宋体" w:cs="宋体"/>
          <w:b/>
          <w:bCs/>
          <w:sz w:val="21"/>
          <w:szCs w:val="21"/>
        </w:rPr>
        <w:t>（1） 同时按照国际会计准则与按中国会计准则披露的财务报告中净利润和净资产差异情况</w:t>
      </w:r>
      <w:bookmarkEnd w:id="617"/>
    </w:p>
    <w:p w14:paraId="0FE029A3">
      <w:pPr>
        <w:spacing w:before="0" w:after="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5C6DD24E">
      <w:pPr>
        <w:keepNext/>
        <w:keepLines/>
        <w:spacing w:before="300" w:after="300" w:line="280" w:lineRule="exact"/>
        <w:jc w:val="left"/>
        <w:outlineLvl w:val="3"/>
        <w:rPr>
          <w:rFonts w:ascii="宋体" w:hAnsi="宋体" w:eastAsia="宋体" w:cs="宋体"/>
          <w:b/>
          <w:bCs/>
          <w:sz w:val="21"/>
          <w:szCs w:val="21"/>
        </w:rPr>
      </w:pPr>
      <w:bookmarkStart w:id="618" w:name="_Toc989501"/>
      <w:r>
        <w:rPr>
          <w:rFonts w:ascii="宋体" w:hAnsi="宋体" w:eastAsia="宋体" w:cs="宋体"/>
          <w:b/>
          <w:bCs/>
          <w:sz w:val="21"/>
          <w:szCs w:val="21"/>
        </w:rPr>
        <w:t>（2） 同时按照境外会计准则与按中国会计准则披露的财务报告中净利润和净资产差异情况</w:t>
      </w:r>
      <w:bookmarkEnd w:id="618"/>
    </w:p>
    <w:p w14:paraId="624B43C2">
      <w:pPr>
        <w:spacing w:before="0" w:after="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4A1DC5FC">
      <w:pPr>
        <w:keepNext/>
        <w:keepLines/>
        <w:spacing w:before="300" w:after="300" w:line="280" w:lineRule="exact"/>
        <w:jc w:val="left"/>
        <w:outlineLvl w:val="3"/>
        <w:rPr>
          <w:rFonts w:ascii="宋体" w:hAnsi="宋体" w:eastAsia="宋体" w:cs="宋体"/>
          <w:b/>
          <w:bCs/>
          <w:sz w:val="21"/>
          <w:szCs w:val="21"/>
        </w:rPr>
      </w:pPr>
      <w:bookmarkStart w:id="619" w:name="_Toc989502"/>
      <w:r>
        <w:rPr>
          <w:rFonts w:ascii="宋体" w:hAnsi="宋体" w:eastAsia="宋体" w:cs="宋体"/>
          <w:b/>
          <w:bCs/>
          <w:sz w:val="21"/>
          <w:szCs w:val="21"/>
        </w:rPr>
        <w:t>（3） 境内外会计准则下会计数据差异原因说明，对已经境外审计机构审计的数据进行差异调节的，应注明该境外机构的名称</w:t>
      </w:r>
      <w:bookmarkEnd w:id="619"/>
    </w:p>
    <w:p w14:paraId="0C38D500">
      <w:pPr>
        <w:spacing w:before="100" w:after="100" w:line="240" w:lineRule="exact"/>
        <w:jc w:val="lef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14:paraId="24AD1720">
      <w:pPr>
        <w:keepNext/>
        <w:keepLines/>
        <w:spacing w:before="300" w:after="300" w:line="280" w:lineRule="exact"/>
        <w:jc w:val="left"/>
        <w:outlineLvl w:val="2"/>
        <w:rPr>
          <w:rFonts w:ascii="宋体" w:hAnsi="宋体" w:eastAsia="宋体" w:cs="宋体"/>
          <w:b/>
          <w:bCs/>
          <w:sz w:val="21"/>
          <w:szCs w:val="21"/>
        </w:rPr>
      </w:pPr>
      <w:bookmarkStart w:id="620" w:name="_Toc989503"/>
      <w:r>
        <w:rPr>
          <w:rFonts w:ascii="宋体" w:hAnsi="宋体" w:eastAsia="宋体" w:cs="宋体"/>
          <w:b/>
          <w:bCs/>
          <w:sz w:val="21"/>
          <w:szCs w:val="21"/>
        </w:rPr>
        <w:t>4、其他</w:t>
      </w:r>
      <w:bookmarkEnd w:id="620"/>
    </w:p>
    <w:p w14:paraId="1993F9ED">
      <w:pPr>
        <w:spacing w:before="100" w:after="100" w:line="0" w:lineRule="exact"/>
        <w:jc w:val="left"/>
      </w:pPr>
    </w:p>
    <w:sectPr>
      <w:headerReference r:id="rId3" w:type="default"/>
      <w:footerReference r:id="rId4" w:type="default"/>
      <w:pgSz w:w="11905" w:h="16840"/>
      <w:pgMar w:top="1440" w:right="1134" w:bottom="1440" w:left="1134" w:header="850"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panose1 w:val="05020102010507070707"/>
    <w:charset w:val="00"/>
    <w:family w:val="auto"/>
    <w:pitch w:val="default"/>
    <w:sig w:usb0="00000000" w:usb1="00000000" w:usb2="00000000" w:usb3="00000000" w:csb0="80000000" w:csb1="00000000"/>
  </w:font>
  <w:font w:name="Arial Narrow">
    <w:panose1 w:val="020B0606020202030204"/>
    <w:charset w:val="00"/>
    <w:family w:val="auto"/>
    <w:pitch w:val="default"/>
    <w:sig w:usb0="00000287" w:usb1="000008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BD44F">
    <w:pPr>
      <w:jc w:val="right"/>
    </w:pPr>
    <w:r>
      <w:rPr>
        <w:rFonts w:ascii="宋体" w:eastAsia="宋体"/>
        <w:sz w:val="18"/>
        <w:szCs w:val="18"/>
      </w:rPr>
      <w:fldChar w:fldCharType="begin"/>
    </w:r>
    <w:r>
      <w:rPr>
        <w:rFonts w:ascii="宋体" w:eastAsia="宋体"/>
        <w:sz w:val="18"/>
        <w:szCs w:val="18"/>
      </w:rPr>
      <w:instrText xml:space="preserve">PAGE   \* MERGEFORMAT</w:instrText>
    </w:r>
    <w:r>
      <w:rPr>
        <w:rFonts w:ascii="宋体" w:eastAsia="宋体"/>
        <w:sz w:val="18"/>
        <w:szCs w:val="18"/>
      </w:rPr>
      <w:fldChar w:fldCharType="separate"/>
    </w:r>
    <w:r>
      <w:rPr>
        <w:rFonts w:ascii="宋体" w:eastAsia="宋体"/>
        <w:sz w:val="18"/>
        <w:szCs w:val="18"/>
      </w:rPr>
      <w:t>1</w:t>
    </w:r>
    <w:r>
      <w:rPr>
        <w:rFonts w:ascii="宋体" w:eastAsia="宋体"/>
        <w:sz w:val="18"/>
        <w:szCs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87389">
    <w:pPr>
      <w:pBdr>
        <w:bottom w:val="single" w:color="auto" w:sz="6" w:space="1"/>
      </w:pBdr>
      <w:jc w:val="right"/>
    </w:pPr>
    <w:r>
      <w:rPr>
        <w:rFonts w:ascii="宋体" w:eastAsia="宋体"/>
        <w:sz w:val="18"/>
        <w:szCs w:val="18"/>
      </w:rPr>
      <w:t>福建广生堂药业股份有限公司2024年年度报告全文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B77E9"/>
    <w:multiLevelType w:val="singleLevel"/>
    <w:tmpl w:val="87DB77E9"/>
    <w:lvl w:ilvl="0" w:tentative="0">
      <w:start w:val="9"/>
      <w:numFmt w:val="chineseCounting"/>
      <w:suff w:val="nothing"/>
      <w:lvlText w:val="%1、"/>
      <w:lvlJc w:val="left"/>
      <w:rPr>
        <w:rFonts w:hint="eastAsia"/>
      </w:rPr>
    </w:lvl>
  </w:abstractNum>
  <w:abstractNum w:abstractNumId="1">
    <w:nsid w:val="CF092B84"/>
    <w:multiLevelType w:val="multilevel"/>
    <w:tmpl w:val="CF092B8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0053208E"/>
    <w:multiLevelType w:val="multilevel"/>
    <w:tmpl w:val="0053208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59ADCABA"/>
    <w:multiLevelType w:val="multilevel"/>
    <w:tmpl w:val="59ADCAB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compatSetting w:name="compatibilityMode" w:uri="http://schemas.microsoft.com/office/word" w:val="14"/>
  </w:compat>
  <w:rsids>
    <w:rsidRoot w:val="00000000"/>
    <w:rsid w:val="01BC703C"/>
    <w:rsid w:val="03497669"/>
    <w:rsid w:val="03FD05D6"/>
    <w:rsid w:val="0620235A"/>
    <w:rsid w:val="08F31FA8"/>
    <w:rsid w:val="0B35568E"/>
    <w:rsid w:val="0E156394"/>
    <w:rsid w:val="0E95335E"/>
    <w:rsid w:val="103E61FE"/>
    <w:rsid w:val="122F6A70"/>
    <w:rsid w:val="13827A17"/>
    <w:rsid w:val="13F64752"/>
    <w:rsid w:val="13FE2870"/>
    <w:rsid w:val="15961AC9"/>
    <w:rsid w:val="16B4099C"/>
    <w:rsid w:val="16B554A4"/>
    <w:rsid w:val="1B897DD2"/>
    <w:rsid w:val="1C50581A"/>
    <w:rsid w:val="1CC424E7"/>
    <w:rsid w:val="1D067BC4"/>
    <w:rsid w:val="1FAD1BC1"/>
    <w:rsid w:val="1FDA1976"/>
    <w:rsid w:val="20000DDB"/>
    <w:rsid w:val="23D305B4"/>
    <w:rsid w:val="266918E7"/>
    <w:rsid w:val="267F5156"/>
    <w:rsid w:val="26F06546"/>
    <w:rsid w:val="28500B15"/>
    <w:rsid w:val="2A204738"/>
    <w:rsid w:val="2AA33CA7"/>
    <w:rsid w:val="2C1B7484"/>
    <w:rsid w:val="2C44343E"/>
    <w:rsid w:val="2CA451E4"/>
    <w:rsid w:val="2CC66436"/>
    <w:rsid w:val="2CE918DB"/>
    <w:rsid w:val="2D5B5B6E"/>
    <w:rsid w:val="2F1139A0"/>
    <w:rsid w:val="2F917387"/>
    <w:rsid w:val="30586483"/>
    <w:rsid w:val="31E179DC"/>
    <w:rsid w:val="32470C81"/>
    <w:rsid w:val="338F0BBC"/>
    <w:rsid w:val="33DB0726"/>
    <w:rsid w:val="349211F6"/>
    <w:rsid w:val="34BD32E6"/>
    <w:rsid w:val="34C603ED"/>
    <w:rsid w:val="350E01A5"/>
    <w:rsid w:val="355C2D86"/>
    <w:rsid w:val="357845F7"/>
    <w:rsid w:val="359E0B1E"/>
    <w:rsid w:val="35C661CB"/>
    <w:rsid w:val="364C55A4"/>
    <w:rsid w:val="364D41E4"/>
    <w:rsid w:val="3854184B"/>
    <w:rsid w:val="3A007A84"/>
    <w:rsid w:val="3B5624CE"/>
    <w:rsid w:val="3D170FAE"/>
    <w:rsid w:val="3F0B7B65"/>
    <w:rsid w:val="3FB33729"/>
    <w:rsid w:val="407816AF"/>
    <w:rsid w:val="409047D6"/>
    <w:rsid w:val="426A3148"/>
    <w:rsid w:val="43493CA6"/>
    <w:rsid w:val="43D03296"/>
    <w:rsid w:val="43DC40CF"/>
    <w:rsid w:val="45091C30"/>
    <w:rsid w:val="453367F6"/>
    <w:rsid w:val="456809C0"/>
    <w:rsid w:val="4893419A"/>
    <w:rsid w:val="49C0532A"/>
    <w:rsid w:val="4A3D4856"/>
    <w:rsid w:val="4BA32D90"/>
    <w:rsid w:val="4BFB49C8"/>
    <w:rsid w:val="4F251D5C"/>
    <w:rsid w:val="505A4747"/>
    <w:rsid w:val="51003826"/>
    <w:rsid w:val="513A1AEF"/>
    <w:rsid w:val="52424929"/>
    <w:rsid w:val="5280036D"/>
    <w:rsid w:val="536E5C7A"/>
    <w:rsid w:val="540514F4"/>
    <w:rsid w:val="551E78AF"/>
    <w:rsid w:val="56DC79F4"/>
    <w:rsid w:val="5A4F6D56"/>
    <w:rsid w:val="5BCD355F"/>
    <w:rsid w:val="5ED443CA"/>
    <w:rsid w:val="5F73441E"/>
    <w:rsid w:val="60BF04FB"/>
    <w:rsid w:val="61B87741"/>
    <w:rsid w:val="624E2AD0"/>
    <w:rsid w:val="63323318"/>
    <w:rsid w:val="63824E00"/>
    <w:rsid w:val="64385FF7"/>
    <w:rsid w:val="659A7E37"/>
    <w:rsid w:val="668B7F72"/>
    <w:rsid w:val="68486D00"/>
    <w:rsid w:val="6A5512F0"/>
    <w:rsid w:val="6B2C5F64"/>
    <w:rsid w:val="6B973DBE"/>
    <w:rsid w:val="6C273007"/>
    <w:rsid w:val="6C465394"/>
    <w:rsid w:val="6C733CAF"/>
    <w:rsid w:val="6E243390"/>
    <w:rsid w:val="6EBA7284"/>
    <w:rsid w:val="6F96218E"/>
    <w:rsid w:val="70187298"/>
    <w:rsid w:val="71491A26"/>
    <w:rsid w:val="73A25D12"/>
    <w:rsid w:val="74367A9C"/>
    <w:rsid w:val="74966DA6"/>
    <w:rsid w:val="757B1DF9"/>
    <w:rsid w:val="7746008E"/>
    <w:rsid w:val="77F350AE"/>
    <w:rsid w:val="78FA19E0"/>
    <w:rsid w:val="7E0423DA"/>
    <w:rsid w:val="7F0D1D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242</Pages>
  <Words>12402</Words>
  <Characters>14602</Characters>
  <TotalTime>7</TotalTime>
  <ScaleCrop>false</ScaleCrop>
  <LinksUpToDate>false</LinksUpToDate>
  <CharactersWithSpaces>14740</CharactersWithSpaces>
  <Application>WPS Office_12.1.0.20783_F1E327BC-269C-435d-A152-05C5408002CA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2025-04-16T11:16:00Z</dcterms:created>
  <dc:creator>cosun</dc:creator>
  <cp:lastModifiedBy>cdq</cp:lastModifiedBy>
  <dcterms:modified xsi:type="dcterms:W3CDTF">2025-04-17T12:01:52Z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eyJoZGlkIjoiY2Q4MDAzNjNiM2EwYjNjY2VkN2I2ZWY4OTg5YTA1ZWYiLCJ1c2VySWQiOiIxMzk5OTUwMzQxIn0=</vt:lpwstr>
  </property>
  <property fmtid="{D5CDD505-2E9C-101B-9397-08002B2CF9AE}" pid="3" name="KSOProductBuildVer">
    <vt:lpwstr>2052-12.1.0.20783</vt:lpwstr>
  </property>
  <property fmtid="{D5CDD505-2E9C-101B-9397-08002B2CF9AE}" pid="4" name="ICV">
    <vt:lpwstr>D3C3D7D1A8004BD18BF418B307FD57F0_12</vt:lpwstr>
  </property>
</Properties>
</file>