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5AD3E">
      <w:pPr>
        <w:rPr>
          <w:rFonts w:cs="Times New Roman"/>
          <w:color w:val="000000" w:themeColor="text1"/>
        </w:rPr>
      </w:pPr>
    </w:p>
    <w:p w14:paraId="3ED40142">
      <w:pPr>
        <w:rPr>
          <w:rFonts w:cs="Times New Roman"/>
          <w:color w:val="000000" w:themeColor="text1"/>
        </w:rPr>
      </w:pPr>
    </w:p>
    <w:p w14:paraId="664123BB">
      <w:pPr>
        <w:rPr>
          <w:rFonts w:cs="Times New Roman"/>
          <w:color w:val="000000" w:themeColor="text1"/>
        </w:rPr>
      </w:pPr>
    </w:p>
    <w:p w14:paraId="6C04A635">
      <w:pPr>
        <w:rPr>
          <w:rFonts w:cs="Times New Roman"/>
          <w:color w:val="000000" w:themeColor="text1"/>
        </w:rPr>
      </w:pPr>
    </w:p>
    <w:p w14:paraId="096920F7">
      <w:pPr>
        <w:rPr>
          <w:rFonts w:cs="Times New Roman"/>
          <w:color w:val="000000" w:themeColor="text1"/>
        </w:rPr>
      </w:pPr>
    </w:p>
    <w:p w14:paraId="212251D0">
      <w:pPr>
        <w:rPr>
          <w:rFonts w:cs="Times New Roman"/>
          <w:color w:val="000000" w:themeColor="text1"/>
        </w:rPr>
      </w:pPr>
    </w:p>
    <w:p w14:paraId="3CA9673D">
      <w:pPr>
        <w:rPr>
          <w:rFonts w:cs="Times New Roman"/>
          <w:color w:val="000000" w:themeColor="text1"/>
        </w:rPr>
      </w:pPr>
    </w:p>
    <w:p w14:paraId="49EA5E5C">
      <w:pPr>
        <w:rPr>
          <w:rFonts w:cs="Times New Roman"/>
          <w:color w:val="000000" w:themeColor="text1"/>
        </w:rPr>
      </w:pPr>
    </w:p>
    <w:p w14:paraId="3F32C909">
      <w:pPr>
        <w:rPr>
          <w:rFonts w:cs="Times New Roman"/>
          <w:color w:val="000000" w:themeColor="text1"/>
        </w:rPr>
      </w:pPr>
    </w:p>
    <w:p w14:paraId="1A574167">
      <w:pPr>
        <w:rPr>
          <w:rFonts w:cs="Times New Roman"/>
          <w:color w:val="000000" w:themeColor="text1"/>
        </w:rPr>
      </w:pPr>
    </w:p>
    <w:p w14:paraId="2074CBCF">
      <w:pPr>
        <w:rPr>
          <w:rFonts w:cs="Times New Roman"/>
          <w:color w:val="000000" w:themeColor="text1"/>
        </w:rPr>
      </w:pPr>
    </w:p>
    <w:p w14:paraId="3BBB914D">
      <w:pPr>
        <w:rPr>
          <w:rFonts w:cs="Times New Roman"/>
          <w:color w:val="000000" w:themeColor="text1"/>
        </w:rPr>
      </w:pPr>
    </w:p>
    <w:p w14:paraId="25C20D4B">
      <w:pPr>
        <w:rPr>
          <w:rFonts w:cs="Times New Roman"/>
          <w:color w:val="000000" w:themeColor="text1"/>
        </w:rPr>
      </w:pPr>
    </w:p>
    <w:p w14:paraId="2084B351">
      <w:pPr>
        <w:rPr>
          <w:rFonts w:cs="Times New Roman"/>
          <w:color w:val="000000" w:themeColor="text1"/>
        </w:rPr>
      </w:pPr>
    </w:p>
    <w:p w14:paraId="1DDFDF54">
      <w:pPr>
        <w:rPr>
          <w:rFonts w:cs="Times New Roman"/>
          <w:color w:val="000000" w:themeColor="text1"/>
        </w:rPr>
      </w:pPr>
    </w:p>
    <w:p w14:paraId="30875622">
      <w:pPr>
        <w:rPr>
          <w:rFonts w:cs="Times New Roman"/>
          <w:color w:val="000000" w:themeColor="text1"/>
        </w:rPr>
      </w:pPr>
    </w:p>
    <w:p w14:paraId="53002E2B">
      <w:pPr>
        <w:rPr>
          <w:rFonts w:cs="Times New Roman"/>
          <w:color w:val="000000" w:themeColor="text1"/>
        </w:rPr>
      </w:pPr>
    </w:p>
    <w:p w14:paraId="48F7FCF7">
      <w:pPr>
        <w:rPr>
          <w:rFonts w:cs="Times New Roman"/>
          <w:color w:val="000000" w:themeColor="text1"/>
        </w:rPr>
      </w:pPr>
    </w:p>
    <w:tbl>
      <w:tblPr>
        <w:tblStyle w:val="6"/>
        <w:tblpPr w:leftFromText="180" w:rightFromText="180" w:vertAnchor="page" w:horzAnchor="margin" w:tblpXSpec="center" w:tblpY="4321"/>
        <w:tblW w:w="0" w:type="auto"/>
        <w:tblInd w:w="0" w:type="dxa"/>
        <w:tblLayout w:type="fixed"/>
        <w:tblCellMar>
          <w:top w:w="0" w:type="dxa"/>
          <w:left w:w="108" w:type="dxa"/>
          <w:bottom w:w="0" w:type="dxa"/>
          <w:right w:w="108" w:type="dxa"/>
        </w:tblCellMar>
      </w:tblPr>
      <w:tblGrid>
        <w:gridCol w:w="5540"/>
      </w:tblGrid>
      <w:tr w14:paraId="462AFF15">
        <w:tblPrEx>
          <w:tblCellMar>
            <w:top w:w="0" w:type="dxa"/>
            <w:left w:w="108" w:type="dxa"/>
            <w:bottom w:w="0" w:type="dxa"/>
            <w:right w:w="108" w:type="dxa"/>
          </w:tblCellMar>
        </w:tblPrEx>
        <w:trPr>
          <w:trHeight w:val="559" w:hRule="atLeast"/>
        </w:trPr>
        <w:tc>
          <w:tcPr>
            <w:tcW w:w="5540" w:type="dxa"/>
            <w:vAlign w:val="center"/>
          </w:tcPr>
          <w:p w14:paraId="6CB0654C">
            <w:pPr>
              <w:widowControl/>
              <w:jc w:val="center"/>
              <w:rPr>
                <w:rFonts w:cs="Times New Roman"/>
                <w:b/>
                <w:bCs/>
                <w:color w:val="000000" w:themeColor="text1"/>
                <w:kern w:val="0"/>
                <w:sz w:val="32"/>
                <w:szCs w:val="32"/>
              </w:rPr>
            </w:pPr>
            <w:r>
              <w:rPr>
                <w:rFonts w:hint="eastAsia" w:cs="Times New Roman"/>
                <w:b/>
                <w:color w:val="000000" w:themeColor="text1"/>
                <w:kern w:val="0"/>
                <w:sz w:val="32"/>
                <w:szCs w:val="32"/>
              </w:rPr>
              <w:t>福建广生堂药业股份有限公司</w:t>
            </w:r>
          </w:p>
        </w:tc>
      </w:tr>
      <w:tr w14:paraId="67745FC3">
        <w:tblPrEx>
          <w:tblCellMar>
            <w:top w:w="0" w:type="dxa"/>
            <w:left w:w="108" w:type="dxa"/>
            <w:bottom w:w="0" w:type="dxa"/>
            <w:right w:w="108" w:type="dxa"/>
          </w:tblCellMar>
        </w:tblPrEx>
        <w:trPr>
          <w:trHeight w:val="559" w:hRule="atLeast"/>
        </w:trPr>
        <w:tc>
          <w:tcPr>
            <w:tcW w:w="5540" w:type="dxa"/>
            <w:vAlign w:val="center"/>
          </w:tcPr>
          <w:p w14:paraId="7A88A6CF">
            <w:pPr>
              <w:widowControl/>
              <w:jc w:val="center"/>
              <w:rPr>
                <w:rFonts w:cs="Times New Roman"/>
                <w:b/>
                <w:bCs/>
                <w:color w:val="000000" w:themeColor="text1"/>
                <w:kern w:val="0"/>
                <w:sz w:val="32"/>
                <w:szCs w:val="32"/>
              </w:rPr>
            </w:pPr>
            <w:r>
              <w:rPr>
                <w:rFonts w:cs="Times New Roman"/>
                <w:b/>
                <w:color w:val="000000" w:themeColor="text1"/>
                <w:sz w:val="32"/>
              </w:rPr>
              <w:t>内部控制</w:t>
            </w:r>
            <w:r>
              <w:rPr>
                <w:rFonts w:cs="Times New Roman"/>
                <w:b/>
                <w:bCs/>
                <w:color w:val="000000" w:themeColor="text1"/>
                <w:kern w:val="0"/>
                <w:sz w:val="32"/>
                <w:szCs w:val="32"/>
              </w:rPr>
              <w:t>审计报告</w:t>
            </w:r>
          </w:p>
        </w:tc>
      </w:tr>
      <w:tr w14:paraId="41F853B4">
        <w:tblPrEx>
          <w:tblCellMar>
            <w:top w:w="0" w:type="dxa"/>
            <w:left w:w="108" w:type="dxa"/>
            <w:bottom w:w="0" w:type="dxa"/>
            <w:right w:w="108" w:type="dxa"/>
          </w:tblCellMar>
        </w:tblPrEx>
        <w:trPr>
          <w:trHeight w:val="765" w:hRule="atLeast"/>
        </w:trPr>
        <w:tc>
          <w:tcPr>
            <w:tcW w:w="5540" w:type="dxa"/>
            <w:vAlign w:val="center"/>
          </w:tcPr>
          <w:p w14:paraId="768AB2BF">
            <w:pPr>
              <w:widowControl/>
              <w:jc w:val="center"/>
              <w:rPr>
                <w:rFonts w:cs="Times New Roman"/>
                <w:b/>
                <w:bCs/>
                <w:color w:val="000000" w:themeColor="text1"/>
                <w:kern w:val="0"/>
              </w:rPr>
            </w:pPr>
            <w:r>
              <w:rPr>
                <w:rFonts w:hint="eastAsia" w:cs="Times New Roman"/>
                <w:b/>
                <w:bCs/>
                <w:color w:val="000000" w:themeColor="text1"/>
                <w:kern w:val="0"/>
              </w:rPr>
              <w:t>德皓内字[2025]00000048号</w:t>
            </w:r>
          </w:p>
        </w:tc>
      </w:tr>
    </w:tbl>
    <w:p w14:paraId="6EB00637">
      <w:pPr>
        <w:rPr>
          <w:rFonts w:cs="Times New Roman"/>
          <w:color w:val="000000" w:themeColor="text1"/>
        </w:rPr>
      </w:pPr>
    </w:p>
    <w:p w14:paraId="71EB6669">
      <w:pPr>
        <w:rPr>
          <w:rFonts w:cs="Times New Roman"/>
          <w:color w:val="000000" w:themeColor="text1"/>
        </w:rPr>
      </w:pPr>
    </w:p>
    <w:p w14:paraId="6EC4C2DA">
      <w:pPr>
        <w:rPr>
          <w:rFonts w:cs="Times New Roman"/>
          <w:color w:val="000000" w:themeColor="text1"/>
        </w:rPr>
      </w:pPr>
    </w:p>
    <w:p w14:paraId="0D741704">
      <w:pPr>
        <w:rPr>
          <w:rFonts w:cs="Times New Roman"/>
          <w:color w:val="000000" w:themeColor="text1"/>
        </w:rPr>
      </w:pPr>
    </w:p>
    <w:p w14:paraId="39A3A4A2">
      <w:pPr>
        <w:rPr>
          <w:rFonts w:cs="Times New Roman"/>
          <w:color w:val="000000" w:themeColor="text1"/>
        </w:rPr>
      </w:pPr>
    </w:p>
    <w:p w14:paraId="55EFACD2">
      <w:pPr>
        <w:rPr>
          <w:rFonts w:cs="Times New Roman"/>
          <w:color w:val="000000" w:themeColor="text1"/>
        </w:rPr>
      </w:pPr>
    </w:p>
    <w:p w14:paraId="66C5E98D">
      <w:pPr>
        <w:rPr>
          <w:rFonts w:cs="Times New Roman"/>
          <w:color w:val="000000" w:themeColor="text1"/>
        </w:rPr>
      </w:pPr>
    </w:p>
    <w:p w14:paraId="519DAA53">
      <w:pPr>
        <w:rPr>
          <w:rFonts w:cs="Times New Roman"/>
          <w:color w:val="000000" w:themeColor="text1"/>
        </w:rPr>
      </w:pPr>
    </w:p>
    <w:p w14:paraId="289C25C5">
      <w:pPr>
        <w:rPr>
          <w:rFonts w:cs="Times New Roman"/>
          <w:color w:val="000000" w:themeColor="text1"/>
        </w:rPr>
      </w:pPr>
    </w:p>
    <w:p w14:paraId="0961B476">
      <w:pPr>
        <w:rPr>
          <w:rFonts w:cs="Times New Roman"/>
          <w:color w:val="000000" w:themeColor="text1"/>
        </w:rPr>
      </w:pPr>
    </w:p>
    <w:p w14:paraId="0454C7B2">
      <w:pPr>
        <w:rPr>
          <w:rFonts w:cs="Times New Roman"/>
          <w:color w:val="000000" w:themeColor="text1"/>
        </w:rPr>
      </w:pPr>
    </w:p>
    <w:p w14:paraId="437DAD50">
      <w:pPr>
        <w:spacing w:line="360" w:lineRule="auto"/>
        <w:ind w:firstLine="762"/>
        <w:jc w:val="center"/>
        <w:rPr>
          <w:color w:val="000000" w:themeColor="text1"/>
        </w:rPr>
      </w:pPr>
      <w:r>
        <w:rPr>
          <w:rFonts w:hint="eastAsia"/>
          <w:b/>
          <w:color w:val="000000" w:themeColor="text1"/>
          <w:spacing w:val="40"/>
          <w:kern w:val="0"/>
          <w:sz w:val="30"/>
          <w:szCs w:val="30"/>
        </w:rPr>
        <w:t>北京德皓国际会计师事务所</w:t>
      </w:r>
      <w:r>
        <w:rPr>
          <w:b/>
          <w:color w:val="000000" w:themeColor="text1"/>
          <w:spacing w:val="40"/>
          <w:kern w:val="0"/>
          <w:sz w:val="30"/>
          <w:szCs w:val="30"/>
        </w:rPr>
        <w:t>(</w:t>
      </w:r>
      <w:r>
        <w:rPr>
          <w:rFonts w:hint="eastAsia"/>
          <w:b/>
          <w:color w:val="000000" w:themeColor="text1"/>
          <w:spacing w:val="40"/>
          <w:kern w:val="0"/>
          <w:sz w:val="30"/>
          <w:szCs w:val="30"/>
        </w:rPr>
        <w:t>特殊普通合伙)</w:t>
      </w:r>
    </w:p>
    <w:p w14:paraId="476EB200">
      <w:pPr>
        <w:spacing w:line="360" w:lineRule="auto"/>
        <w:ind w:firstLine="448"/>
        <w:jc w:val="center"/>
        <w:rPr>
          <w:color w:val="000000" w:themeColor="text1"/>
          <w:szCs w:val="24"/>
        </w:rPr>
      </w:pPr>
      <w:r>
        <w:rPr>
          <w:color w:val="000000" w:themeColor="text1"/>
          <w:spacing w:val="-8"/>
          <w:sz w:val="24"/>
        </w:rPr>
        <w:t>Beijing Dehao International Certified Public Accountants (Limited Liability Partnership)</w:t>
      </w:r>
    </w:p>
    <w:p w14:paraId="7CAF7EF7">
      <w:pPr>
        <w:rPr>
          <w:rFonts w:cs="Times New Roman"/>
          <w:color w:val="000000" w:themeColor="text1"/>
        </w:rPr>
      </w:pPr>
    </w:p>
    <w:p w14:paraId="6080E8DD">
      <w:pPr>
        <w:rPr>
          <w:rFonts w:cs="Times New Roman"/>
          <w:color w:val="000000" w:themeColor="text1"/>
        </w:rPr>
      </w:pPr>
    </w:p>
    <w:p w14:paraId="4C724991">
      <w:pPr>
        <w:spacing w:line="400" w:lineRule="exact"/>
        <w:rPr>
          <w:rFonts w:cs="Times New Roman"/>
          <w:b/>
          <w:color w:val="000000" w:themeColor="text1"/>
          <w:sz w:val="24"/>
        </w:rPr>
        <w:sectPr>
          <w:headerReference r:id="rId3" w:type="first"/>
          <w:footerReference r:id="rId4" w:type="first"/>
          <w:pgSz w:w="11907" w:h="16840"/>
          <w:pgMar w:top="1724" w:right="1797" w:bottom="1440" w:left="1797" w:header="851" w:footer="992" w:gutter="0"/>
          <w:pgNumType w:start="0"/>
          <w:cols w:space="720" w:num="1"/>
          <w:docGrid w:type="lines" w:linePitch="398" w:charSpace="0"/>
        </w:sectPr>
      </w:pPr>
    </w:p>
    <w:p w14:paraId="577D0D00">
      <w:pPr>
        <w:adjustRightInd w:val="0"/>
        <w:snapToGrid w:val="0"/>
        <w:spacing w:line="360" w:lineRule="auto"/>
        <w:jc w:val="left"/>
        <w:rPr>
          <w:rFonts w:cs="Times New Roman"/>
          <w:b/>
          <w:color w:val="000000" w:themeColor="text1"/>
          <w:sz w:val="32"/>
          <w:szCs w:val="32"/>
        </w:rPr>
      </w:pPr>
    </w:p>
    <w:p w14:paraId="7368A438">
      <w:pPr>
        <w:widowControl/>
        <w:snapToGrid w:val="0"/>
        <w:spacing w:line="360" w:lineRule="auto"/>
        <w:jc w:val="center"/>
        <w:outlineLvl w:val="0"/>
        <w:rPr>
          <w:rFonts w:cs="Times New Roman"/>
          <w:b/>
          <w:bCs/>
          <w:color w:val="000000" w:themeColor="text1"/>
          <w:kern w:val="0"/>
          <w:sz w:val="32"/>
          <w:szCs w:val="32"/>
        </w:rPr>
      </w:pPr>
      <w:r>
        <w:rPr>
          <w:rFonts w:hint="eastAsia" w:cs="Times New Roman"/>
          <w:b/>
          <w:color w:val="000000" w:themeColor="text1"/>
          <w:kern w:val="0"/>
          <w:sz w:val="32"/>
          <w:szCs w:val="32"/>
        </w:rPr>
        <w:t>福建广生堂药业股份有限公司</w:t>
      </w:r>
    </w:p>
    <w:p w14:paraId="1070F5C7">
      <w:pPr>
        <w:adjustRightInd w:val="0"/>
        <w:snapToGrid w:val="0"/>
        <w:spacing w:line="360" w:lineRule="auto"/>
        <w:jc w:val="center"/>
        <w:rPr>
          <w:rFonts w:cs="Times New Roman"/>
          <w:b/>
          <w:color w:val="000000" w:themeColor="text1"/>
          <w:sz w:val="32"/>
          <w:szCs w:val="32"/>
        </w:rPr>
      </w:pPr>
      <w:r>
        <w:rPr>
          <w:rFonts w:cs="Times New Roman"/>
          <w:b/>
          <w:color w:val="000000" w:themeColor="text1"/>
          <w:sz w:val="32"/>
          <w:szCs w:val="32"/>
        </w:rPr>
        <w:t>内部控制审计报告</w:t>
      </w:r>
    </w:p>
    <w:p w14:paraId="58918977">
      <w:pPr>
        <w:adjustRightInd w:val="0"/>
        <w:snapToGrid w:val="0"/>
        <w:spacing w:line="360" w:lineRule="auto"/>
        <w:jc w:val="center"/>
        <w:rPr>
          <w:rFonts w:cs="Times New Roman"/>
          <w:color w:val="000000" w:themeColor="text1"/>
          <w:sz w:val="32"/>
          <w:szCs w:val="32"/>
        </w:rPr>
      </w:pPr>
      <w:r>
        <w:rPr>
          <w:rFonts w:cs="Times New Roman"/>
          <w:color w:val="000000" w:themeColor="text1"/>
          <w:sz w:val="24"/>
        </w:rPr>
        <w:t>（截止20</w:t>
      </w:r>
      <w:r>
        <w:rPr>
          <w:rFonts w:hint="eastAsia" w:cs="Times New Roman"/>
          <w:color w:val="000000" w:themeColor="text1"/>
          <w:sz w:val="24"/>
        </w:rPr>
        <w:t>24</w:t>
      </w:r>
      <w:r>
        <w:rPr>
          <w:rFonts w:cs="Times New Roman"/>
          <w:color w:val="000000" w:themeColor="text1"/>
          <w:sz w:val="24"/>
        </w:rPr>
        <w:t>年12月31日）</w:t>
      </w:r>
    </w:p>
    <w:p w14:paraId="62538095">
      <w:pPr>
        <w:adjustRightInd w:val="0"/>
        <w:snapToGrid w:val="0"/>
        <w:spacing w:line="360" w:lineRule="auto"/>
        <w:jc w:val="left"/>
        <w:rPr>
          <w:rFonts w:cs="Times New Roman"/>
          <w:b/>
          <w:color w:val="000000" w:themeColor="text1"/>
          <w:sz w:val="32"/>
          <w:szCs w:val="32"/>
        </w:rPr>
      </w:pPr>
    </w:p>
    <w:p w14:paraId="3878B29D">
      <w:pPr>
        <w:adjustRightInd w:val="0"/>
        <w:snapToGrid w:val="0"/>
        <w:spacing w:line="360" w:lineRule="auto"/>
        <w:jc w:val="left"/>
        <w:rPr>
          <w:rFonts w:cs="Times New Roman"/>
          <w:b/>
          <w:color w:val="000000" w:themeColor="text1"/>
          <w:sz w:val="32"/>
          <w:szCs w:val="32"/>
        </w:rPr>
      </w:pPr>
    </w:p>
    <w:tbl>
      <w:tblPr>
        <w:tblStyle w:val="6"/>
        <w:tblW w:w="8874" w:type="dxa"/>
        <w:tblInd w:w="0" w:type="dxa"/>
        <w:tblLayout w:type="fixed"/>
        <w:tblCellMar>
          <w:top w:w="0" w:type="dxa"/>
          <w:left w:w="108" w:type="dxa"/>
          <w:bottom w:w="0" w:type="dxa"/>
          <w:right w:w="108" w:type="dxa"/>
        </w:tblCellMar>
      </w:tblPr>
      <w:tblGrid>
        <w:gridCol w:w="994"/>
        <w:gridCol w:w="5828"/>
        <w:gridCol w:w="373"/>
        <w:gridCol w:w="1679"/>
      </w:tblGrid>
      <w:tr w14:paraId="0DD40F0B">
        <w:tblPrEx>
          <w:tblCellMar>
            <w:top w:w="0" w:type="dxa"/>
            <w:left w:w="108" w:type="dxa"/>
            <w:bottom w:w="0" w:type="dxa"/>
            <w:right w:w="108" w:type="dxa"/>
          </w:tblCellMar>
        </w:tblPrEx>
        <w:tc>
          <w:tcPr>
            <w:tcW w:w="994" w:type="dxa"/>
          </w:tcPr>
          <w:p w14:paraId="09690CC0">
            <w:pPr>
              <w:keepLines/>
              <w:tabs>
                <w:tab w:val="right" w:pos="8280"/>
              </w:tabs>
              <w:spacing w:line="400" w:lineRule="exact"/>
              <w:rPr>
                <w:rFonts w:cs="Times New Roman"/>
                <w:color w:val="000000" w:themeColor="text1"/>
                <w:sz w:val="28"/>
                <w:szCs w:val="28"/>
              </w:rPr>
            </w:pPr>
          </w:p>
        </w:tc>
        <w:tc>
          <w:tcPr>
            <w:tcW w:w="5828" w:type="dxa"/>
          </w:tcPr>
          <w:p w14:paraId="1E1AE1D1">
            <w:pPr>
              <w:keepLines/>
              <w:tabs>
                <w:tab w:val="right" w:pos="8280"/>
              </w:tabs>
              <w:spacing w:line="400" w:lineRule="exact"/>
              <w:jc w:val="center"/>
              <w:rPr>
                <w:rFonts w:cs="Times New Roman"/>
                <w:b/>
                <w:color w:val="000000" w:themeColor="text1"/>
                <w:sz w:val="28"/>
                <w:szCs w:val="28"/>
              </w:rPr>
            </w:pPr>
            <w:r>
              <w:rPr>
                <w:rFonts w:cs="Times New Roman"/>
                <w:b/>
                <w:color w:val="000000" w:themeColor="text1"/>
                <w:sz w:val="28"/>
                <w:szCs w:val="28"/>
              </w:rPr>
              <w:t>目     录</w:t>
            </w:r>
          </w:p>
          <w:p w14:paraId="0855CE05">
            <w:pPr>
              <w:keepLines/>
              <w:tabs>
                <w:tab w:val="right" w:pos="8280"/>
              </w:tabs>
              <w:spacing w:line="400" w:lineRule="exact"/>
              <w:jc w:val="center"/>
              <w:rPr>
                <w:rFonts w:cs="Times New Roman"/>
                <w:b/>
                <w:color w:val="000000" w:themeColor="text1"/>
                <w:sz w:val="28"/>
                <w:szCs w:val="28"/>
              </w:rPr>
            </w:pPr>
          </w:p>
        </w:tc>
        <w:tc>
          <w:tcPr>
            <w:tcW w:w="373" w:type="dxa"/>
          </w:tcPr>
          <w:p w14:paraId="5ECD470B">
            <w:pPr>
              <w:keepLines/>
              <w:tabs>
                <w:tab w:val="right" w:pos="8280"/>
              </w:tabs>
              <w:spacing w:line="400" w:lineRule="exact"/>
              <w:jc w:val="right"/>
              <w:rPr>
                <w:rFonts w:cs="Times New Roman"/>
                <w:b/>
                <w:color w:val="000000" w:themeColor="text1"/>
                <w:sz w:val="28"/>
                <w:szCs w:val="28"/>
              </w:rPr>
            </w:pPr>
          </w:p>
        </w:tc>
        <w:tc>
          <w:tcPr>
            <w:tcW w:w="1679" w:type="dxa"/>
          </w:tcPr>
          <w:p w14:paraId="042B57CD">
            <w:pPr>
              <w:keepLines/>
              <w:tabs>
                <w:tab w:val="right" w:pos="8280"/>
              </w:tabs>
              <w:spacing w:line="400" w:lineRule="exact"/>
              <w:jc w:val="center"/>
              <w:rPr>
                <w:rFonts w:cs="Times New Roman"/>
                <w:b/>
                <w:color w:val="000000" w:themeColor="text1"/>
                <w:sz w:val="28"/>
                <w:szCs w:val="28"/>
              </w:rPr>
            </w:pPr>
            <w:r>
              <w:rPr>
                <w:rFonts w:cs="Times New Roman"/>
                <w:b/>
                <w:color w:val="000000" w:themeColor="text1"/>
                <w:sz w:val="28"/>
                <w:szCs w:val="28"/>
              </w:rPr>
              <w:t>页  次</w:t>
            </w:r>
          </w:p>
        </w:tc>
      </w:tr>
      <w:tr w14:paraId="782D36A7">
        <w:tblPrEx>
          <w:tblCellMar>
            <w:top w:w="0" w:type="dxa"/>
            <w:left w:w="108" w:type="dxa"/>
            <w:bottom w:w="0" w:type="dxa"/>
            <w:right w:w="108" w:type="dxa"/>
          </w:tblCellMar>
        </w:tblPrEx>
        <w:tc>
          <w:tcPr>
            <w:tcW w:w="994" w:type="dxa"/>
          </w:tcPr>
          <w:p w14:paraId="1B51DBFC">
            <w:pPr>
              <w:keepLines/>
              <w:tabs>
                <w:tab w:val="right" w:pos="8280"/>
              </w:tabs>
              <w:spacing w:line="400" w:lineRule="exact"/>
              <w:rPr>
                <w:rFonts w:cs="Times New Roman"/>
                <w:b/>
                <w:color w:val="000000" w:themeColor="text1"/>
                <w:sz w:val="28"/>
                <w:szCs w:val="28"/>
              </w:rPr>
            </w:pPr>
            <w:r>
              <w:rPr>
                <w:rFonts w:cs="Times New Roman"/>
                <w:b/>
                <w:color w:val="000000" w:themeColor="text1"/>
                <w:sz w:val="28"/>
                <w:szCs w:val="28"/>
              </w:rPr>
              <w:t>一、</w:t>
            </w:r>
          </w:p>
        </w:tc>
        <w:tc>
          <w:tcPr>
            <w:tcW w:w="5828" w:type="dxa"/>
          </w:tcPr>
          <w:p w14:paraId="2E7114DC">
            <w:pPr>
              <w:keepLines/>
              <w:tabs>
                <w:tab w:val="right" w:pos="8280"/>
              </w:tabs>
              <w:spacing w:line="400" w:lineRule="exact"/>
              <w:rPr>
                <w:rFonts w:cs="Times New Roman"/>
                <w:b/>
                <w:color w:val="000000" w:themeColor="text1"/>
                <w:sz w:val="28"/>
                <w:szCs w:val="28"/>
              </w:rPr>
            </w:pPr>
            <w:r>
              <w:rPr>
                <w:rFonts w:cs="Times New Roman"/>
                <w:b/>
                <w:color w:val="000000" w:themeColor="text1"/>
                <w:sz w:val="28"/>
                <w:szCs w:val="28"/>
              </w:rPr>
              <w:t>内部控制审计报告</w:t>
            </w:r>
          </w:p>
          <w:p w14:paraId="433A0C3F">
            <w:pPr>
              <w:keepLines/>
              <w:tabs>
                <w:tab w:val="right" w:pos="8280"/>
              </w:tabs>
              <w:spacing w:line="400" w:lineRule="exact"/>
              <w:rPr>
                <w:rFonts w:cs="Times New Roman"/>
                <w:b/>
                <w:color w:val="000000" w:themeColor="text1"/>
                <w:sz w:val="28"/>
                <w:szCs w:val="28"/>
              </w:rPr>
            </w:pPr>
          </w:p>
        </w:tc>
        <w:tc>
          <w:tcPr>
            <w:tcW w:w="373" w:type="dxa"/>
          </w:tcPr>
          <w:p w14:paraId="24F49BF0">
            <w:pPr>
              <w:keepLines/>
              <w:tabs>
                <w:tab w:val="right" w:pos="8280"/>
              </w:tabs>
              <w:spacing w:line="400" w:lineRule="exact"/>
              <w:jc w:val="right"/>
              <w:rPr>
                <w:rFonts w:cs="Times New Roman"/>
                <w:b/>
                <w:color w:val="000000" w:themeColor="text1"/>
                <w:sz w:val="28"/>
                <w:szCs w:val="28"/>
              </w:rPr>
            </w:pPr>
          </w:p>
        </w:tc>
        <w:tc>
          <w:tcPr>
            <w:tcW w:w="1679" w:type="dxa"/>
          </w:tcPr>
          <w:p w14:paraId="5C711833">
            <w:pPr>
              <w:keepLines/>
              <w:tabs>
                <w:tab w:val="right" w:pos="8280"/>
              </w:tabs>
              <w:spacing w:line="400" w:lineRule="exact"/>
              <w:jc w:val="center"/>
              <w:rPr>
                <w:rFonts w:cs="Times New Roman"/>
                <w:color w:val="000000" w:themeColor="text1"/>
                <w:sz w:val="28"/>
                <w:szCs w:val="28"/>
              </w:rPr>
            </w:pPr>
            <w:r>
              <w:rPr>
                <w:rFonts w:cs="Times New Roman"/>
                <w:color w:val="000000" w:themeColor="text1"/>
                <w:sz w:val="28"/>
                <w:szCs w:val="28"/>
              </w:rPr>
              <w:t>1-2</w:t>
            </w:r>
          </w:p>
          <w:p w14:paraId="570F11DD">
            <w:pPr>
              <w:keepLines/>
              <w:tabs>
                <w:tab w:val="right" w:pos="8280"/>
              </w:tabs>
              <w:spacing w:line="400" w:lineRule="exact"/>
              <w:jc w:val="center"/>
              <w:rPr>
                <w:rFonts w:cs="Times New Roman"/>
                <w:color w:val="000000" w:themeColor="text1"/>
                <w:sz w:val="28"/>
                <w:szCs w:val="28"/>
              </w:rPr>
            </w:pPr>
          </w:p>
        </w:tc>
      </w:tr>
    </w:tbl>
    <w:p w14:paraId="1576D6E9">
      <w:pPr>
        <w:keepLines/>
        <w:tabs>
          <w:tab w:val="right" w:pos="8280"/>
        </w:tabs>
        <w:spacing w:line="400" w:lineRule="exact"/>
        <w:rPr>
          <w:rFonts w:hint="eastAsia" w:cs="Times New Roman"/>
          <w:color w:val="000000" w:themeColor="text1"/>
          <w:sz w:val="28"/>
          <w:szCs w:val="28"/>
        </w:rPr>
      </w:pPr>
      <w:r>
        <w:rPr>
          <w:rFonts w:hint="eastAsia" w:cs="Times New Roman"/>
          <w:b/>
          <w:color w:val="000000" w:themeColor="text1"/>
          <w:sz w:val="28"/>
          <w:szCs w:val="28"/>
        </w:rPr>
        <w:t>二、   福建广生堂药业股份有限公司2</w:t>
      </w:r>
      <w:r>
        <w:rPr>
          <w:rFonts w:cs="Times New Roman"/>
          <w:b/>
          <w:color w:val="000000" w:themeColor="text1"/>
          <w:sz w:val="28"/>
          <w:szCs w:val="28"/>
        </w:rPr>
        <w:t>02</w:t>
      </w:r>
      <w:r>
        <w:rPr>
          <w:rFonts w:hint="eastAsia" w:cs="Times New Roman"/>
          <w:b/>
          <w:color w:val="000000" w:themeColor="text1"/>
          <w:sz w:val="28"/>
          <w:szCs w:val="28"/>
        </w:rPr>
        <w:t xml:space="preserve">4年度内           </w:t>
      </w:r>
      <w:r>
        <w:rPr>
          <w:rFonts w:cs="Times New Roman"/>
          <w:color w:val="000000" w:themeColor="text1"/>
          <w:sz w:val="28"/>
          <w:szCs w:val="28"/>
        </w:rPr>
        <w:t>1-</w:t>
      </w:r>
      <w:r>
        <w:rPr>
          <w:rFonts w:hint="eastAsia" w:cs="Times New Roman"/>
          <w:color w:val="000000" w:themeColor="text1"/>
          <w:sz w:val="28"/>
          <w:szCs w:val="28"/>
        </w:rPr>
        <w:t>8</w:t>
      </w:r>
    </w:p>
    <w:p w14:paraId="5964AEB8">
      <w:pPr>
        <w:keepLines/>
        <w:tabs>
          <w:tab w:val="right" w:pos="8280"/>
        </w:tabs>
        <w:spacing w:line="400" w:lineRule="exact"/>
        <w:ind w:firstLine="1124" w:firstLineChars="400"/>
        <w:rPr>
          <w:rFonts w:hint="eastAsia" w:cs="Times New Roman"/>
          <w:b/>
          <w:color w:val="000000" w:themeColor="text1"/>
          <w:sz w:val="28"/>
          <w:szCs w:val="28"/>
        </w:rPr>
      </w:pPr>
      <w:r>
        <w:rPr>
          <w:rFonts w:hint="eastAsia" w:cs="Times New Roman"/>
          <w:b/>
          <w:color w:val="000000" w:themeColor="text1"/>
          <w:sz w:val="28"/>
          <w:szCs w:val="28"/>
        </w:rPr>
        <w:t>部控制自我评价报告</w:t>
      </w:r>
    </w:p>
    <w:p w14:paraId="4D23FEBE">
      <w:pPr>
        <w:tabs>
          <w:tab w:val="center" w:pos="5103"/>
        </w:tabs>
        <w:spacing w:line="500" w:lineRule="atLeast"/>
        <w:rPr>
          <w:rFonts w:cs="Times New Roman"/>
          <w:color w:val="000000" w:themeColor="text1"/>
          <w:sz w:val="28"/>
          <w:szCs w:val="28"/>
        </w:rPr>
      </w:pPr>
    </w:p>
    <w:p w14:paraId="78F08F7E">
      <w:pPr>
        <w:tabs>
          <w:tab w:val="center" w:pos="5103"/>
        </w:tabs>
        <w:spacing w:line="500" w:lineRule="atLeast"/>
        <w:ind w:firstLine="448" w:firstLineChars="160"/>
        <w:rPr>
          <w:rFonts w:cs="Times New Roman"/>
          <w:color w:val="000000" w:themeColor="text1"/>
          <w:sz w:val="28"/>
          <w:szCs w:val="28"/>
        </w:rPr>
        <w:sectPr>
          <w:footerReference r:id="rId5" w:type="default"/>
          <w:pgSz w:w="11906" w:h="16838"/>
          <w:pgMar w:top="1724" w:right="1797" w:bottom="1440" w:left="1797" w:header="851" w:footer="992" w:gutter="0"/>
          <w:pgNumType w:start="0"/>
          <w:cols w:space="425" w:num="1"/>
          <w:docGrid w:type="lines" w:linePitch="312" w:charSpace="0"/>
        </w:sectPr>
      </w:pPr>
    </w:p>
    <w:p w14:paraId="3FBDD820">
      <w:pPr>
        <w:tabs>
          <w:tab w:val="center" w:pos="5103"/>
        </w:tabs>
        <w:snapToGrid w:val="0"/>
        <w:spacing w:line="360" w:lineRule="auto"/>
        <w:rPr>
          <w:rFonts w:cs="Times New Roman"/>
          <w:color w:val="000000" w:themeColor="text1"/>
          <w:sz w:val="32"/>
          <w:szCs w:val="32"/>
        </w:rPr>
      </w:pPr>
    </w:p>
    <w:p w14:paraId="71190722">
      <w:pPr>
        <w:pStyle w:val="2"/>
        <w:snapToGrid w:val="0"/>
        <w:spacing w:line="360" w:lineRule="auto"/>
        <w:rPr>
          <w:rFonts w:ascii="Times New Roman" w:hAnsi="Times New Roman" w:cs="Times New Roman"/>
          <w:color w:val="000000" w:themeColor="text1"/>
          <w:sz w:val="32"/>
          <w:szCs w:val="32"/>
        </w:rPr>
      </w:pPr>
    </w:p>
    <w:p w14:paraId="68339670">
      <w:pPr>
        <w:pStyle w:val="2"/>
        <w:snapToGrid w:val="0"/>
        <w:spacing w:line="360" w:lineRule="auto"/>
        <w:rPr>
          <w:rFonts w:ascii="Times New Roman" w:hAnsi="Times New Roman" w:cs="Times New Roman"/>
          <w:color w:val="000000" w:themeColor="text1"/>
          <w:sz w:val="32"/>
          <w:szCs w:val="32"/>
        </w:rPr>
      </w:pPr>
    </w:p>
    <w:p w14:paraId="1E1F46E4">
      <w:pPr>
        <w:pStyle w:val="2"/>
        <w:snapToGrid w:val="0"/>
        <w:spacing w:line="360" w:lineRule="auto"/>
        <w:jc w:val="center"/>
        <w:outlineLvl w:val="0"/>
        <w:rPr>
          <w:rFonts w:hint="eastAsia" w:ascii="黑体" w:hAnsi="黑体" w:eastAsia="黑体" w:cs="Times New Roman"/>
          <w:b/>
          <w:color w:val="000000" w:themeColor="text1"/>
          <w:spacing w:val="80"/>
          <w:sz w:val="32"/>
          <w:szCs w:val="32"/>
        </w:rPr>
      </w:pPr>
      <w:r>
        <w:rPr>
          <w:rFonts w:ascii="黑体" w:hAnsi="黑体" w:eastAsia="黑体" w:cs="Times New Roman"/>
          <w:b/>
          <w:color w:val="000000" w:themeColor="text1"/>
          <w:spacing w:val="80"/>
          <w:sz w:val="32"/>
          <w:szCs w:val="32"/>
        </w:rPr>
        <w:t>内部控制审计报告</w:t>
      </w:r>
    </w:p>
    <w:p w14:paraId="30EF6A80">
      <w:pPr>
        <w:pStyle w:val="2"/>
        <w:snapToGrid w:val="0"/>
        <w:spacing w:line="360" w:lineRule="auto"/>
        <w:rPr>
          <w:rFonts w:ascii="Times New Roman" w:hAnsi="Times New Roman" w:cs="Times New Roman"/>
          <w:color w:val="000000" w:themeColor="text1"/>
        </w:rPr>
      </w:pPr>
    </w:p>
    <w:p w14:paraId="6BD589E3">
      <w:pPr>
        <w:pStyle w:val="2"/>
        <w:snapToGrid w:val="0"/>
        <w:spacing w:line="360" w:lineRule="auto"/>
        <w:ind w:firstLine="422" w:firstLineChars="200"/>
        <w:jc w:val="right"/>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德皓内字[2025]00000048号</w:t>
      </w:r>
    </w:p>
    <w:p w14:paraId="7A17BE0D">
      <w:pPr>
        <w:autoSpaceDE w:val="0"/>
        <w:snapToGrid w:val="0"/>
        <w:spacing w:line="360" w:lineRule="auto"/>
        <w:rPr>
          <w:rFonts w:cs="Times New Roman"/>
          <w:color w:val="000000" w:themeColor="text1"/>
          <w:sz w:val="24"/>
          <w:szCs w:val="24"/>
        </w:rPr>
      </w:pPr>
    </w:p>
    <w:p w14:paraId="7BE2EAD6">
      <w:pPr>
        <w:autoSpaceDE w:val="0"/>
        <w:snapToGrid w:val="0"/>
        <w:spacing w:line="360" w:lineRule="auto"/>
        <w:rPr>
          <w:rFonts w:cs="Times New Roman"/>
          <w:b/>
          <w:color w:val="000000" w:themeColor="text1"/>
          <w:sz w:val="28"/>
          <w:szCs w:val="28"/>
        </w:rPr>
      </w:pPr>
      <w:r>
        <w:rPr>
          <w:rFonts w:hint="eastAsia" w:cs="Times New Roman"/>
          <w:b/>
          <w:bCs/>
          <w:color w:val="000000" w:themeColor="text1"/>
          <w:sz w:val="28"/>
          <w:szCs w:val="28"/>
        </w:rPr>
        <w:t>福建广生堂药业股份有限公司</w:t>
      </w:r>
      <w:r>
        <w:rPr>
          <w:rFonts w:cs="Times New Roman"/>
          <w:b/>
          <w:color w:val="000000" w:themeColor="text1"/>
          <w:sz w:val="28"/>
          <w:szCs w:val="28"/>
        </w:rPr>
        <w:t>全体股东：</w:t>
      </w:r>
    </w:p>
    <w:p w14:paraId="4B580628">
      <w:pPr>
        <w:autoSpaceDE w:val="0"/>
        <w:snapToGrid w:val="0"/>
        <w:spacing w:line="360" w:lineRule="auto"/>
        <w:ind w:firstLine="560" w:firstLineChars="200"/>
        <w:rPr>
          <w:rFonts w:cs="Times New Roman"/>
          <w:color w:val="000000" w:themeColor="text1"/>
          <w:sz w:val="28"/>
          <w:szCs w:val="28"/>
        </w:rPr>
      </w:pPr>
      <w:r>
        <w:rPr>
          <w:rFonts w:cs="Times New Roman"/>
          <w:color w:val="000000" w:themeColor="text1"/>
          <w:sz w:val="28"/>
          <w:szCs w:val="28"/>
        </w:rPr>
        <w:t>按照《企业内部控制审计指引》及中国注册会计师执业准则的相关要求，我们审计了</w:t>
      </w:r>
      <w:r>
        <w:rPr>
          <w:rFonts w:hint="eastAsia" w:cs="Times New Roman"/>
          <w:bCs/>
          <w:color w:val="000000" w:themeColor="text1"/>
          <w:sz w:val="28"/>
          <w:szCs w:val="28"/>
        </w:rPr>
        <w:t>福建广生堂药业股份有限公司</w:t>
      </w:r>
      <w:r>
        <w:rPr>
          <w:rFonts w:cs="Times New Roman"/>
          <w:color w:val="000000" w:themeColor="text1"/>
          <w:sz w:val="28"/>
          <w:szCs w:val="28"/>
        </w:rPr>
        <w:t>（以下简称</w:t>
      </w:r>
      <w:r>
        <w:rPr>
          <w:rFonts w:hint="eastAsia" w:cs="Times New Roman"/>
          <w:color w:val="000000" w:themeColor="text1"/>
          <w:sz w:val="28"/>
          <w:szCs w:val="28"/>
        </w:rPr>
        <w:t>广生堂公司</w:t>
      </w:r>
      <w:r>
        <w:rPr>
          <w:rFonts w:cs="Times New Roman"/>
          <w:color w:val="000000" w:themeColor="text1"/>
          <w:sz w:val="28"/>
          <w:szCs w:val="28"/>
        </w:rPr>
        <w:t>）20</w:t>
      </w:r>
      <w:r>
        <w:rPr>
          <w:rFonts w:hint="eastAsia" w:cs="Times New Roman"/>
          <w:color w:val="000000" w:themeColor="text1"/>
          <w:sz w:val="28"/>
          <w:szCs w:val="28"/>
        </w:rPr>
        <w:t>24</w:t>
      </w:r>
      <w:r>
        <w:rPr>
          <w:rFonts w:cs="Times New Roman"/>
          <w:color w:val="000000" w:themeColor="text1"/>
          <w:sz w:val="28"/>
          <w:szCs w:val="28"/>
        </w:rPr>
        <w:t>年12月31日的财务报告内部控制的有效性。</w:t>
      </w:r>
    </w:p>
    <w:p w14:paraId="0AF11476">
      <w:pPr>
        <w:autoSpaceDE w:val="0"/>
        <w:snapToGrid w:val="0"/>
        <w:spacing w:line="360" w:lineRule="auto"/>
        <w:ind w:firstLine="562" w:firstLineChars="200"/>
        <w:rPr>
          <w:rFonts w:cs="Times New Roman"/>
          <w:b/>
          <w:color w:val="000000" w:themeColor="text1"/>
          <w:sz w:val="28"/>
          <w:szCs w:val="28"/>
        </w:rPr>
      </w:pPr>
      <w:r>
        <w:rPr>
          <w:rFonts w:cs="Times New Roman"/>
          <w:b/>
          <w:color w:val="000000" w:themeColor="text1"/>
          <w:sz w:val="28"/>
          <w:szCs w:val="28"/>
        </w:rPr>
        <w:t>一、企业对内部控制的责任</w:t>
      </w:r>
    </w:p>
    <w:p w14:paraId="5DAAA3DE">
      <w:pPr>
        <w:autoSpaceDE w:val="0"/>
        <w:snapToGrid w:val="0"/>
        <w:spacing w:line="360" w:lineRule="auto"/>
        <w:ind w:firstLine="560" w:firstLineChars="200"/>
        <w:rPr>
          <w:rFonts w:cs="Times New Roman"/>
          <w:color w:val="000000" w:themeColor="text1"/>
          <w:sz w:val="28"/>
          <w:szCs w:val="28"/>
        </w:rPr>
      </w:pPr>
      <w:r>
        <w:rPr>
          <w:rFonts w:cs="Times New Roman"/>
          <w:color w:val="000000" w:themeColor="text1"/>
          <w:sz w:val="28"/>
          <w:szCs w:val="28"/>
        </w:rPr>
        <w:t>按照《企业内部控制基本规范》、《企业内部控制应用指引》、《企业内部控制评价指引》的规定，建立健全和有效实施内部控制，并评价其有效性是企业董事会的责任。</w:t>
      </w:r>
    </w:p>
    <w:p w14:paraId="765D73E8">
      <w:pPr>
        <w:autoSpaceDE w:val="0"/>
        <w:snapToGrid w:val="0"/>
        <w:spacing w:line="360" w:lineRule="auto"/>
        <w:ind w:firstLine="562" w:firstLineChars="200"/>
        <w:rPr>
          <w:rFonts w:cs="Times New Roman"/>
          <w:b/>
          <w:color w:val="000000" w:themeColor="text1"/>
          <w:sz w:val="28"/>
          <w:szCs w:val="28"/>
        </w:rPr>
      </w:pPr>
      <w:r>
        <w:rPr>
          <w:rFonts w:cs="Times New Roman"/>
          <w:b/>
          <w:color w:val="000000" w:themeColor="text1"/>
          <w:sz w:val="28"/>
          <w:szCs w:val="28"/>
        </w:rPr>
        <w:t>二、注册会计师的责任</w:t>
      </w:r>
    </w:p>
    <w:p w14:paraId="7A347993">
      <w:pPr>
        <w:autoSpaceDE w:val="0"/>
        <w:snapToGrid w:val="0"/>
        <w:spacing w:line="360" w:lineRule="auto"/>
        <w:ind w:firstLine="560" w:firstLineChars="200"/>
        <w:rPr>
          <w:rFonts w:cs="Times New Roman"/>
          <w:color w:val="000000" w:themeColor="text1"/>
          <w:sz w:val="28"/>
          <w:szCs w:val="28"/>
        </w:rPr>
      </w:pPr>
      <w:r>
        <w:rPr>
          <w:rFonts w:cs="Times New Roman"/>
          <w:color w:val="000000" w:themeColor="text1"/>
          <w:sz w:val="28"/>
          <w:szCs w:val="28"/>
        </w:rPr>
        <w:t>我们的责任是在实施审计工作的基础上，对财务报告内部控制的有效性发表审计意见，并对注意到的非财务报告内部控制的重大缺陷进行披露。</w:t>
      </w:r>
    </w:p>
    <w:p w14:paraId="4A28E4A1">
      <w:pPr>
        <w:autoSpaceDE w:val="0"/>
        <w:snapToGrid w:val="0"/>
        <w:spacing w:line="360" w:lineRule="auto"/>
        <w:ind w:firstLine="562" w:firstLineChars="200"/>
        <w:rPr>
          <w:rFonts w:cs="Times New Roman"/>
          <w:b/>
          <w:color w:val="000000" w:themeColor="text1"/>
          <w:sz w:val="28"/>
          <w:szCs w:val="28"/>
        </w:rPr>
      </w:pPr>
      <w:r>
        <w:rPr>
          <w:rFonts w:cs="Times New Roman"/>
          <w:b/>
          <w:color w:val="000000" w:themeColor="text1"/>
          <w:sz w:val="28"/>
          <w:szCs w:val="28"/>
        </w:rPr>
        <w:t>三、内部控制的固有局限性</w:t>
      </w:r>
    </w:p>
    <w:p w14:paraId="1DD7C171">
      <w:pPr>
        <w:autoSpaceDE w:val="0"/>
        <w:snapToGrid w:val="0"/>
        <w:spacing w:line="360" w:lineRule="auto"/>
        <w:ind w:firstLine="560" w:firstLineChars="200"/>
        <w:rPr>
          <w:rFonts w:cs="Times New Roman"/>
          <w:color w:val="000000" w:themeColor="text1"/>
          <w:sz w:val="28"/>
          <w:szCs w:val="28"/>
        </w:rPr>
      </w:pPr>
      <w:r>
        <w:rPr>
          <w:rFonts w:cs="Times New Roman"/>
          <w:color w:val="000000" w:themeColor="text1"/>
          <w:sz w:val="28"/>
          <w:szCs w:val="28"/>
        </w:rPr>
        <w:t>内部控制具有固有局限性，存在不能防止和发现错报的可能性。此外，由于情况的变化可能导致内部控制变得不恰当，或对控制政策和程序遵循的程度降低，根据内部控制审计结果推测未来内部控制的有效性具有一定风险。</w:t>
      </w:r>
    </w:p>
    <w:p w14:paraId="7924D46E">
      <w:pPr>
        <w:autoSpaceDE w:val="0"/>
        <w:snapToGrid w:val="0"/>
        <w:spacing w:line="360" w:lineRule="auto"/>
        <w:ind w:firstLine="562" w:firstLineChars="200"/>
        <w:rPr>
          <w:rFonts w:cs="Times New Roman"/>
          <w:b/>
          <w:color w:val="000000" w:themeColor="text1"/>
          <w:sz w:val="28"/>
          <w:szCs w:val="28"/>
        </w:rPr>
      </w:pPr>
      <w:r>
        <w:rPr>
          <w:rFonts w:cs="Times New Roman"/>
          <w:b/>
          <w:color w:val="000000" w:themeColor="text1"/>
          <w:sz w:val="28"/>
          <w:szCs w:val="28"/>
        </w:rPr>
        <w:t>四、财务报告内部控制审计意见</w:t>
      </w:r>
    </w:p>
    <w:p w14:paraId="14F66BA3">
      <w:pPr>
        <w:autoSpaceDE w:val="0"/>
        <w:snapToGrid w:val="0"/>
        <w:spacing w:line="360" w:lineRule="auto"/>
        <w:ind w:firstLine="560" w:firstLineChars="200"/>
        <w:rPr>
          <w:rFonts w:cs="Times New Roman"/>
          <w:color w:val="000000" w:themeColor="text1"/>
          <w:sz w:val="28"/>
          <w:szCs w:val="28"/>
        </w:rPr>
      </w:pPr>
      <w:r>
        <w:rPr>
          <w:rFonts w:cs="Times New Roman"/>
          <w:color w:val="000000" w:themeColor="text1"/>
          <w:sz w:val="28"/>
          <w:szCs w:val="28"/>
        </w:rPr>
        <w:t>我们认为，</w:t>
      </w:r>
      <w:r>
        <w:rPr>
          <w:rFonts w:hint="eastAsia" w:cs="Times New Roman"/>
          <w:color w:val="000000" w:themeColor="text1"/>
          <w:sz w:val="28"/>
          <w:szCs w:val="28"/>
        </w:rPr>
        <w:t>广生堂公司</w:t>
      </w:r>
      <w:r>
        <w:rPr>
          <w:rFonts w:cs="Times New Roman"/>
          <w:color w:val="000000" w:themeColor="text1"/>
          <w:sz w:val="28"/>
          <w:szCs w:val="28"/>
        </w:rPr>
        <w:t>于20</w:t>
      </w:r>
      <w:r>
        <w:rPr>
          <w:rFonts w:hint="eastAsia" w:cs="Times New Roman"/>
          <w:color w:val="000000" w:themeColor="text1"/>
          <w:sz w:val="28"/>
          <w:szCs w:val="28"/>
        </w:rPr>
        <w:t>24</w:t>
      </w:r>
      <w:r>
        <w:rPr>
          <w:rFonts w:cs="Times New Roman"/>
          <w:color w:val="000000" w:themeColor="text1"/>
          <w:sz w:val="28"/>
          <w:szCs w:val="28"/>
        </w:rPr>
        <w:t>年12月31日按照《企业内部控制基本规范》和相关规定在所有重大方面保持了有效的财务报告内部控制。</w:t>
      </w:r>
    </w:p>
    <w:p w14:paraId="1B68AEE5">
      <w:pPr>
        <w:autoSpaceDE w:val="0"/>
        <w:snapToGrid w:val="0"/>
        <w:spacing w:line="360" w:lineRule="auto"/>
        <w:ind w:firstLine="560" w:firstLineChars="200"/>
        <w:rPr>
          <w:rFonts w:cs="Times New Roman"/>
          <w:color w:val="000000" w:themeColor="text1"/>
          <w:sz w:val="28"/>
          <w:szCs w:val="28"/>
        </w:rPr>
      </w:pPr>
    </w:p>
    <w:p w14:paraId="01EC6761">
      <w:pPr>
        <w:autoSpaceDE w:val="0"/>
        <w:snapToGrid w:val="0"/>
        <w:spacing w:line="360" w:lineRule="auto"/>
        <w:ind w:firstLine="560" w:firstLineChars="200"/>
        <w:rPr>
          <w:rFonts w:cs="Times New Roman"/>
          <w:color w:val="000000" w:themeColor="text1"/>
          <w:sz w:val="28"/>
          <w:szCs w:val="28"/>
        </w:rPr>
      </w:pPr>
    </w:p>
    <w:p w14:paraId="62FBC4E3">
      <w:pPr>
        <w:autoSpaceDE w:val="0"/>
        <w:snapToGrid w:val="0"/>
        <w:spacing w:line="360" w:lineRule="auto"/>
        <w:ind w:firstLine="560" w:firstLineChars="200"/>
        <w:rPr>
          <w:rFonts w:cs="Times New Roman"/>
          <w:color w:val="000000" w:themeColor="text1"/>
          <w:sz w:val="28"/>
          <w:szCs w:val="28"/>
        </w:rPr>
      </w:pPr>
    </w:p>
    <w:p w14:paraId="1A0A44EF">
      <w:pPr>
        <w:autoSpaceDE w:val="0"/>
        <w:snapToGrid w:val="0"/>
        <w:spacing w:line="360" w:lineRule="auto"/>
        <w:ind w:firstLine="560" w:firstLineChars="200"/>
        <w:rPr>
          <w:rFonts w:cs="Times New Roman"/>
          <w:color w:val="000000" w:themeColor="text1"/>
          <w:sz w:val="28"/>
          <w:szCs w:val="28"/>
        </w:rPr>
      </w:pPr>
    </w:p>
    <w:tbl>
      <w:tblPr>
        <w:tblStyle w:val="6"/>
        <w:tblW w:w="5631" w:type="pct"/>
        <w:tblInd w:w="-572" w:type="dxa"/>
        <w:tblLayout w:type="autofit"/>
        <w:tblCellMar>
          <w:top w:w="0" w:type="dxa"/>
          <w:left w:w="108" w:type="dxa"/>
          <w:bottom w:w="0" w:type="dxa"/>
          <w:right w:w="108" w:type="dxa"/>
        </w:tblCellMar>
      </w:tblPr>
      <w:tblGrid>
        <w:gridCol w:w="5824"/>
        <w:gridCol w:w="3780"/>
      </w:tblGrid>
      <w:tr w14:paraId="488E912B">
        <w:tblPrEx>
          <w:tblCellMar>
            <w:top w:w="0" w:type="dxa"/>
            <w:left w:w="108" w:type="dxa"/>
            <w:bottom w:w="0" w:type="dxa"/>
            <w:right w:w="108" w:type="dxa"/>
          </w:tblCellMar>
        </w:tblPrEx>
        <w:trPr>
          <w:trHeight w:val="567" w:hRule="exact"/>
        </w:trPr>
        <w:tc>
          <w:tcPr>
            <w:tcW w:w="3032" w:type="pct"/>
            <w:vAlign w:val="center"/>
          </w:tcPr>
          <w:p w14:paraId="7753F209">
            <w:pPr>
              <w:spacing w:line="360" w:lineRule="auto"/>
              <w:jc w:val="center"/>
              <w:rPr>
                <w:rFonts w:hint="eastAsia" w:ascii="宋体" w:hAnsi="宋体"/>
                <w:kern w:val="0"/>
                <w:sz w:val="28"/>
                <w:szCs w:val="28"/>
              </w:rPr>
            </w:pPr>
            <w:bookmarkStart w:id="0" w:name="_Hlk66095096"/>
            <w:r>
              <w:rPr>
                <w:rFonts w:hint="eastAsia" w:ascii="宋体" w:hAnsi="宋体"/>
                <w:kern w:val="0"/>
                <w:sz w:val="28"/>
                <w:szCs w:val="28"/>
              </w:rPr>
              <w:t>北京德皓国际会计师事务所(特殊普通合伙)</w:t>
            </w:r>
          </w:p>
        </w:tc>
        <w:tc>
          <w:tcPr>
            <w:tcW w:w="1968" w:type="pct"/>
            <w:vAlign w:val="center"/>
          </w:tcPr>
          <w:p w14:paraId="6A793FB9">
            <w:pPr>
              <w:spacing w:line="360" w:lineRule="auto"/>
              <w:rPr>
                <w:rFonts w:hint="eastAsia" w:ascii="宋体" w:hAnsi="宋体"/>
                <w:kern w:val="0"/>
                <w:sz w:val="28"/>
                <w:szCs w:val="28"/>
              </w:rPr>
            </w:pPr>
            <w:r>
              <w:rPr>
                <w:rFonts w:ascii="宋体" w:hAnsi="宋体"/>
                <w:kern w:val="0"/>
                <w:sz w:val="28"/>
                <w:szCs w:val="28"/>
              </w:rPr>
              <w:t>中国注册会计师</w:t>
            </w:r>
            <w:r>
              <w:rPr>
                <w:rFonts w:hint="eastAsia" w:ascii="宋体" w:hAnsi="宋体"/>
                <w:kern w:val="0"/>
                <w:sz w:val="28"/>
                <w:szCs w:val="28"/>
              </w:rPr>
              <w:t>：</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ascii="宋体" w:hAnsi="宋体"/>
                <w:kern w:val="0"/>
                <w:sz w:val="28"/>
                <w:szCs w:val="28"/>
              </w:rPr>
              <w:t xml:space="preserve">   </w:t>
            </w:r>
          </w:p>
        </w:tc>
      </w:tr>
      <w:tr w14:paraId="12FC533D">
        <w:tblPrEx>
          <w:tblCellMar>
            <w:top w:w="0" w:type="dxa"/>
            <w:left w:w="108" w:type="dxa"/>
            <w:bottom w:w="0" w:type="dxa"/>
            <w:right w:w="108" w:type="dxa"/>
          </w:tblCellMar>
        </w:tblPrEx>
        <w:trPr>
          <w:trHeight w:val="567" w:hRule="exact"/>
        </w:trPr>
        <w:tc>
          <w:tcPr>
            <w:tcW w:w="3032" w:type="pct"/>
            <w:vMerge w:val="restart"/>
            <w:vAlign w:val="center"/>
          </w:tcPr>
          <w:p w14:paraId="20640D38">
            <w:pPr>
              <w:spacing w:line="360" w:lineRule="auto"/>
              <w:jc w:val="center"/>
              <w:rPr>
                <w:rFonts w:hint="eastAsia" w:ascii="宋体" w:hAnsi="宋体"/>
                <w:kern w:val="0"/>
                <w:sz w:val="28"/>
                <w:szCs w:val="28"/>
              </w:rPr>
            </w:pPr>
            <w:r>
              <w:rPr>
                <w:rFonts w:ascii="宋体" w:hAnsi="宋体"/>
                <w:sz w:val="28"/>
                <w:szCs w:val="28"/>
              </w:rPr>
              <w:t>中国</w:t>
            </w:r>
            <w:r>
              <w:rPr>
                <w:rFonts w:ascii="宋体" w:hAnsi="宋体"/>
                <w:b/>
                <w:sz w:val="28"/>
                <w:szCs w:val="28"/>
              </w:rPr>
              <w:t>·</w:t>
            </w:r>
            <w:r>
              <w:rPr>
                <w:rFonts w:ascii="宋体" w:hAnsi="宋体"/>
                <w:sz w:val="28"/>
                <w:szCs w:val="28"/>
              </w:rPr>
              <w:t>北京</w:t>
            </w:r>
          </w:p>
        </w:tc>
        <w:tc>
          <w:tcPr>
            <w:tcW w:w="1968" w:type="pct"/>
          </w:tcPr>
          <w:p w14:paraId="395BD4B7">
            <w:pPr>
              <w:wordWrap w:val="0"/>
              <w:spacing w:line="360" w:lineRule="auto"/>
              <w:ind w:right="280"/>
              <w:jc w:val="right"/>
              <w:rPr>
                <w:rFonts w:hint="eastAsia" w:ascii="宋体" w:hAnsi="宋体"/>
                <w:kern w:val="0"/>
                <w:sz w:val="28"/>
                <w:szCs w:val="28"/>
              </w:rPr>
            </w:pPr>
            <w:r>
              <w:rPr>
                <w:rFonts w:hint="eastAsia" w:ascii="宋体" w:hAnsi="宋体"/>
                <w:kern w:val="0"/>
                <w:sz w:val="28"/>
                <w:szCs w:val="28"/>
              </w:rPr>
              <w:t xml:space="preserve">郑基 </w:t>
            </w:r>
          </w:p>
        </w:tc>
      </w:tr>
      <w:tr w14:paraId="713A0754">
        <w:tblPrEx>
          <w:tblCellMar>
            <w:top w:w="0" w:type="dxa"/>
            <w:left w:w="108" w:type="dxa"/>
            <w:bottom w:w="0" w:type="dxa"/>
            <w:right w:w="108" w:type="dxa"/>
          </w:tblCellMar>
        </w:tblPrEx>
        <w:trPr>
          <w:trHeight w:val="567" w:hRule="exact"/>
        </w:trPr>
        <w:tc>
          <w:tcPr>
            <w:tcW w:w="3032" w:type="pct"/>
            <w:vMerge w:val="continue"/>
            <w:vAlign w:val="center"/>
          </w:tcPr>
          <w:p w14:paraId="75120E11">
            <w:pPr>
              <w:spacing w:line="360" w:lineRule="auto"/>
              <w:jc w:val="center"/>
              <w:rPr>
                <w:rFonts w:hint="eastAsia" w:ascii="宋体" w:hAnsi="宋体"/>
                <w:kern w:val="0"/>
                <w:sz w:val="28"/>
                <w:szCs w:val="28"/>
              </w:rPr>
            </w:pPr>
          </w:p>
        </w:tc>
        <w:tc>
          <w:tcPr>
            <w:tcW w:w="1968" w:type="pct"/>
            <w:vAlign w:val="center"/>
          </w:tcPr>
          <w:p w14:paraId="50B2AA3F">
            <w:pPr>
              <w:spacing w:line="360" w:lineRule="auto"/>
              <w:rPr>
                <w:rFonts w:hint="eastAsia" w:ascii="宋体" w:hAnsi="宋体"/>
                <w:kern w:val="0"/>
                <w:sz w:val="28"/>
                <w:szCs w:val="28"/>
              </w:rPr>
            </w:pPr>
          </w:p>
        </w:tc>
      </w:tr>
      <w:tr w14:paraId="2E1DFC60">
        <w:tblPrEx>
          <w:tblCellMar>
            <w:top w:w="0" w:type="dxa"/>
            <w:left w:w="108" w:type="dxa"/>
            <w:bottom w:w="0" w:type="dxa"/>
            <w:right w:w="108" w:type="dxa"/>
          </w:tblCellMar>
        </w:tblPrEx>
        <w:trPr>
          <w:trHeight w:val="567" w:hRule="exact"/>
        </w:trPr>
        <w:tc>
          <w:tcPr>
            <w:tcW w:w="3032" w:type="pct"/>
            <w:vAlign w:val="center"/>
          </w:tcPr>
          <w:p w14:paraId="5A38168D">
            <w:pPr>
              <w:spacing w:line="360" w:lineRule="auto"/>
              <w:jc w:val="center"/>
              <w:rPr>
                <w:rFonts w:hint="eastAsia" w:ascii="宋体" w:hAnsi="宋体"/>
                <w:kern w:val="0"/>
                <w:sz w:val="28"/>
                <w:szCs w:val="28"/>
              </w:rPr>
            </w:pPr>
          </w:p>
        </w:tc>
        <w:tc>
          <w:tcPr>
            <w:tcW w:w="1968" w:type="pct"/>
            <w:vAlign w:val="center"/>
          </w:tcPr>
          <w:p w14:paraId="34C614F0">
            <w:pPr>
              <w:spacing w:line="360" w:lineRule="auto"/>
              <w:rPr>
                <w:rFonts w:hint="eastAsia" w:ascii="宋体" w:hAnsi="宋体"/>
                <w:kern w:val="0"/>
                <w:sz w:val="28"/>
                <w:szCs w:val="28"/>
              </w:rPr>
            </w:pPr>
            <w:r>
              <w:rPr>
                <w:rFonts w:ascii="宋体" w:hAnsi="宋体"/>
                <w:kern w:val="0"/>
                <w:sz w:val="28"/>
                <w:szCs w:val="28"/>
              </w:rPr>
              <w:t>中国注册会计师</w:t>
            </w:r>
            <w:r>
              <w:rPr>
                <w:rFonts w:hint="eastAsia" w:ascii="宋体" w:hAnsi="宋体"/>
                <w:kern w:val="0"/>
                <w:sz w:val="28"/>
                <w:szCs w:val="28"/>
              </w:rPr>
              <w:t>：</w:t>
            </w:r>
            <w:r>
              <w:rPr>
                <w:rFonts w:hint="eastAsia" w:ascii="宋体" w:hAnsi="宋体"/>
                <w:kern w:val="0"/>
                <w:sz w:val="28"/>
                <w:szCs w:val="28"/>
                <w:u w:val="single"/>
              </w:rPr>
              <w:t xml:space="preserve"> </w:t>
            </w:r>
            <w:r>
              <w:rPr>
                <w:rFonts w:ascii="宋体" w:hAnsi="宋体"/>
                <w:kern w:val="0"/>
                <w:sz w:val="28"/>
                <w:szCs w:val="28"/>
                <w:u w:val="single"/>
              </w:rPr>
              <w:t xml:space="preserve">         </w:t>
            </w:r>
          </w:p>
        </w:tc>
      </w:tr>
      <w:tr w14:paraId="28E30A07">
        <w:tblPrEx>
          <w:tblCellMar>
            <w:top w:w="0" w:type="dxa"/>
            <w:left w:w="108" w:type="dxa"/>
            <w:bottom w:w="0" w:type="dxa"/>
            <w:right w:w="108" w:type="dxa"/>
          </w:tblCellMar>
        </w:tblPrEx>
        <w:trPr>
          <w:trHeight w:val="567" w:hRule="exact"/>
        </w:trPr>
        <w:tc>
          <w:tcPr>
            <w:tcW w:w="3032" w:type="pct"/>
            <w:vAlign w:val="center"/>
          </w:tcPr>
          <w:p w14:paraId="4F67C9C3">
            <w:pPr>
              <w:spacing w:line="360" w:lineRule="auto"/>
              <w:jc w:val="center"/>
              <w:rPr>
                <w:rFonts w:hint="eastAsia" w:ascii="宋体" w:hAnsi="宋体"/>
                <w:kern w:val="0"/>
                <w:sz w:val="28"/>
                <w:szCs w:val="28"/>
              </w:rPr>
            </w:pPr>
          </w:p>
        </w:tc>
        <w:tc>
          <w:tcPr>
            <w:tcW w:w="1968" w:type="pct"/>
          </w:tcPr>
          <w:p w14:paraId="5BB42457">
            <w:pPr>
              <w:spacing w:line="360" w:lineRule="auto"/>
              <w:ind w:right="280"/>
              <w:jc w:val="right"/>
              <w:rPr>
                <w:rFonts w:hint="eastAsia" w:ascii="宋体" w:hAnsi="宋体"/>
                <w:kern w:val="0"/>
                <w:sz w:val="28"/>
                <w:szCs w:val="28"/>
              </w:rPr>
            </w:pPr>
            <w:r>
              <w:rPr>
                <w:rFonts w:hint="eastAsia" w:ascii="宋体" w:hAnsi="宋体"/>
                <w:kern w:val="0"/>
                <w:sz w:val="28"/>
                <w:szCs w:val="28"/>
              </w:rPr>
              <w:t>赖镇业</w:t>
            </w:r>
          </w:p>
        </w:tc>
      </w:tr>
      <w:tr w14:paraId="70D0D31C">
        <w:tblPrEx>
          <w:tblCellMar>
            <w:top w:w="0" w:type="dxa"/>
            <w:left w:w="108" w:type="dxa"/>
            <w:bottom w:w="0" w:type="dxa"/>
            <w:right w:w="108" w:type="dxa"/>
          </w:tblCellMar>
        </w:tblPrEx>
        <w:trPr>
          <w:trHeight w:val="567" w:hRule="exact"/>
        </w:trPr>
        <w:tc>
          <w:tcPr>
            <w:tcW w:w="3032" w:type="pct"/>
            <w:vAlign w:val="center"/>
          </w:tcPr>
          <w:p w14:paraId="29048204">
            <w:pPr>
              <w:spacing w:line="360" w:lineRule="auto"/>
              <w:jc w:val="center"/>
              <w:rPr>
                <w:rFonts w:hint="eastAsia" w:ascii="宋体" w:hAnsi="宋体"/>
                <w:kern w:val="0"/>
                <w:sz w:val="28"/>
                <w:szCs w:val="28"/>
              </w:rPr>
            </w:pPr>
          </w:p>
        </w:tc>
        <w:tc>
          <w:tcPr>
            <w:tcW w:w="1968" w:type="pct"/>
            <w:vAlign w:val="center"/>
          </w:tcPr>
          <w:p w14:paraId="2CFC9445">
            <w:pPr>
              <w:spacing w:line="360" w:lineRule="auto"/>
              <w:jc w:val="center"/>
              <w:rPr>
                <w:rFonts w:hint="eastAsia" w:ascii="宋体" w:hAnsi="宋体"/>
                <w:kern w:val="0"/>
                <w:sz w:val="28"/>
                <w:szCs w:val="28"/>
              </w:rPr>
            </w:pPr>
            <w:r>
              <w:rPr>
                <w:rFonts w:ascii="宋体" w:hAnsi="宋体"/>
                <w:kern w:val="0"/>
                <w:sz w:val="28"/>
                <w:szCs w:val="28"/>
              </w:rPr>
              <w:t>二〇二</w:t>
            </w:r>
            <w:r>
              <w:rPr>
                <w:rFonts w:hint="eastAsia" w:ascii="宋体" w:hAnsi="宋体"/>
                <w:kern w:val="0"/>
                <w:sz w:val="28"/>
                <w:szCs w:val="28"/>
              </w:rPr>
              <w:t>五</w:t>
            </w:r>
            <w:r>
              <w:rPr>
                <w:rFonts w:ascii="宋体" w:hAnsi="宋体"/>
                <w:sz w:val="28"/>
                <w:szCs w:val="28"/>
              </w:rPr>
              <w:t>年</w:t>
            </w:r>
            <w:r>
              <w:rPr>
                <w:rFonts w:hint="eastAsia" w:ascii="宋体" w:hAnsi="宋体"/>
                <w:sz w:val="28"/>
                <w:szCs w:val="28"/>
              </w:rPr>
              <w:t>四月十六日</w:t>
            </w:r>
          </w:p>
        </w:tc>
      </w:tr>
      <w:bookmarkEnd w:id="0"/>
    </w:tbl>
    <w:p w14:paraId="11C7AE99">
      <w:pPr>
        <w:autoSpaceDE w:val="0"/>
        <w:snapToGrid w:val="0"/>
        <w:spacing w:line="360" w:lineRule="auto"/>
        <w:ind w:firstLine="560" w:firstLineChars="200"/>
        <w:rPr>
          <w:rFonts w:cs="Times New Roman"/>
          <w:color w:val="000000" w:themeColor="text1"/>
          <w:sz w:val="28"/>
          <w:szCs w:val="28"/>
        </w:rPr>
      </w:pPr>
    </w:p>
    <w:p w14:paraId="3481CE71">
      <w:pPr>
        <w:rPr>
          <w:rFonts w:cs="Times New Roman"/>
          <w:color w:val="000000" w:themeColor="text1"/>
          <w:sz w:val="28"/>
          <w:szCs w:val="28"/>
        </w:rPr>
      </w:pPr>
      <w:r>
        <w:rPr>
          <w:rFonts w:cs="Times New Roman"/>
          <w:color w:val="000000" w:themeColor="text1"/>
          <w:sz w:val="28"/>
          <w:szCs w:val="28"/>
        </w:rPr>
        <w:br w:type="page"/>
      </w:r>
    </w:p>
    <w:p w14:paraId="621F5930">
      <w:pPr>
        <w:spacing w:line="360" w:lineRule="auto"/>
        <w:ind w:firstLine="602" w:firstLineChars="200"/>
        <w:jc w:val="center"/>
        <w:rPr>
          <w:rFonts w:hint="eastAsia" w:ascii="宋体" w:hAnsi="宋体" w:cs="Arial"/>
          <w:b/>
          <w:kern w:val="0"/>
          <w:sz w:val="30"/>
          <w:szCs w:val="30"/>
        </w:rPr>
      </w:pPr>
      <w:r>
        <w:rPr>
          <w:rFonts w:hint="eastAsia" w:ascii="宋体" w:hAnsi="宋体" w:cs="Arial"/>
          <w:b/>
          <w:kern w:val="0"/>
          <w:sz w:val="30"/>
          <w:szCs w:val="30"/>
        </w:rPr>
        <w:t>福建广生堂药业股份有限公司</w:t>
      </w:r>
    </w:p>
    <w:p w14:paraId="67AD65E5">
      <w:pPr>
        <w:spacing w:line="360" w:lineRule="auto"/>
        <w:ind w:firstLine="602" w:firstLineChars="200"/>
        <w:jc w:val="center"/>
        <w:outlineLvl w:val="0"/>
        <w:rPr>
          <w:rFonts w:hint="eastAsia" w:ascii="宋体" w:hAnsi="宋体" w:cs="Arial"/>
          <w:b/>
          <w:kern w:val="0"/>
          <w:sz w:val="30"/>
          <w:szCs w:val="28"/>
        </w:rPr>
      </w:pPr>
      <w:r>
        <w:rPr>
          <w:rFonts w:hint="eastAsia" w:ascii="宋体" w:hAnsi="宋体" w:cs="Arial"/>
          <w:b/>
          <w:kern w:val="0"/>
          <w:sz w:val="30"/>
          <w:szCs w:val="28"/>
        </w:rPr>
        <w:t>2</w:t>
      </w:r>
      <w:r>
        <w:rPr>
          <w:rFonts w:ascii="宋体" w:hAnsi="宋体" w:cs="Arial"/>
          <w:b/>
          <w:kern w:val="0"/>
          <w:sz w:val="30"/>
          <w:szCs w:val="28"/>
        </w:rPr>
        <w:t>02</w:t>
      </w:r>
      <w:r>
        <w:rPr>
          <w:rFonts w:hint="eastAsia" w:ascii="宋体" w:hAnsi="宋体" w:cs="Arial"/>
          <w:b/>
          <w:kern w:val="0"/>
          <w:sz w:val="30"/>
          <w:szCs w:val="28"/>
        </w:rPr>
        <w:t>4年度内部控制自我评价报告</w:t>
      </w:r>
    </w:p>
    <w:p w14:paraId="20BA7F1E">
      <w:pPr>
        <w:widowControl/>
        <w:spacing w:before="312" w:beforeLines="100" w:line="360" w:lineRule="auto"/>
        <w:rPr>
          <w:rFonts w:hint="eastAsia" w:ascii="宋体" w:hAnsi="宋体"/>
          <w:b/>
          <w:bCs/>
          <w:kern w:val="0"/>
        </w:rPr>
      </w:pPr>
      <w:r>
        <w:rPr>
          <w:rFonts w:hint="eastAsia" w:ascii="宋体" w:hAnsi="宋体"/>
          <w:b/>
          <w:bCs/>
          <w:kern w:val="0"/>
        </w:rPr>
        <w:t>福建广生堂药业股份有限公司全体股东：</w:t>
      </w:r>
    </w:p>
    <w:p w14:paraId="2E04A3C2">
      <w:pPr>
        <w:widowControl/>
        <w:spacing w:before="312" w:beforeLines="100" w:line="360" w:lineRule="auto"/>
        <w:ind w:firstLine="420" w:firstLineChars="200"/>
        <w:rPr>
          <w:rFonts w:hint="eastAsia" w:ascii="宋体" w:hAnsi="宋体"/>
          <w:kern w:val="0"/>
        </w:rPr>
      </w:pPr>
      <w:r>
        <w:rPr>
          <w:rFonts w:hint="eastAsia" w:ascii="宋体" w:hAnsi="宋体"/>
          <w:kern w:val="0"/>
        </w:rPr>
        <w:t>根据《企业内部控制基本规范》及其配套指引的规定和其他内部控制监管要求（以下简称“企业内部控制规范体系”），结合福建广生堂药业股份有限公司（以下简称“公司”）内部控制制度和评价办法，在内部控制日常监督和专项监督的基础上，我们对公司2024年12月31日（内部控制评价报告基准日）的内部控制有效性进行了评价。</w:t>
      </w:r>
    </w:p>
    <w:p w14:paraId="75A81432">
      <w:pPr>
        <w:widowControl/>
        <w:spacing w:before="312" w:beforeLines="100" w:line="360" w:lineRule="auto"/>
        <w:ind w:firstLine="422" w:firstLineChars="200"/>
        <w:outlineLvl w:val="1"/>
        <w:rPr>
          <w:rFonts w:hint="eastAsia" w:ascii="宋体" w:hAnsi="宋体"/>
          <w:b/>
          <w:bCs/>
          <w:kern w:val="0"/>
        </w:rPr>
      </w:pPr>
      <w:r>
        <w:rPr>
          <w:rFonts w:hint="eastAsia" w:ascii="宋体" w:hAnsi="宋体"/>
          <w:b/>
          <w:bCs/>
          <w:kern w:val="0"/>
        </w:rPr>
        <w:t>一、重要声明</w:t>
      </w:r>
    </w:p>
    <w:p w14:paraId="6F48F7E3">
      <w:pPr>
        <w:widowControl/>
        <w:spacing w:line="360" w:lineRule="auto"/>
        <w:ind w:firstLine="420" w:firstLineChars="200"/>
        <w:rPr>
          <w:rFonts w:hint="eastAsia" w:ascii="宋体" w:hAnsi="宋体"/>
          <w:kern w:val="0"/>
        </w:rPr>
      </w:pPr>
      <w:r>
        <w:rPr>
          <w:rFonts w:hint="eastAsia" w:ascii="宋体" w:hAnsi="宋体"/>
          <w:kern w:val="0"/>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14:paraId="3CA130C4">
      <w:pPr>
        <w:widowControl/>
        <w:spacing w:line="360" w:lineRule="auto"/>
        <w:ind w:firstLine="420" w:firstLineChars="200"/>
        <w:rPr>
          <w:rFonts w:hint="eastAsia" w:ascii="宋体" w:hAnsi="宋体"/>
          <w:kern w:val="0"/>
        </w:rPr>
      </w:pPr>
      <w:r>
        <w:rPr>
          <w:rFonts w:hint="eastAsia" w:ascii="宋体" w:hAnsi="宋体"/>
          <w:kern w:val="0"/>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14:paraId="0638A98F">
      <w:pPr>
        <w:widowControl/>
        <w:spacing w:before="312" w:beforeLines="100" w:line="360" w:lineRule="auto"/>
        <w:ind w:firstLine="422" w:firstLineChars="200"/>
        <w:outlineLvl w:val="1"/>
        <w:rPr>
          <w:rFonts w:hint="eastAsia" w:ascii="宋体" w:hAnsi="宋体"/>
          <w:b/>
          <w:bCs/>
          <w:kern w:val="0"/>
        </w:rPr>
      </w:pPr>
      <w:r>
        <w:rPr>
          <w:rFonts w:hint="eastAsia" w:ascii="宋体" w:hAnsi="宋体"/>
          <w:b/>
          <w:bCs/>
          <w:kern w:val="0"/>
        </w:rPr>
        <w:t>二、内部控制评价结论</w:t>
      </w:r>
    </w:p>
    <w:p w14:paraId="1C3F76B7">
      <w:pPr>
        <w:widowControl/>
        <w:spacing w:line="360" w:lineRule="auto"/>
        <w:ind w:firstLine="420" w:firstLineChars="200"/>
        <w:rPr>
          <w:rFonts w:hint="eastAsia" w:ascii="宋体" w:hAnsi="宋体"/>
          <w:kern w:val="0"/>
        </w:rPr>
      </w:pPr>
      <w:r>
        <w:rPr>
          <w:rFonts w:hint="eastAsia" w:ascii="宋体" w:hAnsi="宋体"/>
          <w:kern w:val="0"/>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14:paraId="49BA09A5">
      <w:pPr>
        <w:widowControl/>
        <w:spacing w:line="360" w:lineRule="auto"/>
        <w:ind w:firstLine="420" w:firstLineChars="200"/>
        <w:rPr>
          <w:rFonts w:hint="eastAsia" w:ascii="宋体" w:hAnsi="宋体"/>
          <w:kern w:val="0"/>
        </w:rPr>
      </w:pPr>
      <w:r>
        <w:rPr>
          <w:rFonts w:hint="eastAsia" w:ascii="宋体" w:hAnsi="宋体"/>
          <w:kern w:val="0"/>
        </w:rPr>
        <w:t>根据公司非财务报告内部控制重大缺陷认定情况，于内部控制评价报告基准日，公司未发现非财务报告内部控制重大缺陷。</w:t>
      </w:r>
    </w:p>
    <w:p w14:paraId="64A67904">
      <w:pPr>
        <w:widowControl/>
        <w:spacing w:line="360" w:lineRule="auto"/>
        <w:ind w:firstLine="420" w:firstLineChars="200"/>
        <w:rPr>
          <w:rFonts w:hint="eastAsia" w:ascii="宋体" w:hAnsi="宋体"/>
          <w:kern w:val="0"/>
        </w:rPr>
      </w:pPr>
      <w:r>
        <w:rPr>
          <w:rFonts w:hint="eastAsia" w:ascii="宋体" w:hAnsi="宋体"/>
          <w:kern w:val="0"/>
        </w:rPr>
        <w:t>自内部控制评价报告基准日至内部控制评价报告发出日之间未发生影响内部控制有效性评价结论的因素。</w:t>
      </w:r>
    </w:p>
    <w:p w14:paraId="269D6E50">
      <w:pPr>
        <w:widowControl/>
        <w:spacing w:before="312" w:beforeLines="100" w:line="360" w:lineRule="auto"/>
        <w:ind w:firstLine="422" w:firstLineChars="200"/>
        <w:outlineLvl w:val="1"/>
        <w:rPr>
          <w:rFonts w:hint="eastAsia" w:ascii="宋体" w:hAnsi="宋体"/>
          <w:b/>
          <w:bCs/>
          <w:kern w:val="0"/>
        </w:rPr>
      </w:pPr>
      <w:r>
        <w:rPr>
          <w:rFonts w:hint="eastAsia" w:ascii="宋体" w:hAnsi="宋体"/>
          <w:b/>
          <w:bCs/>
          <w:kern w:val="0"/>
        </w:rPr>
        <w:t>三、内部工作评价情况</w:t>
      </w:r>
    </w:p>
    <w:p w14:paraId="1EA240D4">
      <w:pPr>
        <w:widowControl/>
        <w:spacing w:line="360" w:lineRule="auto"/>
        <w:ind w:firstLine="422" w:firstLineChars="200"/>
        <w:outlineLvl w:val="2"/>
        <w:rPr>
          <w:rFonts w:hint="eastAsia" w:ascii="宋体" w:hAnsi="宋体"/>
          <w:b/>
          <w:bCs/>
          <w:kern w:val="0"/>
        </w:rPr>
      </w:pPr>
      <w:r>
        <w:rPr>
          <w:rFonts w:hint="eastAsia" w:ascii="宋体" w:hAnsi="宋体"/>
          <w:b/>
          <w:bCs/>
          <w:kern w:val="0"/>
        </w:rPr>
        <w:t>（一）内部控制评价的范围</w:t>
      </w:r>
    </w:p>
    <w:p w14:paraId="519DD1BE">
      <w:pPr>
        <w:widowControl/>
        <w:spacing w:line="360" w:lineRule="auto"/>
        <w:ind w:firstLine="420" w:firstLineChars="200"/>
        <w:rPr>
          <w:rFonts w:hint="eastAsia" w:ascii="宋体" w:hAnsi="宋体"/>
          <w:kern w:val="0"/>
        </w:rPr>
      </w:pPr>
      <w:r>
        <w:rPr>
          <w:rFonts w:hint="eastAsia" w:ascii="宋体" w:hAnsi="宋体"/>
          <w:kern w:val="0"/>
        </w:rPr>
        <w:t>公司按照风险导向原则确定纳入评价范围的主要单位、业务和事项以及高风险领域。</w:t>
      </w:r>
    </w:p>
    <w:p w14:paraId="2E843FDD">
      <w:pPr>
        <w:widowControl/>
        <w:spacing w:line="360" w:lineRule="auto"/>
        <w:ind w:firstLine="420" w:firstLineChars="200"/>
        <w:rPr>
          <w:rFonts w:hint="eastAsia" w:ascii="宋体" w:hAnsi="宋体"/>
          <w:kern w:val="0"/>
        </w:rPr>
      </w:pPr>
      <w:r>
        <w:rPr>
          <w:rFonts w:hint="eastAsia" w:ascii="宋体" w:hAnsi="宋体"/>
          <w:kern w:val="0"/>
        </w:rPr>
        <w:t>1、纳入评价范围的单位包括母公司和控股子公司，主要子公司如下：</w:t>
      </w:r>
    </w:p>
    <w:p w14:paraId="2292D2F6">
      <w:pPr>
        <w:widowControl/>
        <w:spacing w:line="360" w:lineRule="auto"/>
        <w:ind w:firstLine="420" w:firstLineChars="200"/>
        <w:rPr>
          <w:rFonts w:hint="eastAsia" w:ascii="宋体" w:hAnsi="宋体"/>
          <w:kern w:val="0"/>
        </w:rPr>
      </w:pPr>
      <w:r>
        <w:rPr>
          <w:rFonts w:hint="eastAsia" w:ascii="宋体" w:hAnsi="宋体"/>
          <w:kern w:val="0"/>
        </w:rPr>
        <w:t>（1）福建广生堂医药销售有限公司</w:t>
      </w:r>
    </w:p>
    <w:p w14:paraId="75B3DA64">
      <w:pPr>
        <w:widowControl/>
        <w:spacing w:line="360" w:lineRule="auto"/>
        <w:ind w:firstLine="420" w:firstLineChars="200"/>
        <w:rPr>
          <w:rFonts w:hint="eastAsia" w:ascii="宋体" w:hAnsi="宋体"/>
          <w:kern w:val="0"/>
        </w:rPr>
      </w:pPr>
      <w:r>
        <w:rPr>
          <w:rFonts w:hint="eastAsia" w:ascii="宋体" w:hAnsi="宋体"/>
          <w:kern w:val="0"/>
        </w:rPr>
        <w:t>（2）福建广生堂电子商务有限责任公司</w:t>
      </w:r>
    </w:p>
    <w:p w14:paraId="0FCE22EB">
      <w:pPr>
        <w:widowControl/>
        <w:spacing w:line="360" w:lineRule="auto"/>
        <w:ind w:firstLine="420" w:firstLineChars="200"/>
        <w:rPr>
          <w:rFonts w:hint="eastAsia" w:ascii="宋体" w:hAnsi="宋体"/>
          <w:kern w:val="0"/>
        </w:rPr>
      </w:pPr>
      <w:r>
        <w:rPr>
          <w:rFonts w:hint="eastAsia" w:ascii="宋体" w:hAnsi="宋体"/>
          <w:kern w:val="0"/>
        </w:rPr>
        <w:t>（3）福建广生堂金塘药业有限公司</w:t>
      </w:r>
    </w:p>
    <w:p w14:paraId="721E5D1F">
      <w:pPr>
        <w:widowControl/>
        <w:spacing w:line="360" w:lineRule="auto"/>
        <w:ind w:firstLine="420" w:firstLineChars="200"/>
        <w:rPr>
          <w:rFonts w:hint="eastAsia" w:ascii="宋体" w:hAnsi="宋体"/>
          <w:kern w:val="0"/>
        </w:rPr>
      </w:pPr>
      <w:r>
        <w:rPr>
          <w:rFonts w:hint="eastAsia" w:ascii="宋体" w:hAnsi="宋体"/>
          <w:kern w:val="0"/>
        </w:rPr>
        <w:t>（4）福建广生医院有限公司</w:t>
      </w:r>
    </w:p>
    <w:p w14:paraId="11E7609B">
      <w:pPr>
        <w:widowControl/>
        <w:spacing w:line="360" w:lineRule="auto"/>
        <w:ind w:firstLine="420" w:firstLineChars="200"/>
        <w:rPr>
          <w:rFonts w:hint="eastAsia" w:ascii="宋体" w:hAnsi="宋体"/>
          <w:kern w:val="0"/>
        </w:rPr>
      </w:pPr>
      <w:r>
        <w:rPr>
          <w:rFonts w:hint="eastAsia" w:ascii="宋体" w:hAnsi="宋体"/>
          <w:kern w:val="0"/>
        </w:rPr>
        <w:t>（5）福建华医互联网医院有限公司（曾用名：福州和睦家广生妇儿医院有限公司）</w:t>
      </w:r>
    </w:p>
    <w:p w14:paraId="4E045D47">
      <w:pPr>
        <w:widowControl/>
        <w:spacing w:line="360" w:lineRule="auto"/>
        <w:ind w:firstLine="420" w:firstLineChars="200"/>
        <w:rPr>
          <w:rFonts w:hint="eastAsia" w:ascii="宋体" w:hAnsi="宋体"/>
          <w:kern w:val="0"/>
        </w:rPr>
      </w:pPr>
      <w:r>
        <w:rPr>
          <w:rFonts w:hint="eastAsia" w:ascii="宋体" w:hAnsi="宋体"/>
          <w:kern w:val="0"/>
        </w:rPr>
        <w:t>（6）江苏中兴药业有限公司</w:t>
      </w:r>
    </w:p>
    <w:p w14:paraId="4A7A1BBC">
      <w:pPr>
        <w:widowControl/>
        <w:spacing w:line="360" w:lineRule="auto"/>
        <w:ind w:firstLine="420" w:firstLineChars="200"/>
        <w:rPr>
          <w:rFonts w:hint="eastAsia" w:ascii="宋体" w:hAnsi="宋体"/>
          <w:kern w:val="0"/>
        </w:rPr>
      </w:pPr>
      <w:r>
        <w:rPr>
          <w:rFonts w:hint="eastAsia" w:ascii="宋体" w:hAnsi="宋体"/>
          <w:kern w:val="0"/>
        </w:rPr>
        <w:t>（7）福建广生中霖生物科技有限公司</w:t>
      </w:r>
    </w:p>
    <w:p w14:paraId="4986C600">
      <w:pPr>
        <w:widowControl/>
        <w:spacing w:line="360" w:lineRule="auto"/>
        <w:ind w:firstLine="420" w:firstLineChars="200"/>
        <w:rPr>
          <w:rFonts w:hint="eastAsia" w:ascii="宋体" w:hAnsi="宋体"/>
          <w:kern w:val="0"/>
        </w:rPr>
      </w:pPr>
      <w:r>
        <w:rPr>
          <w:rFonts w:hint="eastAsia" w:ascii="宋体" w:hAnsi="宋体"/>
          <w:kern w:val="0"/>
        </w:rPr>
        <w:t>（8）广生中霖生物科技（上海）有限公司</w:t>
      </w:r>
    </w:p>
    <w:p w14:paraId="5266CB82">
      <w:pPr>
        <w:widowControl/>
        <w:spacing w:line="360" w:lineRule="auto"/>
        <w:ind w:firstLine="420" w:firstLineChars="200"/>
        <w:rPr>
          <w:rFonts w:ascii="宋体" w:hAnsi="宋体"/>
          <w:kern w:val="0"/>
        </w:rPr>
      </w:pPr>
      <w:r>
        <w:rPr>
          <w:rFonts w:hint="eastAsia" w:ascii="宋体" w:hAnsi="宋体"/>
          <w:kern w:val="0"/>
        </w:rPr>
        <w:t>（9）北京广生中霖生物科技有限公司</w:t>
      </w:r>
    </w:p>
    <w:p w14:paraId="613F94FA">
      <w:pPr>
        <w:widowControl/>
        <w:spacing w:line="360" w:lineRule="auto"/>
        <w:ind w:firstLine="420" w:firstLineChars="200"/>
        <w:rPr>
          <w:rFonts w:hint="eastAsia" w:ascii="宋体" w:hAnsi="宋体"/>
          <w:kern w:val="0"/>
        </w:rPr>
      </w:pPr>
      <w:r>
        <w:rPr>
          <w:rFonts w:hint="eastAsia" w:ascii="宋体" w:hAnsi="宋体"/>
          <w:kern w:val="0"/>
        </w:rPr>
        <w:t>（10）广喆来药业（福建）有限公司</w:t>
      </w:r>
    </w:p>
    <w:p w14:paraId="4C9A2E71">
      <w:pPr>
        <w:widowControl/>
        <w:spacing w:line="360" w:lineRule="auto"/>
        <w:ind w:firstLine="420" w:firstLineChars="200"/>
        <w:rPr>
          <w:rFonts w:ascii="宋体" w:hAnsi="宋体"/>
          <w:kern w:val="0"/>
        </w:rPr>
      </w:pPr>
      <w:r>
        <w:rPr>
          <w:rFonts w:hint="eastAsia" w:ascii="宋体" w:hAnsi="宋体"/>
          <w:kern w:val="0"/>
        </w:rPr>
        <w:t>（11）福建多嘿嘿男性健康咨询有限公司</w:t>
      </w:r>
    </w:p>
    <w:p w14:paraId="357CB697">
      <w:pPr>
        <w:widowControl/>
        <w:spacing w:line="360" w:lineRule="auto"/>
        <w:ind w:firstLine="420" w:firstLineChars="200"/>
        <w:rPr>
          <w:rFonts w:hint="eastAsia" w:ascii="宋体" w:hAnsi="宋体"/>
          <w:kern w:val="0"/>
        </w:rPr>
      </w:pPr>
      <w:r>
        <w:rPr>
          <w:rFonts w:hint="eastAsia" w:ascii="宋体" w:hAnsi="宋体"/>
          <w:kern w:val="0"/>
        </w:rPr>
        <w:t>（12）广福来（北京）国际生物技术有限公司</w:t>
      </w:r>
    </w:p>
    <w:p w14:paraId="6DE01F87">
      <w:pPr>
        <w:widowControl/>
        <w:spacing w:line="360" w:lineRule="auto"/>
        <w:ind w:firstLine="420" w:firstLineChars="200"/>
        <w:rPr>
          <w:rFonts w:hint="eastAsia" w:ascii="宋体" w:hAnsi="宋体"/>
          <w:kern w:val="0"/>
        </w:rPr>
      </w:pPr>
      <w:r>
        <w:rPr>
          <w:rFonts w:hint="eastAsia" w:ascii="宋体" w:hAnsi="宋体"/>
          <w:kern w:val="0"/>
        </w:rPr>
        <w:t>（13）广生堂药业（漳州）有限公司</w:t>
      </w:r>
    </w:p>
    <w:p w14:paraId="51F47453">
      <w:pPr>
        <w:widowControl/>
        <w:spacing w:line="360" w:lineRule="auto"/>
        <w:ind w:firstLine="420" w:firstLineChars="200"/>
        <w:rPr>
          <w:rFonts w:hint="eastAsia" w:ascii="宋体" w:hAnsi="宋体"/>
          <w:kern w:val="0"/>
        </w:rPr>
      </w:pPr>
      <w:r>
        <w:rPr>
          <w:rFonts w:hint="eastAsia" w:ascii="宋体" w:hAnsi="宋体"/>
          <w:kern w:val="0"/>
        </w:rPr>
        <w:t>纳入评价范围单位资产总额占公司合并财务报表资产总额的100.00%，营业收入合计占公司合并财务报表营业收入总额的100.00%。</w:t>
      </w:r>
    </w:p>
    <w:p w14:paraId="2A1F74BD">
      <w:pPr>
        <w:widowControl/>
        <w:spacing w:line="360" w:lineRule="auto"/>
        <w:ind w:firstLine="420" w:firstLineChars="200"/>
        <w:rPr>
          <w:rFonts w:hint="eastAsia" w:ascii="宋体" w:hAnsi="宋体"/>
          <w:kern w:val="0"/>
        </w:rPr>
      </w:pPr>
      <w:r>
        <w:rPr>
          <w:rFonts w:hint="eastAsia" w:ascii="宋体" w:hAnsi="宋体"/>
          <w:kern w:val="0"/>
        </w:rPr>
        <w:t>2、纳入评价范围的主要业务和事项包括：公司治理与组织架构、内部审计机构设置、人力资源管理、采购与付款活动、销售与收款活动、生产与存货管理、货币资金管理、固定资产管理、子公司的管理、关联交易、对外担保、募集资金使用、重大投资、信息披露。</w:t>
      </w:r>
    </w:p>
    <w:p w14:paraId="13CE2F4F">
      <w:pPr>
        <w:widowControl/>
        <w:spacing w:line="360" w:lineRule="auto"/>
        <w:ind w:firstLine="420" w:firstLineChars="200"/>
        <w:rPr>
          <w:rFonts w:hint="eastAsia" w:ascii="宋体" w:hAnsi="宋体"/>
          <w:kern w:val="0"/>
        </w:rPr>
      </w:pPr>
      <w:r>
        <w:rPr>
          <w:rFonts w:hint="eastAsia" w:ascii="宋体" w:hAnsi="宋体"/>
          <w:kern w:val="0"/>
        </w:rPr>
        <w:t>（1）公司治理结构与组织架构</w:t>
      </w:r>
    </w:p>
    <w:p w14:paraId="67F9A976">
      <w:pPr>
        <w:widowControl/>
        <w:spacing w:line="360" w:lineRule="auto"/>
        <w:ind w:firstLine="420" w:firstLineChars="200"/>
        <w:rPr>
          <w:rFonts w:hint="eastAsia" w:ascii="宋体" w:hAnsi="宋体"/>
          <w:kern w:val="0"/>
        </w:rPr>
      </w:pPr>
      <w:r>
        <w:rPr>
          <w:rFonts w:hint="eastAsia" w:ascii="宋体" w:hAnsi="宋体"/>
          <w:kern w:val="0"/>
        </w:rPr>
        <w:t>公司严格按照《公司法》、《证券法》和有关监管要求及公司章程的规定，建立健全的与企业发展相适应的治理结构，股东会、董事会、监事会、经营管理层之间权责分明，相互制衡，运作良好，形成了一套合理、完整、有效的经营管理框架，为公司的长远发展打下坚实的基础；公司董事会下设董事会秘书处及总经理及薪酬与考核委员会、提名委员会、战略委员会和审计委员会四个专业委员会；建立了《股东大会议事规则》、《董事会议事规则》、《监事会议事规则》、《独立董事工作制度》、《总经理工作细则》、《董事会秘书工作细则》、《董事会审计委员会工作细则》、《董事会提名委员会工作细则》、《董事会战略委员会工作细则》、《董事会薪酬与考核委员会工作细则》等制度；聘请有关行业专家和专业人士作为独立董事，对进一步规范运作起着良好的推动作用。</w:t>
      </w:r>
    </w:p>
    <w:p w14:paraId="6FE703CF">
      <w:pPr>
        <w:widowControl/>
        <w:spacing w:line="360" w:lineRule="auto"/>
        <w:ind w:firstLine="420" w:firstLineChars="200"/>
        <w:rPr>
          <w:rFonts w:hint="eastAsia" w:ascii="宋体" w:hAnsi="宋体"/>
          <w:kern w:val="0"/>
        </w:rPr>
      </w:pPr>
      <w:r>
        <w:rPr>
          <w:rFonts w:hint="eastAsia" w:ascii="宋体" w:hAnsi="宋体"/>
          <w:kern w:val="0"/>
        </w:rPr>
        <w:t>公司为有效地计划、协调和控制经营活动，合理地确定组织单位的形式和性质，并贯彻不相容职务相分离的原则，较科学地划分每个组织单位内部的职责权限，形成相互制衡机制。</w:t>
      </w:r>
    </w:p>
    <w:p w14:paraId="0C8A0447">
      <w:pPr>
        <w:widowControl/>
        <w:spacing w:line="360" w:lineRule="auto"/>
        <w:ind w:firstLine="420" w:firstLineChars="200"/>
        <w:rPr>
          <w:rFonts w:hint="eastAsia" w:ascii="宋体" w:hAnsi="宋体"/>
          <w:kern w:val="0"/>
        </w:rPr>
      </w:pPr>
      <w:r>
        <w:rPr>
          <w:rFonts w:hint="eastAsia" w:ascii="宋体" w:hAnsi="宋体"/>
          <w:kern w:val="0"/>
        </w:rPr>
        <w:t>（2）内部审计机构设置</w:t>
      </w:r>
    </w:p>
    <w:p w14:paraId="25D2D6CF">
      <w:pPr>
        <w:widowControl/>
        <w:spacing w:line="360" w:lineRule="auto"/>
        <w:ind w:firstLine="420" w:firstLineChars="200"/>
        <w:rPr>
          <w:rFonts w:hint="eastAsia" w:ascii="宋体" w:hAnsi="宋体"/>
          <w:kern w:val="0"/>
        </w:rPr>
      </w:pPr>
      <w:r>
        <w:rPr>
          <w:rFonts w:hint="eastAsia" w:ascii="宋体" w:hAnsi="宋体"/>
          <w:kern w:val="0"/>
        </w:rPr>
        <w:t>公司在董事会下设立了审计委员会，审计委员会下设立了审计部，指定专职人员具体负责经营活动内部控制制度设计、监督和检查内部控制制度的执行情况并对内部控制的有效性进行评价，对监督检查中发现的内部控制缺陷，按照公司内部审计工作程序进行报告，并提出相应的改进建议和处理意见。在监督检查中发现的内部控制重大缺陷，可直接向董事会及其审计委员会报告，确保内部控制严格贯彻实施和经营活动的正常进行。</w:t>
      </w:r>
    </w:p>
    <w:p w14:paraId="248793D3">
      <w:pPr>
        <w:widowControl/>
        <w:spacing w:line="360" w:lineRule="auto"/>
        <w:ind w:firstLine="420" w:firstLineChars="200"/>
        <w:rPr>
          <w:rFonts w:hint="eastAsia" w:ascii="宋体" w:hAnsi="宋体"/>
          <w:kern w:val="0"/>
        </w:rPr>
      </w:pPr>
      <w:r>
        <w:rPr>
          <w:rFonts w:hint="eastAsia" w:ascii="宋体" w:hAnsi="宋体"/>
          <w:kern w:val="0"/>
        </w:rPr>
        <w:t>（3）人力资源管理</w:t>
      </w:r>
    </w:p>
    <w:p w14:paraId="003ECA37">
      <w:pPr>
        <w:widowControl/>
        <w:spacing w:line="360" w:lineRule="auto"/>
        <w:ind w:firstLine="420" w:firstLineChars="200"/>
        <w:rPr>
          <w:rFonts w:hint="eastAsia" w:ascii="宋体" w:hAnsi="宋体"/>
          <w:kern w:val="0"/>
        </w:rPr>
      </w:pPr>
      <w:r>
        <w:rPr>
          <w:rFonts w:hint="eastAsia" w:ascii="宋体" w:hAnsi="宋体"/>
          <w:kern w:val="0"/>
        </w:rPr>
        <w:t>公司董事会下设立的薪酬与考核委员会主要负责制定、审核公司非独立董事、高级管理人员的薪酬方案和考核标准。薪酬与考核委员会直接对公司董事会负责。公司设立人力资源部，负责公司人力资源的管理，建立一系列人力资源管理制度，对公司各职能部门的职责、员工聘用、试用、任免、调岗、解职、交接、奖惩等事项进行明确规定，确保相关人员能够胜任；制定并实施人才培养实施方案，以确保经理层和全体员工能够有效履行职责；公司现有人力资源政策基本能够保证人力资源的稳定和公司各部门对人力资源的需求。</w:t>
      </w:r>
    </w:p>
    <w:p w14:paraId="03E05B2E">
      <w:pPr>
        <w:widowControl/>
        <w:spacing w:line="360" w:lineRule="auto"/>
        <w:ind w:firstLine="420" w:firstLineChars="200"/>
        <w:rPr>
          <w:rFonts w:hint="eastAsia" w:ascii="宋体" w:hAnsi="宋体"/>
          <w:kern w:val="0"/>
        </w:rPr>
      </w:pPr>
      <w:r>
        <w:rPr>
          <w:rFonts w:hint="eastAsia" w:ascii="宋体" w:hAnsi="宋体"/>
          <w:kern w:val="0"/>
        </w:rPr>
        <w:t>（4）采购与付款活动</w:t>
      </w:r>
    </w:p>
    <w:p w14:paraId="511693DB">
      <w:pPr>
        <w:widowControl/>
        <w:spacing w:line="360" w:lineRule="auto"/>
        <w:ind w:firstLine="420" w:firstLineChars="200"/>
        <w:rPr>
          <w:rFonts w:hint="eastAsia" w:ascii="宋体" w:hAnsi="宋体"/>
          <w:kern w:val="0"/>
        </w:rPr>
      </w:pPr>
      <w:r>
        <w:rPr>
          <w:rFonts w:hint="eastAsia" w:ascii="宋体" w:hAnsi="宋体"/>
          <w:kern w:val="0"/>
        </w:rPr>
        <w:t>公司有严格的采购作业、验收作业、请款和付款作业流程,制定了物资、物料采购的相关操作及管理制度。</w:t>
      </w:r>
    </w:p>
    <w:p w14:paraId="6A331DD8">
      <w:pPr>
        <w:widowControl/>
        <w:spacing w:line="360" w:lineRule="auto"/>
        <w:ind w:firstLine="420" w:firstLineChars="200"/>
        <w:rPr>
          <w:rFonts w:hint="eastAsia" w:ascii="宋体" w:hAnsi="宋体"/>
          <w:kern w:val="0"/>
        </w:rPr>
      </w:pPr>
      <w:r>
        <w:rPr>
          <w:rFonts w:hint="eastAsia" w:ascii="宋体" w:hAnsi="宋体"/>
          <w:kern w:val="0"/>
        </w:rPr>
        <w:t>公司采购由请购部门填制《采购申请单》，仓储部门确定库存，申请单必须经相关部门负责人审核,报公司授权领导批准后,方可办理采购。公司已建立详实完备的报价资料,并注意收集新的询价资料,保持报价的最新时效。在验收时,物料的名称、规格、数量必须与实物相符,验收人员必须及时填制入库单，不合格的物资、物料及时通知采购部门退回或扣款。公司与供应商的结算,由采购部采购人员根据合同、协议、验收单、入库单提报付款申请,由相关部门负责人审核,财务部门复核无误后,报授权领导核准后履约付款。</w:t>
      </w:r>
    </w:p>
    <w:p w14:paraId="460CE6FF">
      <w:pPr>
        <w:widowControl/>
        <w:spacing w:line="360" w:lineRule="auto"/>
        <w:ind w:firstLine="420" w:firstLineChars="200"/>
        <w:rPr>
          <w:rFonts w:hint="eastAsia" w:ascii="宋体" w:hAnsi="宋体"/>
          <w:kern w:val="0"/>
        </w:rPr>
      </w:pPr>
      <w:r>
        <w:rPr>
          <w:rFonts w:hint="eastAsia" w:ascii="宋体" w:hAnsi="宋体"/>
          <w:kern w:val="0"/>
        </w:rPr>
        <w:t>（5）销售与收款活动</w:t>
      </w:r>
    </w:p>
    <w:p w14:paraId="7806A451">
      <w:pPr>
        <w:widowControl/>
        <w:spacing w:line="360" w:lineRule="auto"/>
        <w:ind w:firstLine="420" w:firstLineChars="200"/>
        <w:rPr>
          <w:rFonts w:hint="eastAsia" w:ascii="宋体" w:hAnsi="宋体"/>
          <w:kern w:val="0"/>
        </w:rPr>
      </w:pPr>
      <w:r>
        <w:rPr>
          <w:rFonts w:hint="eastAsia" w:ascii="宋体" w:hAnsi="宋体"/>
          <w:kern w:val="0"/>
        </w:rPr>
        <w:t>公司按照销售与收款业务流程的特点,设置《销售管理制度》、《应收账款管理制度》等一系列制度,具体包括:各岗位分工与授权批准、销售和发货控制、销售发票开具控制、销售货款收取控制和销售记录控制等。</w:t>
      </w:r>
    </w:p>
    <w:p w14:paraId="31DAB5E8">
      <w:pPr>
        <w:widowControl/>
        <w:spacing w:line="360" w:lineRule="auto"/>
        <w:ind w:firstLine="420" w:firstLineChars="200"/>
        <w:rPr>
          <w:rFonts w:hint="eastAsia" w:ascii="宋体" w:hAnsi="宋体"/>
          <w:kern w:val="0"/>
        </w:rPr>
      </w:pPr>
      <w:r>
        <w:rPr>
          <w:rFonts w:hint="eastAsia" w:ascii="宋体" w:hAnsi="宋体"/>
          <w:kern w:val="0"/>
        </w:rPr>
        <w:t>公司对客户进行信用控制,在选择客户时,由销售部门的信用管理人员对客户进行信用评价,充分了解和考虑客户的信誉、财务状况等,以降低货款坏账风险。销售业务部门主要负责处理订单、签订合同、执行销售政策和信用政策、催收货款;发货业务部门主要负责审核发货单据是否齐全并办理发货的具体事宜;财务部门主要负责销售款项的结算和记录、监督管理货款回收;对催收无效的逾期应收账款,由销售业务部门会同财务部门申请,经财务总监审核,报授权领导及董事会批准核销或通过法律程序予以解决。</w:t>
      </w:r>
    </w:p>
    <w:p w14:paraId="2E815023">
      <w:pPr>
        <w:widowControl/>
        <w:spacing w:line="360" w:lineRule="auto"/>
        <w:ind w:firstLine="420" w:firstLineChars="200"/>
        <w:rPr>
          <w:rFonts w:hint="eastAsia" w:ascii="宋体" w:hAnsi="宋体"/>
          <w:kern w:val="0"/>
        </w:rPr>
      </w:pPr>
      <w:r>
        <w:rPr>
          <w:rFonts w:hint="eastAsia" w:ascii="宋体" w:hAnsi="宋体"/>
          <w:kern w:val="0"/>
        </w:rPr>
        <w:t>（6）生产与存货</w:t>
      </w:r>
    </w:p>
    <w:p w14:paraId="31EC13CD">
      <w:pPr>
        <w:widowControl/>
        <w:spacing w:line="360" w:lineRule="auto"/>
        <w:ind w:firstLine="420" w:firstLineChars="200"/>
        <w:rPr>
          <w:rFonts w:hint="eastAsia" w:ascii="宋体" w:hAnsi="宋体"/>
          <w:kern w:val="0"/>
        </w:rPr>
      </w:pPr>
      <w:r>
        <w:rPr>
          <w:rFonts w:hint="eastAsia" w:ascii="宋体" w:hAnsi="宋体"/>
          <w:kern w:val="0"/>
        </w:rPr>
        <w:t>公司严格执行GMP质量体系管理标准,建立了一系列生产管理制度,全套文件符合新版GMP的要求。</w:t>
      </w:r>
    </w:p>
    <w:p w14:paraId="48C06515">
      <w:pPr>
        <w:widowControl/>
        <w:spacing w:line="360" w:lineRule="auto"/>
        <w:ind w:firstLine="420" w:firstLineChars="200"/>
        <w:rPr>
          <w:rFonts w:hint="eastAsia" w:ascii="宋体" w:hAnsi="宋体"/>
          <w:kern w:val="0"/>
        </w:rPr>
      </w:pPr>
      <w:r>
        <w:rPr>
          <w:rFonts w:hint="eastAsia" w:ascii="宋体" w:hAnsi="宋体"/>
          <w:kern w:val="0"/>
        </w:rPr>
        <w:t>生产部门按期编制生产作业计划,明确各生产岗位职责和实施全员绩效考核。人员、机器设备、原辅材料、工艺技术、生产环境均处于受控状态,同时,生产经营由药政监管部门进行日常监督。</w:t>
      </w:r>
    </w:p>
    <w:p w14:paraId="17F2A6A8">
      <w:pPr>
        <w:widowControl/>
        <w:spacing w:line="360" w:lineRule="auto"/>
        <w:ind w:firstLine="420" w:firstLineChars="200"/>
        <w:rPr>
          <w:rFonts w:hint="eastAsia" w:ascii="宋体" w:hAnsi="宋体"/>
          <w:kern w:val="0"/>
        </w:rPr>
      </w:pPr>
      <w:r>
        <w:rPr>
          <w:rFonts w:hint="eastAsia" w:ascii="宋体" w:hAnsi="宋体"/>
          <w:kern w:val="0"/>
        </w:rPr>
        <w:t>各地仓库部门负责仓储管理以及物资配送,并严格执行GMP和GSP等相关制度。全套文件符合新版GMP和GSP的要求。</w:t>
      </w:r>
    </w:p>
    <w:p w14:paraId="52F02E35">
      <w:pPr>
        <w:widowControl/>
        <w:spacing w:line="360" w:lineRule="auto"/>
        <w:ind w:firstLine="420" w:firstLineChars="200"/>
        <w:rPr>
          <w:rFonts w:hint="eastAsia" w:ascii="宋体" w:hAnsi="宋体"/>
          <w:kern w:val="0"/>
        </w:rPr>
      </w:pPr>
      <w:r>
        <w:rPr>
          <w:rFonts w:hint="eastAsia" w:ascii="宋体" w:hAnsi="宋体"/>
          <w:kern w:val="0"/>
        </w:rPr>
        <w:t>公司存货相关内部控制制度，对公司财务报告相关的业务流程进行风险评估并形成内控制度、流程手册。依据财务相关的业务流程及风险，编制了财务管理制度、内部控制制度-存货、仓库管理制度、原辅料入库、领用管理规程及药品采购入库、验收、储存、出库复核管理制度和库存ERP管理制度等库存相关管理制度及流程。目前公司存货进销存的管理是通过信息系统金蝶K3WISE进行管理，相关数据实现自动实时结转，无需人工期末录入。确保存货进销存相关单据及业务记录的流转符合企业内部控制要求，以保证存货进销存系统与财务总账系统环环相扣，从而确保存货进销存与财务总账系统一致。</w:t>
      </w:r>
    </w:p>
    <w:p w14:paraId="6329836A">
      <w:pPr>
        <w:widowControl/>
        <w:spacing w:line="360" w:lineRule="auto"/>
        <w:ind w:firstLine="420" w:firstLineChars="200"/>
        <w:rPr>
          <w:rFonts w:hint="eastAsia" w:ascii="宋体" w:hAnsi="宋体"/>
          <w:kern w:val="0"/>
        </w:rPr>
      </w:pPr>
      <w:r>
        <w:rPr>
          <w:rFonts w:hint="eastAsia" w:ascii="宋体" w:hAnsi="宋体"/>
          <w:kern w:val="0"/>
        </w:rPr>
        <w:t>（7）货币资金管理</w:t>
      </w:r>
    </w:p>
    <w:p w14:paraId="4AA36362">
      <w:pPr>
        <w:widowControl/>
        <w:spacing w:line="360" w:lineRule="auto"/>
        <w:ind w:firstLine="420" w:firstLineChars="200"/>
        <w:rPr>
          <w:rFonts w:hint="eastAsia" w:ascii="宋体" w:hAnsi="宋体"/>
          <w:kern w:val="0"/>
        </w:rPr>
      </w:pPr>
      <w:r>
        <w:rPr>
          <w:rFonts w:hint="eastAsia" w:ascii="宋体" w:hAnsi="宋体"/>
          <w:kern w:val="0"/>
        </w:rPr>
        <w:t>针对资金管理工作,公司建立了完善的管理制度。一方面在公司内部加强对货币资金管理及流程的宣导，专门对出纳进行了岗位职责和内控流程的相关培训，从而保证出纳能做到每日及时记录现金日记账和银行存款日记账；另一方面公司进一步完善货币资金管理的内控制度的建设，并加强对内控制度及流程执行情况检查和评价。公司严格按照相关管理制度做好资金管理工作,确保公司资金使用符合合理性、效率性、安全性的原则,为公司发展提供充足的资金支持。</w:t>
      </w:r>
    </w:p>
    <w:p w14:paraId="79287353">
      <w:pPr>
        <w:widowControl/>
        <w:spacing w:line="360" w:lineRule="auto"/>
        <w:ind w:firstLine="420" w:firstLineChars="200"/>
        <w:rPr>
          <w:rFonts w:hint="eastAsia" w:ascii="宋体" w:hAnsi="宋体"/>
          <w:kern w:val="0"/>
        </w:rPr>
      </w:pPr>
      <w:r>
        <w:rPr>
          <w:rFonts w:hint="eastAsia" w:ascii="宋体" w:hAnsi="宋体"/>
          <w:kern w:val="0"/>
        </w:rPr>
        <w:t>（8）固定资产控制</w:t>
      </w:r>
    </w:p>
    <w:p w14:paraId="1FDD375B">
      <w:pPr>
        <w:widowControl/>
        <w:spacing w:line="360" w:lineRule="auto"/>
        <w:ind w:firstLine="420" w:firstLineChars="200"/>
        <w:rPr>
          <w:rFonts w:hint="eastAsia" w:ascii="宋体" w:hAnsi="宋体"/>
          <w:kern w:val="0"/>
        </w:rPr>
      </w:pPr>
      <w:r>
        <w:rPr>
          <w:rFonts w:hint="eastAsia" w:ascii="宋体" w:hAnsi="宋体"/>
          <w:kern w:val="0"/>
        </w:rPr>
        <w:t>本公司对固定资产的取得、移动及处置都制定了一系列的内控措施。公司规定固定资产的取得必须遵循《固定资产管理制度》的要求,使用单位申请新建、购置都须经主管核准。自行建造的固定资产,按《工程项目管理制度》执行。固定资产的采购需经过逐级审批程序。固定资产的移动须报经核准,填妥调拨单并经当事人签名确认,固定资产的报废或毁损应经有关主管核准,对于未到使用年限即报废的固定资产,要核查并分析原因。年终由财务部门牵头负责对公司所有固定资产进行一次全面清查盘点。以此来规范固定资产的管理,确保固定资产价值的准确和资产的安全与完整。</w:t>
      </w:r>
    </w:p>
    <w:p w14:paraId="04A16FCF">
      <w:pPr>
        <w:widowControl/>
        <w:spacing w:line="360" w:lineRule="auto"/>
        <w:ind w:firstLine="420" w:firstLineChars="200"/>
        <w:rPr>
          <w:rFonts w:hint="eastAsia" w:ascii="宋体" w:hAnsi="宋体"/>
          <w:kern w:val="0"/>
        </w:rPr>
      </w:pPr>
      <w:r>
        <w:rPr>
          <w:rFonts w:hint="eastAsia" w:ascii="宋体" w:hAnsi="宋体"/>
          <w:kern w:val="0"/>
        </w:rPr>
        <w:t>（9）子公司的管理</w:t>
      </w:r>
    </w:p>
    <w:p w14:paraId="404B1232">
      <w:pPr>
        <w:widowControl/>
        <w:spacing w:line="360" w:lineRule="auto"/>
        <w:ind w:firstLine="420" w:firstLineChars="200"/>
        <w:rPr>
          <w:rFonts w:hint="eastAsia" w:ascii="宋体" w:hAnsi="宋体"/>
          <w:kern w:val="0"/>
        </w:rPr>
      </w:pPr>
      <w:r>
        <w:rPr>
          <w:rFonts w:hint="eastAsia" w:ascii="宋体" w:hAnsi="宋体"/>
          <w:kern w:val="0"/>
        </w:rPr>
        <w:t>公司制订了《子公司管理制度》，对子公司管理的基本原则、运作规范、人事管理、财务管理、投资管理、信息管理、审计监督、考核奖惩等方面做出了明确规定，并制订了较为规范和完善的工作制度与流程，加强对子公司的管理。</w:t>
      </w:r>
    </w:p>
    <w:p w14:paraId="1B05D245">
      <w:pPr>
        <w:widowControl/>
        <w:spacing w:line="360" w:lineRule="auto"/>
        <w:ind w:firstLine="420" w:firstLineChars="200"/>
        <w:rPr>
          <w:rFonts w:hint="eastAsia" w:ascii="宋体" w:hAnsi="宋体"/>
          <w:kern w:val="0"/>
        </w:rPr>
      </w:pPr>
      <w:r>
        <w:rPr>
          <w:rFonts w:hint="eastAsia" w:ascii="宋体" w:hAnsi="宋体"/>
          <w:kern w:val="0"/>
        </w:rPr>
        <w:t>公司通过委派或推荐子公司的董事、监事及重要高级管理人员实施对子公司的管理，同时要求子公司按照有关规定规范运作，明确规定了重大事项报告和审议程序；对子公司实行统一的财务管理制度，实行由公司对子公司的财务负责人员统一聘用（或委派）、统一管理的财务人员管理体制。</w:t>
      </w:r>
    </w:p>
    <w:p w14:paraId="49606D31">
      <w:pPr>
        <w:widowControl/>
        <w:spacing w:line="360" w:lineRule="auto"/>
        <w:ind w:firstLine="420" w:firstLineChars="200"/>
        <w:rPr>
          <w:rFonts w:hint="eastAsia" w:ascii="宋体" w:hAnsi="宋体"/>
          <w:kern w:val="0"/>
        </w:rPr>
      </w:pPr>
      <w:r>
        <w:rPr>
          <w:rFonts w:hint="eastAsia" w:ascii="宋体" w:hAnsi="宋体"/>
          <w:kern w:val="0"/>
        </w:rPr>
        <w:t>公司建立了统一的ERP系统和OA平台，从行政、生产、采购、销售、存货、财务统一管理，使公司对子公司的管理得到有效控制。</w:t>
      </w:r>
    </w:p>
    <w:p w14:paraId="1349DF9F">
      <w:pPr>
        <w:widowControl/>
        <w:spacing w:line="360" w:lineRule="auto"/>
        <w:ind w:firstLine="420" w:firstLineChars="200"/>
        <w:rPr>
          <w:rFonts w:hint="eastAsia" w:ascii="宋体" w:hAnsi="宋体"/>
          <w:kern w:val="0"/>
        </w:rPr>
      </w:pPr>
      <w:r>
        <w:rPr>
          <w:rFonts w:hint="eastAsia" w:ascii="宋体" w:hAnsi="宋体"/>
          <w:kern w:val="0"/>
        </w:rPr>
        <w:t>（10）关联交易</w:t>
      </w:r>
    </w:p>
    <w:p w14:paraId="1414A30B">
      <w:pPr>
        <w:widowControl/>
        <w:spacing w:line="360" w:lineRule="auto"/>
        <w:ind w:firstLine="420" w:firstLineChars="200"/>
        <w:rPr>
          <w:rFonts w:hint="eastAsia" w:ascii="宋体" w:hAnsi="宋体"/>
          <w:kern w:val="0"/>
        </w:rPr>
      </w:pPr>
      <w:r>
        <w:rPr>
          <w:rFonts w:hint="eastAsia" w:ascii="宋体" w:hAnsi="宋体"/>
          <w:kern w:val="0"/>
        </w:rPr>
        <w:t>《公司章程》、《关联交易规则》、《股东大会议事规则》、《董事会议事规则》、《监事会议事规则》、《独立董事制度》分别从不同角度对关联交易决策和信息披露做出了比较完整的制度安排。通过上述制度的规定，公司对实际发生的关联交易遵循诚实、信用、平等、自愿、公平、公开、公允原则，确保关联交易不损害公司和无关联关系股东的利益。</w:t>
      </w:r>
    </w:p>
    <w:p w14:paraId="76BF8D06">
      <w:pPr>
        <w:widowControl/>
        <w:spacing w:line="360" w:lineRule="auto"/>
        <w:ind w:firstLine="420" w:firstLineChars="200"/>
        <w:rPr>
          <w:rFonts w:hint="eastAsia" w:ascii="宋体" w:hAnsi="宋体"/>
          <w:kern w:val="0"/>
        </w:rPr>
      </w:pPr>
      <w:r>
        <w:rPr>
          <w:rFonts w:hint="eastAsia" w:ascii="宋体" w:hAnsi="宋体"/>
          <w:kern w:val="0"/>
        </w:rPr>
        <w:t>（11）对外担保</w:t>
      </w:r>
    </w:p>
    <w:p w14:paraId="2D920994">
      <w:pPr>
        <w:widowControl/>
        <w:spacing w:line="360" w:lineRule="auto"/>
        <w:ind w:firstLine="420" w:firstLineChars="200"/>
        <w:rPr>
          <w:rFonts w:hint="eastAsia" w:ascii="宋体" w:hAnsi="宋体"/>
          <w:kern w:val="0"/>
        </w:rPr>
      </w:pPr>
      <w:r>
        <w:rPr>
          <w:rFonts w:hint="eastAsia" w:ascii="宋体" w:hAnsi="宋体"/>
          <w:kern w:val="0"/>
        </w:rPr>
        <w:t>公司建立《对外担保管理制度》，对外担保遵循合法、审慎、互利、安全的原则，严格控制担保风险。公司将来发生对外担保时原则上将要求被担保人提供反担保，谨慎判断反担保提供方的实际担保能力和反担保的可执行性，董事会认真审核被担保人的经营和信誉情况，审慎依《对外担保管理制度》做出决定。</w:t>
      </w:r>
    </w:p>
    <w:p w14:paraId="568649E8">
      <w:pPr>
        <w:widowControl/>
        <w:spacing w:line="360" w:lineRule="auto"/>
        <w:ind w:firstLine="420" w:firstLineChars="200"/>
        <w:rPr>
          <w:rFonts w:hint="eastAsia" w:ascii="宋体" w:hAnsi="宋体"/>
          <w:kern w:val="0"/>
        </w:rPr>
      </w:pPr>
      <w:r>
        <w:rPr>
          <w:rFonts w:hint="eastAsia" w:ascii="宋体" w:hAnsi="宋体"/>
          <w:kern w:val="0"/>
        </w:rPr>
        <w:t>（12）募集资金使用</w:t>
      </w:r>
    </w:p>
    <w:p w14:paraId="78CE2CA2">
      <w:pPr>
        <w:widowControl/>
        <w:spacing w:line="360" w:lineRule="auto"/>
        <w:ind w:firstLine="420" w:firstLineChars="200"/>
        <w:rPr>
          <w:rFonts w:hint="eastAsia" w:ascii="宋体" w:hAnsi="宋体"/>
          <w:kern w:val="0"/>
        </w:rPr>
      </w:pPr>
      <w:r>
        <w:rPr>
          <w:rFonts w:hint="eastAsia" w:ascii="宋体" w:hAnsi="宋体"/>
          <w:kern w:val="0"/>
        </w:rPr>
        <w:t>公司按信息披露的募集资金投向和董事会、股东大会决议及审批程序使用募集资金，并按要求披露募集资金的使用情况和使用效果。</w:t>
      </w:r>
    </w:p>
    <w:p w14:paraId="18933D83">
      <w:pPr>
        <w:widowControl/>
        <w:spacing w:line="360" w:lineRule="auto"/>
        <w:ind w:firstLine="420" w:firstLineChars="200"/>
        <w:rPr>
          <w:rFonts w:hint="eastAsia" w:ascii="宋体" w:hAnsi="宋体"/>
          <w:kern w:val="0"/>
        </w:rPr>
      </w:pPr>
      <w:r>
        <w:rPr>
          <w:rFonts w:hint="eastAsia" w:ascii="宋体" w:hAnsi="宋体"/>
          <w:kern w:val="0"/>
        </w:rPr>
        <w:t>公司募集资金的存放坚持集中存放、便于监督管理的原则。在募集资金到位后1个月内与保荐机构、存放募集资金的商业银行签订三方监管协议，报告交易所备案并公告。</w:t>
      </w:r>
    </w:p>
    <w:p w14:paraId="63AB8B67">
      <w:pPr>
        <w:widowControl/>
        <w:spacing w:line="360" w:lineRule="auto"/>
        <w:ind w:firstLine="420" w:firstLineChars="200"/>
        <w:rPr>
          <w:rFonts w:hint="eastAsia" w:ascii="宋体" w:hAnsi="宋体"/>
          <w:kern w:val="0"/>
        </w:rPr>
      </w:pPr>
      <w:r>
        <w:rPr>
          <w:rFonts w:hint="eastAsia" w:ascii="宋体" w:hAnsi="宋体"/>
          <w:kern w:val="0"/>
        </w:rPr>
        <w:t>募集资金按照招股说明书或募集说明书所列用途使用，未经股东大会批准不得改变。闲置募集资金在暂时补充流动资金时，仅限于与主营业务相关的生产经营使用，不得通过直接或间接的安排用于新股配售、申购，或用于股票及其衍生品种、可转换公司债券等交易。</w:t>
      </w:r>
    </w:p>
    <w:p w14:paraId="470FCCD4">
      <w:pPr>
        <w:widowControl/>
        <w:spacing w:line="360" w:lineRule="auto"/>
        <w:ind w:firstLine="420" w:firstLineChars="200"/>
        <w:rPr>
          <w:rFonts w:hint="eastAsia" w:ascii="宋体" w:hAnsi="宋体"/>
          <w:kern w:val="0"/>
        </w:rPr>
      </w:pPr>
      <w:r>
        <w:rPr>
          <w:rFonts w:hint="eastAsia" w:ascii="宋体" w:hAnsi="宋体"/>
          <w:kern w:val="0"/>
        </w:rPr>
        <w:t>公司按照发行申请文件中承诺的募集资金投资计划使用募集资金。如出现严重影响募集资金投资计划正常进行的情形，公司将及时向交易所报告并公告。</w:t>
      </w:r>
    </w:p>
    <w:p w14:paraId="4431B5C2">
      <w:pPr>
        <w:widowControl/>
        <w:spacing w:line="360" w:lineRule="auto"/>
        <w:ind w:firstLine="420" w:firstLineChars="200"/>
        <w:rPr>
          <w:rFonts w:hint="eastAsia" w:ascii="宋体" w:hAnsi="宋体"/>
          <w:kern w:val="0"/>
        </w:rPr>
      </w:pPr>
      <w:r>
        <w:rPr>
          <w:rFonts w:hint="eastAsia" w:ascii="宋体" w:hAnsi="宋体"/>
          <w:kern w:val="0"/>
        </w:rPr>
        <w:t>公司经董事会审议、股东大会决议通过后方可变更募集资金投向，变更后的募集资金投向原则上应投资于主营业务，并在2个交易日内向交易所报告并公告改变原因及保荐人的意见。</w:t>
      </w:r>
    </w:p>
    <w:p w14:paraId="4216BE06">
      <w:pPr>
        <w:widowControl/>
        <w:spacing w:line="360" w:lineRule="auto"/>
        <w:ind w:firstLine="420" w:firstLineChars="200"/>
        <w:rPr>
          <w:rFonts w:hint="eastAsia" w:ascii="宋体" w:hAnsi="宋体"/>
          <w:kern w:val="0"/>
        </w:rPr>
      </w:pPr>
      <w:r>
        <w:rPr>
          <w:rFonts w:hint="eastAsia" w:ascii="宋体" w:hAnsi="宋体"/>
          <w:kern w:val="0"/>
        </w:rPr>
        <w:t>公司在每个会计年度结束后全面核查募集资金投资项目的进展情况。公司董事会每半年度全面核查募投项目的进展情况，并对募集资金的存放与使用情况出具《公司募集资金存放与实际使用情况的专项报告》。</w:t>
      </w:r>
    </w:p>
    <w:p w14:paraId="7D84D141">
      <w:pPr>
        <w:widowControl/>
        <w:spacing w:line="360" w:lineRule="auto"/>
        <w:ind w:firstLine="420" w:firstLineChars="200"/>
        <w:rPr>
          <w:rFonts w:hint="eastAsia" w:ascii="宋体" w:hAnsi="宋体"/>
          <w:kern w:val="0"/>
        </w:rPr>
      </w:pPr>
      <w:r>
        <w:rPr>
          <w:rFonts w:hint="eastAsia" w:ascii="宋体" w:hAnsi="宋体"/>
          <w:kern w:val="0"/>
        </w:rPr>
        <w:t>（13）重大投资</w:t>
      </w:r>
    </w:p>
    <w:p w14:paraId="6B5CAC16">
      <w:pPr>
        <w:widowControl/>
        <w:spacing w:line="360" w:lineRule="auto"/>
        <w:ind w:firstLine="420" w:firstLineChars="200"/>
        <w:rPr>
          <w:rFonts w:hint="eastAsia" w:ascii="宋体" w:hAnsi="宋体"/>
          <w:kern w:val="0"/>
        </w:rPr>
      </w:pPr>
      <w:r>
        <w:rPr>
          <w:rFonts w:hint="eastAsia" w:ascii="宋体" w:hAnsi="宋体"/>
          <w:kern w:val="0"/>
        </w:rPr>
        <w:t>公司建立《对外投资管理制度》，对投资事务进行有效控制，使公司投资管理遵循合法、审慎、安全、有效的原则，注重控制投资风险，同时有效地利用闲置资金或其他资产，进行适度的资本扩张，以获取较好的收益，确保资产保值增值。</w:t>
      </w:r>
    </w:p>
    <w:p w14:paraId="5D42C366">
      <w:pPr>
        <w:widowControl/>
        <w:spacing w:line="360" w:lineRule="auto"/>
        <w:ind w:firstLine="420" w:firstLineChars="200"/>
        <w:rPr>
          <w:rFonts w:hint="eastAsia" w:ascii="宋体" w:hAnsi="宋体"/>
          <w:kern w:val="0"/>
        </w:rPr>
      </w:pPr>
      <w:r>
        <w:rPr>
          <w:rFonts w:hint="eastAsia" w:ascii="宋体" w:hAnsi="宋体"/>
          <w:kern w:val="0"/>
        </w:rPr>
        <w:t>（14）信息披露</w:t>
      </w:r>
    </w:p>
    <w:p w14:paraId="654F0030">
      <w:pPr>
        <w:widowControl/>
        <w:spacing w:line="360" w:lineRule="auto"/>
        <w:ind w:firstLine="420" w:firstLineChars="200"/>
        <w:rPr>
          <w:rFonts w:hint="eastAsia" w:ascii="宋体" w:hAnsi="宋体"/>
          <w:kern w:val="0"/>
        </w:rPr>
      </w:pPr>
      <w:r>
        <w:rPr>
          <w:rFonts w:hint="eastAsia" w:ascii="宋体" w:hAnsi="宋体"/>
          <w:kern w:val="0"/>
        </w:rPr>
        <w:t>为规范公司信息披露工作,保证公开披露信息的真实、准确、完整、及时,公司制定了多项与信息披露有关的内部控制制度,明确规定了信息披露的原则、内容、标准、程序、信息披露的权限与责任划分、档案管理、信息的保密措施以及责任追究与处理措施等。</w:t>
      </w:r>
    </w:p>
    <w:p w14:paraId="3C863CBC">
      <w:pPr>
        <w:widowControl/>
        <w:spacing w:line="360" w:lineRule="auto"/>
        <w:ind w:firstLine="420" w:firstLineChars="200"/>
        <w:rPr>
          <w:rFonts w:hint="eastAsia" w:ascii="宋体" w:hAnsi="宋体"/>
          <w:kern w:val="0"/>
        </w:rPr>
      </w:pPr>
      <w:r>
        <w:rPr>
          <w:rFonts w:hint="eastAsia" w:ascii="宋体" w:hAnsi="宋体"/>
          <w:kern w:val="0"/>
        </w:rPr>
        <w:t>公司信息披露事务由董事会统一领导和管理。公司董事长为公司信息披露的第一责任人,董事会秘书为直接责任人。公司证券投资部为公司信息披露事务的管理部门,具体负责信息披露及投资者关系管理工作,并设置了联系电话、网站、电子邮箱等投资者沟通渠道,加强与投资者之间的互动与交流。公司已建立较为有效的信息沟通和反馈渠道,该信息系统内部控制具有一定的完整性、合理性及有效性。</w:t>
      </w:r>
    </w:p>
    <w:p w14:paraId="51CE81BA">
      <w:pPr>
        <w:widowControl/>
        <w:spacing w:line="360" w:lineRule="auto"/>
        <w:ind w:firstLine="422" w:firstLineChars="200"/>
        <w:outlineLvl w:val="2"/>
        <w:rPr>
          <w:rFonts w:hint="eastAsia" w:ascii="宋体" w:hAnsi="宋体"/>
          <w:b/>
          <w:bCs/>
          <w:kern w:val="0"/>
        </w:rPr>
      </w:pPr>
      <w:r>
        <w:rPr>
          <w:rFonts w:hint="eastAsia" w:ascii="宋体" w:hAnsi="宋体"/>
          <w:b/>
          <w:bCs/>
          <w:kern w:val="0"/>
        </w:rPr>
        <w:t>（二）内部控制评价工作依据及内部控制缺陷认定标准</w:t>
      </w:r>
    </w:p>
    <w:p w14:paraId="4CBC561B">
      <w:pPr>
        <w:widowControl/>
        <w:spacing w:line="360" w:lineRule="auto"/>
        <w:ind w:firstLine="420" w:firstLineChars="200"/>
        <w:rPr>
          <w:rFonts w:hint="eastAsia" w:ascii="宋体" w:hAnsi="宋体"/>
          <w:kern w:val="0"/>
        </w:rPr>
      </w:pPr>
      <w:r>
        <w:rPr>
          <w:rFonts w:hint="eastAsia" w:ascii="宋体" w:hAnsi="宋体"/>
          <w:kern w:val="0"/>
        </w:rPr>
        <w:t>公司依据企业内部控制规范体系及深交所《上市公司内部控制指引》和公司内部控制制度组织开展内部控制评价工作。</w:t>
      </w:r>
    </w:p>
    <w:p w14:paraId="578E6331">
      <w:pPr>
        <w:widowControl/>
        <w:spacing w:line="360" w:lineRule="auto"/>
        <w:ind w:firstLine="420" w:firstLineChars="200"/>
        <w:rPr>
          <w:rFonts w:hint="eastAsia" w:ascii="宋体" w:hAnsi="宋体"/>
          <w:kern w:val="0"/>
        </w:rPr>
      </w:pPr>
      <w:r>
        <w:rPr>
          <w:rFonts w:hint="eastAsia" w:ascii="宋体" w:hAnsi="宋体"/>
          <w:kern w:val="0"/>
        </w:rPr>
        <w:t>公司董事会根据企业内部控制规范体系建设的要求，结合公司规模、行业特征、风险偏好和风险承受度等因素，对重大缺陷、重要缺陷和一般缺陷制定了认定标准。</w:t>
      </w:r>
    </w:p>
    <w:tbl>
      <w:tblPr>
        <w:tblStyle w:val="7"/>
        <w:tblW w:w="0" w:type="auto"/>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560"/>
        <w:gridCol w:w="3685"/>
        <w:gridCol w:w="3067"/>
      </w:tblGrid>
      <w:tr w14:paraId="2D126C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0" w:type="auto"/>
            <w:gridSpan w:val="3"/>
            <w:shd w:val="clear" w:color="auto" w:fill="auto"/>
            <w:vAlign w:val="center"/>
          </w:tcPr>
          <w:p w14:paraId="0C803232">
            <w:pPr>
              <w:widowControl/>
              <w:adjustRightInd w:val="0"/>
              <w:snapToGrid w:val="0"/>
              <w:spacing w:line="240" w:lineRule="exact"/>
              <w:jc w:val="center"/>
              <w:rPr>
                <w:rFonts w:hint="eastAsia" w:ascii="宋体" w:hAnsi="宋体"/>
                <w:b/>
                <w:bCs/>
                <w:snapToGrid w:val="0"/>
                <w:kern w:val="0"/>
                <w:sz w:val="18"/>
              </w:rPr>
            </w:pPr>
            <w:r>
              <w:rPr>
                <w:rFonts w:hint="eastAsia" w:ascii="宋体" w:hAnsi="宋体"/>
                <w:b/>
                <w:bCs/>
                <w:snapToGrid w:val="0"/>
                <w:kern w:val="0"/>
                <w:sz w:val="18"/>
              </w:rPr>
              <w:t>缺陷认定标准</w:t>
            </w:r>
          </w:p>
        </w:tc>
      </w:tr>
      <w:tr w14:paraId="6390C3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blHeader/>
        </w:trPr>
        <w:tc>
          <w:tcPr>
            <w:tcW w:w="1560" w:type="dxa"/>
            <w:shd w:val="clear" w:color="auto" w:fill="auto"/>
            <w:vAlign w:val="center"/>
          </w:tcPr>
          <w:p w14:paraId="36E4B6A3">
            <w:pPr>
              <w:widowControl/>
              <w:adjustRightInd w:val="0"/>
              <w:snapToGrid w:val="0"/>
              <w:spacing w:line="240" w:lineRule="exact"/>
              <w:jc w:val="center"/>
              <w:rPr>
                <w:rFonts w:ascii="Arial Narrow" w:hAnsi="Arial Narrow"/>
                <w:b/>
                <w:bCs/>
                <w:snapToGrid w:val="0"/>
                <w:kern w:val="0"/>
                <w:sz w:val="18"/>
              </w:rPr>
            </w:pPr>
            <w:r>
              <w:rPr>
                <w:rFonts w:hint="eastAsia" w:ascii="Arial Narrow" w:hAnsi="Arial Narrow"/>
                <w:b/>
                <w:bCs/>
                <w:snapToGrid w:val="0"/>
                <w:kern w:val="0"/>
                <w:sz w:val="18"/>
              </w:rPr>
              <w:t>类别</w:t>
            </w:r>
          </w:p>
        </w:tc>
        <w:tc>
          <w:tcPr>
            <w:tcW w:w="3685" w:type="dxa"/>
            <w:shd w:val="clear" w:color="auto" w:fill="auto"/>
            <w:vAlign w:val="center"/>
          </w:tcPr>
          <w:p w14:paraId="7F3F4D99">
            <w:pPr>
              <w:widowControl/>
              <w:adjustRightInd w:val="0"/>
              <w:snapToGrid w:val="0"/>
              <w:spacing w:line="240" w:lineRule="exact"/>
              <w:jc w:val="center"/>
              <w:rPr>
                <w:rFonts w:ascii="Arial Narrow" w:hAnsi="Arial Narrow"/>
                <w:b/>
                <w:bCs/>
                <w:snapToGrid w:val="0"/>
                <w:kern w:val="0"/>
                <w:sz w:val="18"/>
              </w:rPr>
            </w:pPr>
            <w:r>
              <w:rPr>
                <w:rFonts w:hint="eastAsia" w:ascii="Arial Narrow" w:hAnsi="Arial Narrow"/>
                <w:b/>
                <w:bCs/>
                <w:snapToGrid w:val="0"/>
                <w:kern w:val="0"/>
                <w:sz w:val="18"/>
              </w:rPr>
              <w:t>财务报告</w:t>
            </w:r>
          </w:p>
        </w:tc>
        <w:tc>
          <w:tcPr>
            <w:tcW w:w="3067" w:type="dxa"/>
            <w:shd w:val="clear" w:color="auto" w:fill="auto"/>
            <w:vAlign w:val="center"/>
          </w:tcPr>
          <w:p w14:paraId="3A90E43D">
            <w:pPr>
              <w:widowControl/>
              <w:adjustRightInd w:val="0"/>
              <w:snapToGrid w:val="0"/>
              <w:spacing w:line="240" w:lineRule="exact"/>
              <w:jc w:val="center"/>
              <w:rPr>
                <w:rFonts w:ascii="Arial Narrow" w:hAnsi="Arial Narrow"/>
                <w:b/>
                <w:bCs/>
                <w:snapToGrid w:val="0"/>
                <w:kern w:val="0"/>
                <w:sz w:val="18"/>
              </w:rPr>
            </w:pPr>
            <w:r>
              <w:rPr>
                <w:rFonts w:hint="eastAsia" w:ascii="Arial Narrow" w:hAnsi="Arial Narrow"/>
                <w:b/>
                <w:bCs/>
                <w:snapToGrid w:val="0"/>
                <w:kern w:val="0"/>
                <w:sz w:val="18"/>
              </w:rPr>
              <w:t>非财务报告</w:t>
            </w:r>
          </w:p>
        </w:tc>
      </w:tr>
      <w:tr w14:paraId="4DA72D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60" w:type="dxa"/>
            <w:shd w:val="clear" w:color="auto" w:fill="auto"/>
            <w:vAlign w:val="center"/>
          </w:tcPr>
          <w:p w14:paraId="439BF547">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定性标准</w:t>
            </w:r>
          </w:p>
        </w:tc>
        <w:tc>
          <w:tcPr>
            <w:tcW w:w="3685" w:type="dxa"/>
            <w:shd w:val="clear" w:color="auto" w:fill="auto"/>
            <w:vAlign w:val="center"/>
          </w:tcPr>
          <w:p w14:paraId="024C160C">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1）重大缺陷：董事、监事、和高级管理人员舞弊；内部控制环境失效；对已签发公告的财务报告进行错报更正；注册会计师发现的但未被内部控制识别的当期财务报告中的重大错报；审计委员会以及内部审计部门对财务报告内部控制监督无效；会计差错金额直接影响盈亏性质；监管部门责令公司对以前年度财务报告存在的差错进行改正。</w:t>
            </w:r>
          </w:p>
          <w:p w14:paraId="3BF6893A">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2）重要缺陷：未依照公认会计准则选择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达到真实、准确、完整的目标。</w:t>
            </w:r>
          </w:p>
          <w:p w14:paraId="511D8886">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（3）一般缺陷：除重大缺陷、重要缺陷外的其他不会对公司产生重大、重要影响的局部性普通缺陷。</w:t>
            </w:r>
          </w:p>
        </w:tc>
        <w:tc>
          <w:tcPr>
            <w:tcW w:w="3067" w:type="dxa"/>
            <w:shd w:val="clear" w:color="auto" w:fill="auto"/>
            <w:vAlign w:val="center"/>
          </w:tcPr>
          <w:p w14:paraId="313144E1">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1）重大缺陷：决策程序导致重大失误；重要业务缺乏制度控制或系统性失效，且缺乏有效的补偿机制；中高级管理人员和高级技术人员流失严重；内部控制重大缺陷未及时有效整改；其他可能对公司产生重大负面影响的缺陷。</w:t>
            </w:r>
          </w:p>
          <w:p w14:paraId="4A2C3CA9">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（2）重要缺陷：决策程序导致一般失误；重要业务控制制度存在缺陷；关键岗位业务人员流失严重；内部控制重要缺陷未及时有效整改；其他可能对公司产生较大负面影响的缺陷。</w:t>
            </w:r>
          </w:p>
          <w:p w14:paraId="750B4D73">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（3）一般缺陷：决策程序效率不高；一般业务制度控制存在缺陷；一般岗位人员流失严重；内部控制一般缺陷未及时有效整改。</w:t>
            </w:r>
          </w:p>
        </w:tc>
      </w:tr>
      <w:tr w14:paraId="6AC16A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60" w:type="dxa"/>
            <w:shd w:val="clear" w:color="auto" w:fill="auto"/>
            <w:vAlign w:val="center"/>
          </w:tcPr>
          <w:p w14:paraId="218E9F9B">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定量标准</w:t>
            </w:r>
          </w:p>
        </w:tc>
        <w:tc>
          <w:tcPr>
            <w:tcW w:w="3685" w:type="dxa"/>
            <w:shd w:val="clear" w:color="auto" w:fill="auto"/>
            <w:vAlign w:val="center"/>
          </w:tcPr>
          <w:p w14:paraId="6DE293F8">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公司以来自经常性业务的税前利润为判断财务报告错报（含漏报）重要性定量标准，具体如下：</w:t>
            </w:r>
          </w:p>
          <w:p w14:paraId="09C60AD3">
            <w:pPr>
              <w:widowControl/>
              <w:adjustRightInd w:val="0"/>
              <w:snapToGrid w:val="0"/>
              <w:spacing w:line="240" w:lineRule="exact"/>
              <w:jc w:val="left"/>
              <w:rPr>
                <w:rFonts w:ascii="Arial Narrow" w:hAnsi="Arial Narrow"/>
                <w:snapToGrid w:val="0"/>
                <w:kern w:val="0"/>
                <w:sz w:val="18"/>
              </w:rPr>
            </w:pPr>
            <w:r>
              <w:rPr>
                <w:rFonts w:ascii="Arial Narrow" w:hAnsi="Arial Narrow"/>
                <w:snapToGrid w:val="0"/>
                <w:kern w:val="0"/>
                <w:sz w:val="18"/>
              </w:rPr>
              <w:t>重大缺陷：错报≥税前利润5%。</w:t>
            </w:r>
          </w:p>
          <w:p w14:paraId="535BA5C7">
            <w:pPr>
              <w:widowControl/>
              <w:adjustRightInd w:val="0"/>
              <w:snapToGrid w:val="0"/>
              <w:spacing w:line="240" w:lineRule="exact"/>
              <w:jc w:val="left"/>
              <w:rPr>
                <w:rFonts w:ascii="Arial Narrow" w:hAnsi="Arial Narrow"/>
                <w:snapToGrid w:val="0"/>
                <w:kern w:val="0"/>
                <w:sz w:val="18"/>
              </w:rPr>
            </w:pPr>
            <w:r>
              <w:rPr>
                <w:rFonts w:ascii="Arial Narrow" w:hAnsi="Arial Narrow"/>
                <w:snapToGrid w:val="0"/>
                <w:kern w:val="0"/>
                <w:sz w:val="18"/>
              </w:rPr>
              <w:t>重要缺陷：税前利润2%≤错报＜税前利润5%。</w:t>
            </w:r>
          </w:p>
          <w:p w14:paraId="778DCB88">
            <w:pPr>
              <w:widowControl/>
              <w:adjustRightInd w:val="0"/>
              <w:snapToGrid w:val="0"/>
              <w:spacing w:line="240" w:lineRule="exact"/>
              <w:jc w:val="left"/>
              <w:rPr>
                <w:rFonts w:ascii="Arial Narrow" w:hAnsi="Arial Narrow"/>
                <w:snapToGrid w:val="0"/>
                <w:kern w:val="0"/>
                <w:sz w:val="18"/>
              </w:rPr>
            </w:pPr>
            <w:r>
              <w:rPr>
                <w:rFonts w:ascii="Arial Narrow" w:hAnsi="Arial Narrow"/>
                <w:snapToGrid w:val="0"/>
                <w:kern w:val="0"/>
                <w:sz w:val="18"/>
              </w:rPr>
              <w:t>一般缺陷：错报＜税前利润2%。</w:t>
            </w:r>
          </w:p>
        </w:tc>
        <w:tc>
          <w:tcPr>
            <w:tcW w:w="3067" w:type="dxa"/>
            <w:shd w:val="clear" w:color="auto" w:fill="auto"/>
            <w:vAlign w:val="center"/>
          </w:tcPr>
          <w:p w14:paraId="763DC46E">
            <w:pPr>
              <w:widowControl/>
              <w:adjustRightInd w:val="0"/>
              <w:snapToGrid w:val="0"/>
              <w:spacing w:line="240" w:lineRule="exact"/>
              <w:jc w:val="left"/>
              <w:rPr>
                <w:rFonts w:ascii="Arial Narrow" w:hAnsi="Arial Narrow"/>
                <w:snapToGrid w:val="0"/>
                <w:kern w:val="0"/>
                <w:sz w:val="18"/>
              </w:rPr>
            </w:pPr>
            <w:r>
              <w:rPr>
                <w:rFonts w:hint="eastAsia" w:ascii="Arial Narrow" w:hAnsi="Arial Narrow"/>
                <w:snapToGrid w:val="0"/>
                <w:kern w:val="0"/>
                <w:sz w:val="18"/>
              </w:rPr>
              <w:t>公司根据缺陷可能造成直接财产损失的绝对金额确定重要性标准，具体如下：</w:t>
            </w:r>
          </w:p>
          <w:p w14:paraId="6AAC2D1F">
            <w:pPr>
              <w:widowControl/>
              <w:adjustRightInd w:val="0"/>
              <w:snapToGrid w:val="0"/>
              <w:spacing w:line="240" w:lineRule="exact"/>
              <w:jc w:val="left"/>
              <w:rPr>
                <w:rFonts w:ascii="Arial Narrow" w:hAnsi="Arial Narrow"/>
                <w:snapToGrid w:val="0"/>
                <w:kern w:val="0"/>
                <w:sz w:val="18"/>
              </w:rPr>
            </w:pPr>
            <w:r>
              <w:rPr>
                <w:rFonts w:ascii="Arial Narrow" w:hAnsi="Arial Narrow"/>
                <w:snapToGrid w:val="0"/>
                <w:kern w:val="0"/>
                <w:sz w:val="18"/>
              </w:rPr>
              <w:t>重大缺陷：损失≥税前利润5%。</w:t>
            </w:r>
          </w:p>
          <w:p w14:paraId="72A90D83">
            <w:pPr>
              <w:widowControl/>
              <w:adjustRightInd w:val="0"/>
              <w:snapToGrid w:val="0"/>
              <w:spacing w:line="240" w:lineRule="exact"/>
              <w:jc w:val="left"/>
              <w:rPr>
                <w:rFonts w:ascii="Arial Narrow" w:hAnsi="Arial Narrow"/>
                <w:snapToGrid w:val="0"/>
                <w:kern w:val="0"/>
                <w:sz w:val="18"/>
              </w:rPr>
            </w:pPr>
            <w:r>
              <w:rPr>
                <w:rFonts w:ascii="Arial Narrow" w:hAnsi="Arial Narrow"/>
                <w:snapToGrid w:val="0"/>
                <w:kern w:val="0"/>
                <w:sz w:val="18"/>
              </w:rPr>
              <w:t>重要缺陷：税前利润2%≤损失＜税前利润5%。</w:t>
            </w:r>
          </w:p>
          <w:p w14:paraId="15C61286">
            <w:pPr>
              <w:widowControl/>
              <w:adjustRightInd w:val="0"/>
              <w:snapToGrid w:val="0"/>
              <w:spacing w:line="240" w:lineRule="exact"/>
              <w:jc w:val="left"/>
              <w:rPr>
                <w:rFonts w:ascii="Arial Narrow" w:hAnsi="Arial Narrow"/>
                <w:snapToGrid w:val="0"/>
                <w:kern w:val="0"/>
                <w:sz w:val="18"/>
              </w:rPr>
            </w:pPr>
            <w:r>
              <w:rPr>
                <w:rFonts w:ascii="Arial Narrow" w:hAnsi="Arial Narrow"/>
                <w:snapToGrid w:val="0"/>
                <w:kern w:val="0"/>
                <w:sz w:val="18"/>
              </w:rPr>
              <w:t>一般缺陷：损失＜税前利润2%。</w:t>
            </w:r>
          </w:p>
        </w:tc>
      </w:tr>
      <w:tr w14:paraId="44E1D8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60" w:type="dxa"/>
            <w:shd w:val="clear" w:color="auto" w:fill="auto"/>
            <w:vAlign w:val="center"/>
          </w:tcPr>
          <w:p w14:paraId="19286FC9">
            <w:pPr>
              <w:widowControl/>
              <w:adjustRightInd w:val="0"/>
              <w:snapToGrid w:val="0"/>
              <w:spacing w:line="240" w:lineRule="exact"/>
              <w:rPr>
                <w:rFonts w:ascii="Arial Narrow" w:hAnsi="Arial Narrow"/>
                <w:snapToGrid w:val="0"/>
                <w:kern w:val="0"/>
                <w:sz w:val="18"/>
              </w:rPr>
            </w:pPr>
            <w:r>
              <w:rPr>
                <w:rFonts w:hint="eastAsia" w:ascii="Arial Narrow" w:hAnsi="Arial Narrow"/>
                <w:snapToGrid w:val="0"/>
                <w:kern w:val="0"/>
                <w:sz w:val="18"/>
              </w:rPr>
              <w:t>财务报告重大缺陷数量（个）</w:t>
            </w:r>
          </w:p>
        </w:tc>
        <w:tc>
          <w:tcPr>
            <w:tcW w:w="6752" w:type="dxa"/>
            <w:gridSpan w:val="2"/>
            <w:shd w:val="clear" w:color="auto" w:fill="auto"/>
            <w:vAlign w:val="center"/>
          </w:tcPr>
          <w:p w14:paraId="3F55426B">
            <w:pPr>
              <w:widowControl/>
              <w:adjustRightInd w:val="0"/>
              <w:snapToGrid w:val="0"/>
              <w:spacing w:line="240" w:lineRule="exact"/>
              <w:jc w:val="right"/>
              <w:rPr>
                <w:rFonts w:ascii="Arial Narrow" w:hAnsi="Arial Narrow"/>
                <w:snapToGrid w:val="0"/>
                <w:kern w:val="0"/>
                <w:sz w:val="18"/>
              </w:rPr>
            </w:pPr>
            <w:r>
              <w:rPr>
                <w:rFonts w:hint="eastAsia" w:ascii="Arial Narrow" w:hAnsi="Arial Narrow"/>
                <w:snapToGrid w:val="0"/>
                <w:kern w:val="0"/>
                <w:sz w:val="18"/>
              </w:rPr>
              <w:t>0</w:t>
            </w:r>
          </w:p>
        </w:tc>
      </w:tr>
      <w:tr w14:paraId="6CD2C0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60" w:type="dxa"/>
            <w:shd w:val="clear" w:color="auto" w:fill="auto"/>
            <w:vAlign w:val="center"/>
          </w:tcPr>
          <w:p w14:paraId="274A6A63">
            <w:pPr>
              <w:widowControl/>
              <w:adjustRightInd w:val="0"/>
              <w:snapToGrid w:val="0"/>
              <w:spacing w:line="240" w:lineRule="exact"/>
              <w:rPr>
                <w:rFonts w:ascii="Arial Narrow" w:hAnsi="Arial Narrow"/>
                <w:snapToGrid w:val="0"/>
                <w:kern w:val="0"/>
                <w:sz w:val="18"/>
              </w:rPr>
            </w:pPr>
            <w:r>
              <w:rPr>
                <w:rFonts w:hint="eastAsia" w:ascii="Arial Narrow" w:hAnsi="Arial Narrow"/>
                <w:snapToGrid w:val="0"/>
                <w:kern w:val="0"/>
                <w:sz w:val="18"/>
              </w:rPr>
              <w:t>非财务报告重大缺陷数量（个）</w:t>
            </w:r>
          </w:p>
        </w:tc>
        <w:tc>
          <w:tcPr>
            <w:tcW w:w="6752" w:type="dxa"/>
            <w:gridSpan w:val="2"/>
            <w:shd w:val="clear" w:color="auto" w:fill="auto"/>
            <w:vAlign w:val="center"/>
          </w:tcPr>
          <w:p w14:paraId="6CE01D59">
            <w:pPr>
              <w:widowControl/>
              <w:adjustRightInd w:val="0"/>
              <w:snapToGrid w:val="0"/>
              <w:spacing w:line="240" w:lineRule="exact"/>
              <w:jc w:val="right"/>
              <w:rPr>
                <w:rFonts w:ascii="Arial Narrow" w:hAnsi="Arial Narrow"/>
                <w:snapToGrid w:val="0"/>
                <w:kern w:val="0"/>
                <w:sz w:val="18"/>
              </w:rPr>
            </w:pPr>
            <w:r>
              <w:rPr>
                <w:rFonts w:hint="eastAsia" w:ascii="Arial Narrow" w:hAnsi="Arial Narrow"/>
                <w:snapToGrid w:val="0"/>
                <w:kern w:val="0"/>
                <w:sz w:val="18"/>
              </w:rPr>
              <w:t>0</w:t>
            </w:r>
          </w:p>
        </w:tc>
      </w:tr>
      <w:tr w14:paraId="04EA77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60" w:type="dxa"/>
            <w:shd w:val="clear" w:color="auto" w:fill="auto"/>
            <w:vAlign w:val="center"/>
          </w:tcPr>
          <w:p w14:paraId="6C3BD18A">
            <w:pPr>
              <w:widowControl/>
              <w:adjustRightInd w:val="0"/>
              <w:snapToGrid w:val="0"/>
              <w:spacing w:line="240" w:lineRule="exact"/>
              <w:rPr>
                <w:rFonts w:ascii="Arial Narrow" w:hAnsi="Arial Narrow"/>
                <w:snapToGrid w:val="0"/>
                <w:kern w:val="0"/>
                <w:sz w:val="18"/>
              </w:rPr>
            </w:pPr>
            <w:r>
              <w:rPr>
                <w:rFonts w:hint="eastAsia" w:ascii="Arial Narrow" w:hAnsi="Arial Narrow"/>
                <w:snapToGrid w:val="0"/>
                <w:kern w:val="0"/>
                <w:sz w:val="18"/>
              </w:rPr>
              <w:t>财务报告重要缺陷数量（个）</w:t>
            </w:r>
          </w:p>
        </w:tc>
        <w:tc>
          <w:tcPr>
            <w:tcW w:w="6752" w:type="dxa"/>
            <w:gridSpan w:val="2"/>
            <w:shd w:val="clear" w:color="auto" w:fill="auto"/>
            <w:vAlign w:val="center"/>
          </w:tcPr>
          <w:p w14:paraId="4DE27D37">
            <w:pPr>
              <w:widowControl/>
              <w:adjustRightInd w:val="0"/>
              <w:snapToGrid w:val="0"/>
              <w:spacing w:line="240" w:lineRule="exact"/>
              <w:jc w:val="right"/>
              <w:rPr>
                <w:rFonts w:ascii="Arial Narrow" w:hAnsi="Arial Narrow"/>
                <w:snapToGrid w:val="0"/>
                <w:kern w:val="0"/>
                <w:sz w:val="18"/>
              </w:rPr>
            </w:pPr>
            <w:r>
              <w:rPr>
                <w:rFonts w:hint="eastAsia" w:ascii="Arial Narrow" w:hAnsi="Arial Narrow"/>
                <w:snapToGrid w:val="0"/>
                <w:kern w:val="0"/>
                <w:sz w:val="18"/>
              </w:rPr>
              <w:t>0</w:t>
            </w:r>
          </w:p>
        </w:tc>
      </w:tr>
      <w:tr w14:paraId="234ED7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60" w:type="dxa"/>
            <w:shd w:val="clear" w:color="auto" w:fill="auto"/>
            <w:vAlign w:val="center"/>
          </w:tcPr>
          <w:p w14:paraId="32099939">
            <w:pPr>
              <w:widowControl/>
              <w:adjustRightInd w:val="0"/>
              <w:snapToGrid w:val="0"/>
              <w:spacing w:line="240" w:lineRule="exact"/>
              <w:rPr>
                <w:rFonts w:ascii="Arial Narrow" w:hAnsi="Arial Narrow"/>
                <w:snapToGrid w:val="0"/>
                <w:kern w:val="0"/>
                <w:sz w:val="18"/>
              </w:rPr>
            </w:pPr>
            <w:r>
              <w:rPr>
                <w:rFonts w:hint="eastAsia" w:ascii="Arial Narrow" w:hAnsi="Arial Narrow"/>
                <w:snapToGrid w:val="0"/>
                <w:kern w:val="0"/>
                <w:sz w:val="18"/>
              </w:rPr>
              <w:t>非财务报告重要缺陷数量（个）</w:t>
            </w:r>
          </w:p>
        </w:tc>
        <w:tc>
          <w:tcPr>
            <w:tcW w:w="6752" w:type="dxa"/>
            <w:gridSpan w:val="2"/>
            <w:shd w:val="clear" w:color="auto" w:fill="auto"/>
            <w:vAlign w:val="center"/>
          </w:tcPr>
          <w:p w14:paraId="3547ECA9">
            <w:pPr>
              <w:widowControl/>
              <w:adjustRightInd w:val="0"/>
              <w:snapToGrid w:val="0"/>
              <w:spacing w:line="240" w:lineRule="exact"/>
              <w:jc w:val="right"/>
              <w:rPr>
                <w:rFonts w:ascii="Arial Narrow" w:hAnsi="Arial Narrow"/>
                <w:snapToGrid w:val="0"/>
                <w:kern w:val="0"/>
                <w:sz w:val="18"/>
              </w:rPr>
            </w:pPr>
            <w:r>
              <w:rPr>
                <w:rFonts w:hint="eastAsia" w:ascii="Arial Narrow" w:hAnsi="Arial Narrow"/>
                <w:snapToGrid w:val="0"/>
                <w:kern w:val="0"/>
                <w:sz w:val="18"/>
              </w:rPr>
              <w:t>0</w:t>
            </w:r>
          </w:p>
        </w:tc>
      </w:tr>
    </w:tbl>
    <w:p w14:paraId="22B8B29B">
      <w:pPr>
        <w:widowControl/>
        <w:spacing w:before="156" w:beforeLines="50" w:line="360" w:lineRule="auto"/>
        <w:ind w:firstLine="422" w:firstLineChars="200"/>
        <w:outlineLvl w:val="2"/>
        <w:rPr>
          <w:rFonts w:hint="eastAsia" w:ascii="宋体" w:hAnsi="宋体"/>
          <w:b/>
          <w:bCs/>
          <w:kern w:val="0"/>
        </w:rPr>
      </w:pPr>
      <w:r>
        <w:rPr>
          <w:rFonts w:hint="eastAsia" w:ascii="宋体" w:hAnsi="宋体"/>
          <w:b/>
          <w:bCs/>
          <w:kern w:val="0"/>
        </w:rPr>
        <w:t>（三）报告期内公司内部控制缺陷认定及整改情况</w:t>
      </w:r>
    </w:p>
    <w:p w14:paraId="0210667D">
      <w:pPr>
        <w:widowControl/>
        <w:spacing w:line="360" w:lineRule="auto"/>
        <w:ind w:firstLine="422" w:firstLineChars="200"/>
        <w:outlineLvl w:val="3"/>
        <w:rPr>
          <w:rFonts w:hint="eastAsia" w:ascii="宋体" w:hAnsi="宋体"/>
          <w:b/>
          <w:bCs/>
          <w:kern w:val="0"/>
        </w:rPr>
      </w:pPr>
      <w:r>
        <w:rPr>
          <w:rFonts w:hint="eastAsia" w:ascii="宋体" w:hAnsi="宋体"/>
          <w:b/>
          <w:bCs/>
          <w:kern w:val="0"/>
        </w:rPr>
        <w:t>1、财务报告内部控制缺陷认定及整改情况</w:t>
      </w:r>
    </w:p>
    <w:p w14:paraId="4A387205">
      <w:pPr>
        <w:widowControl/>
        <w:spacing w:line="360" w:lineRule="auto"/>
        <w:ind w:firstLine="420" w:firstLineChars="200"/>
        <w:rPr>
          <w:rFonts w:hint="eastAsia" w:ascii="宋体" w:hAnsi="宋体"/>
          <w:kern w:val="0"/>
        </w:rPr>
      </w:pPr>
      <w:r>
        <w:rPr>
          <w:rFonts w:hint="eastAsia" w:ascii="宋体" w:hAnsi="宋体"/>
          <w:kern w:val="0"/>
        </w:rPr>
        <w:t>根据上述财务报告内部控制缺陷的认定标准，报告期内公司不存在财务报告内部控制重大缺陷、重要缺陷。</w:t>
      </w:r>
    </w:p>
    <w:p w14:paraId="727B14E3">
      <w:pPr>
        <w:widowControl/>
        <w:spacing w:line="360" w:lineRule="auto"/>
        <w:ind w:firstLine="422" w:firstLineChars="200"/>
        <w:outlineLvl w:val="3"/>
        <w:rPr>
          <w:rFonts w:hint="eastAsia" w:ascii="宋体" w:hAnsi="宋体"/>
          <w:b/>
          <w:bCs/>
          <w:kern w:val="0"/>
        </w:rPr>
      </w:pPr>
      <w:r>
        <w:rPr>
          <w:rFonts w:hint="eastAsia" w:ascii="宋体" w:hAnsi="宋体"/>
          <w:b/>
          <w:bCs/>
          <w:kern w:val="0"/>
        </w:rPr>
        <w:t>2、非财务报告内部控制缺陷认定及整改情况</w:t>
      </w:r>
    </w:p>
    <w:p w14:paraId="45EB78E6">
      <w:pPr>
        <w:widowControl/>
        <w:spacing w:line="360" w:lineRule="auto"/>
        <w:ind w:firstLine="420" w:firstLineChars="200"/>
        <w:rPr>
          <w:rFonts w:hint="eastAsia" w:ascii="宋体" w:hAnsi="宋体"/>
          <w:kern w:val="0"/>
        </w:rPr>
      </w:pPr>
      <w:r>
        <w:rPr>
          <w:rFonts w:hint="eastAsia" w:ascii="宋体" w:hAnsi="宋体"/>
          <w:kern w:val="0"/>
        </w:rPr>
        <w:t>根据上述非财务报告内部控制缺陷的认定标准，报告期内未发现公司非财务报告内部控制重大缺陷、重要缺陷。</w:t>
      </w:r>
    </w:p>
    <w:p w14:paraId="38EDAA87">
      <w:pPr>
        <w:widowControl/>
        <w:spacing w:before="312" w:beforeLines="100" w:line="360" w:lineRule="auto"/>
        <w:ind w:firstLine="422" w:firstLineChars="200"/>
        <w:outlineLvl w:val="1"/>
        <w:rPr>
          <w:rFonts w:hint="eastAsia" w:ascii="宋体" w:hAnsi="宋体"/>
          <w:b/>
          <w:kern w:val="0"/>
        </w:rPr>
      </w:pPr>
      <w:r>
        <w:rPr>
          <w:rFonts w:hint="eastAsia" w:ascii="宋体" w:hAnsi="宋体"/>
          <w:b/>
          <w:kern w:val="0"/>
        </w:rPr>
        <w:t>四、其他内部控制相关重大事项说明</w:t>
      </w:r>
    </w:p>
    <w:p w14:paraId="10B3D7B6">
      <w:pPr>
        <w:widowControl/>
        <w:spacing w:line="360" w:lineRule="auto"/>
        <w:ind w:firstLine="420" w:firstLineChars="200"/>
        <w:rPr>
          <w:rFonts w:hint="eastAsia" w:ascii="宋体" w:hAnsi="宋体"/>
          <w:kern w:val="0"/>
        </w:rPr>
      </w:pPr>
      <w:r>
        <w:rPr>
          <w:rFonts w:hint="eastAsia" w:ascii="宋体" w:hAnsi="宋体"/>
          <w:kern w:val="0"/>
        </w:rPr>
        <w:t>综上所述，公司认为根据财政部《企业内部控制基本规范》和相关规定，公司与财务报表相关的内部控制于2024年12月31日在所有重大方面是有效的。</w:t>
      </w:r>
    </w:p>
    <w:p w14:paraId="5E670C59">
      <w:pPr>
        <w:widowControl/>
        <w:spacing w:line="360" w:lineRule="auto"/>
        <w:rPr>
          <w:rFonts w:hint="eastAsia" w:ascii="宋体" w:hAnsi="宋体"/>
          <w:kern w:val="0"/>
        </w:rPr>
      </w:pPr>
    </w:p>
    <w:p w14:paraId="3251AB1E">
      <w:pPr>
        <w:widowControl/>
        <w:spacing w:line="360" w:lineRule="auto"/>
        <w:rPr>
          <w:rFonts w:hint="eastAsia" w:ascii="宋体" w:hAnsi="宋体"/>
          <w:kern w:val="0"/>
        </w:rPr>
      </w:pPr>
    </w:p>
    <w:p w14:paraId="021E7040">
      <w:pPr>
        <w:widowControl/>
        <w:spacing w:line="360" w:lineRule="auto"/>
        <w:rPr>
          <w:rFonts w:hint="eastAsia" w:ascii="宋体" w:hAnsi="宋体"/>
          <w:kern w:val="0"/>
        </w:rPr>
      </w:pPr>
    </w:p>
    <w:p w14:paraId="71A8BC34">
      <w:pPr>
        <w:widowControl/>
        <w:spacing w:line="360" w:lineRule="auto"/>
        <w:jc w:val="right"/>
        <w:rPr>
          <w:rFonts w:hint="eastAsia" w:ascii="宋体" w:hAnsi="宋体"/>
          <w:b/>
          <w:bCs/>
          <w:kern w:val="0"/>
        </w:rPr>
      </w:pPr>
      <w:r>
        <w:rPr>
          <w:rFonts w:hint="eastAsia" w:ascii="宋体" w:hAnsi="宋体"/>
          <w:b/>
          <w:bCs/>
          <w:kern w:val="0"/>
        </w:rPr>
        <w:t>福建广生堂药业股份有限公司</w:t>
      </w:r>
    </w:p>
    <w:p w14:paraId="7148FD04">
      <w:pPr>
        <w:widowControl/>
        <w:spacing w:line="360" w:lineRule="auto"/>
        <w:ind w:right="844"/>
        <w:jc w:val="right"/>
        <w:rPr>
          <w:rFonts w:hint="eastAsia" w:ascii="宋体" w:hAnsi="宋体"/>
          <w:b/>
          <w:bCs/>
          <w:kern w:val="0"/>
        </w:rPr>
      </w:pPr>
      <w:r>
        <w:rPr>
          <w:rFonts w:hint="eastAsia" w:ascii="宋体" w:hAnsi="宋体"/>
          <w:b/>
          <w:bCs/>
          <w:kern w:val="0"/>
        </w:rPr>
        <w:t>董事会</w:t>
      </w:r>
    </w:p>
    <w:p w14:paraId="181F7279">
      <w:pPr>
        <w:widowControl/>
        <w:spacing w:line="360" w:lineRule="auto"/>
        <w:ind w:right="211"/>
        <w:jc w:val="right"/>
        <w:rPr>
          <w:rFonts w:hint="eastAsia" w:ascii="宋体" w:hAnsi="宋体"/>
          <w:b/>
          <w:bCs/>
          <w:kern w:val="0"/>
        </w:rPr>
      </w:pPr>
      <w:r>
        <w:rPr>
          <w:rFonts w:hint="eastAsia" w:ascii="宋体" w:hAnsi="宋体"/>
          <w:b/>
          <w:bCs/>
          <w:kern w:val="0"/>
        </w:rPr>
        <w:t>二○二五年四月十六日</w:t>
      </w:r>
    </w:p>
    <w:p w14:paraId="616A62D4">
      <w:pPr>
        <w:autoSpaceDE w:val="0"/>
        <w:snapToGrid w:val="0"/>
        <w:spacing w:line="360" w:lineRule="auto"/>
        <w:rPr>
          <w:rFonts w:cs="Times New Roman"/>
          <w:color w:val="000000" w:themeColor="text1"/>
          <w:sz w:val="28"/>
          <w:szCs w:val="28"/>
        </w:rPr>
      </w:pPr>
      <w:bookmarkStart w:id="4" w:name="_GoBack"/>
      <w:bookmarkEnd w:id="4"/>
    </w:p>
    <w:sectPr>
      <w:headerReference r:id="rId6" w:type="default"/>
      <w:footerReference r:id="rId7" w:type="default"/>
      <w:pgSz w:w="11906" w:h="16838"/>
      <w:pgMar w:top="1724"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2B29">
    <w:pPr>
      <w:pStyle w:val="4"/>
      <w:jc w:val="center"/>
    </w:pPr>
    <w:r>
      <w:rPr>
        <w:rFonts w:hint="eastAsia"/>
      </w:rPr>
      <w:t>第1页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86450">
    <w:pPr>
      <w:pStyle w:val="4"/>
      <w:jc w:val="center"/>
    </w:pPr>
  </w:p>
  <w:p w14:paraId="7C8D0C2D">
    <w:pPr>
      <w:pStyle w:val="4"/>
      <w:tabs>
        <w:tab w:val="left" w:pos="2835"/>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298"/>
      <w:docPartObj>
        <w:docPartGallery w:val="AutoText"/>
      </w:docPartObj>
    </w:sdtPr>
    <w:sdtContent>
      <w:p w14:paraId="769E58FF">
        <w:pPr>
          <w:pStyle w:val="4"/>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DAE0">
    <w:pPr>
      <w:pStyle w:val="5"/>
      <w:pBdr>
        <w:bottom w:val="none" w:color="auto" w:sz="0" w:space="0"/>
      </w:pBdr>
      <w:jc w:val="left"/>
      <w:rPr>
        <w:rFonts w:hint="eastAsia" w:ascii="等线 Light" w:hAnsi="等线 Light" w:eastAsia="等线" w:cs="等线 Light"/>
        <w:b/>
        <w:bCs/>
        <w:i/>
        <w:iCs/>
        <w:color w:val="004B65"/>
        <w:sz w:val="15"/>
        <w:szCs w:val="15"/>
      </w:rPr>
    </w:pPr>
    <w:bookmarkStart w:id="1" w:name="_Hlk110344089"/>
    <w:bookmarkStart w:id="2" w:name="OLE_LINK2"/>
    <w:bookmarkStart w:id="3" w:name="OLE_LINK6"/>
    <w:r>
      <w:drawing>
        <wp:inline distT="0" distB="0" distL="0" distR="0">
          <wp:extent cx="5274310" cy="1269365"/>
          <wp:effectExtent l="0" t="0" r="2540" b="6985"/>
          <wp:docPr id="10582359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35979"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274310" cy="1269365"/>
                  </a:xfrm>
                  <a:prstGeom prst="rect">
                    <a:avLst/>
                  </a:prstGeom>
                  <a:noFill/>
                  <a:ln>
                    <a:noFill/>
                  </a:ln>
                </pic:spPr>
              </pic:pic>
            </a:graphicData>
          </a:graphic>
        </wp:inline>
      </w:drawing>
    </w:r>
    <w:r>
      <w:rPr>
        <w:rFonts w:hint="eastAsia" w:ascii="等线 Light" w:hAnsi="等线 Light" w:eastAsia="等线" w:cs="等线 Light"/>
        <w:b/>
        <w:bCs/>
        <w:i/>
        <w:iCs/>
        <w:color w:val="004B65"/>
        <w:sz w:val="15"/>
        <w:szCs w:val="15"/>
      </w:rPr>
      <w:t xml:space="preserve"> </w: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3013">
    <w:pPr>
      <w:pBdr>
        <w:bottom w:val="single" w:color="auto" w:sz="4" w:space="1"/>
      </w:pBdr>
      <w:jc w:val="right"/>
    </w:pPr>
    <w:r>
      <w:rPr>
        <w:rFonts w:hint="eastAsia"/>
        <w:sz w:val="18"/>
        <w:szCs w:val="18"/>
      </w:rPr>
      <w:t>德皓内字[2025]00000048号内部控制审计报告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7D58"/>
    <w:rsid w:val="00015C05"/>
    <w:rsid w:val="0005077A"/>
    <w:rsid w:val="00082B7C"/>
    <w:rsid w:val="00083A4C"/>
    <w:rsid w:val="000C013C"/>
    <w:rsid w:val="000E05BE"/>
    <w:rsid w:val="000E7FBF"/>
    <w:rsid w:val="000F52BD"/>
    <w:rsid w:val="001179AE"/>
    <w:rsid w:val="00126CF4"/>
    <w:rsid w:val="00131401"/>
    <w:rsid w:val="00137805"/>
    <w:rsid w:val="00142355"/>
    <w:rsid w:val="00146550"/>
    <w:rsid w:val="001625D9"/>
    <w:rsid w:val="001953C5"/>
    <w:rsid w:val="0019687E"/>
    <w:rsid w:val="001B36B1"/>
    <w:rsid w:val="001C027E"/>
    <w:rsid w:val="001C175D"/>
    <w:rsid w:val="001C5CB9"/>
    <w:rsid w:val="001D1044"/>
    <w:rsid w:val="0020740B"/>
    <w:rsid w:val="00212B84"/>
    <w:rsid w:val="00222147"/>
    <w:rsid w:val="00285AB5"/>
    <w:rsid w:val="002C3F70"/>
    <w:rsid w:val="002E236F"/>
    <w:rsid w:val="002F643A"/>
    <w:rsid w:val="00310CCF"/>
    <w:rsid w:val="00314D5F"/>
    <w:rsid w:val="00324F26"/>
    <w:rsid w:val="00326BEE"/>
    <w:rsid w:val="00352438"/>
    <w:rsid w:val="003B778E"/>
    <w:rsid w:val="003B7BEC"/>
    <w:rsid w:val="003D72FE"/>
    <w:rsid w:val="003D7302"/>
    <w:rsid w:val="0040753A"/>
    <w:rsid w:val="00430907"/>
    <w:rsid w:val="004337AD"/>
    <w:rsid w:val="0043691E"/>
    <w:rsid w:val="00473798"/>
    <w:rsid w:val="004A29C0"/>
    <w:rsid w:val="004C7D51"/>
    <w:rsid w:val="004F3290"/>
    <w:rsid w:val="004F6716"/>
    <w:rsid w:val="005218A5"/>
    <w:rsid w:val="005226BD"/>
    <w:rsid w:val="00543E92"/>
    <w:rsid w:val="00553E75"/>
    <w:rsid w:val="00555B48"/>
    <w:rsid w:val="00562748"/>
    <w:rsid w:val="00565EEF"/>
    <w:rsid w:val="00583FEF"/>
    <w:rsid w:val="00593AB6"/>
    <w:rsid w:val="005A68F6"/>
    <w:rsid w:val="005D2803"/>
    <w:rsid w:val="005E357F"/>
    <w:rsid w:val="00633B07"/>
    <w:rsid w:val="00667968"/>
    <w:rsid w:val="006B14C6"/>
    <w:rsid w:val="006B2C0C"/>
    <w:rsid w:val="006D0102"/>
    <w:rsid w:val="007052E7"/>
    <w:rsid w:val="00707ABF"/>
    <w:rsid w:val="007225EF"/>
    <w:rsid w:val="00723899"/>
    <w:rsid w:val="0074589D"/>
    <w:rsid w:val="00764241"/>
    <w:rsid w:val="007678E9"/>
    <w:rsid w:val="007701E4"/>
    <w:rsid w:val="0077692D"/>
    <w:rsid w:val="00783B1D"/>
    <w:rsid w:val="007B3D56"/>
    <w:rsid w:val="007B6CCE"/>
    <w:rsid w:val="007C6CF3"/>
    <w:rsid w:val="007F56B4"/>
    <w:rsid w:val="0080649B"/>
    <w:rsid w:val="00812E14"/>
    <w:rsid w:val="008465D2"/>
    <w:rsid w:val="008642A3"/>
    <w:rsid w:val="00874210"/>
    <w:rsid w:val="00897055"/>
    <w:rsid w:val="008A73F6"/>
    <w:rsid w:val="008B2BF1"/>
    <w:rsid w:val="008C4059"/>
    <w:rsid w:val="008F2047"/>
    <w:rsid w:val="008F460A"/>
    <w:rsid w:val="009042E8"/>
    <w:rsid w:val="00920627"/>
    <w:rsid w:val="0092587E"/>
    <w:rsid w:val="009266FD"/>
    <w:rsid w:val="00944BDF"/>
    <w:rsid w:val="00961F07"/>
    <w:rsid w:val="00984C17"/>
    <w:rsid w:val="009C3052"/>
    <w:rsid w:val="009F21FD"/>
    <w:rsid w:val="00A5048B"/>
    <w:rsid w:val="00A66988"/>
    <w:rsid w:val="00A9189B"/>
    <w:rsid w:val="00AB4C2F"/>
    <w:rsid w:val="00AE71C1"/>
    <w:rsid w:val="00AF628D"/>
    <w:rsid w:val="00B04689"/>
    <w:rsid w:val="00B346E6"/>
    <w:rsid w:val="00B4434D"/>
    <w:rsid w:val="00B5003F"/>
    <w:rsid w:val="00B718E0"/>
    <w:rsid w:val="00B81C18"/>
    <w:rsid w:val="00B8220B"/>
    <w:rsid w:val="00B842D1"/>
    <w:rsid w:val="00BB307E"/>
    <w:rsid w:val="00BB4C70"/>
    <w:rsid w:val="00BB517D"/>
    <w:rsid w:val="00BD2BF3"/>
    <w:rsid w:val="00BE7A97"/>
    <w:rsid w:val="00C726A8"/>
    <w:rsid w:val="00C766BF"/>
    <w:rsid w:val="00CB22ED"/>
    <w:rsid w:val="00CD08D6"/>
    <w:rsid w:val="00CE4044"/>
    <w:rsid w:val="00CF174F"/>
    <w:rsid w:val="00CF318B"/>
    <w:rsid w:val="00CF72FC"/>
    <w:rsid w:val="00D24BB4"/>
    <w:rsid w:val="00D318F1"/>
    <w:rsid w:val="00D41E53"/>
    <w:rsid w:val="00D565B1"/>
    <w:rsid w:val="00D74D72"/>
    <w:rsid w:val="00DB13B8"/>
    <w:rsid w:val="00DB7D76"/>
    <w:rsid w:val="00DD7702"/>
    <w:rsid w:val="00DE23EA"/>
    <w:rsid w:val="00E018DB"/>
    <w:rsid w:val="00E56885"/>
    <w:rsid w:val="00E57D58"/>
    <w:rsid w:val="00E76F28"/>
    <w:rsid w:val="00E814D4"/>
    <w:rsid w:val="00EA32C7"/>
    <w:rsid w:val="00EC1A09"/>
    <w:rsid w:val="00EC1F68"/>
    <w:rsid w:val="00EC715B"/>
    <w:rsid w:val="00ED1B42"/>
    <w:rsid w:val="00EE6F02"/>
    <w:rsid w:val="00F26EAF"/>
    <w:rsid w:val="00F30F72"/>
    <w:rsid w:val="00F36F46"/>
    <w:rsid w:val="00F42370"/>
    <w:rsid w:val="00F533DC"/>
    <w:rsid w:val="00F61FAB"/>
    <w:rsid w:val="00F7764B"/>
    <w:rsid w:val="00F90F03"/>
    <w:rsid w:val="00F9569F"/>
    <w:rsid w:val="00FA034D"/>
    <w:rsid w:val="00FA5BBA"/>
    <w:rsid w:val="00FB44BB"/>
    <w:rsid w:val="00FC75DF"/>
    <w:rsid w:val="00FE65D1"/>
    <w:rsid w:val="00FE6B4C"/>
    <w:rsid w:val="7FDD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pPr>
      <w:widowControl/>
      <w:jc w:val="left"/>
    </w:pPr>
    <w:rPr>
      <w:rFonts w:ascii="宋体" w:hAnsi="Courier New"/>
      <w:kern w:val="0"/>
      <w:sz w:val="24"/>
      <w:szCs w:val="24"/>
    </w:rPr>
  </w:style>
  <w:style w:type="paragraph" w:styleId="3">
    <w:name w:val="Balloon Text"/>
    <w:basedOn w:val="1"/>
    <w:link w:val="14"/>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uiPriority w:val="0"/>
    <w:rPr>
      <w:color w:val="0000FF"/>
      <w:u w:val="single"/>
    </w:rPr>
  </w:style>
  <w:style w:type="character" w:customStyle="1" w:styleId="11">
    <w:name w:val="页眉 字符"/>
    <w:basedOn w:val="8"/>
    <w:link w:val="5"/>
    <w:qFormat/>
    <w:uiPriority w:val="0"/>
    <w:rPr>
      <w:sz w:val="18"/>
      <w:szCs w:val="18"/>
    </w:rPr>
  </w:style>
  <w:style w:type="character" w:customStyle="1" w:styleId="12">
    <w:name w:val="页脚 字符"/>
    <w:basedOn w:val="8"/>
    <w:link w:val="4"/>
    <w:qFormat/>
    <w:uiPriority w:val="99"/>
    <w:rPr>
      <w:sz w:val="18"/>
      <w:szCs w:val="18"/>
    </w:rPr>
  </w:style>
  <w:style w:type="character" w:customStyle="1" w:styleId="13">
    <w:name w:val="纯文本 字符"/>
    <w:basedOn w:val="8"/>
    <w:link w:val="2"/>
    <w:uiPriority w:val="0"/>
    <w:rPr>
      <w:rFonts w:ascii="宋体" w:hAnsi="Courier New" w:eastAsia="宋体" w:cs="宋体"/>
      <w:kern w:val="0"/>
      <w:sz w:val="24"/>
      <w:szCs w:val="24"/>
    </w:rPr>
  </w:style>
  <w:style w:type="character" w:customStyle="1" w:styleId="14">
    <w:name w:val="批注框文本 字符"/>
    <w:basedOn w:val="8"/>
    <w:link w:val="3"/>
    <w:semiHidden/>
    <w:uiPriority w:val="99"/>
    <w:rPr>
      <w:rFonts w:ascii="Times New Roman" w:hAnsi="Times New Roman" w:eastAsia="宋体" w:cs="宋体"/>
      <w:sz w:val="18"/>
      <w:szCs w:val="18"/>
    </w:rPr>
  </w:style>
  <w:style w:type="paragraph" w:customStyle="1" w:styleId="15">
    <w:name w:val="Revision"/>
    <w:hidden/>
    <w:semiHidden/>
    <w:qFormat/>
    <w:uiPriority w:val="99"/>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642</Words>
  <Characters>761</Characters>
  <Lines>18</Lines>
  <Paragraphs>15</Paragraphs>
  <TotalTime>0</TotalTime>
  <ScaleCrop>false</ScaleCrop>
  <LinksUpToDate>false</LinksUpToDate>
  <CharactersWithSpaces>815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2012-09-11T07:46:00Z</dcterms:created>
  <dc:creator>lenovo</dc:creator>
  <cp:lastModifiedBy>cdq</cp:lastModifiedBy>
  <cp:lastPrinted>2012-11-20T02:44:00Z</cp:lastPrinted>
  <dcterms:modified xsi:type="dcterms:W3CDTF">2025-04-17T12:06:48Z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eyJoZGlkIjoiY2Q4MDAzNjNiM2EwYjNjY2VkN2I2ZWY4OTg5YTA1ZWYiLCJ1c2VySWQiOiIxMzk5OTUwMzQxIn0=</vt:lpwstr>
  </property>
  <property fmtid="{D5CDD505-2E9C-101B-9397-08002B2CF9AE}" pid="3" name="KSOProductBuildVer">
    <vt:lpwstr>2052-12.1.0.20783</vt:lpwstr>
  </property>
  <property fmtid="{D5CDD505-2E9C-101B-9397-08002B2CF9AE}" pid="4" name="ICV">
    <vt:lpwstr>5641FCF1B62B4ABEA6ED71C31427F5DD_12</vt:lpwstr>
  </property>
</Properties>
</file>