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F65A5">
      <w:pPr>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24"/>
          <w:szCs w:val="24"/>
          <w:highlight w:val="none"/>
        </w:rPr>
        <w:t xml:space="preserve"> 证券代码：300436       证券简称：广生堂       公告编号：2025</w:t>
      </w:r>
      <w:r>
        <w:rPr>
          <w:rFonts w:hint="eastAsia" w:ascii="宋体" w:hAnsi="宋体" w:cs="宋体"/>
          <w:color w:val="auto"/>
          <w:kern w:val="0"/>
          <w:sz w:val="24"/>
          <w:szCs w:val="24"/>
          <w:highlight w:val="none"/>
          <w:lang w:val="en-US" w:eastAsia="zh-CN"/>
        </w:rPr>
        <w:t>032</w:t>
      </w:r>
    </w:p>
    <w:p w14:paraId="20AB4B14">
      <w:pPr>
        <w:adjustRightInd w:val="0"/>
        <w:snapToGrid w:val="0"/>
        <w:spacing w:before="312" w:beforeLines="100"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福建广生堂药业股份有限公司</w:t>
      </w:r>
    </w:p>
    <w:p w14:paraId="666BF376">
      <w:pPr>
        <w:adjustRightInd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关于召开2024年年度股东大会的通知</w:t>
      </w:r>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6D2424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32" w:hRule="atLeast"/>
        </w:trPr>
        <w:tc>
          <w:tcPr>
            <w:tcW w:w="8522" w:type="dxa"/>
            <w:vAlign w:val="center"/>
          </w:tcPr>
          <w:p w14:paraId="5667F4B8">
            <w:pPr>
              <w:widowControl/>
              <w:ind w:firstLine="600" w:firstLineChars="200"/>
              <w:rPr>
                <w:rFonts w:ascii="宋体" w:hAnsi="宋体" w:cs="宋体"/>
                <w:b/>
                <w:color w:val="auto"/>
                <w:sz w:val="30"/>
                <w:szCs w:val="30"/>
                <w:highlight w:val="none"/>
              </w:rPr>
            </w:pPr>
            <w:r>
              <w:rPr>
                <w:rFonts w:hint="eastAsia" w:ascii="宋体" w:hAnsi="宋体" w:cs="宋体"/>
                <w:color w:val="auto"/>
                <w:kern w:val="0"/>
                <w:sz w:val="30"/>
                <w:szCs w:val="30"/>
                <w:highlight w:val="none"/>
              </w:rPr>
              <w:t>本公司及董事会全体成员保证信息披露的内容真实、准确、完整，没有虚假记载、误导性陈述或重大遗漏。</w:t>
            </w:r>
          </w:p>
        </w:tc>
      </w:tr>
    </w:tbl>
    <w:p w14:paraId="1E9A98FA">
      <w:pPr>
        <w:adjustRightInd w:val="0"/>
        <w:snapToGrid w:val="0"/>
        <w:spacing w:line="360" w:lineRule="auto"/>
        <w:jc w:val="center"/>
        <w:rPr>
          <w:rFonts w:ascii="宋体" w:hAnsi="宋体" w:cs="宋体"/>
          <w:b/>
          <w:bCs/>
          <w:color w:val="auto"/>
          <w:sz w:val="8"/>
          <w:szCs w:val="8"/>
          <w:highlight w:val="none"/>
        </w:rPr>
      </w:pPr>
    </w:p>
    <w:p w14:paraId="2BEB7661">
      <w:pPr>
        <w:topLinePunct/>
        <w:spacing w:before="120" w:after="156" w:afterLines="50" w:line="360" w:lineRule="auto"/>
        <w:ind w:firstLine="482"/>
        <w:rPr>
          <w:rFonts w:ascii="宋体" w:hAnsi="宋体" w:cs="宋体"/>
          <w:color w:val="auto"/>
          <w:sz w:val="24"/>
          <w:highlight w:val="none"/>
        </w:rPr>
      </w:pPr>
      <w:r>
        <w:rPr>
          <w:rFonts w:hint="eastAsia" w:ascii="宋体" w:hAnsi="宋体" w:cs="宋体"/>
          <w:color w:val="auto"/>
          <w:sz w:val="24"/>
          <w:highlight w:val="none"/>
        </w:rPr>
        <w:t>根据《公司法》和《公司章程》的有关规定，经福建广生堂药业股份有限公司（以下简称“公司”）</w:t>
      </w:r>
      <w:r>
        <w:rPr>
          <w:rFonts w:hint="eastAsia" w:ascii="宋体" w:hAnsi="宋体" w:cs="宋体"/>
          <w:color w:val="auto"/>
          <w:sz w:val="24"/>
          <w:highlight w:val="none"/>
        </w:rPr>
        <w:t>第五届董事会第八次会议</w:t>
      </w:r>
      <w:r>
        <w:rPr>
          <w:rFonts w:hint="eastAsia" w:ascii="宋体" w:hAnsi="宋体" w:cs="宋体"/>
          <w:color w:val="auto"/>
          <w:sz w:val="24"/>
          <w:highlight w:val="none"/>
        </w:rPr>
        <w:t>审议通过，决定于</w:t>
      </w:r>
      <w:r>
        <w:rPr>
          <w:rFonts w:hint="eastAsia" w:ascii="宋体" w:hAnsi="宋体" w:cs="宋体"/>
          <w:color w:val="auto"/>
          <w:sz w:val="24"/>
          <w:highlight w:val="none"/>
        </w:rPr>
        <w:t>2025年5月9日</w:t>
      </w:r>
      <w:r>
        <w:rPr>
          <w:rFonts w:hint="eastAsia" w:ascii="宋体" w:hAnsi="宋体" w:cs="宋体"/>
          <w:color w:val="auto"/>
          <w:sz w:val="24"/>
          <w:highlight w:val="none"/>
        </w:rPr>
        <w:t>召开公司</w:t>
      </w:r>
      <w:r>
        <w:rPr>
          <w:rFonts w:hint="eastAsia" w:ascii="宋体" w:hAnsi="宋体" w:cs="宋体"/>
          <w:color w:val="auto"/>
          <w:sz w:val="24"/>
          <w:highlight w:val="none"/>
        </w:rPr>
        <w:t>2024年年度股东大会，现将</w:t>
      </w:r>
      <w:r>
        <w:rPr>
          <w:rFonts w:hint="eastAsia" w:ascii="宋体" w:hAnsi="宋体" w:cs="宋体"/>
          <w:color w:val="auto"/>
          <w:sz w:val="24"/>
          <w:highlight w:val="none"/>
        </w:rPr>
        <w:t>会议有关事项通知如下：</w:t>
      </w:r>
    </w:p>
    <w:p w14:paraId="03292CA0">
      <w:pPr>
        <w:pStyle w:val="2"/>
        <w:spacing w:before="156" w:after="156"/>
        <w:rPr>
          <w:rFonts w:ascii="宋体" w:hAnsi="宋体" w:cs="宋体"/>
          <w:color w:val="auto"/>
          <w:highlight w:val="none"/>
        </w:rPr>
      </w:pPr>
      <w:r>
        <w:rPr>
          <w:rFonts w:hint="eastAsia" w:ascii="宋体" w:hAnsi="宋体" w:cs="宋体"/>
          <w:color w:val="auto"/>
          <w:highlight w:val="none"/>
        </w:rPr>
        <w:t>一、会议召开的基本情况</w:t>
      </w:r>
    </w:p>
    <w:p w14:paraId="5DA1B13E">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rPr>
        <w:t>、股东大会届次：2024年年度股东大会</w:t>
      </w:r>
    </w:p>
    <w:p w14:paraId="1F197D6E">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2、会议召集人：公司董事会</w:t>
      </w:r>
    </w:p>
    <w:p w14:paraId="2FEDB0A4">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3、会议召开的合法、合规性：经公司第五届董事会第八次会议审议通过，公司召开2024年年度股东大会；会议</w:t>
      </w:r>
      <w:r>
        <w:rPr>
          <w:rFonts w:hint="eastAsia" w:ascii="宋体" w:hAnsi="宋体" w:cs="宋体"/>
          <w:color w:val="auto"/>
          <w:sz w:val="24"/>
          <w:highlight w:val="none"/>
        </w:rPr>
        <w:t>召集程序符合有关法律、行政法规、部门规章、规范性文件和公司章程的规定。</w:t>
      </w:r>
    </w:p>
    <w:p w14:paraId="4C9E4896">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4、会议召开的日期、时间：</w:t>
      </w:r>
    </w:p>
    <w:p w14:paraId="6F53877E">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（1）现场会议召开时间：</w:t>
      </w:r>
      <w:r>
        <w:rPr>
          <w:rFonts w:hint="eastAsia" w:ascii="宋体" w:hAnsi="宋体" w:cs="宋体"/>
          <w:color w:val="auto"/>
          <w:sz w:val="24"/>
          <w:highlight w:val="none"/>
        </w:rPr>
        <w:t>2025年5月9日（星期五）</w:t>
      </w:r>
      <w:r>
        <w:rPr>
          <w:rFonts w:hint="eastAsia" w:ascii="宋体" w:hAnsi="宋体" w:cs="宋体"/>
          <w:color w:val="auto"/>
          <w:sz w:val="24"/>
          <w:highlight w:val="none"/>
        </w:rPr>
        <w:t>14:00</w:t>
      </w:r>
    </w:p>
    <w:p w14:paraId="7281E747">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（2）网络投票时间：</w:t>
      </w:r>
    </w:p>
    <w:p w14:paraId="7C928E64">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1）通过深圳证券交易所交易系统进行网络投票的具体时间为：</w:t>
      </w:r>
      <w:r>
        <w:rPr>
          <w:rFonts w:hint="eastAsia" w:ascii="宋体" w:hAnsi="宋体" w:cs="宋体"/>
          <w:color w:val="auto"/>
          <w:sz w:val="24"/>
          <w:highlight w:val="none"/>
        </w:rPr>
        <w:t>2025年5月9日</w:t>
      </w:r>
      <w:r>
        <w:rPr>
          <w:rFonts w:hint="eastAsia" w:ascii="宋体" w:hAnsi="宋体" w:cs="宋体"/>
          <w:color w:val="auto"/>
          <w:sz w:val="24"/>
          <w:highlight w:val="none"/>
        </w:rPr>
        <w:t>9:15—9:25，9:30—11:30和13:00—15:00。</w:t>
      </w:r>
    </w:p>
    <w:p w14:paraId="1D6D9F6C">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2）通过深圳证券交易所互联网投票系统投票的具体时间为：</w:t>
      </w:r>
      <w:r>
        <w:rPr>
          <w:rFonts w:hint="eastAsia" w:ascii="宋体" w:hAnsi="宋体" w:cs="宋体"/>
          <w:color w:val="auto"/>
          <w:sz w:val="24"/>
          <w:highlight w:val="none"/>
        </w:rPr>
        <w:t>2025年5月9日</w:t>
      </w:r>
      <w:r>
        <w:rPr>
          <w:rFonts w:hint="eastAsia" w:ascii="宋体" w:hAnsi="宋体" w:cs="宋体"/>
          <w:color w:val="auto"/>
          <w:sz w:val="24"/>
          <w:highlight w:val="none"/>
        </w:rPr>
        <w:t>9:15—15:00。</w:t>
      </w:r>
    </w:p>
    <w:p w14:paraId="1189A6EA">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5、会议的召开方式：本次股东大会采用现场表决与网络投票相结合的方式召开，公司股东应选择现场投票、网络投票中的一种方式，如果同一表决权出现重复投票表决的，以第一次投票表决结果为准。</w:t>
      </w:r>
    </w:p>
    <w:p w14:paraId="68D506B8">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6、会议的股权登记日：</w:t>
      </w:r>
      <w:r>
        <w:rPr>
          <w:rFonts w:hint="eastAsia" w:ascii="宋体" w:hAnsi="宋体" w:cs="宋体"/>
          <w:color w:val="auto"/>
          <w:sz w:val="24"/>
          <w:highlight w:val="none"/>
        </w:rPr>
        <w:t>2025年5月6日（星期二）</w:t>
      </w:r>
    </w:p>
    <w:p w14:paraId="4F6FA506">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7、出席对象：</w:t>
      </w:r>
    </w:p>
    <w:p w14:paraId="091AAB67">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（1）在股权登记日持有公司股份的股东。</w:t>
      </w:r>
    </w:p>
    <w:p w14:paraId="5F2E4830">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于股权登记日下午收市时在中国结算深圳分公司登记在册的公司全体股东均有权出席股东大会，并可以以书面形式委托代理人出席会议和参加表决，该股东代理人不必是本公司股东。</w:t>
      </w:r>
    </w:p>
    <w:p w14:paraId="0D943501">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（2）公司董事、监事、高级管理人员。</w:t>
      </w:r>
    </w:p>
    <w:p w14:paraId="09C2197E">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（3）公司聘请的见证律师及相关人员。</w:t>
      </w:r>
    </w:p>
    <w:p w14:paraId="7658BE1A">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8、会议召开地</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福</w:t>
      </w:r>
      <w:r>
        <w:rPr>
          <w:rFonts w:hint="eastAsia" w:ascii="宋体" w:hAnsi="宋体" w:cs="宋体"/>
          <w:color w:val="auto"/>
          <w:sz w:val="24"/>
          <w:highlight w:val="none"/>
        </w:rPr>
        <w:t>建省福州市闽侯县福州高新区乌龙江中大道7号海西高新技术产业园创新园二期16号楼13F会议室</w:t>
      </w:r>
    </w:p>
    <w:p w14:paraId="4581E8A7">
      <w:pPr>
        <w:pStyle w:val="2"/>
        <w:spacing w:before="156" w:after="156"/>
        <w:rPr>
          <w:color w:val="auto"/>
          <w:highlight w:val="none"/>
        </w:rPr>
      </w:pPr>
      <w:r>
        <w:rPr>
          <w:rFonts w:hint="eastAsia"/>
          <w:color w:val="auto"/>
          <w:highlight w:val="none"/>
        </w:rPr>
        <w:t>二、会议审议事项</w:t>
      </w:r>
    </w:p>
    <w:p w14:paraId="23C7163A">
      <w:pPr>
        <w:topLinePunct/>
        <w:spacing w:before="240" w:after="156" w:afterLines="50" w:line="360" w:lineRule="auto"/>
        <w:ind w:firstLine="482"/>
        <w:rPr>
          <w:rFonts w:ascii="宋体" w:hAnsi="宋体" w:cs="宋体"/>
          <w:color w:val="auto"/>
          <w:sz w:val="24"/>
          <w:highlight w:val="none"/>
        </w:rPr>
      </w:pPr>
      <w:r>
        <w:rPr>
          <w:rFonts w:hint="eastAsia" w:ascii="宋体" w:hAnsi="宋体" w:cs="宋体"/>
          <w:color w:val="auto"/>
          <w:sz w:val="24"/>
          <w:highlight w:val="none"/>
        </w:rPr>
        <w:t>1、审议事项</w:t>
      </w:r>
    </w:p>
    <w:p w14:paraId="68FFB739">
      <w:pPr>
        <w:keepNext w:val="0"/>
        <w:keepLines w:val="0"/>
        <w:pageBreakBefore w:val="0"/>
        <w:widowControl w:val="0"/>
        <w:kinsoku/>
        <w:wordWrap/>
        <w:overflowPunct/>
        <w:topLinePunct/>
        <w:autoSpaceDE/>
        <w:autoSpaceDN/>
        <w:bidi w:val="0"/>
        <w:adjustRightInd/>
        <w:snapToGrid/>
        <w:spacing w:line="360" w:lineRule="auto"/>
        <w:ind w:firstLine="0"/>
        <w:jc w:val="center"/>
        <w:textAlignment w:val="auto"/>
        <w:rPr>
          <w:rFonts w:ascii="宋体" w:hAnsi="宋体" w:cs="宋体"/>
          <w:color w:val="auto"/>
          <w:sz w:val="24"/>
          <w:highlight w:val="none"/>
        </w:rPr>
      </w:pPr>
      <w:r>
        <w:rPr>
          <w:rFonts w:hint="eastAsia" w:ascii="宋体" w:hAnsi="宋体" w:cs="宋体"/>
          <w:color w:val="auto"/>
          <w:sz w:val="24"/>
          <w:highlight w:val="none"/>
        </w:rPr>
        <w:t>表一：本次股东大会提案名称及编码表：</w:t>
      </w:r>
    </w:p>
    <w:tbl>
      <w:tblPr>
        <w:tblStyle w:val="9"/>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867"/>
        <w:gridCol w:w="1567"/>
      </w:tblGrid>
      <w:tr w14:paraId="4760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46" w:type="dxa"/>
            <w:vMerge w:val="restart"/>
            <w:shd w:val="clear" w:color="auto" w:fill="E0E0E0"/>
            <w:vAlign w:val="center"/>
          </w:tcPr>
          <w:p w14:paraId="1DFC67A0">
            <w:pPr>
              <w:jc w:val="center"/>
              <w:rPr>
                <w:rFonts w:ascii="宋体" w:hAnsi="宋体" w:cs="宋体"/>
                <w:b/>
                <w:color w:val="auto"/>
                <w:szCs w:val="21"/>
                <w:highlight w:val="none"/>
              </w:rPr>
            </w:pPr>
            <w:r>
              <w:rPr>
                <w:rFonts w:hint="eastAsia" w:ascii="宋体" w:hAnsi="宋体" w:cs="宋体"/>
                <w:b/>
                <w:color w:val="auto"/>
                <w:szCs w:val="21"/>
                <w:highlight w:val="none"/>
              </w:rPr>
              <w:t>提案编码</w:t>
            </w:r>
          </w:p>
        </w:tc>
        <w:tc>
          <w:tcPr>
            <w:tcW w:w="6867" w:type="dxa"/>
            <w:vMerge w:val="restart"/>
            <w:shd w:val="clear" w:color="auto" w:fill="E0E0E0"/>
            <w:vAlign w:val="center"/>
          </w:tcPr>
          <w:p w14:paraId="772024A9">
            <w:pPr>
              <w:jc w:val="center"/>
              <w:rPr>
                <w:rFonts w:ascii="宋体" w:hAnsi="宋体" w:cs="宋体"/>
                <w:b/>
                <w:color w:val="auto"/>
                <w:szCs w:val="21"/>
                <w:highlight w:val="none"/>
              </w:rPr>
            </w:pPr>
            <w:r>
              <w:rPr>
                <w:rFonts w:hint="eastAsia" w:ascii="宋体" w:hAnsi="宋体" w:cs="宋体"/>
                <w:b/>
                <w:color w:val="auto"/>
                <w:szCs w:val="21"/>
                <w:highlight w:val="none"/>
              </w:rPr>
              <w:t>提案名称</w:t>
            </w:r>
          </w:p>
        </w:tc>
        <w:tc>
          <w:tcPr>
            <w:tcW w:w="1567" w:type="dxa"/>
            <w:shd w:val="clear" w:color="auto" w:fill="E0E0E0"/>
            <w:vAlign w:val="center"/>
          </w:tcPr>
          <w:p w14:paraId="272B68CC">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50A2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46" w:type="dxa"/>
            <w:vMerge w:val="continue"/>
            <w:shd w:val="clear" w:color="auto" w:fill="auto"/>
            <w:vAlign w:val="center"/>
          </w:tcPr>
          <w:p w14:paraId="4EF55720">
            <w:pPr>
              <w:widowControl/>
              <w:jc w:val="left"/>
              <w:rPr>
                <w:rFonts w:ascii="宋体" w:hAnsi="宋体" w:cs="宋体"/>
                <w:color w:val="auto"/>
                <w:sz w:val="24"/>
                <w:highlight w:val="none"/>
              </w:rPr>
            </w:pPr>
          </w:p>
        </w:tc>
        <w:tc>
          <w:tcPr>
            <w:tcW w:w="6867" w:type="dxa"/>
            <w:vMerge w:val="continue"/>
            <w:shd w:val="clear" w:color="auto" w:fill="auto"/>
            <w:vAlign w:val="center"/>
          </w:tcPr>
          <w:p w14:paraId="351C36B9">
            <w:pPr>
              <w:widowControl/>
              <w:jc w:val="left"/>
              <w:rPr>
                <w:rFonts w:ascii="宋体" w:hAnsi="宋体" w:cs="宋体"/>
                <w:b/>
                <w:color w:val="auto"/>
                <w:sz w:val="24"/>
                <w:highlight w:val="none"/>
              </w:rPr>
            </w:pPr>
          </w:p>
        </w:tc>
        <w:tc>
          <w:tcPr>
            <w:tcW w:w="1567" w:type="dxa"/>
            <w:shd w:val="clear" w:color="auto" w:fill="E0E0E0"/>
            <w:vAlign w:val="center"/>
          </w:tcPr>
          <w:p w14:paraId="166C37B8">
            <w:pPr>
              <w:jc w:val="center"/>
              <w:rPr>
                <w:rFonts w:ascii="宋体" w:hAnsi="宋体" w:cs="宋体"/>
                <w:bCs/>
                <w:color w:val="auto"/>
                <w:szCs w:val="21"/>
                <w:highlight w:val="none"/>
              </w:rPr>
            </w:pPr>
            <w:r>
              <w:rPr>
                <w:rFonts w:hint="eastAsia" w:ascii="宋体" w:hAnsi="宋体" w:cs="宋体"/>
                <w:bCs/>
                <w:color w:val="auto"/>
                <w:szCs w:val="21"/>
                <w:highlight w:val="none"/>
                <w:shd w:val="clear" w:color="auto" w:fill="E0E0E0"/>
              </w:rPr>
              <w:t>该列打勾的栏目可以投票</w:t>
            </w:r>
          </w:p>
        </w:tc>
      </w:tr>
      <w:tr w14:paraId="2142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46" w:type="dxa"/>
            <w:vAlign w:val="center"/>
          </w:tcPr>
          <w:p w14:paraId="7B6BBB90">
            <w:pPr>
              <w:jc w:val="center"/>
              <w:rPr>
                <w:rFonts w:ascii="宋体" w:hAnsi="宋体" w:cs="宋体"/>
                <w:color w:val="auto"/>
                <w:szCs w:val="21"/>
                <w:highlight w:val="none"/>
              </w:rPr>
            </w:pPr>
            <w:r>
              <w:rPr>
                <w:rFonts w:hint="eastAsia" w:ascii="宋体" w:hAnsi="宋体" w:cs="宋体"/>
                <w:b/>
                <w:bCs/>
                <w:color w:val="auto"/>
                <w:szCs w:val="21"/>
                <w:highlight w:val="none"/>
              </w:rPr>
              <w:t>100</w:t>
            </w:r>
          </w:p>
        </w:tc>
        <w:tc>
          <w:tcPr>
            <w:tcW w:w="6867" w:type="dxa"/>
            <w:vAlign w:val="center"/>
          </w:tcPr>
          <w:p w14:paraId="6F0772E1">
            <w:pPr>
              <w:jc w:val="center"/>
              <w:rPr>
                <w:rFonts w:ascii="宋体" w:hAnsi="宋体" w:cs="宋体"/>
                <w:b/>
                <w:bCs/>
                <w:color w:val="auto"/>
                <w:szCs w:val="21"/>
                <w:highlight w:val="none"/>
              </w:rPr>
            </w:pPr>
            <w:r>
              <w:rPr>
                <w:rFonts w:hint="eastAsia" w:ascii="宋体" w:hAnsi="宋体" w:cs="宋体"/>
                <w:b/>
                <w:bCs/>
                <w:color w:val="auto"/>
                <w:szCs w:val="21"/>
                <w:highlight w:val="none"/>
              </w:rPr>
              <w:t>总议案：除累积投票提案外的所有提案</w:t>
            </w:r>
          </w:p>
        </w:tc>
        <w:tc>
          <w:tcPr>
            <w:tcW w:w="1567" w:type="dxa"/>
            <w:vAlign w:val="center"/>
          </w:tcPr>
          <w:p w14:paraId="0BCF0D6A">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0FF8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0" w:type="dxa"/>
            <w:gridSpan w:val="3"/>
            <w:vAlign w:val="center"/>
          </w:tcPr>
          <w:p w14:paraId="07F9A9EE">
            <w:pPr>
              <w:jc w:val="center"/>
              <w:rPr>
                <w:rFonts w:ascii="宋体" w:hAnsi="宋体" w:cs="宋体"/>
                <w:color w:val="auto"/>
                <w:szCs w:val="21"/>
                <w:highlight w:val="none"/>
              </w:rPr>
            </w:pPr>
            <w:r>
              <w:rPr>
                <w:rFonts w:hint="eastAsia" w:ascii="宋体" w:hAnsi="宋体" w:cs="宋体"/>
                <w:color w:val="auto"/>
                <w:szCs w:val="21"/>
                <w:highlight w:val="none"/>
              </w:rPr>
              <w:t>非累积投票提案</w:t>
            </w:r>
          </w:p>
        </w:tc>
      </w:tr>
      <w:tr w14:paraId="7335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46" w:type="dxa"/>
            <w:shd w:val="clear" w:color="auto" w:fill="auto"/>
            <w:vAlign w:val="center"/>
          </w:tcPr>
          <w:p w14:paraId="54DCC88C">
            <w:pPr>
              <w:jc w:val="center"/>
              <w:rPr>
                <w:rFonts w:ascii="宋体" w:hAnsi="宋体" w:cs="宋体"/>
                <w:b/>
                <w:color w:val="auto"/>
                <w:szCs w:val="21"/>
                <w:highlight w:val="none"/>
              </w:rPr>
            </w:pPr>
            <w:r>
              <w:rPr>
                <w:rFonts w:hint="eastAsia" w:ascii="宋体" w:hAnsi="宋体" w:cs="宋体"/>
                <w:b/>
                <w:color w:val="auto"/>
                <w:szCs w:val="21"/>
                <w:highlight w:val="none"/>
              </w:rPr>
              <w:t>1.00</w:t>
            </w:r>
          </w:p>
        </w:tc>
        <w:tc>
          <w:tcPr>
            <w:tcW w:w="6867" w:type="dxa"/>
            <w:shd w:val="clear" w:color="auto" w:fill="auto"/>
            <w:vAlign w:val="center"/>
          </w:tcPr>
          <w:p w14:paraId="35069820">
            <w:pPr>
              <w:jc w:val="left"/>
              <w:rPr>
                <w:rFonts w:ascii="宋体" w:hAnsi="宋体" w:cs="宋体"/>
                <w:color w:val="auto"/>
                <w:szCs w:val="21"/>
                <w:highlight w:val="none"/>
              </w:rPr>
            </w:pPr>
            <w:r>
              <w:rPr>
                <w:rFonts w:hint="eastAsia" w:ascii="宋体" w:hAnsi="宋体" w:cs="宋体"/>
                <w:color w:val="auto"/>
                <w:szCs w:val="21"/>
                <w:highlight w:val="none"/>
              </w:rPr>
              <w:t>《关于&lt;2024年度监事会工作报告&gt;的议案》</w:t>
            </w:r>
          </w:p>
        </w:tc>
        <w:tc>
          <w:tcPr>
            <w:tcW w:w="1567" w:type="dxa"/>
            <w:vAlign w:val="center"/>
          </w:tcPr>
          <w:p w14:paraId="5906C15D">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20DE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46" w:type="dxa"/>
            <w:shd w:val="clear" w:color="auto" w:fill="auto"/>
            <w:vAlign w:val="center"/>
          </w:tcPr>
          <w:p w14:paraId="73332E13">
            <w:pPr>
              <w:jc w:val="center"/>
              <w:rPr>
                <w:rFonts w:ascii="宋体" w:hAnsi="宋体" w:cs="宋体"/>
                <w:b/>
                <w:color w:val="auto"/>
                <w:szCs w:val="21"/>
                <w:highlight w:val="none"/>
              </w:rPr>
            </w:pPr>
            <w:r>
              <w:rPr>
                <w:rFonts w:hint="eastAsia" w:ascii="宋体" w:hAnsi="宋体" w:cs="宋体"/>
                <w:b/>
                <w:color w:val="auto"/>
                <w:szCs w:val="21"/>
                <w:highlight w:val="none"/>
              </w:rPr>
              <w:t>2.00</w:t>
            </w:r>
          </w:p>
        </w:tc>
        <w:tc>
          <w:tcPr>
            <w:tcW w:w="6867" w:type="dxa"/>
            <w:shd w:val="clear" w:color="auto" w:fill="auto"/>
            <w:vAlign w:val="center"/>
          </w:tcPr>
          <w:p w14:paraId="6577B336">
            <w:pPr>
              <w:jc w:val="left"/>
              <w:rPr>
                <w:rFonts w:ascii="宋体" w:hAnsi="宋体" w:cs="宋体"/>
                <w:color w:val="auto"/>
                <w:szCs w:val="21"/>
                <w:highlight w:val="none"/>
              </w:rPr>
            </w:pPr>
            <w:r>
              <w:rPr>
                <w:rFonts w:hint="eastAsia" w:ascii="宋体" w:hAnsi="宋体" w:cs="宋体"/>
                <w:color w:val="auto"/>
                <w:szCs w:val="21"/>
                <w:highlight w:val="none"/>
              </w:rPr>
              <w:t>《关于&lt;2024年度董事会工作报告&gt;的议案》</w:t>
            </w:r>
          </w:p>
        </w:tc>
        <w:tc>
          <w:tcPr>
            <w:tcW w:w="1567" w:type="dxa"/>
            <w:vAlign w:val="center"/>
          </w:tcPr>
          <w:p w14:paraId="6B7C892E">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48D1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0F757F6E">
            <w:pPr>
              <w:jc w:val="center"/>
              <w:rPr>
                <w:rFonts w:ascii="宋体" w:hAnsi="宋体" w:cs="宋体"/>
                <w:b/>
                <w:color w:val="auto"/>
                <w:szCs w:val="21"/>
                <w:highlight w:val="none"/>
              </w:rPr>
            </w:pPr>
            <w:r>
              <w:rPr>
                <w:rFonts w:hint="eastAsia" w:ascii="宋体" w:hAnsi="宋体" w:cs="宋体"/>
                <w:b/>
                <w:color w:val="auto"/>
                <w:szCs w:val="21"/>
                <w:highlight w:val="none"/>
              </w:rPr>
              <w:t>3.00</w:t>
            </w:r>
          </w:p>
        </w:tc>
        <w:tc>
          <w:tcPr>
            <w:tcW w:w="6867" w:type="dxa"/>
            <w:vAlign w:val="center"/>
          </w:tcPr>
          <w:p w14:paraId="29A6519D">
            <w:pPr>
              <w:jc w:val="left"/>
              <w:rPr>
                <w:rFonts w:ascii="宋体" w:hAnsi="宋体" w:cs="宋体"/>
                <w:color w:val="auto"/>
                <w:szCs w:val="21"/>
                <w:highlight w:val="none"/>
              </w:rPr>
            </w:pPr>
            <w:r>
              <w:rPr>
                <w:rFonts w:hint="eastAsia" w:ascii="宋体" w:hAnsi="宋体" w:cs="宋体"/>
                <w:color w:val="auto"/>
                <w:szCs w:val="21"/>
                <w:highlight w:val="none"/>
              </w:rPr>
              <w:t>《关于&lt;2024年年度报告&gt;及其摘要的议案》</w:t>
            </w:r>
          </w:p>
        </w:tc>
        <w:tc>
          <w:tcPr>
            <w:tcW w:w="1567" w:type="dxa"/>
            <w:vAlign w:val="center"/>
          </w:tcPr>
          <w:p w14:paraId="6C95C5C8">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30F0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24DCE5B6">
            <w:pPr>
              <w:jc w:val="center"/>
              <w:rPr>
                <w:rFonts w:ascii="宋体" w:hAnsi="宋体" w:cs="宋体"/>
                <w:b/>
                <w:color w:val="auto"/>
                <w:szCs w:val="21"/>
                <w:highlight w:val="none"/>
              </w:rPr>
            </w:pPr>
            <w:r>
              <w:rPr>
                <w:rFonts w:hint="eastAsia" w:ascii="宋体" w:hAnsi="宋体" w:cs="宋体"/>
                <w:b/>
                <w:color w:val="auto"/>
                <w:szCs w:val="21"/>
                <w:highlight w:val="none"/>
              </w:rPr>
              <w:t>4.00</w:t>
            </w:r>
          </w:p>
        </w:tc>
        <w:tc>
          <w:tcPr>
            <w:tcW w:w="6867" w:type="dxa"/>
            <w:vAlign w:val="center"/>
          </w:tcPr>
          <w:p w14:paraId="49652AD1">
            <w:pPr>
              <w:jc w:val="left"/>
              <w:rPr>
                <w:rFonts w:ascii="宋体" w:hAnsi="宋体" w:cs="宋体"/>
                <w:color w:val="auto"/>
                <w:szCs w:val="21"/>
                <w:highlight w:val="none"/>
              </w:rPr>
            </w:pPr>
            <w:r>
              <w:rPr>
                <w:rFonts w:hint="eastAsia" w:ascii="宋体" w:hAnsi="宋体" w:cs="宋体"/>
                <w:color w:val="auto"/>
                <w:szCs w:val="21"/>
                <w:highlight w:val="none"/>
              </w:rPr>
              <w:t>《关于&lt;2024年度财务决算报告&gt;的议案》</w:t>
            </w:r>
          </w:p>
        </w:tc>
        <w:tc>
          <w:tcPr>
            <w:tcW w:w="1567" w:type="dxa"/>
            <w:vAlign w:val="center"/>
          </w:tcPr>
          <w:p w14:paraId="49287A81">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3B85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139AC12E">
            <w:pPr>
              <w:jc w:val="center"/>
              <w:rPr>
                <w:rFonts w:ascii="宋体" w:hAnsi="宋体" w:cs="宋体"/>
                <w:b/>
                <w:color w:val="auto"/>
                <w:szCs w:val="21"/>
                <w:highlight w:val="none"/>
              </w:rPr>
            </w:pPr>
            <w:r>
              <w:rPr>
                <w:rFonts w:hint="eastAsia" w:ascii="宋体" w:hAnsi="宋体" w:cs="宋体"/>
                <w:b/>
                <w:color w:val="auto"/>
                <w:szCs w:val="21"/>
                <w:highlight w:val="none"/>
              </w:rPr>
              <w:t>5.00</w:t>
            </w:r>
          </w:p>
        </w:tc>
        <w:tc>
          <w:tcPr>
            <w:tcW w:w="6867" w:type="dxa"/>
            <w:vAlign w:val="center"/>
          </w:tcPr>
          <w:p w14:paraId="32F1C2E6">
            <w:pPr>
              <w:jc w:val="left"/>
              <w:rPr>
                <w:rFonts w:ascii="宋体" w:hAnsi="宋体" w:cs="宋体"/>
                <w:color w:val="auto"/>
                <w:szCs w:val="21"/>
                <w:highlight w:val="none"/>
              </w:rPr>
            </w:pPr>
            <w:r>
              <w:rPr>
                <w:rFonts w:hint="eastAsia" w:ascii="宋体" w:hAnsi="宋体" w:cs="宋体"/>
                <w:color w:val="auto"/>
                <w:szCs w:val="21"/>
                <w:highlight w:val="none"/>
              </w:rPr>
              <w:t>《关于&lt;2024年度内部控制自我评价报告&gt;的议案》</w:t>
            </w:r>
          </w:p>
        </w:tc>
        <w:tc>
          <w:tcPr>
            <w:tcW w:w="1567" w:type="dxa"/>
            <w:vAlign w:val="center"/>
          </w:tcPr>
          <w:p w14:paraId="7FCECC70">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666A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1C909AA5">
            <w:pPr>
              <w:jc w:val="center"/>
              <w:rPr>
                <w:rFonts w:ascii="宋体" w:hAnsi="宋体" w:cs="宋体"/>
                <w:b/>
                <w:color w:val="auto"/>
                <w:szCs w:val="21"/>
                <w:highlight w:val="none"/>
              </w:rPr>
            </w:pPr>
            <w:r>
              <w:rPr>
                <w:rFonts w:hint="eastAsia" w:ascii="宋体" w:hAnsi="宋体" w:cs="宋体"/>
                <w:b/>
                <w:color w:val="auto"/>
                <w:szCs w:val="21"/>
                <w:highlight w:val="none"/>
              </w:rPr>
              <w:t>6.00</w:t>
            </w:r>
          </w:p>
        </w:tc>
        <w:tc>
          <w:tcPr>
            <w:tcW w:w="6867" w:type="dxa"/>
            <w:vAlign w:val="center"/>
          </w:tcPr>
          <w:p w14:paraId="72897F69">
            <w:pPr>
              <w:jc w:val="left"/>
              <w:rPr>
                <w:rFonts w:ascii="宋体" w:hAnsi="宋体" w:cs="宋体"/>
                <w:color w:val="auto"/>
                <w:szCs w:val="21"/>
                <w:highlight w:val="none"/>
              </w:rPr>
            </w:pPr>
            <w:r>
              <w:rPr>
                <w:rFonts w:hint="eastAsia" w:ascii="宋体" w:hAnsi="宋体" w:cs="宋体"/>
                <w:color w:val="auto"/>
                <w:szCs w:val="21"/>
                <w:highlight w:val="none"/>
              </w:rPr>
              <w:t>《关于续聘公司2025年度会计师事务所的议案》</w:t>
            </w:r>
          </w:p>
        </w:tc>
        <w:tc>
          <w:tcPr>
            <w:tcW w:w="1567" w:type="dxa"/>
            <w:vAlign w:val="center"/>
          </w:tcPr>
          <w:p w14:paraId="1FE9C653">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2198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0EE55725">
            <w:pPr>
              <w:jc w:val="center"/>
              <w:rPr>
                <w:rFonts w:ascii="宋体" w:hAnsi="宋体" w:cs="宋体"/>
                <w:b/>
                <w:color w:val="auto"/>
                <w:szCs w:val="21"/>
                <w:highlight w:val="none"/>
              </w:rPr>
            </w:pPr>
            <w:r>
              <w:rPr>
                <w:rFonts w:hint="eastAsia" w:ascii="宋体" w:hAnsi="宋体" w:cs="宋体"/>
                <w:b/>
                <w:color w:val="auto"/>
                <w:szCs w:val="21"/>
                <w:highlight w:val="none"/>
              </w:rPr>
              <w:t>7.00</w:t>
            </w:r>
          </w:p>
        </w:tc>
        <w:tc>
          <w:tcPr>
            <w:tcW w:w="6867" w:type="dxa"/>
            <w:vAlign w:val="center"/>
          </w:tcPr>
          <w:p w14:paraId="0F4CE682">
            <w:pPr>
              <w:jc w:val="left"/>
              <w:rPr>
                <w:rFonts w:ascii="宋体" w:hAnsi="宋体" w:cs="宋体"/>
                <w:color w:val="auto"/>
                <w:szCs w:val="21"/>
                <w:highlight w:val="none"/>
              </w:rPr>
            </w:pPr>
            <w:r>
              <w:rPr>
                <w:rFonts w:hint="eastAsia" w:ascii="宋体" w:hAnsi="宋体" w:cs="宋体"/>
                <w:color w:val="auto"/>
                <w:szCs w:val="21"/>
                <w:highlight w:val="none"/>
              </w:rPr>
              <w:t>《关于2024年度利润分配预案的议案》</w:t>
            </w:r>
          </w:p>
        </w:tc>
        <w:tc>
          <w:tcPr>
            <w:tcW w:w="1567" w:type="dxa"/>
            <w:vAlign w:val="center"/>
          </w:tcPr>
          <w:p w14:paraId="1433C852">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5C1B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77B2B740">
            <w:pPr>
              <w:jc w:val="center"/>
              <w:rPr>
                <w:rFonts w:ascii="宋体" w:hAnsi="宋体" w:cs="宋体"/>
                <w:b/>
                <w:color w:val="auto"/>
                <w:szCs w:val="21"/>
                <w:highlight w:val="none"/>
              </w:rPr>
            </w:pPr>
            <w:r>
              <w:rPr>
                <w:rFonts w:hint="eastAsia" w:ascii="宋体" w:hAnsi="宋体" w:cs="宋体"/>
                <w:b/>
                <w:color w:val="auto"/>
                <w:szCs w:val="21"/>
                <w:highlight w:val="none"/>
              </w:rPr>
              <w:t>8.00</w:t>
            </w:r>
          </w:p>
        </w:tc>
        <w:tc>
          <w:tcPr>
            <w:tcW w:w="6867" w:type="dxa"/>
            <w:vAlign w:val="center"/>
          </w:tcPr>
          <w:p w14:paraId="1E2D1A8C">
            <w:pPr>
              <w:jc w:val="left"/>
              <w:rPr>
                <w:rFonts w:ascii="宋体" w:hAnsi="宋体" w:cs="宋体"/>
                <w:color w:val="auto"/>
                <w:szCs w:val="21"/>
                <w:highlight w:val="none"/>
              </w:rPr>
            </w:pPr>
            <w:r>
              <w:rPr>
                <w:rFonts w:hint="eastAsia" w:ascii="宋体" w:hAnsi="宋体" w:cs="宋体"/>
                <w:color w:val="auto"/>
                <w:szCs w:val="21"/>
                <w:highlight w:val="none"/>
              </w:rPr>
              <w:t>《关于董事、监事2024年度薪酬确认及2025年度薪酬方案的议案》</w:t>
            </w:r>
          </w:p>
        </w:tc>
        <w:tc>
          <w:tcPr>
            <w:tcW w:w="1567" w:type="dxa"/>
            <w:vAlign w:val="center"/>
          </w:tcPr>
          <w:p w14:paraId="43602FEC">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78A3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1B8D77A8">
            <w:pPr>
              <w:jc w:val="center"/>
              <w:rPr>
                <w:rFonts w:ascii="宋体" w:hAnsi="宋体" w:cs="宋体"/>
                <w:b/>
                <w:color w:val="auto"/>
                <w:szCs w:val="21"/>
                <w:highlight w:val="none"/>
              </w:rPr>
            </w:pPr>
            <w:r>
              <w:rPr>
                <w:rFonts w:hint="eastAsia" w:ascii="宋体" w:hAnsi="宋体" w:cs="宋体"/>
                <w:b/>
                <w:color w:val="auto"/>
                <w:szCs w:val="21"/>
                <w:highlight w:val="none"/>
              </w:rPr>
              <w:t>9.00</w:t>
            </w:r>
          </w:p>
        </w:tc>
        <w:tc>
          <w:tcPr>
            <w:tcW w:w="6867" w:type="dxa"/>
            <w:vAlign w:val="center"/>
          </w:tcPr>
          <w:p w14:paraId="1D343775">
            <w:pPr>
              <w:jc w:val="left"/>
              <w:rPr>
                <w:rFonts w:ascii="宋体" w:hAnsi="宋体" w:cs="宋体"/>
                <w:color w:val="auto"/>
                <w:szCs w:val="21"/>
                <w:highlight w:val="none"/>
              </w:rPr>
            </w:pPr>
            <w:r>
              <w:rPr>
                <w:rFonts w:hint="eastAsia" w:ascii="宋体" w:hAnsi="宋体" w:cs="宋体"/>
                <w:color w:val="auto"/>
                <w:szCs w:val="21"/>
                <w:highlight w:val="none"/>
              </w:rPr>
              <w:t>《关于2025年度银行贷款额度及担保事项的议案》</w:t>
            </w:r>
          </w:p>
        </w:tc>
        <w:tc>
          <w:tcPr>
            <w:tcW w:w="1567" w:type="dxa"/>
            <w:vAlign w:val="center"/>
          </w:tcPr>
          <w:p w14:paraId="77404BA8">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08E8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14:paraId="300630EC">
            <w:pPr>
              <w:jc w:val="center"/>
              <w:rPr>
                <w:rFonts w:ascii="宋体" w:hAnsi="宋体" w:cs="宋体"/>
                <w:b/>
                <w:color w:val="auto"/>
                <w:szCs w:val="21"/>
                <w:highlight w:val="none"/>
              </w:rPr>
            </w:pPr>
            <w:r>
              <w:rPr>
                <w:rFonts w:hint="eastAsia" w:ascii="宋体" w:hAnsi="宋体" w:cs="宋体"/>
                <w:b/>
                <w:color w:val="auto"/>
                <w:szCs w:val="21"/>
                <w:highlight w:val="none"/>
              </w:rPr>
              <w:t>10.00</w:t>
            </w:r>
          </w:p>
        </w:tc>
        <w:tc>
          <w:tcPr>
            <w:tcW w:w="6867" w:type="dxa"/>
            <w:vAlign w:val="center"/>
          </w:tcPr>
          <w:p w14:paraId="788F9E47">
            <w:pPr>
              <w:jc w:val="left"/>
              <w:rPr>
                <w:rFonts w:ascii="宋体" w:hAnsi="宋体" w:cs="宋体"/>
                <w:color w:val="auto"/>
                <w:szCs w:val="21"/>
                <w:highlight w:val="none"/>
              </w:rPr>
            </w:pPr>
            <w:r>
              <w:rPr>
                <w:rFonts w:hint="eastAsia" w:ascii="宋体" w:hAnsi="宋体" w:cs="宋体"/>
                <w:color w:val="auto"/>
                <w:szCs w:val="21"/>
                <w:highlight w:val="none"/>
              </w:rPr>
              <w:t>《关于购买董事、监事及高级管理人员责任保险的议案》</w:t>
            </w:r>
          </w:p>
        </w:tc>
        <w:tc>
          <w:tcPr>
            <w:tcW w:w="1567" w:type="dxa"/>
            <w:vAlign w:val="center"/>
          </w:tcPr>
          <w:p w14:paraId="38B8141D">
            <w:pPr>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551E4012">
      <w:pPr>
        <w:topLinePunct/>
        <w:spacing w:before="120" w:line="360" w:lineRule="auto"/>
        <w:ind w:firstLine="482"/>
        <w:rPr>
          <w:rFonts w:ascii="宋体" w:hAnsi="宋体" w:cs="宋体"/>
          <w:color w:val="auto"/>
          <w:sz w:val="24"/>
          <w:highlight w:val="none"/>
        </w:rPr>
      </w:pPr>
      <w:r>
        <w:rPr>
          <w:rFonts w:hint="eastAsia" w:ascii="宋体" w:hAnsi="宋体" w:cs="宋体"/>
          <w:color w:val="auto"/>
          <w:sz w:val="24"/>
          <w:highlight w:val="none"/>
        </w:rPr>
        <w:t>2、披露情况</w:t>
      </w:r>
    </w:p>
    <w:p w14:paraId="048CC4BD">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w:t>
      </w:r>
      <w:r>
        <w:rPr>
          <w:rFonts w:hint="eastAsia" w:ascii="宋体" w:hAnsi="宋体" w:cs="宋体"/>
          <w:color w:val="auto"/>
          <w:sz w:val="24"/>
          <w:highlight w:val="none"/>
        </w:rPr>
        <w:t>述议案已经公司第五届董事会第八次会议和第五届监事会第七次会议审议，具体内容详见公司</w:t>
      </w:r>
      <w:r>
        <w:rPr>
          <w:rFonts w:hint="eastAsia" w:ascii="宋体" w:hAnsi="宋体" w:cs="宋体"/>
          <w:color w:val="auto"/>
          <w:sz w:val="24"/>
          <w:highlight w:val="none"/>
        </w:rPr>
        <w:t>同日披露于巨潮资讯网（http://www.cninfo.com.cn）的相关公告。</w:t>
      </w:r>
    </w:p>
    <w:p w14:paraId="2764441A">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3、特别说明</w:t>
      </w:r>
    </w:p>
    <w:p w14:paraId="4C957130">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议案9为特别决议事项，需经出席股东大会的股东（包括股东代理人）所持有效表决权股份总数的三分之二以上（含）同意</w:t>
      </w:r>
      <w:r>
        <w:rPr>
          <w:rFonts w:hint="eastAsia" w:ascii="宋体" w:hAnsi="宋体" w:cs="宋体"/>
          <w:color w:val="auto"/>
          <w:sz w:val="24"/>
          <w:highlight w:val="none"/>
          <w:lang w:eastAsia="zh-CN"/>
        </w:rPr>
        <w:t>；</w:t>
      </w:r>
      <w:r>
        <w:rPr>
          <w:rFonts w:hint="eastAsia" w:ascii="宋体" w:hAnsi="宋体" w:cs="宋体"/>
          <w:color w:val="auto"/>
          <w:sz w:val="24"/>
          <w:highlight w:val="none"/>
        </w:rPr>
        <w:t>根据</w:t>
      </w:r>
      <w:r>
        <w:rPr>
          <w:rFonts w:hint="eastAsia" w:ascii="宋体" w:hAnsi="宋体" w:cs="宋体"/>
          <w:color w:val="auto"/>
          <w:sz w:val="24"/>
          <w:highlight w:val="none"/>
        </w:rPr>
        <w:t>《上市公司股东会规则》的要求并按照审慎性原则，上述</w:t>
      </w:r>
      <w:r>
        <w:rPr>
          <w:rFonts w:hint="eastAsia" w:ascii="宋体" w:hAnsi="宋体" w:cs="宋体"/>
          <w:color w:val="auto"/>
          <w:sz w:val="24"/>
          <w:highlight w:val="none"/>
          <w:lang w:val="en-US" w:eastAsia="zh-CN"/>
        </w:rPr>
        <w:t>全部议案</w:t>
      </w:r>
      <w:r>
        <w:rPr>
          <w:rFonts w:hint="eastAsia" w:ascii="宋体" w:hAnsi="宋体" w:cs="宋体"/>
          <w:color w:val="auto"/>
          <w:sz w:val="24"/>
          <w:highlight w:val="none"/>
        </w:rPr>
        <w:t>将对中小投资者的表决情况单独计票并予以披露。中小投资者是指除下列股东以外的其他股东：公司的董事、监事、高级管理人员；单独或者合计持有公司5%以上股份的股东。</w:t>
      </w:r>
    </w:p>
    <w:p w14:paraId="1CC91F11">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4、上述</w:t>
      </w:r>
      <w:r>
        <w:rPr>
          <w:rFonts w:hint="eastAsia" w:ascii="宋体" w:hAnsi="宋体" w:cs="宋体"/>
          <w:color w:val="auto"/>
          <w:sz w:val="24"/>
          <w:highlight w:val="none"/>
          <w:lang w:val="en-US" w:eastAsia="zh-CN"/>
        </w:rPr>
        <w:t>议案</w:t>
      </w:r>
      <w:r>
        <w:rPr>
          <w:rFonts w:hint="eastAsia" w:ascii="宋体" w:hAnsi="宋体" w:cs="宋体"/>
          <w:color w:val="auto"/>
          <w:sz w:val="24"/>
          <w:highlight w:val="none"/>
        </w:rPr>
        <w:t>涉及的关联股东应回避表决。</w:t>
      </w:r>
    </w:p>
    <w:p w14:paraId="2E0C6141">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5、公司独立董事陈明宇、强欣荣、任红、吴红军、鲁凤民、吴飞美已经向董事会递交了《2024年度独立董事述职报告》，届时将在会议上做2024年度述职报告。</w:t>
      </w:r>
    </w:p>
    <w:p w14:paraId="2BFBBE5A">
      <w:pPr>
        <w:pStyle w:val="2"/>
        <w:spacing w:before="156" w:after="156"/>
        <w:rPr>
          <w:color w:val="auto"/>
          <w:highlight w:val="none"/>
        </w:rPr>
      </w:pPr>
      <w:r>
        <w:rPr>
          <w:rFonts w:hint="eastAsia"/>
          <w:color w:val="auto"/>
          <w:highlight w:val="none"/>
        </w:rPr>
        <w:t>三、会议登记办法</w:t>
      </w:r>
    </w:p>
    <w:p w14:paraId="73C23DF6">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1、登记方式</w:t>
      </w:r>
    </w:p>
    <w:p w14:paraId="7DCFFA34">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（1）自然人股东须持本人身份证办理登记手续；自然人股东委托代理人出席会议的，须持代理人身份证、授权委托书（附件二）、委托人身份证办理登记手续。</w:t>
      </w:r>
    </w:p>
    <w:p w14:paraId="2EBE9633">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2）法人股东应由法定代表人或法定代表人委托的代理人出席会议。法定代表人出席会议的，应持加盖公章的营业执照复印件、法定代表人证明书及身份证办理登记手续。法定代表人委托代理人出席会议的，代理人应持代理人本人身份证、加盖公章的营业执照复印件、法定代表人出具的授权委托书、法定代表人身份证明办理登记手续。</w:t>
      </w:r>
    </w:p>
    <w:p w14:paraId="6094FF5D">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（3）异地股东可采用信函或传真的方式登记，股东请仔细填写《参会股东登记表》（附件三），以便登记确认。</w:t>
      </w:r>
    </w:p>
    <w:p w14:paraId="4F156EA6">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（4）本次股东大会不接受电话登记</w:t>
      </w:r>
    </w:p>
    <w:p w14:paraId="0442A44F">
      <w:pPr>
        <w:numPr>
          <w:ilvl w:val="0"/>
          <w:numId w:val="1"/>
        </w:num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登记时间：本次股东大会现场登记时间为</w:t>
      </w:r>
      <w:r>
        <w:rPr>
          <w:rFonts w:hint="eastAsia" w:ascii="宋体" w:hAnsi="宋体" w:cs="宋体"/>
          <w:color w:val="auto"/>
          <w:sz w:val="24"/>
          <w:highlight w:val="none"/>
        </w:rPr>
        <w:t>2025年5月7日</w:t>
      </w:r>
      <w:r>
        <w:rPr>
          <w:rFonts w:hint="eastAsia" w:ascii="宋体" w:hAnsi="宋体" w:cs="宋体"/>
          <w:color w:val="auto"/>
          <w:sz w:val="24"/>
          <w:highlight w:val="none"/>
        </w:rPr>
        <w:t>上午9:00至12:00，下午13:00至17:00。采用信函或传真方式登记的须在</w:t>
      </w:r>
      <w:r>
        <w:rPr>
          <w:rFonts w:hint="eastAsia" w:ascii="宋体" w:hAnsi="宋体" w:cs="宋体"/>
          <w:color w:val="auto"/>
          <w:sz w:val="24"/>
          <w:highlight w:val="none"/>
        </w:rPr>
        <w:t>2025年5月7日</w:t>
      </w:r>
      <w:r>
        <w:rPr>
          <w:rFonts w:hint="eastAsia" w:ascii="宋体" w:hAnsi="宋体" w:cs="宋体"/>
          <w:color w:val="auto"/>
          <w:sz w:val="24"/>
          <w:highlight w:val="none"/>
        </w:rPr>
        <w:t>18:00之前送达或传真到公司。</w:t>
      </w:r>
    </w:p>
    <w:p w14:paraId="0BA6218D">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3、登记地点：</w:t>
      </w:r>
      <w:r>
        <w:rPr>
          <w:rFonts w:hint="eastAsia" w:ascii="宋体" w:hAnsi="宋体" w:cs="宋体"/>
          <w:color w:val="auto"/>
          <w:sz w:val="24"/>
          <w:highlight w:val="none"/>
          <w:lang w:val="en-US" w:eastAsia="zh-CN"/>
        </w:rPr>
        <w:t>福</w:t>
      </w:r>
      <w:r>
        <w:rPr>
          <w:rFonts w:hint="eastAsia" w:ascii="宋体" w:hAnsi="宋体" w:cs="宋体"/>
          <w:color w:val="auto"/>
          <w:sz w:val="24"/>
          <w:highlight w:val="none"/>
        </w:rPr>
        <w:t>建省</w:t>
      </w:r>
      <w:r>
        <w:rPr>
          <w:rFonts w:hint="eastAsia" w:ascii="宋体" w:hAnsi="宋体" w:cs="宋体"/>
          <w:color w:val="auto"/>
          <w:sz w:val="24"/>
          <w:highlight w:val="none"/>
        </w:rPr>
        <w:t>福州市闽侯县福州高新区乌龙江中大道7号海西高新技术产业园创新园二期16号楼12F公司证券投资部，邮编：350108（如通过信函方式登记，信封上请注明“2024年年度股东大会”字样）</w:t>
      </w:r>
      <w:r>
        <w:rPr>
          <w:rFonts w:hint="eastAsia" w:ascii="宋体" w:hAnsi="宋体" w:cs="宋体"/>
          <w:color w:val="auto"/>
          <w:sz w:val="24"/>
          <w:highlight w:val="none"/>
        </w:rPr>
        <w:t>。</w:t>
      </w:r>
    </w:p>
    <w:p w14:paraId="7F61D032">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4、注意事项</w:t>
      </w:r>
    </w:p>
    <w:p w14:paraId="667D1449">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（1）以上证明文件办理登记时出示原件或复印件均可，异地股东可凭以上有关证件采取信函或传真方式登记。</w:t>
      </w:r>
    </w:p>
    <w:p w14:paraId="678013C0">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（2）出席会议签到时，出席人身份证和授权委托书必须出示原件，并于会议前半小时到达会场。</w:t>
      </w:r>
    </w:p>
    <w:p w14:paraId="3782A7C8">
      <w:pPr>
        <w:pStyle w:val="2"/>
        <w:bidi w:val="0"/>
        <w:rPr>
          <w:highlight w:val="none"/>
        </w:rPr>
      </w:pPr>
      <w:r>
        <w:rPr>
          <w:rFonts w:hint="eastAsia"/>
          <w:highlight w:val="none"/>
        </w:rPr>
        <w:t>四、参加网络投票的具体操作流程</w:t>
      </w:r>
    </w:p>
    <w:p w14:paraId="2A6B873D">
      <w:pPr>
        <w:topLinePunct/>
        <w:spacing w:before="240" w:after="156" w:afterLines="50" w:line="360" w:lineRule="auto"/>
        <w:ind w:firstLine="482"/>
        <w:rPr>
          <w:rFonts w:ascii="宋体" w:hAnsi="宋体" w:cs="宋体"/>
          <w:b/>
          <w:color w:val="auto"/>
          <w:sz w:val="24"/>
          <w:highlight w:val="none"/>
        </w:rPr>
      </w:pPr>
      <w:r>
        <w:rPr>
          <w:rFonts w:hint="eastAsia" w:ascii="宋体" w:hAnsi="宋体" w:cs="宋体"/>
          <w:color w:val="auto"/>
          <w:sz w:val="24"/>
          <w:highlight w:val="none"/>
        </w:rPr>
        <w:t>在本次股东大会上，股东可以通过深交所交易系统和互联网投票系统（网址：http://wltp.cninfo.com.cn）参加投票，网络投票的具体操作流程见附件一。</w:t>
      </w:r>
    </w:p>
    <w:p w14:paraId="7A2FF1FE">
      <w:pPr>
        <w:pStyle w:val="2"/>
        <w:bidi w:val="0"/>
        <w:rPr>
          <w:highlight w:val="none"/>
        </w:rPr>
      </w:pPr>
      <w:r>
        <w:rPr>
          <w:rFonts w:hint="eastAsia"/>
          <w:highlight w:val="none"/>
        </w:rPr>
        <w:t>五、其他注意事项</w:t>
      </w:r>
    </w:p>
    <w:p w14:paraId="3A1764E7">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 1、联系方式</w:t>
      </w:r>
    </w:p>
    <w:p w14:paraId="3343E3D9">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联系人：张清河  </w:t>
      </w:r>
    </w:p>
    <w:p w14:paraId="34BFA184">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电话：0591-38265188  传真：0591-83052199</w:t>
      </w:r>
    </w:p>
    <w:p w14:paraId="36A41A39">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 2、本次股东大会现场会议</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期半天，与会股东或委托代理人的食宿及交通等费用自理。</w:t>
      </w:r>
    </w:p>
    <w:p w14:paraId="508ECB4E">
      <w:pPr>
        <w:pStyle w:val="2"/>
        <w:bidi w:val="0"/>
        <w:rPr>
          <w:highlight w:val="none"/>
        </w:rPr>
      </w:pPr>
      <w:r>
        <w:rPr>
          <w:rFonts w:hint="eastAsia"/>
          <w:highlight w:val="none"/>
        </w:rPr>
        <w:t>六、备查文件</w:t>
      </w:r>
    </w:p>
    <w:p w14:paraId="111A5DEF">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1、第五届董事会第八次会议决议；</w:t>
      </w:r>
    </w:p>
    <w:p w14:paraId="3B925132">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2、第五届监事会第七次会议决议；</w:t>
      </w:r>
    </w:p>
    <w:p w14:paraId="7741CDEB">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3、深交所要求的其他文件。</w:t>
      </w:r>
    </w:p>
    <w:p w14:paraId="328599A6">
      <w:pPr>
        <w:topLinePunct/>
        <w:spacing w:before="120" w:line="360" w:lineRule="auto"/>
        <w:ind w:firstLine="482"/>
        <w:rPr>
          <w:rFonts w:ascii="宋体" w:hAnsi="宋体" w:cs="宋体"/>
          <w:color w:val="auto"/>
          <w:sz w:val="24"/>
          <w:highlight w:val="none"/>
        </w:rPr>
      </w:pPr>
      <w:r>
        <w:rPr>
          <w:rFonts w:hint="eastAsia" w:ascii="宋体" w:hAnsi="宋体" w:cs="宋体"/>
          <w:color w:val="auto"/>
          <w:sz w:val="24"/>
          <w:highlight w:val="none"/>
        </w:rPr>
        <w:t>另附：附件一：参加网络投票的具体操作流程</w:t>
      </w:r>
    </w:p>
    <w:p w14:paraId="4A6430B9">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      附件二：授权委托书</w:t>
      </w:r>
    </w:p>
    <w:p w14:paraId="00AE04A0">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 xml:space="preserve">      附件三：参会股东登记表</w:t>
      </w:r>
    </w:p>
    <w:p w14:paraId="0A9452B2">
      <w:pPr>
        <w:topLinePunct/>
        <w:spacing w:line="360" w:lineRule="auto"/>
        <w:ind w:firstLine="482"/>
        <w:rPr>
          <w:rFonts w:ascii="宋体" w:hAnsi="宋体" w:cs="宋体"/>
          <w:color w:val="auto"/>
          <w:sz w:val="24"/>
          <w:highlight w:val="none"/>
        </w:rPr>
      </w:pPr>
    </w:p>
    <w:p w14:paraId="2EF41251">
      <w:pPr>
        <w:topLinePunct/>
        <w:spacing w:line="360" w:lineRule="auto"/>
        <w:ind w:firstLine="482"/>
        <w:rPr>
          <w:rFonts w:ascii="宋体" w:hAnsi="宋体" w:cs="宋体"/>
          <w:color w:val="auto"/>
          <w:sz w:val="24"/>
          <w:highlight w:val="none"/>
        </w:rPr>
      </w:pPr>
      <w:r>
        <w:rPr>
          <w:rFonts w:hint="eastAsia" w:ascii="宋体" w:hAnsi="宋体" w:cs="宋体"/>
          <w:color w:val="auto"/>
          <w:sz w:val="24"/>
          <w:highlight w:val="none"/>
        </w:rPr>
        <w:t>特此公告。</w:t>
      </w:r>
    </w:p>
    <w:p w14:paraId="334FDA06">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9ED9EF8">
      <w:pPr>
        <w:topLinePunct/>
        <w:spacing w:line="360" w:lineRule="auto"/>
        <w:rPr>
          <w:rFonts w:ascii="宋体" w:hAnsi="宋体" w:cs="宋体"/>
          <w:color w:val="auto"/>
          <w:sz w:val="24"/>
          <w:highlight w:val="none"/>
        </w:rPr>
      </w:pPr>
    </w:p>
    <w:p w14:paraId="646F7D00">
      <w:pPr>
        <w:topLinePunct/>
        <w:spacing w:line="360" w:lineRule="auto"/>
        <w:jc w:val="right"/>
        <w:rPr>
          <w:rFonts w:ascii="宋体" w:hAnsi="宋体" w:cs="宋体"/>
          <w:color w:val="auto"/>
          <w:sz w:val="24"/>
          <w:highlight w:val="none"/>
        </w:rPr>
      </w:pPr>
      <w:r>
        <w:rPr>
          <w:rFonts w:hint="eastAsia" w:ascii="宋体" w:hAnsi="宋体" w:cs="宋体"/>
          <w:color w:val="auto"/>
          <w:sz w:val="24"/>
          <w:highlight w:val="none"/>
        </w:rPr>
        <w:t>福建广生堂药业股份有限公司董事会</w:t>
      </w:r>
    </w:p>
    <w:p w14:paraId="241B4A99">
      <w:pPr>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                                             2025年4月1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p>
    <w:p w14:paraId="4609866E">
      <w:pPr>
        <w:widowControl/>
        <w:adjustRightInd w:val="0"/>
        <w:snapToGrid w:val="0"/>
        <w:spacing w:line="360" w:lineRule="auto"/>
        <w:ind w:right="1120"/>
        <w:rPr>
          <w:rFonts w:ascii="宋体" w:hAnsi="宋体" w:cs="宋体"/>
          <w:b/>
          <w:bCs/>
          <w:color w:val="auto"/>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7677024C">
      <w:pPr>
        <w:widowControl/>
        <w:adjustRightInd w:val="0"/>
        <w:snapToGrid w:val="0"/>
        <w:spacing w:line="480" w:lineRule="auto"/>
        <w:ind w:right="1120"/>
        <w:rPr>
          <w:rFonts w:ascii="宋体" w:hAnsi="宋体" w:cs="宋体"/>
          <w:b/>
          <w:bCs/>
          <w:color w:val="auto"/>
          <w:sz w:val="24"/>
          <w:szCs w:val="24"/>
          <w:highlight w:val="none"/>
        </w:rPr>
      </w:pPr>
      <w:r>
        <w:rPr>
          <w:rFonts w:hint="eastAsia" w:ascii="宋体" w:hAnsi="宋体" w:cs="宋体"/>
          <w:b/>
          <w:bCs/>
          <w:color w:val="auto"/>
          <w:sz w:val="24"/>
          <w:szCs w:val="24"/>
          <w:highlight w:val="none"/>
        </w:rPr>
        <w:t>附件一：</w:t>
      </w:r>
    </w:p>
    <w:p w14:paraId="4EA023BB">
      <w:pPr>
        <w:widowControl/>
        <w:adjustRightInd w:val="0"/>
        <w:snapToGrid w:val="0"/>
        <w:spacing w:line="480" w:lineRule="auto"/>
        <w:ind w:right="112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参加网络投票的具体操作流程</w:t>
      </w:r>
    </w:p>
    <w:p w14:paraId="70879C2A">
      <w:pPr>
        <w:numPr>
          <w:ilvl w:val="0"/>
          <w:numId w:val="2"/>
        </w:numPr>
        <w:autoSpaceDE w:val="0"/>
        <w:autoSpaceDN w:val="0"/>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网络投票的程序</w:t>
      </w:r>
    </w:p>
    <w:p w14:paraId="1D7EF24B">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1、普通股的投票代码与投票简称：投票代码为“350436”，投票简称为“广生投票”。 </w:t>
      </w:r>
    </w:p>
    <w:p w14:paraId="2A21E49D">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2、填报表决意见或选举票数。</w:t>
      </w:r>
    </w:p>
    <w:p w14:paraId="714C2BCE">
      <w:pPr>
        <w:autoSpaceDE w:val="0"/>
        <w:autoSpaceDN w:val="0"/>
        <w:adjustRightIn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对于非累积投票提案，填报表决意见：同意、反对、弃权。</w:t>
      </w:r>
    </w:p>
    <w:p w14:paraId="123976B3">
      <w:pPr>
        <w:numPr>
          <w:ilvl w:val="0"/>
          <w:numId w:val="1"/>
        </w:numPr>
        <w:autoSpaceDE w:val="0"/>
        <w:autoSpaceDN w:val="0"/>
        <w:adjustRightInd w:val="0"/>
        <w:spacing w:line="360" w:lineRule="auto"/>
        <w:ind w:firstLine="482"/>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本次股东大会设置总议案。</w:t>
      </w:r>
    </w:p>
    <w:p w14:paraId="418B640E">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股东对总议案进行投票，视为对所有议案表达相同意见。股东对同一议案出现总议案与分议案重复投票时，以第一次有效投票为准。如股东先对分议案投票表决，再对总议案投票表决，则以已投票表决的分议案的表决意见为准，其他未表决的议案以总议案的表决意见为准；如先对总议案投票表决，再对分议案投票表决，则以总议案的表决意见为准。</w:t>
      </w:r>
    </w:p>
    <w:p w14:paraId="1B8A3B50">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 xml:space="preserve">二、通过深交所交易系统投票的程序 </w:t>
      </w:r>
    </w:p>
    <w:p w14:paraId="211237D1">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szCs w:val="24"/>
          <w:highlight w:val="none"/>
        </w:rPr>
        <w:t>1、投票时间：</w:t>
      </w:r>
      <w:r>
        <w:rPr>
          <w:rFonts w:hint="eastAsia" w:ascii="宋体" w:hAnsi="宋体" w:cs="宋体"/>
          <w:color w:val="auto"/>
          <w:sz w:val="24"/>
          <w:highlight w:val="none"/>
        </w:rPr>
        <w:t>2025年5月9日</w:t>
      </w:r>
      <w:r>
        <w:rPr>
          <w:rFonts w:hint="eastAsia" w:ascii="宋体" w:hAnsi="宋体" w:cs="宋体"/>
          <w:color w:val="auto"/>
          <w:sz w:val="24"/>
          <w:highlight w:val="none"/>
        </w:rPr>
        <w:t>9:15—9:25，9:30—11:30 和13:00—15:00。</w:t>
      </w:r>
    </w:p>
    <w:p w14:paraId="52F418E7">
      <w:pPr>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szCs w:val="24"/>
          <w:highlight w:val="none"/>
        </w:rPr>
        <w:t>2、股东可以登录证券公司交易客户端通过交易系统投票。</w:t>
      </w:r>
    </w:p>
    <w:p w14:paraId="796C36CC">
      <w:pPr>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三、通过深交所互联网投票系统的投票程序</w:t>
      </w:r>
    </w:p>
    <w:p w14:paraId="477F2AFE">
      <w:pPr>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1、互联网投票系统开始投票的时间为</w:t>
      </w:r>
      <w:r>
        <w:rPr>
          <w:rFonts w:hint="eastAsia" w:ascii="宋体" w:hAnsi="宋体" w:cs="宋体"/>
          <w:color w:val="auto"/>
          <w:sz w:val="24"/>
          <w:highlight w:val="none"/>
        </w:rPr>
        <w:t>2025年5月9日</w:t>
      </w:r>
      <w:r>
        <w:rPr>
          <w:rFonts w:hint="eastAsia" w:ascii="宋体" w:hAnsi="宋体" w:cs="宋体"/>
          <w:color w:val="auto"/>
          <w:sz w:val="24"/>
          <w:highlight w:val="none"/>
        </w:rPr>
        <w:t>9:15—15:00</w:t>
      </w:r>
      <w:r>
        <w:rPr>
          <w:rFonts w:hint="eastAsia" w:ascii="宋体" w:hAnsi="宋体" w:cs="宋体"/>
          <w:color w:val="auto"/>
          <w:kern w:val="0"/>
          <w:sz w:val="24"/>
          <w:szCs w:val="24"/>
          <w:highlight w:val="none"/>
        </w:rPr>
        <w:t xml:space="preserve">。 </w:t>
      </w:r>
    </w:p>
    <w:p w14:paraId="74A127EA">
      <w:pPr>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股东通过互联网投票系统进行网络投票，需按照《深圳证券交易所投资者网络服务身份认证业务指引》的规定办理身份认证，取得“深交所数字证书”或“深交所投资者服务密码”。具体的身份认证流程可登录互联网投票系统http://wltp.cninfo.com.cn 规则指引栏目查阅。</w:t>
      </w:r>
    </w:p>
    <w:p w14:paraId="65852D73">
      <w:pPr>
        <w:adjustRightIn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3、股东根据获取的服务密码或数字证书，可登录http://wltp.cninfo.com.cn在规定时间内通过深交所互联网投票系统进行投票。</w:t>
      </w:r>
    </w:p>
    <w:p w14:paraId="412D6EEB">
      <w:pPr>
        <w:autoSpaceDE w:val="0"/>
        <w:autoSpaceDN w:val="0"/>
        <w:adjustRightInd w:val="0"/>
        <w:spacing w:line="360" w:lineRule="auto"/>
        <w:jc w:val="left"/>
        <w:rPr>
          <w:rFonts w:ascii="宋体" w:hAnsi="宋体" w:cs="宋体"/>
          <w:color w:val="auto"/>
          <w:kern w:val="0"/>
          <w:sz w:val="24"/>
          <w:szCs w:val="24"/>
          <w:highlight w:val="none"/>
        </w:rPr>
      </w:pPr>
    </w:p>
    <w:p w14:paraId="0704F48F">
      <w:pPr>
        <w:autoSpaceDE w:val="0"/>
        <w:autoSpaceDN w:val="0"/>
        <w:adjustRightInd w:val="0"/>
        <w:spacing w:line="360" w:lineRule="auto"/>
        <w:jc w:val="left"/>
        <w:rPr>
          <w:rFonts w:ascii="宋体" w:hAnsi="宋体" w:cs="宋体"/>
          <w:color w:val="auto"/>
          <w:kern w:val="0"/>
          <w:sz w:val="24"/>
          <w:szCs w:val="24"/>
          <w:highlight w:val="none"/>
        </w:rPr>
      </w:pPr>
    </w:p>
    <w:p w14:paraId="6426B47D">
      <w:pPr>
        <w:autoSpaceDE w:val="0"/>
        <w:autoSpaceDN w:val="0"/>
        <w:adjustRightInd w:val="0"/>
        <w:spacing w:line="360" w:lineRule="auto"/>
        <w:jc w:val="left"/>
        <w:rPr>
          <w:rFonts w:ascii="宋体" w:hAnsi="宋体" w:cs="宋体"/>
          <w:b/>
          <w:bCs/>
          <w:color w:val="auto"/>
          <w:kern w:val="0"/>
          <w:sz w:val="24"/>
          <w:szCs w:val="24"/>
          <w:highlight w:val="none"/>
        </w:rPr>
        <w:sectPr>
          <w:pgSz w:w="11906" w:h="16838"/>
          <w:pgMar w:top="1440" w:right="1800" w:bottom="1440" w:left="1800" w:header="851" w:footer="992" w:gutter="0"/>
          <w:cols w:space="720" w:num="1"/>
          <w:docGrid w:type="lines" w:linePitch="312" w:charSpace="0"/>
        </w:sectPr>
      </w:pPr>
    </w:p>
    <w:p w14:paraId="3BE7157F">
      <w:pPr>
        <w:autoSpaceDE w:val="0"/>
        <w:autoSpaceDN w:val="0"/>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附件二：</w:t>
      </w:r>
    </w:p>
    <w:p w14:paraId="2B308D2B">
      <w:pPr>
        <w:autoSpaceDE w:val="0"/>
        <w:autoSpaceDN w:val="0"/>
        <w:adjustRightInd w:val="0"/>
        <w:spacing w:line="360" w:lineRule="auto"/>
        <w:jc w:val="center"/>
        <w:rPr>
          <w:rFonts w:ascii="宋体" w:hAnsi="宋体" w:cs="宋体"/>
          <w:b/>
          <w:color w:val="auto"/>
          <w:kern w:val="0"/>
          <w:sz w:val="16"/>
          <w:szCs w:val="16"/>
          <w:highlight w:val="none"/>
        </w:rPr>
      </w:pPr>
      <w:r>
        <w:rPr>
          <w:rFonts w:hint="eastAsia" w:ascii="宋体" w:hAnsi="宋体" w:cs="宋体"/>
          <w:b/>
          <w:color w:val="auto"/>
          <w:kern w:val="0"/>
          <w:sz w:val="28"/>
          <w:szCs w:val="28"/>
          <w:highlight w:val="none"/>
        </w:rPr>
        <w:t>授权委托书</w:t>
      </w:r>
    </w:p>
    <w:p w14:paraId="00A470E8">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福建广生堂药业股份有限公司</w:t>
      </w:r>
      <w:bookmarkStart w:id="0" w:name="_GoBack"/>
      <w:bookmarkEnd w:id="0"/>
      <w:r>
        <w:rPr>
          <w:rFonts w:hint="eastAsia" w:ascii="宋体" w:hAnsi="宋体" w:cs="宋体"/>
          <w:color w:val="auto"/>
          <w:kern w:val="0"/>
          <w:sz w:val="24"/>
          <w:szCs w:val="24"/>
          <w:highlight w:val="none"/>
        </w:rPr>
        <w:t>：</w:t>
      </w:r>
    </w:p>
    <w:p w14:paraId="3F8C364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兹全权委托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先生/女士代表本人（本单位）出席福建广生堂药业股份有限公</w:t>
      </w:r>
      <w:r>
        <w:rPr>
          <w:rFonts w:hint="eastAsia" w:ascii="宋体" w:hAnsi="宋体" w:cs="宋体"/>
          <w:color w:val="auto"/>
          <w:sz w:val="24"/>
          <w:szCs w:val="24"/>
          <w:highlight w:val="none"/>
        </w:rPr>
        <w:t>司2024年年度股东大会，对</w:t>
      </w:r>
      <w:r>
        <w:rPr>
          <w:rFonts w:hint="eastAsia" w:ascii="宋体" w:hAnsi="宋体" w:cs="宋体"/>
          <w:color w:val="auto"/>
          <w:sz w:val="24"/>
          <w:szCs w:val="24"/>
          <w:highlight w:val="none"/>
        </w:rPr>
        <w:t>以下议案以投票方式按以下意见行使表决权，本人（本单位）对表决事项若无具体指示的，代理人可自行行使表决权，后果均由本人（本单位）承担。</w:t>
      </w:r>
    </w:p>
    <w:tbl>
      <w:tblPr>
        <w:tblStyle w:val="9"/>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576"/>
        <w:gridCol w:w="1301"/>
        <w:gridCol w:w="450"/>
        <w:gridCol w:w="382"/>
        <w:gridCol w:w="385"/>
      </w:tblGrid>
      <w:tr w14:paraId="5CF8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tcBorders>
              <w:top w:val="single" w:color="auto" w:sz="4" w:space="0"/>
              <w:left w:val="single" w:color="auto" w:sz="4" w:space="0"/>
              <w:right w:val="single" w:color="auto" w:sz="4" w:space="0"/>
            </w:tcBorders>
            <w:shd w:val="clear" w:color="auto" w:fill="E0E0E0"/>
            <w:vAlign w:val="center"/>
          </w:tcPr>
          <w:p w14:paraId="010BB611">
            <w:pPr>
              <w:rPr>
                <w:rFonts w:ascii="宋体" w:hAnsi="宋体" w:cs="宋体"/>
                <w:b/>
                <w:color w:val="auto"/>
                <w:sz w:val="22"/>
                <w:highlight w:val="none"/>
              </w:rPr>
            </w:pPr>
            <w:r>
              <w:rPr>
                <w:rFonts w:hint="eastAsia" w:ascii="宋体" w:hAnsi="宋体" w:cs="宋体"/>
                <w:b/>
                <w:color w:val="auto"/>
                <w:sz w:val="22"/>
                <w:highlight w:val="none"/>
              </w:rPr>
              <w:t>提案编 码</w:t>
            </w:r>
          </w:p>
        </w:tc>
        <w:tc>
          <w:tcPr>
            <w:tcW w:w="6576" w:type="dxa"/>
            <w:vMerge w:val="restart"/>
            <w:tcBorders>
              <w:top w:val="single" w:color="auto" w:sz="4" w:space="0"/>
              <w:left w:val="single" w:color="auto" w:sz="4" w:space="0"/>
              <w:right w:val="single" w:color="auto" w:sz="4" w:space="0"/>
            </w:tcBorders>
            <w:shd w:val="clear" w:color="auto" w:fill="E0E0E0"/>
            <w:vAlign w:val="center"/>
          </w:tcPr>
          <w:p w14:paraId="39544873">
            <w:pPr>
              <w:jc w:val="center"/>
              <w:rPr>
                <w:rFonts w:ascii="宋体" w:hAnsi="宋体" w:cs="宋体"/>
                <w:b/>
                <w:color w:val="auto"/>
                <w:sz w:val="22"/>
                <w:highlight w:val="none"/>
              </w:rPr>
            </w:pPr>
            <w:r>
              <w:rPr>
                <w:rFonts w:hint="eastAsia" w:ascii="宋体" w:hAnsi="宋体" w:cs="宋体"/>
                <w:b/>
                <w:color w:val="auto"/>
                <w:sz w:val="22"/>
                <w:highlight w:val="none"/>
              </w:rPr>
              <w:t>提案名称</w:t>
            </w:r>
          </w:p>
        </w:tc>
        <w:tc>
          <w:tcPr>
            <w:tcW w:w="2518"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14:paraId="716C25F0">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69D3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0" w:type="dxa"/>
            <w:vMerge w:val="continue"/>
            <w:tcBorders>
              <w:left w:val="single" w:color="auto" w:sz="4" w:space="0"/>
              <w:right w:val="single" w:color="auto" w:sz="4" w:space="0"/>
            </w:tcBorders>
          </w:tcPr>
          <w:p w14:paraId="3EFDAAC4">
            <w:pPr>
              <w:jc w:val="center"/>
              <w:rPr>
                <w:rFonts w:ascii="宋体" w:hAnsi="宋体" w:cs="宋体"/>
                <w:bCs/>
                <w:color w:val="auto"/>
                <w:sz w:val="22"/>
                <w:highlight w:val="none"/>
              </w:rPr>
            </w:pPr>
          </w:p>
        </w:tc>
        <w:tc>
          <w:tcPr>
            <w:tcW w:w="6576" w:type="dxa"/>
            <w:vMerge w:val="continue"/>
            <w:tcBorders>
              <w:left w:val="single" w:color="auto" w:sz="4" w:space="0"/>
              <w:right w:val="single" w:color="auto" w:sz="4" w:space="0"/>
            </w:tcBorders>
            <w:vAlign w:val="center"/>
          </w:tcPr>
          <w:p w14:paraId="248D08C2">
            <w:pPr>
              <w:jc w:val="center"/>
              <w:rPr>
                <w:rFonts w:ascii="宋体" w:hAnsi="宋体" w:cs="宋体"/>
                <w:bCs/>
                <w:color w:val="auto"/>
                <w:sz w:val="22"/>
                <w:highlight w:val="none"/>
              </w:rPr>
            </w:pPr>
          </w:p>
        </w:tc>
        <w:tc>
          <w:tcPr>
            <w:tcW w:w="1301" w:type="dxa"/>
            <w:tcBorders>
              <w:top w:val="single" w:color="auto" w:sz="4" w:space="0"/>
              <w:left w:val="single" w:color="auto" w:sz="4" w:space="0"/>
              <w:right w:val="single" w:color="auto" w:sz="4" w:space="0"/>
            </w:tcBorders>
            <w:vAlign w:val="center"/>
          </w:tcPr>
          <w:p w14:paraId="5195AF00">
            <w:pPr>
              <w:jc w:val="center"/>
              <w:rPr>
                <w:rFonts w:ascii="宋体" w:hAnsi="宋体" w:cs="宋体"/>
                <w:bCs/>
                <w:color w:val="auto"/>
                <w:sz w:val="22"/>
                <w:highlight w:val="none"/>
              </w:rPr>
            </w:pPr>
            <w:r>
              <w:rPr>
                <w:rFonts w:hint="eastAsia" w:ascii="宋体" w:hAnsi="宋体" w:cs="宋体"/>
                <w:bCs/>
                <w:color w:val="auto"/>
                <w:sz w:val="22"/>
                <w:highlight w:val="none"/>
              </w:rPr>
              <w:t>该列打勾的栏目可以投票</w:t>
            </w:r>
          </w:p>
        </w:tc>
        <w:tc>
          <w:tcPr>
            <w:tcW w:w="450" w:type="dxa"/>
            <w:tcBorders>
              <w:top w:val="single" w:color="auto" w:sz="4" w:space="0"/>
              <w:left w:val="single" w:color="auto" w:sz="4" w:space="0"/>
              <w:right w:val="single" w:color="auto" w:sz="4" w:space="0"/>
            </w:tcBorders>
            <w:vAlign w:val="center"/>
          </w:tcPr>
          <w:p w14:paraId="76677980">
            <w:pPr>
              <w:jc w:val="center"/>
              <w:rPr>
                <w:rFonts w:ascii="宋体" w:hAnsi="宋体" w:cs="宋体"/>
                <w:bCs/>
                <w:color w:val="auto"/>
                <w:sz w:val="22"/>
                <w:highlight w:val="none"/>
              </w:rPr>
            </w:pPr>
            <w:r>
              <w:rPr>
                <w:rFonts w:hint="eastAsia" w:ascii="宋体" w:hAnsi="宋体" w:cs="宋体"/>
                <w:bCs/>
                <w:color w:val="auto"/>
                <w:sz w:val="22"/>
                <w:highlight w:val="none"/>
              </w:rPr>
              <w:t>同意</w:t>
            </w:r>
          </w:p>
        </w:tc>
        <w:tc>
          <w:tcPr>
            <w:tcW w:w="382" w:type="dxa"/>
            <w:tcBorders>
              <w:top w:val="single" w:color="auto" w:sz="4" w:space="0"/>
              <w:left w:val="single" w:color="auto" w:sz="4" w:space="0"/>
              <w:right w:val="single" w:color="auto" w:sz="4" w:space="0"/>
            </w:tcBorders>
            <w:vAlign w:val="center"/>
          </w:tcPr>
          <w:p w14:paraId="7AAD0FEB">
            <w:pPr>
              <w:jc w:val="center"/>
              <w:rPr>
                <w:rFonts w:ascii="宋体" w:hAnsi="宋体" w:cs="宋体"/>
                <w:bCs/>
                <w:color w:val="auto"/>
                <w:sz w:val="22"/>
                <w:highlight w:val="none"/>
              </w:rPr>
            </w:pPr>
            <w:r>
              <w:rPr>
                <w:rFonts w:hint="eastAsia" w:ascii="宋体" w:hAnsi="宋体" w:cs="宋体"/>
                <w:bCs/>
                <w:color w:val="auto"/>
                <w:sz w:val="22"/>
                <w:highlight w:val="none"/>
              </w:rPr>
              <w:t>反对</w:t>
            </w:r>
          </w:p>
        </w:tc>
        <w:tc>
          <w:tcPr>
            <w:tcW w:w="385" w:type="dxa"/>
            <w:tcBorders>
              <w:top w:val="single" w:color="auto" w:sz="4" w:space="0"/>
              <w:left w:val="single" w:color="auto" w:sz="4" w:space="0"/>
              <w:right w:val="single" w:color="auto" w:sz="4" w:space="0"/>
            </w:tcBorders>
            <w:vAlign w:val="center"/>
          </w:tcPr>
          <w:p w14:paraId="5C48A447">
            <w:pPr>
              <w:jc w:val="center"/>
              <w:rPr>
                <w:rFonts w:ascii="宋体" w:hAnsi="宋体" w:cs="宋体"/>
                <w:bCs/>
                <w:color w:val="auto"/>
                <w:sz w:val="22"/>
                <w:highlight w:val="none"/>
              </w:rPr>
            </w:pPr>
            <w:r>
              <w:rPr>
                <w:rFonts w:hint="eastAsia" w:ascii="宋体" w:hAnsi="宋体" w:cs="宋体"/>
                <w:bCs/>
                <w:color w:val="auto"/>
                <w:sz w:val="22"/>
                <w:highlight w:val="none"/>
              </w:rPr>
              <w:t>弃权</w:t>
            </w:r>
          </w:p>
        </w:tc>
      </w:tr>
      <w:tr w14:paraId="1C9F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64662258">
            <w:pPr>
              <w:jc w:val="center"/>
              <w:rPr>
                <w:rFonts w:ascii="宋体" w:hAnsi="宋体" w:cs="宋体"/>
                <w:b/>
                <w:bCs/>
                <w:color w:val="auto"/>
                <w:sz w:val="22"/>
                <w:highlight w:val="none"/>
              </w:rPr>
            </w:pPr>
            <w:r>
              <w:rPr>
                <w:rFonts w:hint="eastAsia" w:ascii="宋体" w:hAnsi="宋体" w:cs="宋体"/>
                <w:b/>
                <w:bCs/>
                <w:color w:val="auto"/>
                <w:szCs w:val="21"/>
                <w:highlight w:val="none"/>
              </w:rPr>
              <w:t>100</w:t>
            </w:r>
          </w:p>
        </w:tc>
        <w:tc>
          <w:tcPr>
            <w:tcW w:w="6576" w:type="dxa"/>
            <w:tcBorders>
              <w:top w:val="single" w:color="auto" w:sz="4" w:space="0"/>
              <w:left w:val="single" w:color="auto" w:sz="4" w:space="0"/>
              <w:bottom w:val="single" w:color="auto" w:sz="4" w:space="0"/>
              <w:right w:val="single" w:color="auto" w:sz="4" w:space="0"/>
            </w:tcBorders>
            <w:vAlign w:val="center"/>
          </w:tcPr>
          <w:p w14:paraId="3D408154">
            <w:pPr>
              <w:jc w:val="center"/>
              <w:rPr>
                <w:rFonts w:ascii="宋体" w:hAnsi="宋体" w:cs="宋体"/>
                <w:b/>
                <w:bCs/>
                <w:color w:val="auto"/>
                <w:sz w:val="22"/>
                <w:highlight w:val="none"/>
              </w:rPr>
            </w:pPr>
            <w:r>
              <w:rPr>
                <w:rFonts w:hint="eastAsia" w:ascii="宋体" w:hAnsi="宋体" w:cs="宋体"/>
                <w:b/>
                <w:bCs/>
                <w:color w:val="auto"/>
                <w:highlight w:val="none"/>
              </w:rPr>
              <w:t>总议案：除累积投票提案外的所有提案</w:t>
            </w:r>
          </w:p>
        </w:tc>
        <w:tc>
          <w:tcPr>
            <w:tcW w:w="1301" w:type="dxa"/>
            <w:tcBorders>
              <w:top w:val="single" w:color="auto" w:sz="4" w:space="0"/>
              <w:left w:val="single" w:color="auto" w:sz="4" w:space="0"/>
              <w:bottom w:val="single" w:color="auto" w:sz="4" w:space="0"/>
              <w:right w:val="single" w:color="auto" w:sz="4" w:space="0"/>
            </w:tcBorders>
            <w:vAlign w:val="center"/>
          </w:tcPr>
          <w:p w14:paraId="6EAE5AEA">
            <w:pPr>
              <w:jc w:val="center"/>
              <w:rPr>
                <w:rFonts w:ascii="宋体" w:hAnsi="宋体" w:cs="宋体"/>
                <w:b/>
                <w:color w:val="auto"/>
                <w:sz w:val="22"/>
                <w:highlight w:val="none"/>
              </w:rPr>
            </w:pPr>
            <w:r>
              <w:rPr>
                <w:rFonts w:hint="eastAsia" w:ascii="宋体" w:hAnsi="宋体" w:cs="宋体"/>
                <w:bCs/>
                <w:color w:val="auto"/>
                <w:sz w:val="22"/>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31E2B653">
            <w:pPr>
              <w:jc w:val="center"/>
              <w:rPr>
                <w:rFonts w:ascii="宋体" w:hAnsi="宋体" w:cs="宋体"/>
                <w:b/>
                <w:color w:val="auto"/>
                <w:sz w:val="22"/>
                <w:highlight w:val="none"/>
              </w:rPr>
            </w:pPr>
          </w:p>
        </w:tc>
        <w:tc>
          <w:tcPr>
            <w:tcW w:w="382" w:type="dxa"/>
            <w:tcBorders>
              <w:top w:val="single" w:color="auto" w:sz="4" w:space="0"/>
              <w:left w:val="single" w:color="auto" w:sz="4" w:space="0"/>
              <w:bottom w:val="single" w:color="auto" w:sz="4" w:space="0"/>
              <w:right w:val="single" w:color="auto" w:sz="4" w:space="0"/>
            </w:tcBorders>
            <w:vAlign w:val="center"/>
          </w:tcPr>
          <w:p w14:paraId="6179569B">
            <w:pPr>
              <w:jc w:val="center"/>
              <w:rPr>
                <w:rFonts w:ascii="宋体" w:hAnsi="宋体" w:cs="宋体"/>
                <w:b/>
                <w:color w:val="auto"/>
                <w:sz w:val="22"/>
                <w:highlight w:val="none"/>
              </w:rPr>
            </w:pPr>
          </w:p>
        </w:tc>
        <w:tc>
          <w:tcPr>
            <w:tcW w:w="385" w:type="dxa"/>
            <w:tcBorders>
              <w:top w:val="single" w:color="auto" w:sz="4" w:space="0"/>
              <w:left w:val="single" w:color="auto" w:sz="4" w:space="0"/>
              <w:bottom w:val="single" w:color="auto" w:sz="4" w:space="0"/>
              <w:right w:val="single" w:color="auto" w:sz="4" w:space="0"/>
            </w:tcBorders>
            <w:vAlign w:val="center"/>
          </w:tcPr>
          <w:p w14:paraId="06FC6AF4">
            <w:pPr>
              <w:jc w:val="center"/>
              <w:rPr>
                <w:rFonts w:ascii="宋体" w:hAnsi="宋体" w:cs="宋体"/>
                <w:b/>
                <w:color w:val="auto"/>
                <w:sz w:val="22"/>
                <w:highlight w:val="none"/>
              </w:rPr>
            </w:pPr>
          </w:p>
        </w:tc>
      </w:tr>
      <w:tr w14:paraId="5A46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84" w:type="dxa"/>
            <w:gridSpan w:val="6"/>
            <w:tcBorders>
              <w:top w:val="single" w:color="auto" w:sz="4" w:space="0"/>
              <w:left w:val="single" w:color="auto" w:sz="4" w:space="0"/>
              <w:bottom w:val="single" w:color="auto" w:sz="4" w:space="0"/>
              <w:right w:val="single" w:color="auto" w:sz="4" w:space="0"/>
            </w:tcBorders>
            <w:vAlign w:val="center"/>
          </w:tcPr>
          <w:p w14:paraId="37FC0485">
            <w:pPr>
              <w:jc w:val="center"/>
              <w:rPr>
                <w:rFonts w:ascii="宋体" w:hAnsi="宋体" w:cs="宋体"/>
                <w:b/>
                <w:color w:val="auto"/>
                <w:sz w:val="22"/>
                <w:highlight w:val="none"/>
              </w:rPr>
            </w:pPr>
            <w:r>
              <w:rPr>
                <w:rFonts w:hint="eastAsia" w:ascii="宋体" w:hAnsi="宋体" w:cs="宋体"/>
                <w:b/>
                <w:color w:val="auto"/>
                <w:sz w:val="22"/>
                <w:highlight w:val="none"/>
              </w:rPr>
              <w:t>非累积投票提案</w:t>
            </w:r>
          </w:p>
        </w:tc>
      </w:tr>
      <w:tr w14:paraId="4A55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531720DC">
            <w:pPr>
              <w:jc w:val="center"/>
              <w:rPr>
                <w:rFonts w:ascii="宋体" w:hAnsi="宋体" w:cs="宋体"/>
                <w:b/>
                <w:color w:val="auto"/>
                <w:szCs w:val="21"/>
                <w:highlight w:val="none"/>
              </w:rPr>
            </w:pPr>
            <w:r>
              <w:rPr>
                <w:rFonts w:hint="eastAsia" w:ascii="宋体" w:hAnsi="宋体" w:cs="宋体"/>
                <w:b/>
                <w:color w:val="auto"/>
                <w:szCs w:val="21"/>
                <w:highlight w:val="none"/>
              </w:rPr>
              <w:t>1.00</w:t>
            </w:r>
          </w:p>
        </w:tc>
        <w:tc>
          <w:tcPr>
            <w:tcW w:w="6576" w:type="dxa"/>
            <w:vAlign w:val="center"/>
          </w:tcPr>
          <w:p w14:paraId="39546C38">
            <w:pPr>
              <w:jc w:val="left"/>
              <w:rPr>
                <w:rFonts w:ascii="宋体" w:hAnsi="宋体" w:cs="宋体"/>
                <w:color w:val="auto"/>
                <w:szCs w:val="21"/>
                <w:highlight w:val="none"/>
              </w:rPr>
            </w:pPr>
            <w:r>
              <w:rPr>
                <w:rFonts w:hint="eastAsia" w:ascii="宋体" w:hAnsi="宋体" w:cs="宋体"/>
                <w:color w:val="auto"/>
                <w:szCs w:val="21"/>
                <w:highlight w:val="none"/>
              </w:rPr>
              <w:t>《关于&lt;2024年度监事会工作报告&gt;的议案》</w:t>
            </w:r>
          </w:p>
        </w:tc>
        <w:tc>
          <w:tcPr>
            <w:tcW w:w="1301" w:type="dxa"/>
            <w:tcBorders>
              <w:top w:val="single" w:color="auto" w:sz="4" w:space="0"/>
              <w:left w:val="single" w:color="auto" w:sz="4" w:space="0"/>
              <w:bottom w:val="single" w:color="auto" w:sz="4" w:space="0"/>
              <w:right w:val="single" w:color="auto" w:sz="4" w:space="0"/>
            </w:tcBorders>
            <w:vAlign w:val="center"/>
          </w:tcPr>
          <w:p w14:paraId="76C86114">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Borders>
              <w:top w:val="single" w:color="auto" w:sz="4" w:space="0"/>
              <w:left w:val="single" w:color="auto" w:sz="4" w:space="0"/>
              <w:bottom w:val="single" w:color="auto" w:sz="4" w:space="0"/>
              <w:right w:val="single" w:color="auto" w:sz="4" w:space="0"/>
            </w:tcBorders>
            <w:vAlign w:val="center"/>
          </w:tcPr>
          <w:p w14:paraId="00413A13">
            <w:pPr>
              <w:jc w:val="center"/>
              <w:rPr>
                <w:rFonts w:ascii="宋体" w:hAnsi="宋体" w:cs="宋体"/>
                <w:bCs/>
                <w:color w:val="auto"/>
                <w:sz w:val="22"/>
                <w:highlight w:val="none"/>
              </w:rPr>
            </w:pPr>
          </w:p>
        </w:tc>
        <w:tc>
          <w:tcPr>
            <w:tcW w:w="382" w:type="dxa"/>
            <w:tcBorders>
              <w:top w:val="single" w:color="auto" w:sz="4" w:space="0"/>
              <w:left w:val="single" w:color="auto" w:sz="4" w:space="0"/>
              <w:bottom w:val="single" w:color="auto" w:sz="4" w:space="0"/>
              <w:right w:val="single" w:color="auto" w:sz="4" w:space="0"/>
            </w:tcBorders>
            <w:vAlign w:val="center"/>
          </w:tcPr>
          <w:p w14:paraId="615D9D7A">
            <w:pPr>
              <w:jc w:val="center"/>
              <w:rPr>
                <w:rFonts w:ascii="宋体" w:hAnsi="宋体" w:cs="宋体"/>
                <w:bCs/>
                <w:color w:val="auto"/>
                <w:sz w:val="22"/>
                <w:highlight w:val="none"/>
              </w:rPr>
            </w:pPr>
          </w:p>
        </w:tc>
        <w:tc>
          <w:tcPr>
            <w:tcW w:w="385" w:type="dxa"/>
            <w:tcBorders>
              <w:top w:val="single" w:color="auto" w:sz="4" w:space="0"/>
              <w:left w:val="single" w:color="auto" w:sz="4" w:space="0"/>
              <w:bottom w:val="single" w:color="auto" w:sz="4" w:space="0"/>
              <w:right w:val="single" w:color="auto" w:sz="4" w:space="0"/>
            </w:tcBorders>
            <w:vAlign w:val="center"/>
          </w:tcPr>
          <w:p w14:paraId="5F6F4276">
            <w:pPr>
              <w:jc w:val="center"/>
              <w:rPr>
                <w:rFonts w:ascii="宋体" w:hAnsi="宋体" w:cs="宋体"/>
                <w:bCs/>
                <w:color w:val="auto"/>
                <w:sz w:val="22"/>
                <w:highlight w:val="none"/>
              </w:rPr>
            </w:pPr>
          </w:p>
        </w:tc>
      </w:tr>
      <w:tr w14:paraId="1C3D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5144403B">
            <w:pPr>
              <w:jc w:val="center"/>
              <w:rPr>
                <w:rFonts w:ascii="宋体" w:hAnsi="宋体" w:cs="宋体"/>
                <w:b/>
                <w:color w:val="auto"/>
                <w:szCs w:val="21"/>
                <w:highlight w:val="none"/>
              </w:rPr>
            </w:pPr>
            <w:r>
              <w:rPr>
                <w:rFonts w:hint="eastAsia" w:ascii="宋体" w:hAnsi="宋体" w:cs="宋体"/>
                <w:b/>
                <w:color w:val="auto"/>
                <w:szCs w:val="21"/>
                <w:highlight w:val="none"/>
              </w:rPr>
              <w:t>2.00</w:t>
            </w:r>
          </w:p>
        </w:tc>
        <w:tc>
          <w:tcPr>
            <w:tcW w:w="6576" w:type="dxa"/>
            <w:vAlign w:val="center"/>
          </w:tcPr>
          <w:p w14:paraId="4260F578">
            <w:pPr>
              <w:jc w:val="left"/>
              <w:rPr>
                <w:rFonts w:ascii="宋体" w:hAnsi="宋体" w:cs="宋体"/>
                <w:color w:val="auto"/>
                <w:szCs w:val="21"/>
                <w:highlight w:val="none"/>
              </w:rPr>
            </w:pPr>
            <w:r>
              <w:rPr>
                <w:rFonts w:hint="eastAsia" w:ascii="宋体" w:hAnsi="宋体" w:cs="宋体"/>
                <w:color w:val="auto"/>
                <w:szCs w:val="21"/>
                <w:highlight w:val="none"/>
              </w:rPr>
              <w:t>《关于&lt;2024年度董事会工作报告&gt;的议案》</w:t>
            </w:r>
          </w:p>
        </w:tc>
        <w:tc>
          <w:tcPr>
            <w:tcW w:w="1301" w:type="dxa"/>
            <w:vAlign w:val="center"/>
          </w:tcPr>
          <w:p w14:paraId="1CB5D4DD">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06B3D4B7">
            <w:pPr>
              <w:jc w:val="center"/>
              <w:rPr>
                <w:rFonts w:ascii="宋体" w:hAnsi="宋体" w:cs="宋体"/>
                <w:bCs/>
                <w:color w:val="auto"/>
                <w:sz w:val="22"/>
                <w:highlight w:val="none"/>
              </w:rPr>
            </w:pPr>
          </w:p>
        </w:tc>
        <w:tc>
          <w:tcPr>
            <w:tcW w:w="382" w:type="dxa"/>
          </w:tcPr>
          <w:p w14:paraId="3BF42D53">
            <w:pPr>
              <w:jc w:val="center"/>
              <w:rPr>
                <w:rFonts w:ascii="宋体" w:hAnsi="宋体" w:cs="宋体"/>
                <w:bCs/>
                <w:color w:val="auto"/>
                <w:sz w:val="22"/>
                <w:highlight w:val="none"/>
              </w:rPr>
            </w:pPr>
          </w:p>
        </w:tc>
        <w:tc>
          <w:tcPr>
            <w:tcW w:w="385" w:type="dxa"/>
          </w:tcPr>
          <w:p w14:paraId="217B8F83">
            <w:pPr>
              <w:jc w:val="center"/>
              <w:rPr>
                <w:rFonts w:ascii="宋体" w:hAnsi="宋体" w:cs="宋体"/>
                <w:bCs/>
                <w:color w:val="auto"/>
                <w:sz w:val="22"/>
                <w:highlight w:val="none"/>
              </w:rPr>
            </w:pPr>
          </w:p>
        </w:tc>
      </w:tr>
      <w:tr w14:paraId="7F93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793B80BA">
            <w:pPr>
              <w:jc w:val="center"/>
              <w:rPr>
                <w:rFonts w:ascii="宋体" w:hAnsi="宋体" w:cs="宋体"/>
                <w:b/>
                <w:color w:val="auto"/>
                <w:szCs w:val="21"/>
                <w:highlight w:val="none"/>
              </w:rPr>
            </w:pPr>
            <w:r>
              <w:rPr>
                <w:rFonts w:hint="eastAsia" w:ascii="宋体" w:hAnsi="宋体" w:cs="宋体"/>
                <w:b/>
                <w:color w:val="auto"/>
                <w:szCs w:val="21"/>
                <w:highlight w:val="none"/>
              </w:rPr>
              <w:t>3.00</w:t>
            </w:r>
          </w:p>
        </w:tc>
        <w:tc>
          <w:tcPr>
            <w:tcW w:w="6576" w:type="dxa"/>
            <w:vAlign w:val="center"/>
          </w:tcPr>
          <w:p w14:paraId="7AC665D7">
            <w:pPr>
              <w:jc w:val="left"/>
              <w:rPr>
                <w:rFonts w:ascii="宋体" w:hAnsi="宋体" w:cs="宋体"/>
                <w:color w:val="auto"/>
                <w:szCs w:val="21"/>
                <w:highlight w:val="none"/>
              </w:rPr>
            </w:pPr>
            <w:r>
              <w:rPr>
                <w:rFonts w:hint="eastAsia" w:ascii="宋体" w:hAnsi="宋体" w:cs="宋体"/>
                <w:color w:val="auto"/>
                <w:szCs w:val="21"/>
                <w:highlight w:val="none"/>
              </w:rPr>
              <w:t>《关于&lt;2024年年度报告&gt;及其摘要的议案》</w:t>
            </w:r>
          </w:p>
        </w:tc>
        <w:tc>
          <w:tcPr>
            <w:tcW w:w="1301" w:type="dxa"/>
            <w:vAlign w:val="center"/>
          </w:tcPr>
          <w:p w14:paraId="283DD621">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674C6E8D">
            <w:pPr>
              <w:jc w:val="center"/>
              <w:rPr>
                <w:rFonts w:ascii="宋体" w:hAnsi="宋体" w:cs="宋体"/>
                <w:bCs/>
                <w:color w:val="auto"/>
                <w:sz w:val="22"/>
                <w:highlight w:val="none"/>
              </w:rPr>
            </w:pPr>
          </w:p>
        </w:tc>
        <w:tc>
          <w:tcPr>
            <w:tcW w:w="382" w:type="dxa"/>
          </w:tcPr>
          <w:p w14:paraId="7A3A0AC2">
            <w:pPr>
              <w:jc w:val="center"/>
              <w:rPr>
                <w:rFonts w:ascii="宋体" w:hAnsi="宋体" w:cs="宋体"/>
                <w:bCs/>
                <w:color w:val="auto"/>
                <w:sz w:val="22"/>
                <w:highlight w:val="none"/>
              </w:rPr>
            </w:pPr>
          </w:p>
        </w:tc>
        <w:tc>
          <w:tcPr>
            <w:tcW w:w="385" w:type="dxa"/>
          </w:tcPr>
          <w:p w14:paraId="1FBBB821">
            <w:pPr>
              <w:jc w:val="center"/>
              <w:rPr>
                <w:rFonts w:ascii="宋体" w:hAnsi="宋体" w:cs="宋体"/>
                <w:bCs/>
                <w:color w:val="auto"/>
                <w:sz w:val="22"/>
                <w:highlight w:val="none"/>
              </w:rPr>
            </w:pPr>
          </w:p>
        </w:tc>
      </w:tr>
      <w:tr w14:paraId="400F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5915C655">
            <w:pPr>
              <w:jc w:val="center"/>
              <w:rPr>
                <w:rFonts w:ascii="宋体" w:hAnsi="宋体" w:cs="宋体"/>
                <w:b/>
                <w:color w:val="auto"/>
                <w:szCs w:val="21"/>
                <w:highlight w:val="none"/>
              </w:rPr>
            </w:pPr>
            <w:r>
              <w:rPr>
                <w:rFonts w:hint="eastAsia" w:ascii="宋体" w:hAnsi="宋体" w:cs="宋体"/>
                <w:b/>
                <w:color w:val="auto"/>
                <w:szCs w:val="21"/>
                <w:highlight w:val="none"/>
              </w:rPr>
              <w:t>4.00</w:t>
            </w:r>
          </w:p>
        </w:tc>
        <w:tc>
          <w:tcPr>
            <w:tcW w:w="6576" w:type="dxa"/>
            <w:vAlign w:val="center"/>
          </w:tcPr>
          <w:p w14:paraId="33668638">
            <w:pPr>
              <w:jc w:val="left"/>
              <w:rPr>
                <w:rFonts w:ascii="宋体" w:hAnsi="宋体" w:cs="宋体"/>
                <w:color w:val="auto"/>
                <w:szCs w:val="21"/>
                <w:highlight w:val="none"/>
              </w:rPr>
            </w:pPr>
            <w:r>
              <w:rPr>
                <w:rFonts w:hint="eastAsia" w:ascii="宋体" w:hAnsi="宋体" w:cs="宋体"/>
                <w:color w:val="auto"/>
                <w:szCs w:val="21"/>
                <w:highlight w:val="none"/>
              </w:rPr>
              <w:t>《关于&lt;2024年度财务决算报告&gt;的议案》</w:t>
            </w:r>
          </w:p>
        </w:tc>
        <w:tc>
          <w:tcPr>
            <w:tcW w:w="1301" w:type="dxa"/>
            <w:vAlign w:val="center"/>
          </w:tcPr>
          <w:p w14:paraId="7F37D5ED">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1C16DF29">
            <w:pPr>
              <w:jc w:val="center"/>
              <w:rPr>
                <w:rFonts w:ascii="宋体" w:hAnsi="宋体" w:cs="宋体"/>
                <w:bCs/>
                <w:color w:val="auto"/>
                <w:sz w:val="22"/>
                <w:highlight w:val="none"/>
              </w:rPr>
            </w:pPr>
          </w:p>
        </w:tc>
        <w:tc>
          <w:tcPr>
            <w:tcW w:w="382" w:type="dxa"/>
          </w:tcPr>
          <w:p w14:paraId="347BD753">
            <w:pPr>
              <w:jc w:val="center"/>
              <w:rPr>
                <w:rFonts w:ascii="宋体" w:hAnsi="宋体" w:cs="宋体"/>
                <w:bCs/>
                <w:color w:val="auto"/>
                <w:sz w:val="22"/>
                <w:highlight w:val="none"/>
              </w:rPr>
            </w:pPr>
          </w:p>
        </w:tc>
        <w:tc>
          <w:tcPr>
            <w:tcW w:w="385" w:type="dxa"/>
          </w:tcPr>
          <w:p w14:paraId="0E00642C">
            <w:pPr>
              <w:jc w:val="center"/>
              <w:rPr>
                <w:rFonts w:ascii="宋体" w:hAnsi="宋体" w:cs="宋体"/>
                <w:bCs/>
                <w:color w:val="auto"/>
                <w:sz w:val="22"/>
                <w:highlight w:val="none"/>
              </w:rPr>
            </w:pPr>
          </w:p>
        </w:tc>
      </w:tr>
      <w:tr w14:paraId="63D0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312ED182">
            <w:pPr>
              <w:jc w:val="center"/>
              <w:rPr>
                <w:rFonts w:ascii="宋体" w:hAnsi="宋体" w:cs="宋体"/>
                <w:b/>
                <w:color w:val="auto"/>
                <w:szCs w:val="21"/>
                <w:highlight w:val="none"/>
              </w:rPr>
            </w:pPr>
            <w:r>
              <w:rPr>
                <w:rFonts w:hint="eastAsia" w:ascii="宋体" w:hAnsi="宋体" w:cs="宋体"/>
                <w:b/>
                <w:color w:val="auto"/>
                <w:szCs w:val="21"/>
                <w:highlight w:val="none"/>
              </w:rPr>
              <w:t>5.00</w:t>
            </w:r>
          </w:p>
        </w:tc>
        <w:tc>
          <w:tcPr>
            <w:tcW w:w="6576" w:type="dxa"/>
            <w:vAlign w:val="center"/>
          </w:tcPr>
          <w:p w14:paraId="6C283254">
            <w:pPr>
              <w:jc w:val="left"/>
              <w:rPr>
                <w:rFonts w:ascii="宋体" w:hAnsi="宋体" w:cs="宋体"/>
                <w:color w:val="auto"/>
                <w:szCs w:val="21"/>
                <w:highlight w:val="none"/>
              </w:rPr>
            </w:pPr>
            <w:r>
              <w:rPr>
                <w:rFonts w:hint="eastAsia" w:ascii="宋体" w:hAnsi="宋体" w:cs="宋体"/>
                <w:color w:val="auto"/>
                <w:szCs w:val="21"/>
                <w:highlight w:val="none"/>
              </w:rPr>
              <w:t>《关于&lt;2024年度内部控制自我评价报告&gt;的议案》</w:t>
            </w:r>
          </w:p>
        </w:tc>
        <w:tc>
          <w:tcPr>
            <w:tcW w:w="1301" w:type="dxa"/>
            <w:vAlign w:val="center"/>
          </w:tcPr>
          <w:p w14:paraId="5D1FB301">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24231C2F">
            <w:pPr>
              <w:jc w:val="center"/>
              <w:rPr>
                <w:rFonts w:ascii="宋体" w:hAnsi="宋体" w:cs="宋体"/>
                <w:bCs/>
                <w:color w:val="auto"/>
                <w:sz w:val="22"/>
                <w:highlight w:val="none"/>
              </w:rPr>
            </w:pPr>
          </w:p>
        </w:tc>
        <w:tc>
          <w:tcPr>
            <w:tcW w:w="382" w:type="dxa"/>
          </w:tcPr>
          <w:p w14:paraId="71FD0359">
            <w:pPr>
              <w:jc w:val="center"/>
              <w:rPr>
                <w:rFonts w:ascii="宋体" w:hAnsi="宋体" w:cs="宋体"/>
                <w:bCs/>
                <w:color w:val="auto"/>
                <w:sz w:val="22"/>
                <w:highlight w:val="none"/>
              </w:rPr>
            </w:pPr>
          </w:p>
        </w:tc>
        <w:tc>
          <w:tcPr>
            <w:tcW w:w="385" w:type="dxa"/>
          </w:tcPr>
          <w:p w14:paraId="12766A17">
            <w:pPr>
              <w:jc w:val="center"/>
              <w:rPr>
                <w:rFonts w:ascii="宋体" w:hAnsi="宋体" w:cs="宋体"/>
                <w:bCs/>
                <w:color w:val="auto"/>
                <w:sz w:val="22"/>
                <w:highlight w:val="none"/>
              </w:rPr>
            </w:pPr>
          </w:p>
        </w:tc>
      </w:tr>
      <w:tr w14:paraId="7B37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59418B57">
            <w:pPr>
              <w:jc w:val="center"/>
              <w:rPr>
                <w:rFonts w:ascii="宋体" w:hAnsi="宋体" w:cs="宋体"/>
                <w:b/>
                <w:color w:val="auto"/>
                <w:szCs w:val="21"/>
                <w:highlight w:val="none"/>
              </w:rPr>
            </w:pPr>
            <w:r>
              <w:rPr>
                <w:rFonts w:hint="eastAsia" w:ascii="宋体" w:hAnsi="宋体" w:cs="宋体"/>
                <w:b/>
                <w:color w:val="auto"/>
                <w:szCs w:val="21"/>
                <w:highlight w:val="none"/>
              </w:rPr>
              <w:t>6.00</w:t>
            </w:r>
          </w:p>
        </w:tc>
        <w:tc>
          <w:tcPr>
            <w:tcW w:w="6576" w:type="dxa"/>
            <w:vAlign w:val="center"/>
          </w:tcPr>
          <w:p w14:paraId="428B67D7">
            <w:pPr>
              <w:jc w:val="left"/>
              <w:rPr>
                <w:rFonts w:ascii="宋体" w:hAnsi="宋体" w:cs="宋体"/>
                <w:color w:val="auto"/>
                <w:szCs w:val="21"/>
                <w:highlight w:val="none"/>
              </w:rPr>
            </w:pPr>
            <w:r>
              <w:rPr>
                <w:rFonts w:hint="eastAsia" w:ascii="宋体" w:hAnsi="宋体" w:cs="宋体"/>
                <w:color w:val="auto"/>
                <w:szCs w:val="21"/>
                <w:highlight w:val="none"/>
              </w:rPr>
              <w:t>《关于续聘公司2025年度会计师事务所的议案》</w:t>
            </w:r>
          </w:p>
        </w:tc>
        <w:tc>
          <w:tcPr>
            <w:tcW w:w="1301" w:type="dxa"/>
            <w:vAlign w:val="center"/>
          </w:tcPr>
          <w:p w14:paraId="791B77C5">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2DCECA83">
            <w:pPr>
              <w:jc w:val="center"/>
              <w:rPr>
                <w:rFonts w:ascii="宋体" w:hAnsi="宋体" w:cs="宋体"/>
                <w:bCs/>
                <w:color w:val="auto"/>
                <w:sz w:val="22"/>
                <w:highlight w:val="none"/>
              </w:rPr>
            </w:pPr>
          </w:p>
        </w:tc>
        <w:tc>
          <w:tcPr>
            <w:tcW w:w="382" w:type="dxa"/>
          </w:tcPr>
          <w:p w14:paraId="713BC680">
            <w:pPr>
              <w:jc w:val="center"/>
              <w:rPr>
                <w:rFonts w:ascii="宋体" w:hAnsi="宋体" w:cs="宋体"/>
                <w:bCs/>
                <w:color w:val="auto"/>
                <w:sz w:val="22"/>
                <w:highlight w:val="none"/>
              </w:rPr>
            </w:pPr>
          </w:p>
        </w:tc>
        <w:tc>
          <w:tcPr>
            <w:tcW w:w="385" w:type="dxa"/>
          </w:tcPr>
          <w:p w14:paraId="1D3AFE35">
            <w:pPr>
              <w:jc w:val="center"/>
              <w:rPr>
                <w:rFonts w:ascii="宋体" w:hAnsi="宋体" w:cs="宋体"/>
                <w:bCs/>
                <w:color w:val="auto"/>
                <w:sz w:val="22"/>
                <w:highlight w:val="none"/>
              </w:rPr>
            </w:pPr>
          </w:p>
        </w:tc>
      </w:tr>
      <w:tr w14:paraId="52B7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09C8A0B5">
            <w:pPr>
              <w:jc w:val="center"/>
              <w:rPr>
                <w:rFonts w:ascii="宋体" w:hAnsi="宋体" w:cs="宋体"/>
                <w:b/>
                <w:color w:val="auto"/>
                <w:szCs w:val="21"/>
                <w:highlight w:val="none"/>
              </w:rPr>
            </w:pPr>
            <w:r>
              <w:rPr>
                <w:rFonts w:hint="eastAsia" w:ascii="宋体" w:hAnsi="宋体" w:cs="宋体"/>
                <w:b/>
                <w:color w:val="auto"/>
                <w:szCs w:val="21"/>
                <w:highlight w:val="none"/>
              </w:rPr>
              <w:t>7.00</w:t>
            </w:r>
          </w:p>
        </w:tc>
        <w:tc>
          <w:tcPr>
            <w:tcW w:w="6576" w:type="dxa"/>
            <w:vAlign w:val="center"/>
          </w:tcPr>
          <w:p w14:paraId="70C9E8BD">
            <w:pPr>
              <w:jc w:val="left"/>
              <w:rPr>
                <w:rFonts w:ascii="宋体" w:hAnsi="宋体" w:cs="宋体"/>
                <w:color w:val="auto"/>
                <w:szCs w:val="21"/>
                <w:highlight w:val="none"/>
              </w:rPr>
            </w:pPr>
            <w:r>
              <w:rPr>
                <w:rFonts w:hint="eastAsia" w:ascii="宋体" w:hAnsi="宋体" w:cs="宋体"/>
                <w:color w:val="auto"/>
                <w:szCs w:val="21"/>
                <w:highlight w:val="none"/>
              </w:rPr>
              <w:t>《关于2024年度利润分配预案的议案》</w:t>
            </w:r>
          </w:p>
        </w:tc>
        <w:tc>
          <w:tcPr>
            <w:tcW w:w="1301" w:type="dxa"/>
            <w:vAlign w:val="center"/>
          </w:tcPr>
          <w:p w14:paraId="0CF28237">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4E7A2CA8">
            <w:pPr>
              <w:jc w:val="center"/>
              <w:rPr>
                <w:rFonts w:ascii="宋体" w:hAnsi="宋体" w:cs="宋体"/>
                <w:bCs/>
                <w:color w:val="auto"/>
                <w:sz w:val="22"/>
                <w:highlight w:val="none"/>
              </w:rPr>
            </w:pPr>
          </w:p>
        </w:tc>
        <w:tc>
          <w:tcPr>
            <w:tcW w:w="382" w:type="dxa"/>
          </w:tcPr>
          <w:p w14:paraId="400FF71B">
            <w:pPr>
              <w:jc w:val="center"/>
              <w:rPr>
                <w:rFonts w:ascii="宋体" w:hAnsi="宋体" w:cs="宋体"/>
                <w:bCs/>
                <w:color w:val="auto"/>
                <w:sz w:val="22"/>
                <w:highlight w:val="none"/>
              </w:rPr>
            </w:pPr>
          </w:p>
        </w:tc>
        <w:tc>
          <w:tcPr>
            <w:tcW w:w="385" w:type="dxa"/>
          </w:tcPr>
          <w:p w14:paraId="3F87AAFD">
            <w:pPr>
              <w:jc w:val="center"/>
              <w:rPr>
                <w:rFonts w:ascii="宋体" w:hAnsi="宋体" w:cs="宋体"/>
                <w:bCs/>
                <w:color w:val="auto"/>
                <w:sz w:val="22"/>
                <w:highlight w:val="none"/>
              </w:rPr>
            </w:pPr>
          </w:p>
        </w:tc>
      </w:tr>
      <w:tr w14:paraId="06E5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64BB521F">
            <w:pPr>
              <w:jc w:val="center"/>
              <w:rPr>
                <w:rFonts w:ascii="宋体" w:hAnsi="宋体" w:cs="宋体"/>
                <w:b/>
                <w:color w:val="auto"/>
                <w:szCs w:val="21"/>
                <w:highlight w:val="none"/>
              </w:rPr>
            </w:pPr>
            <w:r>
              <w:rPr>
                <w:rFonts w:hint="eastAsia" w:ascii="宋体" w:hAnsi="宋体" w:cs="宋体"/>
                <w:b/>
                <w:color w:val="auto"/>
                <w:szCs w:val="21"/>
                <w:highlight w:val="none"/>
              </w:rPr>
              <w:t>8.00</w:t>
            </w:r>
          </w:p>
        </w:tc>
        <w:tc>
          <w:tcPr>
            <w:tcW w:w="6576" w:type="dxa"/>
            <w:vAlign w:val="center"/>
          </w:tcPr>
          <w:p w14:paraId="014A4AD4">
            <w:pPr>
              <w:jc w:val="left"/>
              <w:rPr>
                <w:rFonts w:ascii="宋体" w:hAnsi="宋体" w:cs="宋体"/>
                <w:color w:val="auto"/>
                <w:szCs w:val="21"/>
                <w:highlight w:val="none"/>
              </w:rPr>
            </w:pPr>
            <w:r>
              <w:rPr>
                <w:rFonts w:hint="eastAsia" w:ascii="宋体" w:hAnsi="宋体" w:cs="宋体"/>
                <w:color w:val="auto"/>
                <w:szCs w:val="21"/>
                <w:highlight w:val="none"/>
              </w:rPr>
              <w:t>《关于董事、监事2024年度薪酬确认及2025年度薪酬方案的议案》</w:t>
            </w:r>
          </w:p>
        </w:tc>
        <w:tc>
          <w:tcPr>
            <w:tcW w:w="1301" w:type="dxa"/>
            <w:vAlign w:val="center"/>
          </w:tcPr>
          <w:p w14:paraId="1A255925">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25D9A7C7">
            <w:pPr>
              <w:jc w:val="center"/>
              <w:rPr>
                <w:rFonts w:ascii="宋体" w:hAnsi="宋体" w:cs="宋体"/>
                <w:bCs/>
                <w:color w:val="auto"/>
                <w:sz w:val="22"/>
                <w:highlight w:val="none"/>
              </w:rPr>
            </w:pPr>
          </w:p>
        </w:tc>
        <w:tc>
          <w:tcPr>
            <w:tcW w:w="382" w:type="dxa"/>
          </w:tcPr>
          <w:p w14:paraId="2A063946">
            <w:pPr>
              <w:jc w:val="center"/>
              <w:rPr>
                <w:rFonts w:ascii="宋体" w:hAnsi="宋体" w:cs="宋体"/>
                <w:bCs/>
                <w:color w:val="auto"/>
                <w:sz w:val="22"/>
                <w:highlight w:val="none"/>
              </w:rPr>
            </w:pPr>
          </w:p>
        </w:tc>
        <w:tc>
          <w:tcPr>
            <w:tcW w:w="385" w:type="dxa"/>
          </w:tcPr>
          <w:p w14:paraId="4BD0088F">
            <w:pPr>
              <w:jc w:val="center"/>
              <w:rPr>
                <w:rFonts w:ascii="宋体" w:hAnsi="宋体" w:cs="宋体"/>
                <w:bCs/>
                <w:color w:val="auto"/>
                <w:sz w:val="22"/>
                <w:highlight w:val="none"/>
              </w:rPr>
            </w:pPr>
          </w:p>
        </w:tc>
      </w:tr>
      <w:tr w14:paraId="4CCD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231AA680">
            <w:pPr>
              <w:jc w:val="center"/>
              <w:rPr>
                <w:rFonts w:ascii="宋体" w:hAnsi="宋体" w:cs="宋体"/>
                <w:b/>
                <w:color w:val="auto"/>
                <w:szCs w:val="21"/>
                <w:highlight w:val="none"/>
              </w:rPr>
            </w:pPr>
            <w:r>
              <w:rPr>
                <w:rFonts w:hint="eastAsia" w:ascii="宋体" w:hAnsi="宋体" w:cs="宋体"/>
                <w:b/>
                <w:color w:val="auto"/>
                <w:szCs w:val="21"/>
                <w:highlight w:val="none"/>
              </w:rPr>
              <w:t>9.00</w:t>
            </w:r>
          </w:p>
        </w:tc>
        <w:tc>
          <w:tcPr>
            <w:tcW w:w="6576" w:type="dxa"/>
            <w:vAlign w:val="center"/>
          </w:tcPr>
          <w:p w14:paraId="50724ED8">
            <w:pPr>
              <w:jc w:val="left"/>
              <w:rPr>
                <w:rFonts w:ascii="宋体" w:hAnsi="宋体" w:cs="宋体"/>
                <w:color w:val="auto"/>
                <w:szCs w:val="21"/>
                <w:highlight w:val="none"/>
              </w:rPr>
            </w:pPr>
            <w:r>
              <w:rPr>
                <w:rFonts w:hint="eastAsia" w:ascii="宋体" w:hAnsi="宋体" w:cs="宋体"/>
                <w:color w:val="auto"/>
                <w:szCs w:val="21"/>
                <w:highlight w:val="none"/>
              </w:rPr>
              <w:t>《关于2025年度银行贷款额度及担保事项的议案》</w:t>
            </w:r>
          </w:p>
        </w:tc>
        <w:tc>
          <w:tcPr>
            <w:tcW w:w="1301" w:type="dxa"/>
            <w:vAlign w:val="center"/>
          </w:tcPr>
          <w:p w14:paraId="4C47A636">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73C0351D">
            <w:pPr>
              <w:jc w:val="center"/>
              <w:rPr>
                <w:rFonts w:ascii="宋体" w:hAnsi="宋体" w:cs="宋体"/>
                <w:bCs/>
                <w:color w:val="auto"/>
                <w:sz w:val="22"/>
                <w:highlight w:val="none"/>
              </w:rPr>
            </w:pPr>
          </w:p>
        </w:tc>
        <w:tc>
          <w:tcPr>
            <w:tcW w:w="382" w:type="dxa"/>
          </w:tcPr>
          <w:p w14:paraId="2FC28F06">
            <w:pPr>
              <w:jc w:val="center"/>
              <w:rPr>
                <w:rFonts w:ascii="宋体" w:hAnsi="宋体" w:cs="宋体"/>
                <w:bCs/>
                <w:color w:val="auto"/>
                <w:sz w:val="22"/>
                <w:highlight w:val="none"/>
              </w:rPr>
            </w:pPr>
          </w:p>
        </w:tc>
        <w:tc>
          <w:tcPr>
            <w:tcW w:w="385" w:type="dxa"/>
          </w:tcPr>
          <w:p w14:paraId="55F5ABD3">
            <w:pPr>
              <w:jc w:val="center"/>
              <w:rPr>
                <w:rFonts w:ascii="宋体" w:hAnsi="宋体" w:cs="宋体"/>
                <w:bCs/>
                <w:color w:val="auto"/>
                <w:sz w:val="22"/>
                <w:highlight w:val="none"/>
              </w:rPr>
            </w:pPr>
          </w:p>
        </w:tc>
      </w:tr>
      <w:tr w14:paraId="0183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Align w:val="center"/>
          </w:tcPr>
          <w:p w14:paraId="083C174D">
            <w:pPr>
              <w:jc w:val="center"/>
              <w:rPr>
                <w:rFonts w:ascii="宋体" w:hAnsi="宋体" w:cs="宋体"/>
                <w:b/>
                <w:color w:val="auto"/>
                <w:szCs w:val="21"/>
                <w:highlight w:val="none"/>
              </w:rPr>
            </w:pPr>
            <w:r>
              <w:rPr>
                <w:rFonts w:hint="eastAsia" w:ascii="宋体" w:hAnsi="宋体" w:cs="宋体"/>
                <w:b/>
                <w:color w:val="auto"/>
                <w:szCs w:val="21"/>
                <w:highlight w:val="none"/>
              </w:rPr>
              <w:t>10.00</w:t>
            </w:r>
          </w:p>
        </w:tc>
        <w:tc>
          <w:tcPr>
            <w:tcW w:w="6576" w:type="dxa"/>
            <w:vAlign w:val="center"/>
          </w:tcPr>
          <w:p w14:paraId="04568F3C">
            <w:pPr>
              <w:jc w:val="left"/>
              <w:rPr>
                <w:rFonts w:ascii="宋体" w:hAnsi="宋体" w:cs="宋体"/>
                <w:color w:val="auto"/>
                <w:szCs w:val="21"/>
                <w:highlight w:val="none"/>
              </w:rPr>
            </w:pPr>
            <w:r>
              <w:rPr>
                <w:rFonts w:hint="eastAsia" w:ascii="宋体" w:hAnsi="宋体" w:cs="宋体"/>
                <w:color w:val="auto"/>
                <w:szCs w:val="21"/>
                <w:highlight w:val="none"/>
              </w:rPr>
              <w:t>《关于购买董事、监事及高级管理人员责任保险的议案》</w:t>
            </w:r>
          </w:p>
        </w:tc>
        <w:tc>
          <w:tcPr>
            <w:tcW w:w="1301" w:type="dxa"/>
            <w:vAlign w:val="center"/>
          </w:tcPr>
          <w:p w14:paraId="07C1B55C">
            <w:pPr>
              <w:jc w:val="center"/>
              <w:rPr>
                <w:rFonts w:ascii="宋体" w:hAnsi="宋体" w:cs="宋体"/>
                <w:bCs/>
                <w:color w:val="auto"/>
                <w:sz w:val="22"/>
                <w:highlight w:val="none"/>
              </w:rPr>
            </w:pPr>
            <w:r>
              <w:rPr>
                <w:rFonts w:hint="eastAsia" w:ascii="宋体" w:hAnsi="宋体" w:cs="宋体"/>
                <w:bCs/>
                <w:color w:val="auto"/>
                <w:sz w:val="22"/>
                <w:highlight w:val="none"/>
              </w:rPr>
              <w:t>√</w:t>
            </w:r>
          </w:p>
        </w:tc>
        <w:tc>
          <w:tcPr>
            <w:tcW w:w="450" w:type="dxa"/>
          </w:tcPr>
          <w:p w14:paraId="2D57459E">
            <w:pPr>
              <w:jc w:val="center"/>
              <w:rPr>
                <w:rFonts w:ascii="宋体" w:hAnsi="宋体" w:cs="宋体"/>
                <w:bCs/>
                <w:color w:val="auto"/>
                <w:sz w:val="22"/>
                <w:highlight w:val="none"/>
              </w:rPr>
            </w:pPr>
          </w:p>
        </w:tc>
        <w:tc>
          <w:tcPr>
            <w:tcW w:w="382" w:type="dxa"/>
          </w:tcPr>
          <w:p w14:paraId="081684E9">
            <w:pPr>
              <w:jc w:val="center"/>
              <w:rPr>
                <w:rFonts w:ascii="宋体" w:hAnsi="宋体" w:cs="宋体"/>
                <w:bCs/>
                <w:color w:val="auto"/>
                <w:sz w:val="22"/>
                <w:highlight w:val="none"/>
              </w:rPr>
            </w:pPr>
          </w:p>
        </w:tc>
        <w:tc>
          <w:tcPr>
            <w:tcW w:w="385" w:type="dxa"/>
          </w:tcPr>
          <w:p w14:paraId="62F58F32">
            <w:pPr>
              <w:jc w:val="center"/>
              <w:rPr>
                <w:rFonts w:ascii="宋体" w:hAnsi="宋体" w:cs="宋体"/>
                <w:bCs/>
                <w:color w:val="auto"/>
                <w:sz w:val="22"/>
                <w:highlight w:val="none"/>
              </w:rPr>
            </w:pPr>
          </w:p>
        </w:tc>
      </w:tr>
    </w:tbl>
    <w:p w14:paraId="28EC087B">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委托人姓名或名称：                       </w:t>
      </w:r>
    </w:p>
    <w:p w14:paraId="020E164E">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委托人身份证或营业执照号码：             </w:t>
      </w:r>
    </w:p>
    <w:p w14:paraId="717A4F1D">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委托人持股数：                          </w:t>
      </w:r>
    </w:p>
    <w:p w14:paraId="7C3A0A80">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委托人股票账号：                   </w:t>
      </w:r>
    </w:p>
    <w:p w14:paraId="59B1CC81">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委托日期：                               </w:t>
      </w:r>
    </w:p>
    <w:p w14:paraId="14FF6262">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授权委托有效期限：</w:t>
      </w:r>
    </w:p>
    <w:p w14:paraId="246E0433">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委托人签字或盖章：</w:t>
      </w:r>
    </w:p>
    <w:p w14:paraId="2BA3CDA7">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受托人签名：                             </w:t>
      </w:r>
    </w:p>
    <w:p w14:paraId="46155131">
      <w:pPr>
        <w:autoSpaceDE w:val="0"/>
        <w:autoSpaceDN w:val="0"/>
        <w:adjustRightInd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受托人身份证号码：                 </w:t>
      </w:r>
    </w:p>
    <w:p w14:paraId="3AD89041">
      <w:pPr>
        <w:autoSpaceDE w:val="0"/>
        <w:autoSpaceDN w:val="0"/>
        <w:adjustRightInd w:val="0"/>
        <w:spacing w:line="360" w:lineRule="auto"/>
        <w:jc w:val="left"/>
        <w:rPr>
          <w:rFonts w:ascii="宋体" w:hAnsi="宋体" w:cs="宋体"/>
          <w:b/>
          <w:bCs/>
          <w:color w:val="auto"/>
          <w:kern w:val="0"/>
          <w:sz w:val="24"/>
          <w:szCs w:val="24"/>
          <w:highlight w:val="none"/>
        </w:rPr>
        <w:sectPr>
          <w:pgSz w:w="11906" w:h="16838"/>
          <w:pgMar w:top="1440" w:right="1800" w:bottom="1440" w:left="1800" w:header="851" w:footer="992" w:gutter="0"/>
          <w:cols w:space="720" w:num="1"/>
          <w:docGrid w:type="lines" w:linePitch="312" w:charSpace="0"/>
        </w:sectPr>
      </w:pPr>
    </w:p>
    <w:p w14:paraId="2122E415">
      <w:pPr>
        <w:autoSpaceDE w:val="0"/>
        <w:autoSpaceDN w:val="0"/>
        <w:adjustRightInd w:val="0"/>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附件三：</w:t>
      </w:r>
    </w:p>
    <w:p w14:paraId="5294C4A2">
      <w:pPr>
        <w:autoSpaceDE w:val="0"/>
        <w:autoSpaceDN w:val="0"/>
        <w:adjustRightInd w:val="0"/>
        <w:spacing w:line="360" w:lineRule="auto"/>
        <w:jc w:val="left"/>
        <w:rPr>
          <w:rFonts w:ascii="宋体" w:hAnsi="宋体" w:cs="宋体"/>
          <w:color w:val="auto"/>
          <w:kern w:val="0"/>
          <w:sz w:val="24"/>
          <w:szCs w:val="24"/>
          <w:highlight w:val="none"/>
        </w:rPr>
      </w:pPr>
    </w:p>
    <w:p w14:paraId="30484DE0">
      <w:pPr>
        <w:autoSpaceDE w:val="0"/>
        <w:autoSpaceDN w:val="0"/>
        <w:adjustRightInd w:val="0"/>
        <w:spacing w:line="360" w:lineRule="auto"/>
        <w:jc w:val="center"/>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福建广生堂药业股份有限公司</w:t>
      </w:r>
    </w:p>
    <w:p w14:paraId="60E047BD">
      <w:pPr>
        <w:adjustRightInd w:val="0"/>
        <w:jc w:val="center"/>
        <w:rPr>
          <w:rFonts w:ascii="宋体" w:hAnsi="宋体" w:cs="宋体"/>
          <w:b/>
          <w:bCs/>
          <w:color w:val="auto"/>
          <w:kern w:val="0"/>
          <w:szCs w:val="21"/>
          <w:highlight w:val="none"/>
        </w:rPr>
      </w:pPr>
      <w:r>
        <w:rPr>
          <w:rFonts w:hint="eastAsia" w:ascii="宋体" w:hAnsi="宋体" w:cs="宋体"/>
          <w:b/>
          <w:bCs/>
          <w:color w:val="auto"/>
          <w:kern w:val="0"/>
          <w:sz w:val="28"/>
          <w:szCs w:val="28"/>
          <w:highlight w:val="none"/>
        </w:rPr>
        <w:t>2024年年度股东大会</w:t>
      </w:r>
      <w:r>
        <w:rPr>
          <w:rFonts w:hint="eastAsia" w:ascii="宋体" w:hAnsi="宋体" w:cs="宋体"/>
          <w:b/>
          <w:bCs/>
          <w:color w:val="auto"/>
          <w:kern w:val="0"/>
          <w:sz w:val="28"/>
          <w:szCs w:val="28"/>
          <w:highlight w:val="none"/>
        </w:rPr>
        <w:t>参会股东登记表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6345"/>
      </w:tblGrid>
      <w:tr w14:paraId="50E8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172D14CD">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姓名/公司名称</w:t>
            </w:r>
          </w:p>
        </w:tc>
        <w:tc>
          <w:tcPr>
            <w:tcW w:w="6345" w:type="dxa"/>
            <w:vAlign w:val="center"/>
          </w:tcPr>
          <w:p w14:paraId="3783A89B">
            <w:pPr>
              <w:autoSpaceDE w:val="0"/>
              <w:autoSpaceDN w:val="0"/>
              <w:adjustRightInd w:val="0"/>
              <w:spacing w:line="360" w:lineRule="auto"/>
              <w:jc w:val="center"/>
              <w:rPr>
                <w:rFonts w:ascii="宋体" w:hAnsi="宋体" w:cs="宋体"/>
                <w:color w:val="auto"/>
                <w:kern w:val="0"/>
                <w:sz w:val="24"/>
                <w:szCs w:val="24"/>
                <w:highlight w:val="none"/>
              </w:rPr>
            </w:pPr>
          </w:p>
        </w:tc>
      </w:tr>
      <w:tr w14:paraId="24EF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73789061">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身份证/营业执照号码</w:t>
            </w:r>
          </w:p>
        </w:tc>
        <w:tc>
          <w:tcPr>
            <w:tcW w:w="6345" w:type="dxa"/>
            <w:vAlign w:val="center"/>
          </w:tcPr>
          <w:p w14:paraId="7347CF79">
            <w:pPr>
              <w:autoSpaceDE w:val="0"/>
              <w:autoSpaceDN w:val="0"/>
              <w:adjustRightInd w:val="0"/>
              <w:spacing w:line="360" w:lineRule="auto"/>
              <w:jc w:val="center"/>
              <w:rPr>
                <w:rFonts w:ascii="宋体" w:hAnsi="宋体" w:cs="宋体"/>
                <w:color w:val="auto"/>
                <w:kern w:val="0"/>
                <w:sz w:val="24"/>
                <w:szCs w:val="24"/>
                <w:highlight w:val="none"/>
              </w:rPr>
            </w:pPr>
          </w:p>
        </w:tc>
      </w:tr>
      <w:tr w14:paraId="2868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0A866FF5">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股东账户卡号</w:t>
            </w:r>
          </w:p>
        </w:tc>
        <w:tc>
          <w:tcPr>
            <w:tcW w:w="6345" w:type="dxa"/>
            <w:vAlign w:val="center"/>
          </w:tcPr>
          <w:p w14:paraId="6281CB7D">
            <w:pPr>
              <w:autoSpaceDE w:val="0"/>
              <w:autoSpaceDN w:val="0"/>
              <w:adjustRightInd w:val="0"/>
              <w:spacing w:line="360" w:lineRule="auto"/>
              <w:jc w:val="center"/>
              <w:rPr>
                <w:rFonts w:ascii="宋体" w:hAnsi="宋体" w:cs="宋体"/>
                <w:color w:val="auto"/>
                <w:kern w:val="0"/>
                <w:sz w:val="24"/>
                <w:szCs w:val="24"/>
                <w:highlight w:val="none"/>
              </w:rPr>
            </w:pPr>
          </w:p>
        </w:tc>
      </w:tr>
      <w:tr w14:paraId="0BD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49CA7B00">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持股数量</w:t>
            </w:r>
          </w:p>
        </w:tc>
        <w:tc>
          <w:tcPr>
            <w:tcW w:w="6345" w:type="dxa"/>
            <w:vAlign w:val="center"/>
          </w:tcPr>
          <w:p w14:paraId="77DD9CEB">
            <w:pPr>
              <w:autoSpaceDE w:val="0"/>
              <w:autoSpaceDN w:val="0"/>
              <w:adjustRightInd w:val="0"/>
              <w:spacing w:line="360" w:lineRule="auto"/>
              <w:jc w:val="center"/>
              <w:rPr>
                <w:rFonts w:ascii="宋体" w:hAnsi="宋体" w:cs="宋体"/>
                <w:color w:val="auto"/>
                <w:kern w:val="0"/>
                <w:sz w:val="24"/>
                <w:szCs w:val="24"/>
                <w:highlight w:val="none"/>
              </w:rPr>
            </w:pPr>
          </w:p>
        </w:tc>
      </w:tr>
      <w:tr w14:paraId="198D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3DEB9388">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p>
        </w:tc>
        <w:tc>
          <w:tcPr>
            <w:tcW w:w="6345" w:type="dxa"/>
            <w:vAlign w:val="center"/>
          </w:tcPr>
          <w:p w14:paraId="118795E3">
            <w:pPr>
              <w:autoSpaceDE w:val="0"/>
              <w:autoSpaceDN w:val="0"/>
              <w:adjustRightInd w:val="0"/>
              <w:spacing w:line="360" w:lineRule="auto"/>
              <w:jc w:val="center"/>
              <w:rPr>
                <w:rFonts w:ascii="宋体" w:hAnsi="宋体" w:cs="宋体"/>
                <w:color w:val="auto"/>
                <w:kern w:val="0"/>
                <w:sz w:val="24"/>
                <w:szCs w:val="24"/>
                <w:highlight w:val="none"/>
              </w:rPr>
            </w:pPr>
          </w:p>
        </w:tc>
      </w:tr>
      <w:tr w14:paraId="0C0C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70BA3360">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电子邮箱</w:t>
            </w:r>
          </w:p>
        </w:tc>
        <w:tc>
          <w:tcPr>
            <w:tcW w:w="6345" w:type="dxa"/>
            <w:vAlign w:val="center"/>
          </w:tcPr>
          <w:p w14:paraId="3251ED60">
            <w:pPr>
              <w:autoSpaceDE w:val="0"/>
              <w:autoSpaceDN w:val="0"/>
              <w:adjustRightInd w:val="0"/>
              <w:spacing w:line="360" w:lineRule="auto"/>
              <w:jc w:val="center"/>
              <w:rPr>
                <w:rFonts w:ascii="宋体" w:hAnsi="宋体" w:cs="宋体"/>
                <w:color w:val="auto"/>
                <w:kern w:val="0"/>
                <w:sz w:val="24"/>
                <w:szCs w:val="24"/>
                <w:highlight w:val="none"/>
              </w:rPr>
            </w:pPr>
          </w:p>
        </w:tc>
      </w:tr>
      <w:tr w14:paraId="7DD3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4EFF2DA3">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联系地址</w:t>
            </w:r>
          </w:p>
        </w:tc>
        <w:tc>
          <w:tcPr>
            <w:tcW w:w="6345" w:type="dxa"/>
            <w:vAlign w:val="center"/>
          </w:tcPr>
          <w:p w14:paraId="2E86A0CE">
            <w:pPr>
              <w:autoSpaceDE w:val="0"/>
              <w:autoSpaceDN w:val="0"/>
              <w:adjustRightInd w:val="0"/>
              <w:spacing w:line="360" w:lineRule="auto"/>
              <w:jc w:val="center"/>
              <w:rPr>
                <w:rFonts w:ascii="宋体" w:hAnsi="宋体" w:cs="宋体"/>
                <w:color w:val="auto"/>
                <w:kern w:val="0"/>
                <w:sz w:val="24"/>
                <w:szCs w:val="24"/>
                <w:highlight w:val="none"/>
              </w:rPr>
            </w:pPr>
          </w:p>
        </w:tc>
      </w:tr>
      <w:tr w14:paraId="61AD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40E4B0C6">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邮编</w:t>
            </w:r>
          </w:p>
        </w:tc>
        <w:tc>
          <w:tcPr>
            <w:tcW w:w="6345" w:type="dxa"/>
            <w:vAlign w:val="center"/>
          </w:tcPr>
          <w:p w14:paraId="205E6DFA">
            <w:pPr>
              <w:autoSpaceDE w:val="0"/>
              <w:autoSpaceDN w:val="0"/>
              <w:adjustRightInd w:val="0"/>
              <w:spacing w:line="360" w:lineRule="auto"/>
              <w:jc w:val="center"/>
              <w:rPr>
                <w:rFonts w:ascii="宋体" w:hAnsi="宋体" w:cs="宋体"/>
                <w:color w:val="auto"/>
                <w:kern w:val="0"/>
                <w:sz w:val="24"/>
                <w:szCs w:val="24"/>
                <w:highlight w:val="none"/>
              </w:rPr>
            </w:pPr>
          </w:p>
        </w:tc>
      </w:tr>
      <w:tr w14:paraId="709D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675170EB">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是否本人参会</w:t>
            </w:r>
          </w:p>
        </w:tc>
        <w:tc>
          <w:tcPr>
            <w:tcW w:w="6345" w:type="dxa"/>
            <w:vAlign w:val="center"/>
          </w:tcPr>
          <w:p w14:paraId="3A65DB5C">
            <w:pPr>
              <w:autoSpaceDE w:val="0"/>
              <w:autoSpaceDN w:val="0"/>
              <w:adjustRightInd w:val="0"/>
              <w:spacing w:line="360" w:lineRule="auto"/>
              <w:jc w:val="center"/>
              <w:rPr>
                <w:rFonts w:ascii="宋体" w:hAnsi="宋体" w:cs="宋体"/>
                <w:color w:val="auto"/>
                <w:kern w:val="0"/>
                <w:sz w:val="24"/>
                <w:szCs w:val="24"/>
                <w:highlight w:val="none"/>
              </w:rPr>
            </w:pPr>
          </w:p>
        </w:tc>
      </w:tr>
      <w:tr w14:paraId="192F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5AA67A1D">
            <w:pPr>
              <w:autoSpaceDE w:val="0"/>
              <w:autoSpaceDN w:val="0"/>
              <w:adjustRightIn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6345" w:type="dxa"/>
            <w:vAlign w:val="center"/>
          </w:tcPr>
          <w:p w14:paraId="3FA78892">
            <w:pPr>
              <w:autoSpaceDE w:val="0"/>
              <w:autoSpaceDN w:val="0"/>
              <w:adjustRightInd w:val="0"/>
              <w:spacing w:line="360" w:lineRule="auto"/>
              <w:jc w:val="center"/>
              <w:rPr>
                <w:rFonts w:ascii="宋体" w:hAnsi="宋体" w:cs="宋体"/>
                <w:color w:val="auto"/>
                <w:kern w:val="0"/>
                <w:sz w:val="24"/>
                <w:szCs w:val="24"/>
                <w:highlight w:val="none"/>
              </w:rPr>
            </w:pPr>
          </w:p>
        </w:tc>
      </w:tr>
    </w:tbl>
    <w:p w14:paraId="401D8620">
      <w:pPr>
        <w:rPr>
          <w:rFonts w:ascii="宋体" w:hAnsi="宋体" w:cs="宋体"/>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8F93">
    <w:pPr>
      <w:pStyle w:val="6"/>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4B1B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1DD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D14F4">
    <w:pPr>
      <w:pStyle w:val="7"/>
      <w:tabs>
        <w:tab w:val="right" w:pos="9214"/>
        <w:tab w:val="clear" w:pos="8306"/>
      </w:tabs>
      <w:ind w:left="-1277" w:leftChars="-608" w:right="-1331" w:rightChars="-634" w:firstLine="1"/>
    </w:pPr>
    <w:r>
      <w:pict>
        <v:shape id="WordPictureWatermark3069298" o:spid="_x0000_s1026"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FBFF">
    <w:pPr>
      <w:pStyle w:val="7"/>
    </w:pPr>
    <w:r>
      <w:pict>
        <v:shape id="WordPictureWatermark3069297" o:spid="_x0000_s1025"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1199">
    <w:pPr>
      <w:pStyle w:val="7"/>
    </w:pPr>
    <w:r>
      <w:pict>
        <v:shape id="WordPictureWatermark3069296" o:spid="_x0000_s1027" o:spt="75" type="#_x0000_t75" style="position:absolute;left:0pt;height:841.9pt;width:595.2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BA278"/>
    <w:multiLevelType w:val="singleLevel"/>
    <w:tmpl w:val="58ABA278"/>
    <w:lvl w:ilvl="0" w:tentative="0">
      <w:start w:val="1"/>
      <w:numFmt w:val="chineseCounting"/>
      <w:suff w:val="nothing"/>
      <w:lvlText w:val="%1、"/>
      <w:lvlJc w:val="left"/>
    </w:lvl>
  </w:abstractNum>
  <w:abstractNum w:abstractNumId="1">
    <w:nsid w:val="5A72787F"/>
    <w:multiLevelType w:val="singleLevel"/>
    <w:tmpl w:val="5A72787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2ZWIyNTliNDI0ZWQxMTJlMTA0YzJiYjFkMGY2OTAifQ=="/>
  </w:docVars>
  <w:rsids>
    <w:rsidRoot w:val="00172A27"/>
    <w:rsid w:val="00033937"/>
    <w:rsid w:val="00043B4C"/>
    <w:rsid w:val="00062170"/>
    <w:rsid w:val="00082C74"/>
    <w:rsid w:val="000A30FD"/>
    <w:rsid w:val="000B259C"/>
    <w:rsid w:val="000F41DC"/>
    <w:rsid w:val="000F51AB"/>
    <w:rsid w:val="00114BAF"/>
    <w:rsid w:val="00135B12"/>
    <w:rsid w:val="00167A8D"/>
    <w:rsid w:val="00172A27"/>
    <w:rsid w:val="001A3026"/>
    <w:rsid w:val="001A3EDE"/>
    <w:rsid w:val="001C6121"/>
    <w:rsid w:val="001F6F1A"/>
    <w:rsid w:val="0020418A"/>
    <w:rsid w:val="0021331C"/>
    <w:rsid w:val="002301F2"/>
    <w:rsid w:val="002652B3"/>
    <w:rsid w:val="002801E5"/>
    <w:rsid w:val="002A6767"/>
    <w:rsid w:val="002B45CF"/>
    <w:rsid w:val="002F6938"/>
    <w:rsid w:val="0030109C"/>
    <w:rsid w:val="003012DC"/>
    <w:rsid w:val="003138FE"/>
    <w:rsid w:val="003225AE"/>
    <w:rsid w:val="00322A41"/>
    <w:rsid w:val="00331307"/>
    <w:rsid w:val="003337DE"/>
    <w:rsid w:val="00340797"/>
    <w:rsid w:val="00376191"/>
    <w:rsid w:val="00380B6E"/>
    <w:rsid w:val="003C796A"/>
    <w:rsid w:val="003E51AF"/>
    <w:rsid w:val="00484546"/>
    <w:rsid w:val="004A6E0A"/>
    <w:rsid w:val="004C65EB"/>
    <w:rsid w:val="004C7FBE"/>
    <w:rsid w:val="004D6979"/>
    <w:rsid w:val="00532AA5"/>
    <w:rsid w:val="00547EA4"/>
    <w:rsid w:val="00552200"/>
    <w:rsid w:val="005671F0"/>
    <w:rsid w:val="005A5A6B"/>
    <w:rsid w:val="005B03FA"/>
    <w:rsid w:val="00610D38"/>
    <w:rsid w:val="0065107A"/>
    <w:rsid w:val="00666EB8"/>
    <w:rsid w:val="0069765B"/>
    <w:rsid w:val="006C1330"/>
    <w:rsid w:val="006E30F8"/>
    <w:rsid w:val="006E4923"/>
    <w:rsid w:val="006F45B5"/>
    <w:rsid w:val="00702E6C"/>
    <w:rsid w:val="007064C2"/>
    <w:rsid w:val="00715492"/>
    <w:rsid w:val="00731068"/>
    <w:rsid w:val="007460C7"/>
    <w:rsid w:val="007A0250"/>
    <w:rsid w:val="007C6B1A"/>
    <w:rsid w:val="007D07FC"/>
    <w:rsid w:val="008518E9"/>
    <w:rsid w:val="0085490A"/>
    <w:rsid w:val="00883650"/>
    <w:rsid w:val="008926A5"/>
    <w:rsid w:val="0089358C"/>
    <w:rsid w:val="008A7399"/>
    <w:rsid w:val="008B7530"/>
    <w:rsid w:val="008C27D2"/>
    <w:rsid w:val="008D4935"/>
    <w:rsid w:val="008D666C"/>
    <w:rsid w:val="008D7BD8"/>
    <w:rsid w:val="008D7F1A"/>
    <w:rsid w:val="008D7FFA"/>
    <w:rsid w:val="009051AC"/>
    <w:rsid w:val="00923C7A"/>
    <w:rsid w:val="009327CB"/>
    <w:rsid w:val="00960FEB"/>
    <w:rsid w:val="00973E23"/>
    <w:rsid w:val="00977C2B"/>
    <w:rsid w:val="009837D0"/>
    <w:rsid w:val="00987010"/>
    <w:rsid w:val="00A06B26"/>
    <w:rsid w:val="00A13724"/>
    <w:rsid w:val="00A16E7A"/>
    <w:rsid w:val="00A22870"/>
    <w:rsid w:val="00A5363E"/>
    <w:rsid w:val="00A66FA3"/>
    <w:rsid w:val="00A728EE"/>
    <w:rsid w:val="00A77552"/>
    <w:rsid w:val="00A81536"/>
    <w:rsid w:val="00A836A2"/>
    <w:rsid w:val="00AA7C2A"/>
    <w:rsid w:val="00AE399B"/>
    <w:rsid w:val="00AF1AA1"/>
    <w:rsid w:val="00AF2B29"/>
    <w:rsid w:val="00B34C96"/>
    <w:rsid w:val="00B45789"/>
    <w:rsid w:val="00B852D5"/>
    <w:rsid w:val="00BD7CC5"/>
    <w:rsid w:val="00BE6B2C"/>
    <w:rsid w:val="00C520BC"/>
    <w:rsid w:val="00C72AC9"/>
    <w:rsid w:val="00C75DD5"/>
    <w:rsid w:val="00CC2265"/>
    <w:rsid w:val="00CD4982"/>
    <w:rsid w:val="00CF2526"/>
    <w:rsid w:val="00D001AA"/>
    <w:rsid w:val="00D251ED"/>
    <w:rsid w:val="00D47D3E"/>
    <w:rsid w:val="00D749CE"/>
    <w:rsid w:val="00D9291D"/>
    <w:rsid w:val="00DE07E2"/>
    <w:rsid w:val="00E02832"/>
    <w:rsid w:val="00E1481C"/>
    <w:rsid w:val="00E15E02"/>
    <w:rsid w:val="00E376C8"/>
    <w:rsid w:val="00E47A10"/>
    <w:rsid w:val="00E7336A"/>
    <w:rsid w:val="00E91055"/>
    <w:rsid w:val="00EE4FB1"/>
    <w:rsid w:val="00F0345F"/>
    <w:rsid w:val="00F65DE9"/>
    <w:rsid w:val="00F74B90"/>
    <w:rsid w:val="00F811F1"/>
    <w:rsid w:val="00FA6DD1"/>
    <w:rsid w:val="0136718A"/>
    <w:rsid w:val="01C247F0"/>
    <w:rsid w:val="01EE7C08"/>
    <w:rsid w:val="024E4B4B"/>
    <w:rsid w:val="02EE3C38"/>
    <w:rsid w:val="032D6C2A"/>
    <w:rsid w:val="03A34D06"/>
    <w:rsid w:val="040327B2"/>
    <w:rsid w:val="04CC5A6D"/>
    <w:rsid w:val="04DF346E"/>
    <w:rsid w:val="050C3B6C"/>
    <w:rsid w:val="059F4A3B"/>
    <w:rsid w:val="05B07DC9"/>
    <w:rsid w:val="066F0F20"/>
    <w:rsid w:val="06BB7496"/>
    <w:rsid w:val="0760014F"/>
    <w:rsid w:val="077123A1"/>
    <w:rsid w:val="07747F4A"/>
    <w:rsid w:val="080B2B96"/>
    <w:rsid w:val="09DE12BD"/>
    <w:rsid w:val="09F337E1"/>
    <w:rsid w:val="0A011554"/>
    <w:rsid w:val="0A2E2341"/>
    <w:rsid w:val="0A4C5E14"/>
    <w:rsid w:val="0B2D2264"/>
    <w:rsid w:val="0B49062E"/>
    <w:rsid w:val="0D5A0848"/>
    <w:rsid w:val="0DA26405"/>
    <w:rsid w:val="0EBE46BE"/>
    <w:rsid w:val="0F363083"/>
    <w:rsid w:val="10403535"/>
    <w:rsid w:val="10DE59BD"/>
    <w:rsid w:val="10F8503B"/>
    <w:rsid w:val="1111746F"/>
    <w:rsid w:val="11743932"/>
    <w:rsid w:val="11797DBA"/>
    <w:rsid w:val="11C955BB"/>
    <w:rsid w:val="11CD2EDF"/>
    <w:rsid w:val="11E345A9"/>
    <w:rsid w:val="12361CFF"/>
    <w:rsid w:val="12D547F3"/>
    <w:rsid w:val="12E34C4C"/>
    <w:rsid w:val="12FB4A33"/>
    <w:rsid w:val="13392CAD"/>
    <w:rsid w:val="136775E5"/>
    <w:rsid w:val="137E7C4B"/>
    <w:rsid w:val="13965CFA"/>
    <w:rsid w:val="14495172"/>
    <w:rsid w:val="161D0DD8"/>
    <w:rsid w:val="16287169"/>
    <w:rsid w:val="162A266C"/>
    <w:rsid w:val="163C0A97"/>
    <w:rsid w:val="16435794"/>
    <w:rsid w:val="166B30D5"/>
    <w:rsid w:val="16A257AE"/>
    <w:rsid w:val="17983298"/>
    <w:rsid w:val="185E598D"/>
    <w:rsid w:val="19B4513C"/>
    <w:rsid w:val="19D76D7C"/>
    <w:rsid w:val="19DD0E0A"/>
    <w:rsid w:val="1A9B035F"/>
    <w:rsid w:val="1AC42CC1"/>
    <w:rsid w:val="1BF765EF"/>
    <w:rsid w:val="1C3367CD"/>
    <w:rsid w:val="1C7F3050"/>
    <w:rsid w:val="1CA35724"/>
    <w:rsid w:val="1EAF02C7"/>
    <w:rsid w:val="1EB140F9"/>
    <w:rsid w:val="1EDD63B3"/>
    <w:rsid w:val="20B83603"/>
    <w:rsid w:val="20D546DE"/>
    <w:rsid w:val="21400CDB"/>
    <w:rsid w:val="217C5479"/>
    <w:rsid w:val="21C67E02"/>
    <w:rsid w:val="22133977"/>
    <w:rsid w:val="2297614E"/>
    <w:rsid w:val="233139A1"/>
    <w:rsid w:val="2379093F"/>
    <w:rsid w:val="23C320C1"/>
    <w:rsid w:val="24251728"/>
    <w:rsid w:val="242A47EB"/>
    <w:rsid w:val="24763D61"/>
    <w:rsid w:val="25EB3CDF"/>
    <w:rsid w:val="26423351"/>
    <w:rsid w:val="26F853FE"/>
    <w:rsid w:val="27524813"/>
    <w:rsid w:val="27B05DC7"/>
    <w:rsid w:val="27D74B17"/>
    <w:rsid w:val="2972480D"/>
    <w:rsid w:val="29D004BA"/>
    <w:rsid w:val="2A0475FF"/>
    <w:rsid w:val="2A151786"/>
    <w:rsid w:val="2A48576A"/>
    <w:rsid w:val="2A7F14C7"/>
    <w:rsid w:val="2A9B2FF6"/>
    <w:rsid w:val="2BF67536"/>
    <w:rsid w:val="2C3C7599"/>
    <w:rsid w:val="2C4677BF"/>
    <w:rsid w:val="2CF91854"/>
    <w:rsid w:val="2D27705F"/>
    <w:rsid w:val="2D3E7D46"/>
    <w:rsid w:val="2DE65CFD"/>
    <w:rsid w:val="2E156399"/>
    <w:rsid w:val="2E1A6430"/>
    <w:rsid w:val="2E7A444E"/>
    <w:rsid w:val="2F0A6A43"/>
    <w:rsid w:val="2F376513"/>
    <w:rsid w:val="2F6D7FDB"/>
    <w:rsid w:val="2FB13E9F"/>
    <w:rsid w:val="30733E22"/>
    <w:rsid w:val="308E2433"/>
    <w:rsid w:val="31041376"/>
    <w:rsid w:val="31576CC8"/>
    <w:rsid w:val="31FE7144"/>
    <w:rsid w:val="32347F9B"/>
    <w:rsid w:val="32DE79E1"/>
    <w:rsid w:val="33394B99"/>
    <w:rsid w:val="33704CF3"/>
    <w:rsid w:val="342738B1"/>
    <w:rsid w:val="345871EF"/>
    <w:rsid w:val="34BA5F8F"/>
    <w:rsid w:val="34F373ED"/>
    <w:rsid w:val="35520365"/>
    <w:rsid w:val="359E5308"/>
    <w:rsid w:val="362C25ED"/>
    <w:rsid w:val="36820DFD"/>
    <w:rsid w:val="36D00EFD"/>
    <w:rsid w:val="36F07F06"/>
    <w:rsid w:val="37D220C5"/>
    <w:rsid w:val="38356245"/>
    <w:rsid w:val="383B38F6"/>
    <w:rsid w:val="38451629"/>
    <w:rsid w:val="398935BB"/>
    <w:rsid w:val="39AD1B7B"/>
    <w:rsid w:val="39CF5FE7"/>
    <w:rsid w:val="3A684EE0"/>
    <w:rsid w:val="3B353C6B"/>
    <w:rsid w:val="3C0761ED"/>
    <w:rsid w:val="3CAF79B9"/>
    <w:rsid w:val="3E274443"/>
    <w:rsid w:val="3F1D6580"/>
    <w:rsid w:val="3F6B6FCA"/>
    <w:rsid w:val="3F8F2C54"/>
    <w:rsid w:val="3FA27B9B"/>
    <w:rsid w:val="3FB83028"/>
    <w:rsid w:val="3FD036BE"/>
    <w:rsid w:val="408B4299"/>
    <w:rsid w:val="40942502"/>
    <w:rsid w:val="40AC09D6"/>
    <w:rsid w:val="40D0614F"/>
    <w:rsid w:val="40DB0CE1"/>
    <w:rsid w:val="424B31A1"/>
    <w:rsid w:val="425B2C84"/>
    <w:rsid w:val="42E06844"/>
    <w:rsid w:val="42FE47A3"/>
    <w:rsid w:val="430931AF"/>
    <w:rsid w:val="43102A74"/>
    <w:rsid w:val="43310BCC"/>
    <w:rsid w:val="435C75A2"/>
    <w:rsid w:val="45901CD7"/>
    <w:rsid w:val="46752F28"/>
    <w:rsid w:val="46CA27EF"/>
    <w:rsid w:val="4750030C"/>
    <w:rsid w:val="481A66E0"/>
    <w:rsid w:val="482F1EF9"/>
    <w:rsid w:val="485C5EF7"/>
    <w:rsid w:val="4910755B"/>
    <w:rsid w:val="493E440D"/>
    <w:rsid w:val="49C76AE6"/>
    <w:rsid w:val="4A0A0924"/>
    <w:rsid w:val="4A157A50"/>
    <w:rsid w:val="4A8B55DB"/>
    <w:rsid w:val="4B3C797D"/>
    <w:rsid w:val="4B8B2F80"/>
    <w:rsid w:val="4BB56B7C"/>
    <w:rsid w:val="4C1B624E"/>
    <w:rsid w:val="4CD906A3"/>
    <w:rsid w:val="4D420FCC"/>
    <w:rsid w:val="4D426A4E"/>
    <w:rsid w:val="4D7962E3"/>
    <w:rsid w:val="4DDC11CB"/>
    <w:rsid w:val="4F61709B"/>
    <w:rsid w:val="506568B4"/>
    <w:rsid w:val="50795EBC"/>
    <w:rsid w:val="50AB707C"/>
    <w:rsid w:val="51297F45"/>
    <w:rsid w:val="522E0F28"/>
    <w:rsid w:val="52635035"/>
    <w:rsid w:val="5311687F"/>
    <w:rsid w:val="53A56748"/>
    <w:rsid w:val="55502006"/>
    <w:rsid w:val="55890E06"/>
    <w:rsid w:val="56533C1B"/>
    <w:rsid w:val="56812378"/>
    <w:rsid w:val="56E64055"/>
    <w:rsid w:val="56E819CF"/>
    <w:rsid w:val="57B85C78"/>
    <w:rsid w:val="581D7AF8"/>
    <w:rsid w:val="595F1544"/>
    <w:rsid w:val="599A1790"/>
    <w:rsid w:val="59A0095D"/>
    <w:rsid w:val="59A70928"/>
    <w:rsid w:val="5AFF47EC"/>
    <w:rsid w:val="5B7C7628"/>
    <w:rsid w:val="5B997C2B"/>
    <w:rsid w:val="5C7A3CC8"/>
    <w:rsid w:val="5CE03CEE"/>
    <w:rsid w:val="5D3160DE"/>
    <w:rsid w:val="5D525F29"/>
    <w:rsid w:val="5DEE331E"/>
    <w:rsid w:val="5E53134F"/>
    <w:rsid w:val="5EC62091"/>
    <w:rsid w:val="5F06794C"/>
    <w:rsid w:val="5F93775D"/>
    <w:rsid w:val="600D14ED"/>
    <w:rsid w:val="60BE47E5"/>
    <w:rsid w:val="610E4A4B"/>
    <w:rsid w:val="61C83E7A"/>
    <w:rsid w:val="623B7475"/>
    <w:rsid w:val="62462600"/>
    <w:rsid w:val="62C822FB"/>
    <w:rsid w:val="62D430B2"/>
    <w:rsid w:val="63026180"/>
    <w:rsid w:val="63374C60"/>
    <w:rsid w:val="63780255"/>
    <w:rsid w:val="63EC02FC"/>
    <w:rsid w:val="651E5F81"/>
    <w:rsid w:val="65B1693D"/>
    <w:rsid w:val="65B243E4"/>
    <w:rsid w:val="65C85C8D"/>
    <w:rsid w:val="665D2128"/>
    <w:rsid w:val="66BA587D"/>
    <w:rsid w:val="66C97833"/>
    <w:rsid w:val="66E17055"/>
    <w:rsid w:val="672229B1"/>
    <w:rsid w:val="677F7E04"/>
    <w:rsid w:val="679A7B08"/>
    <w:rsid w:val="67AE1CD5"/>
    <w:rsid w:val="67CB4CF0"/>
    <w:rsid w:val="688014D9"/>
    <w:rsid w:val="68E17E1F"/>
    <w:rsid w:val="695D4726"/>
    <w:rsid w:val="6A115F93"/>
    <w:rsid w:val="6A414563"/>
    <w:rsid w:val="6A9042E2"/>
    <w:rsid w:val="6B6433C1"/>
    <w:rsid w:val="6C184B0B"/>
    <w:rsid w:val="6C44756E"/>
    <w:rsid w:val="6C4B45F8"/>
    <w:rsid w:val="6CEE5BD5"/>
    <w:rsid w:val="6D2D0302"/>
    <w:rsid w:val="6D6655C2"/>
    <w:rsid w:val="6E0E551E"/>
    <w:rsid w:val="70A15B5A"/>
    <w:rsid w:val="70FC0717"/>
    <w:rsid w:val="717B058C"/>
    <w:rsid w:val="717E112C"/>
    <w:rsid w:val="719C3171"/>
    <w:rsid w:val="722111CB"/>
    <w:rsid w:val="72AC7F1B"/>
    <w:rsid w:val="731B7A7F"/>
    <w:rsid w:val="73FB3F54"/>
    <w:rsid w:val="76377102"/>
    <w:rsid w:val="767321B8"/>
    <w:rsid w:val="769929F6"/>
    <w:rsid w:val="77682CF7"/>
    <w:rsid w:val="78096FFD"/>
    <w:rsid w:val="785C7ADA"/>
    <w:rsid w:val="78E53030"/>
    <w:rsid w:val="792702FB"/>
    <w:rsid w:val="79D802CB"/>
    <w:rsid w:val="79DA4CFA"/>
    <w:rsid w:val="7A480529"/>
    <w:rsid w:val="7B2A2B5F"/>
    <w:rsid w:val="7B7C6624"/>
    <w:rsid w:val="7BDF08C7"/>
    <w:rsid w:val="7C2C561C"/>
    <w:rsid w:val="7CFD1A9F"/>
    <w:rsid w:val="7D7D15ED"/>
    <w:rsid w:val="7D7D4E70"/>
    <w:rsid w:val="7DA81600"/>
    <w:rsid w:val="7E363F02"/>
    <w:rsid w:val="7EB20667"/>
    <w:rsid w:val="7F242C23"/>
    <w:rsid w:val="7F6D27E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line="360" w:lineRule="auto"/>
      <w:outlineLvl w:val="0"/>
    </w:pPr>
    <w:rPr>
      <w:b/>
      <w:kern w:val="44"/>
      <w:sz w:val="24"/>
    </w:rPr>
  </w:style>
  <w:style w:type="paragraph" w:styleId="3">
    <w:name w:val="heading 3"/>
    <w:basedOn w:val="1"/>
    <w:next w:val="1"/>
    <w:qFormat/>
    <w:uiPriority w:val="9"/>
    <w:pPr>
      <w:keepNext/>
      <w:keepLines/>
      <w:spacing w:before="140" w:after="140" w:line="360" w:lineRule="auto"/>
      <w:outlineLvl w:val="2"/>
    </w:pPr>
    <w:rPr>
      <w:b/>
      <w:bCs/>
      <w:sz w:val="24"/>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4"/>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unhideWhenUsed/>
    <w:qFormat/>
    <w:uiPriority w:val="99"/>
    <w:rPr>
      <w:color w:val="954F72"/>
      <w:u w:val="single"/>
    </w:rPr>
  </w:style>
  <w:style w:type="character" w:styleId="13">
    <w:name w:val="Hyperlink"/>
    <w:unhideWhenUsed/>
    <w:qFormat/>
    <w:uiPriority w:val="99"/>
    <w:rPr>
      <w:color w:val="0563C1"/>
      <w:u w:val="single"/>
    </w:rPr>
  </w:style>
  <w:style w:type="character" w:customStyle="1" w:styleId="14">
    <w:name w:val="批注框文本 字符"/>
    <w:link w:val="5"/>
    <w:semiHidden/>
    <w:qFormat/>
    <w:uiPriority w:val="99"/>
    <w:rPr>
      <w:kern w:val="2"/>
      <w:sz w:val="18"/>
      <w:szCs w:val="18"/>
    </w:rPr>
  </w:style>
  <w:style w:type="character" w:customStyle="1" w:styleId="15">
    <w:name w:val="页脚 字符"/>
    <w:link w:val="6"/>
    <w:qFormat/>
    <w:uiPriority w:val="99"/>
    <w:rPr>
      <w:sz w:val="18"/>
      <w:szCs w:val="18"/>
    </w:rPr>
  </w:style>
  <w:style w:type="character" w:customStyle="1" w:styleId="16">
    <w:name w:val="页眉 字符"/>
    <w:link w:val="7"/>
    <w:semiHidden/>
    <w:qFormat/>
    <w:uiPriority w:val="99"/>
    <w:rPr>
      <w:sz w:val="18"/>
      <w:szCs w:val="18"/>
    </w:rPr>
  </w:style>
  <w:style w:type="character" w:customStyle="1" w:styleId="17">
    <w:name w:val="HTML 预设格式 字符"/>
    <w:link w:val="8"/>
    <w:qFormat/>
    <w:uiPriority w:val="99"/>
    <w:rPr>
      <w:rFonts w:ascii="宋体" w:hAnsi="宋体" w:cs="宋体"/>
      <w:sz w:val="24"/>
      <w:szCs w:val="24"/>
    </w:rPr>
  </w:style>
  <w:style w:type="character" w:customStyle="1" w:styleId="18">
    <w:name w:val="font31"/>
    <w:qFormat/>
    <w:uiPriority w:val="0"/>
    <w:rPr>
      <w:rFonts w:hint="eastAsia" w:ascii="宋体" w:hAnsi="宋体" w:eastAsia="宋体" w:cs="宋体"/>
      <w:color w:val="000000"/>
      <w:sz w:val="20"/>
      <w:szCs w:val="20"/>
      <w:u w:val="none"/>
    </w:rPr>
  </w:style>
  <w:style w:type="character" w:customStyle="1" w:styleId="19">
    <w:name w:val="font11"/>
    <w:qFormat/>
    <w:uiPriority w:val="0"/>
    <w:rPr>
      <w:rFonts w:hint="default" w:ascii="Times New Roman" w:hAnsi="Times New Roman" w:cs="Times New Roman"/>
      <w:color w:val="000000"/>
      <w:sz w:val="20"/>
      <w:szCs w:val="20"/>
      <w:u w:val="none"/>
    </w:rPr>
  </w:style>
  <w:style w:type="character" w:customStyle="1" w:styleId="20">
    <w:name w:val="font01"/>
    <w:qFormat/>
    <w:uiPriority w:val="0"/>
    <w:rPr>
      <w:rFonts w:hint="eastAsia" w:ascii="宋体" w:hAnsi="宋体" w:eastAsia="宋体" w:cs="宋体"/>
      <w:color w:val="FF0000"/>
      <w:sz w:val="20"/>
      <w:szCs w:val="20"/>
      <w:u w:val="none"/>
    </w:rPr>
  </w:style>
  <w:style w:type="character" w:customStyle="1" w:styleId="21">
    <w:name w:val="未处理的提及1"/>
    <w:unhideWhenUsed/>
    <w:qFormat/>
    <w:uiPriority w:val="99"/>
    <w:rPr>
      <w:color w:val="605E5C"/>
      <w:shd w:val="clear" w:color="auto" w:fill="E1DFDD"/>
    </w:rPr>
  </w:style>
  <w:style w:type="paragraph" w:customStyle="1" w:styleId="22">
    <w:name w:val="修订1"/>
    <w:unhideWhenUsed/>
    <w:qFormat/>
    <w:uiPriority w:val="99"/>
    <w:rPr>
      <w:rFonts w:ascii="Times New Roman" w:hAnsi="Times New Roman" w:eastAsia="宋体" w:cs="Times New Roman"/>
      <w:kern w:val="2"/>
      <w:sz w:val="21"/>
      <w:szCs w:val="22"/>
      <w:lang w:val="en-US" w:eastAsia="zh-CN" w:bidi="ar-SA"/>
    </w:rPr>
  </w:style>
  <w:style w:type="table" w:customStyle="1" w:styleId="23">
    <w:name w:val="网格型1"/>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7</Pages>
  <Words>3290</Words>
  <Characters>3707</Characters>
  <Lines>8</Lines>
  <Paragraphs>8</Paragraphs>
  <TotalTime>6</TotalTime>
  <ScaleCrop>false</ScaleCrop>
  <LinksUpToDate>false</LinksUpToDate>
  <CharactersWithSpaces>4027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2024-04-12T06:50:00Z</dcterms:created>
  <dc:creator>王琴</dc:creator>
  <cp:lastModifiedBy>cdq</cp:lastModifiedBy>
  <cp:lastPrinted>2023-04-19T02:39:00Z</cp:lastPrinted>
  <dcterms:modified xsi:type="dcterms:W3CDTF">2025-04-14T04:21:41Z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BDCBE602FF6A4DD1935B544AE25FD774</vt:lpwstr>
  </property>
  <property fmtid="{D5CDD505-2E9C-101B-9397-08002B2CF9AE}" pid="4" name="KSOTemplateDocerSaveRecord">
    <vt:lpwstr>eyJoZGlkIjoiY2Q4MDAzNjNiM2EwYjNjY2VkN2I2ZWY4OTg5YTA1ZWYiLCJ1c2VySWQiOiIxMzk5OTUwMzQxIn0=</vt:lpwstr>
  </property>
</Properties>
</file>